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2F272">
      <w:pPr>
        <w:pStyle w:val="4"/>
        <w:spacing w:line="260" w:lineRule="auto"/>
        <w:rPr>
          <w:rFonts w:hint="eastAsia" w:ascii="宋体" w:hAnsi="宋体" w:eastAsia="宋体" w:cs="宋体"/>
          <w:color w:val="auto"/>
          <w:highlight w:val="none"/>
        </w:rPr>
      </w:pPr>
    </w:p>
    <w:p w14:paraId="043739BD">
      <w:pPr>
        <w:pStyle w:val="4"/>
        <w:spacing w:line="360" w:lineRule="auto"/>
        <w:jc w:val="center"/>
        <w:rPr>
          <w:rFonts w:hint="eastAsia" w:ascii="宋体" w:hAnsi="宋体" w:eastAsia="宋体" w:cs="宋体"/>
          <w:i w:val="0"/>
          <w:iCs w:val="0"/>
          <w:snapToGrid w:val="0"/>
          <w:color w:val="auto"/>
          <w:kern w:val="0"/>
          <w:sz w:val="40"/>
          <w:szCs w:val="28"/>
          <w:highlight w:val="none"/>
          <w:lang w:val="en-US" w:eastAsia="zh-CN" w:bidi="ar-SA"/>
        </w:rPr>
      </w:pPr>
    </w:p>
    <w:p w14:paraId="49991186">
      <w:pPr>
        <w:pStyle w:val="4"/>
        <w:spacing w:line="360" w:lineRule="auto"/>
        <w:jc w:val="center"/>
        <w:rPr>
          <w:rFonts w:hint="eastAsia" w:ascii="宋体" w:hAnsi="宋体" w:eastAsia="宋体" w:cs="宋体"/>
          <w:i w:val="0"/>
          <w:iCs w:val="0"/>
          <w:snapToGrid w:val="0"/>
          <w:color w:val="auto"/>
          <w:kern w:val="0"/>
          <w:sz w:val="40"/>
          <w:szCs w:val="28"/>
          <w:highlight w:val="none"/>
          <w:lang w:val="en-US" w:eastAsia="zh-CN" w:bidi="ar-SA"/>
        </w:rPr>
      </w:pPr>
      <w:bookmarkStart w:id="88" w:name="_GoBack"/>
      <w:bookmarkEnd w:id="88"/>
      <w:r>
        <w:rPr>
          <w:rFonts w:hint="eastAsia" w:ascii="宋体" w:hAnsi="宋体" w:eastAsia="宋体" w:cs="宋体"/>
          <w:i w:val="0"/>
          <w:iCs w:val="0"/>
          <w:snapToGrid w:val="0"/>
          <w:color w:val="auto"/>
          <w:kern w:val="0"/>
          <w:sz w:val="40"/>
          <w:szCs w:val="28"/>
          <w:highlight w:val="none"/>
          <w:lang w:val="en-US" w:eastAsia="zh-CN" w:bidi="ar-SA"/>
        </w:rPr>
        <w:t>温泉县安格里格镇牛羊屠宰场建设项目（二期）</w:t>
      </w:r>
    </w:p>
    <w:p w14:paraId="4BD7BEDC">
      <w:pPr>
        <w:pStyle w:val="4"/>
        <w:spacing w:line="245" w:lineRule="auto"/>
        <w:rPr>
          <w:rFonts w:hint="eastAsia" w:ascii="宋体" w:hAnsi="宋体" w:eastAsia="宋体" w:cs="宋体"/>
          <w:b w:val="0"/>
          <w:bCs/>
          <w:color w:val="auto"/>
          <w:highlight w:val="none"/>
        </w:rPr>
      </w:pPr>
    </w:p>
    <w:p w14:paraId="3E5E4A44">
      <w:pPr>
        <w:pStyle w:val="4"/>
        <w:spacing w:line="245" w:lineRule="auto"/>
        <w:rPr>
          <w:rFonts w:hint="eastAsia" w:ascii="宋体" w:hAnsi="宋体" w:eastAsia="宋体" w:cs="宋体"/>
          <w:b w:val="0"/>
          <w:bCs/>
          <w:color w:val="auto"/>
          <w:highlight w:val="none"/>
        </w:rPr>
      </w:pPr>
    </w:p>
    <w:p w14:paraId="61920FA2">
      <w:pPr>
        <w:pStyle w:val="4"/>
        <w:spacing w:line="245" w:lineRule="auto"/>
        <w:rPr>
          <w:rFonts w:hint="eastAsia" w:ascii="宋体" w:hAnsi="宋体" w:eastAsia="宋体" w:cs="宋体"/>
          <w:b w:val="0"/>
          <w:bCs/>
          <w:color w:val="auto"/>
          <w:highlight w:val="none"/>
        </w:rPr>
      </w:pPr>
    </w:p>
    <w:p w14:paraId="19EF3578">
      <w:pPr>
        <w:spacing w:before="179" w:line="325" w:lineRule="auto"/>
        <w:ind w:right="1160"/>
        <w:jc w:val="center"/>
        <w:rPr>
          <w:rFonts w:hint="eastAsia" w:ascii="宋体" w:hAnsi="宋体" w:eastAsia="宋体" w:cs="宋体"/>
          <w:color w:val="auto"/>
          <w:spacing w:val="14"/>
          <w:sz w:val="55"/>
          <w:szCs w:val="55"/>
          <w:highlight w:val="none"/>
          <w:lang w:val="en-US" w:eastAsia="zh-CN"/>
          <w14:textOutline w14:w="10145" w14:cap="flat" w14:cmpd="sng">
            <w14:solidFill>
              <w14:srgbClr w14:val="000000"/>
            </w14:solidFill>
            <w14:prstDash w14:val="solid"/>
            <w14:miter w14:val="0"/>
          </w14:textOutline>
        </w:rPr>
      </w:pPr>
      <w:r>
        <w:rPr>
          <w:rFonts w:hint="eastAsia" w:ascii="宋体" w:hAnsi="宋体" w:eastAsia="宋体" w:cs="宋体"/>
          <w:color w:val="auto"/>
          <w:spacing w:val="14"/>
          <w:sz w:val="55"/>
          <w:szCs w:val="55"/>
          <w:highlight w:val="none"/>
          <w:lang w:val="en-US" w:eastAsia="zh-CN"/>
          <w14:textOutline w14:w="10145" w14:cap="flat" w14:cmpd="sng">
            <w14:solidFill>
              <w14:srgbClr w14:val="000000"/>
            </w14:solidFill>
            <w14:prstDash w14:val="solid"/>
            <w14:miter w14:val="0"/>
          </w14:textOutline>
        </w:rPr>
        <w:t>招标文件</w:t>
      </w:r>
    </w:p>
    <w:p w14:paraId="3B700BC0">
      <w:pPr>
        <w:spacing w:before="179" w:line="325" w:lineRule="auto"/>
        <w:ind w:right="1160"/>
        <w:jc w:val="center"/>
        <w:rPr>
          <w:rFonts w:hint="eastAsia" w:ascii="宋体" w:hAnsi="宋体" w:eastAsia="宋体" w:cs="宋体"/>
          <w:color w:val="auto"/>
          <w:sz w:val="76"/>
          <w:szCs w:val="24"/>
          <w:highlight w:val="none"/>
          <w:lang w:eastAsia="zh-CN"/>
        </w:rPr>
      </w:pPr>
    </w:p>
    <w:p w14:paraId="112E62C1">
      <w:pPr>
        <w:spacing w:line="253" w:lineRule="auto"/>
        <w:rPr>
          <w:rFonts w:hint="eastAsia" w:ascii="宋体" w:hAnsi="宋体" w:eastAsia="宋体" w:cs="宋体"/>
          <w:color w:val="auto"/>
          <w:sz w:val="21"/>
          <w:highlight w:val="none"/>
        </w:rPr>
      </w:pPr>
    </w:p>
    <w:p w14:paraId="2FC5CEB5">
      <w:pPr>
        <w:pStyle w:val="9"/>
        <w:rPr>
          <w:rFonts w:hint="eastAsia" w:ascii="宋体" w:hAnsi="宋体" w:eastAsia="宋体" w:cs="宋体"/>
          <w:color w:val="auto"/>
          <w:sz w:val="21"/>
          <w:highlight w:val="none"/>
        </w:rPr>
      </w:pPr>
    </w:p>
    <w:p w14:paraId="52E73D13">
      <w:pPr>
        <w:pStyle w:val="9"/>
        <w:rPr>
          <w:rFonts w:hint="eastAsia" w:ascii="宋体" w:hAnsi="宋体" w:eastAsia="宋体" w:cs="宋体"/>
          <w:color w:val="auto"/>
          <w:sz w:val="21"/>
          <w:highlight w:val="none"/>
        </w:rPr>
      </w:pPr>
    </w:p>
    <w:p w14:paraId="6DA43846">
      <w:pPr>
        <w:pStyle w:val="9"/>
        <w:rPr>
          <w:rFonts w:hint="eastAsia" w:ascii="宋体" w:hAnsi="宋体" w:eastAsia="宋体" w:cs="宋体"/>
          <w:color w:val="auto"/>
          <w:sz w:val="21"/>
          <w:highlight w:val="none"/>
        </w:rPr>
      </w:pPr>
    </w:p>
    <w:p w14:paraId="32E8988A">
      <w:pPr>
        <w:pStyle w:val="9"/>
        <w:rPr>
          <w:rFonts w:hint="eastAsia" w:ascii="宋体" w:hAnsi="宋体" w:eastAsia="宋体" w:cs="宋体"/>
          <w:color w:val="auto"/>
          <w:sz w:val="21"/>
          <w:highlight w:val="none"/>
        </w:rPr>
      </w:pPr>
    </w:p>
    <w:p w14:paraId="267A27CD">
      <w:pPr>
        <w:pStyle w:val="9"/>
        <w:rPr>
          <w:rFonts w:hint="eastAsia" w:ascii="宋体" w:hAnsi="宋体" w:eastAsia="宋体" w:cs="宋体"/>
          <w:color w:val="auto"/>
          <w:sz w:val="21"/>
          <w:highlight w:val="none"/>
        </w:rPr>
      </w:pPr>
    </w:p>
    <w:p w14:paraId="0B94B62B">
      <w:pPr>
        <w:pStyle w:val="9"/>
        <w:rPr>
          <w:rFonts w:hint="eastAsia" w:ascii="宋体" w:hAnsi="宋体" w:eastAsia="宋体" w:cs="宋体"/>
          <w:color w:val="auto"/>
          <w:sz w:val="21"/>
          <w:highlight w:val="none"/>
        </w:rPr>
      </w:pPr>
    </w:p>
    <w:p w14:paraId="6025DC1C">
      <w:pPr>
        <w:pStyle w:val="9"/>
        <w:rPr>
          <w:rFonts w:hint="eastAsia" w:ascii="宋体" w:hAnsi="宋体" w:eastAsia="宋体" w:cs="宋体"/>
          <w:color w:val="auto"/>
          <w:sz w:val="21"/>
          <w:highlight w:val="none"/>
        </w:rPr>
      </w:pPr>
    </w:p>
    <w:p w14:paraId="6AEBB7A3">
      <w:pPr>
        <w:pStyle w:val="9"/>
        <w:rPr>
          <w:rFonts w:hint="eastAsia" w:ascii="宋体" w:hAnsi="宋体" w:eastAsia="宋体" w:cs="宋体"/>
          <w:color w:val="auto"/>
          <w:sz w:val="21"/>
          <w:highlight w:val="none"/>
        </w:rPr>
      </w:pPr>
    </w:p>
    <w:p w14:paraId="79BD7F18">
      <w:pPr>
        <w:pStyle w:val="9"/>
        <w:rPr>
          <w:rFonts w:hint="eastAsia" w:ascii="宋体" w:hAnsi="宋体" w:eastAsia="宋体" w:cs="宋体"/>
          <w:color w:val="auto"/>
          <w:sz w:val="21"/>
          <w:highlight w:val="none"/>
        </w:rPr>
      </w:pPr>
    </w:p>
    <w:p w14:paraId="286CCC6F">
      <w:pPr>
        <w:spacing w:beforeLines="0" w:afterLines="0"/>
        <w:ind w:firstLine="360" w:firstLineChars="100"/>
        <w:jc w:val="left"/>
        <w:rPr>
          <w:rFonts w:hint="eastAsia" w:ascii="宋体" w:hAnsi="宋体" w:eastAsia="宋体" w:cs="宋体"/>
          <w:color w:val="auto"/>
          <w:sz w:val="36"/>
          <w:szCs w:val="24"/>
          <w:highlight w:val="none"/>
          <w:lang w:val="en-US"/>
        </w:rPr>
      </w:pPr>
      <w:r>
        <w:rPr>
          <w:rFonts w:hint="eastAsia" w:ascii="宋体" w:hAnsi="宋体" w:eastAsia="宋体" w:cs="宋体"/>
          <w:color w:val="auto"/>
          <w:sz w:val="36"/>
          <w:szCs w:val="24"/>
          <w:highlight w:val="none"/>
        </w:rPr>
        <w:t>项目编</w:t>
      </w:r>
      <w:r>
        <w:rPr>
          <w:rFonts w:hint="eastAsia" w:ascii="宋体" w:hAnsi="宋体" w:eastAsia="宋体" w:cs="宋体"/>
          <w:color w:val="auto"/>
          <w:sz w:val="36"/>
          <w:szCs w:val="24"/>
          <w:highlight w:val="none"/>
          <w:lang w:val="zh-CN"/>
        </w:rPr>
        <w:t>号：</w:t>
      </w:r>
      <w:r>
        <w:rPr>
          <w:rFonts w:hint="eastAsia" w:ascii="宋体" w:hAnsi="宋体" w:eastAsia="宋体" w:cs="宋体"/>
          <w:color w:val="auto"/>
          <w:sz w:val="36"/>
          <w:szCs w:val="24"/>
          <w:highlight w:val="none"/>
          <w:lang w:val="zh-CN" w:eastAsia="zh-CN"/>
        </w:rPr>
        <w:t>XHYJGK2026-017</w:t>
      </w:r>
    </w:p>
    <w:p w14:paraId="16876EDE">
      <w:pPr>
        <w:pStyle w:val="11"/>
        <w:spacing w:beforeLines="0" w:afterLines="0"/>
        <w:rPr>
          <w:rFonts w:hint="eastAsia" w:ascii="宋体" w:hAnsi="宋体" w:eastAsia="宋体" w:cs="宋体"/>
          <w:color w:val="auto"/>
          <w:sz w:val="18"/>
          <w:szCs w:val="21"/>
          <w:highlight w:val="none"/>
        </w:rPr>
      </w:pPr>
    </w:p>
    <w:p w14:paraId="053806D0">
      <w:pPr>
        <w:spacing w:beforeLines="0" w:afterLines="0"/>
        <w:ind w:firstLine="2880" w:firstLineChars="800"/>
        <w:rPr>
          <w:rFonts w:hint="eastAsia" w:ascii="宋体" w:hAnsi="宋体" w:eastAsia="宋体" w:cs="宋体"/>
          <w:color w:val="auto"/>
          <w:sz w:val="36"/>
          <w:szCs w:val="24"/>
          <w:highlight w:val="none"/>
        </w:rPr>
      </w:pPr>
    </w:p>
    <w:p w14:paraId="626EDB68">
      <w:pPr>
        <w:spacing w:beforeLines="0" w:afterLines="0"/>
        <w:ind w:firstLine="360" w:firstLineChars="100"/>
        <w:rPr>
          <w:rFonts w:hint="eastAsia" w:ascii="宋体" w:hAnsi="宋体" w:eastAsia="宋体" w:cs="宋体"/>
          <w:color w:val="auto"/>
          <w:sz w:val="36"/>
          <w:szCs w:val="24"/>
          <w:highlight w:val="none"/>
          <w:lang w:val="en-US" w:eastAsia="zh-CN"/>
        </w:rPr>
      </w:pPr>
      <w:r>
        <w:rPr>
          <w:rFonts w:hint="eastAsia" w:ascii="宋体" w:hAnsi="宋体" w:eastAsia="宋体" w:cs="宋体"/>
          <w:color w:val="auto"/>
          <w:sz w:val="36"/>
          <w:szCs w:val="24"/>
          <w:highlight w:val="none"/>
        </w:rPr>
        <w:t>采 购 人:</w:t>
      </w:r>
      <w:r>
        <w:rPr>
          <w:rFonts w:hint="eastAsia" w:ascii="宋体" w:hAnsi="宋体" w:eastAsia="宋体" w:cs="宋体"/>
          <w:color w:val="auto"/>
          <w:sz w:val="36"/>
          <w:szCs w:val="24"/>
          <w:highlight w:val="none"/>
          <w:lang w:val="en-US" w:eastAsia="zh-CN"/>
        </w:rPr>
        <w:t>温泉县安格里格镇人民政府</w:t>
      </w:r>
    </w:p>
    <w:p w14:paraId="2C45B10B">
      <w:pPr>
        <w:spacing w:beforeLines="0" w:afterLines="0"/>
        <w:ind w:firstLine="360" w:firstLineChars="100"/>
        <w:rPr>
          <w:rFonts w:hint="eastAsia" w:ascii="宋体" w:hAnsi="宋体" w:eastAsia="宋体" w:cs="宋体"/>
          <w:color w:val="auto"/>
          <w:sz w:val="36"/>
          <w:szCs w:val="24"/>
          <w:highlight w:val="none"/>
          <w:lang w:val="en-US" w:eastAsia="zh-CN"/>
        </w:rPr>
      </w:pPr>
    </w:p>
    <w:p w14:paraId="43A69D26">
      <w:pPr>
        <w:spacing w:beforeLines="0" w:afterLines="0"/>
        <w:ind w:firstLine="1080" w:firstLineChars="300"/>
        <w:rPr>
          <w:rFonts w:hint="eastAsia" w:ascii="宋体" w:hAnsi="宋体" w:eastAsia="宋体" w:cs="宋体"/>
          <w:color w:val="auto"/>
          <w:sz w:val="36"/>
          <w:szCs w:val="24"/>
          <w:highlight w:val="none"/>
        </w:rPr>
      </w:pPr>
    </w:p>
    <w:p w14:paraId="0282A2BC">
      <w:pPr>
        <w:shd w:val="clear"/>
        <w:spacing w:beforeLines="0" w:afterLines="0" w:line="600" w:lineRule="auto"/>
        <w:ind w:firstLine="360" w:firstLineChars="100"/>
        <w:jc w:val="both"/>
        <w:rPr>
          <w:rFonts w:hint="eastAsia" w:ascii="宋体" w:hAnsi="宋体" w:eastAsia="宋体" w:cs="宋体"/>
          <w:color w:val="auto"/>
          <w:sz w:val="36"/>
          <w:szCs w:val="24"/>
          <w:highlight w:val="none"/>
        </w:rPr>
      </w:pPr>
      <w:r>
        <w:rPr>
          <w:rFonts w:hint="eastAsia" w:ascii="宋体" w:hAnsi="宋体" w:eastAsia="宋体" w:cs="宋体"/>
          <w:color w:val="auto"/>
          <w:sz w:val="36"/>
          <w:szCs w:val="24"/>
          <w:highlight w:val="none"/>
        </w:rPr>
        <w:t>采购代理机构:新疆新华远景工程造价咨询有限公司</w:t>
      </w:r>
    </w:p>
    <w:p w14:paraId="1276F785">
      <w:pPr>
        <w:shd w:val="clear"/>
        <w:spacing w:beforeLines="0" w:afterLines="0" w:line="600" w:lineRule="auto"/>
        <w:ind w:firstLine="320" w:firstLineChars="100"/>
        <w:jc w:val="both"/>
        <w:rPr>
          <w:rFonts w:hint="eastAsia" w:ascii="宋体" w:hAnsi="宋体" w:eastAsia="宋体" w:cs="宋体"/>
          <w:color w:val="auto"/>
          <w:sz w:val="32"/>
          <w:szCs w:val="24"/>
          <w:highlight w:val="none"/>
        </w:rPr>
      </w:pPr>
    </w:p>
    <w:p w14:paraId="0B07D1FD">
      <w:pPr>
        <w:shd w:val="clear"/>
        <w:spacing w:beforeLines="0" w:afterLines="0" w:line="600" w:lineRule="auto"/>
        <w:ind w:firstLine="360" w:firstLineChars="100"/>
        <w:jc w:val="center"/>
        <w:rPr>
          <w:rFonts w:hint="eastAsia" w:ascii="宋体" w:hAnsi="宋体" w:eastAsia="宋体" w:cs="宋体"/>
          <w:i w:val="0"/>
          <w:iCs w:val="0"/>
          <w:color w:val="auto"/>
          <w:sz w:val="36"/>
          <w:szCs w:val="24"/>
          <w:highlight w:val="none"/>
        </w:rPr>
      </w:pPr>
      <w:r>
        <w:rPr>
          <w:rFonts w:hint="eastAsia" w:ascii="宋体" w:hAnsi="宋体" w:eastAsia="宋体" w:cs="宋体"/>
          <w:i w:val="0"/>
          <w:iCs w:val="0"/>
          <w:color w:val="auto"/>
          <w:sz w:val="36"/>
          <w:szCs w:val="24"/>
          <w:highlight w:val="none"/>
          <w:lang w:val="en-US" w:eastAsia="zh-CN"/>
        </w:rPr>
        <w:t>2026</w:t>
      </w:r>
      <w:r>
        <w:rPr>
          <w:rFonts w:hint="eastAsia" w:ascii="宋体" w:hAnsi="宋体" w:eastAsia="宋体" w:cs="宋体"/>
          <w:i w:val="0"/>
          <w:iCs w:val="0"/>
          <w:color w:val="auto"/>
          <w:sz w:val="36"/>
          <w:szCs w:val="24"/>
          <w:highlight w:val="none"/>
        </w:rPr>
        <w:t>年</w:t>
      </w:r>
      <w:r>
        <w:rPr>
          <w:rFonts w:hint="eastAsia" w:ascii="宋体" w:hAnsi="宋体" w:eastAsia="宋体" w:cs="宋体"/>
          <w:i w:val="0"/>
          <w:iCs w:val="0"/>
          <w:color w:val="auto"/>
          <w:sz w:val="36"/>
          <w:szCs w:val="24"/>
          <w:highlight w:val="none"/>
          <w:lang w:val="en-US" w:eastAsia="zh-CN"/>
        </w:rPr>
        <w:t>5</w:t>
      </w:r>
      <w:r>
        <w:rPr>
          <w:rFonts w:hint="eastAsia" w:ascii="宋体" w:hAnsi="宋体" w:eastAsia="宋体" w:cs="宋体"/>
          <w:i w:val="0"/>
          <w:iCs w:val="0"/>
          <w:color w:val="auto"/>
          <w:sz w:val="36"/>
          <w:szCs w:val="24"/>
          <w:highlight w:val="none"/>
        </w:rPr>
        <w:t>月</w:t>
      </w:r>
    </w:p>
    <w:p w14:paraId="55342813">
      <w:pP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br w:type="page"/>
      </w:r>
      <w:r>
        <w:rPr>
          <w:rFonts w:hint="eastAsia" w:ascii="宋体" w:hAnsi="宋体" w:eastAsia="宋体" w:cs="宋体"/>
          <w:color w:val="auto"/>
          <w:sz w:val="40"/>
          <w:szCs w:val="40"/>
          <w:highlight w:val="none"/>
        </w:rPr>
        <w:br w:type="page"/>
      </w:r>
    </w:p>
    <w:p w14:paraId="15696A9B">
      <w:pPr>
        <w:rPr>
          <w:rFonts w:hint="eastAsia" w:ascii="宋体" w:hAnsi="宋体" w:eastAsia="宋体" w:cs="宋体"/>
          <w:color w:val="auto"/>
          <w:sz w:val="40"/>
          <w:szCs w:val="40"/>
          <w:highlight w:val="none"/>
        </w:rPr>
      </w:pPr>
    </w:p>
    <w:sdt>
      <w:sdtPr>
        <w:rPr>
          <w:rFonts w:hint="eastAsia" w:ascii="宋体" w:hAnsi="宋体" w:eastAsia="宋体" w:cs="宋体"/>
          <w:snapToGrid w:val="0"/>
          <w:color w:val="auto"/>
          <w:kern w:val="0"/>
          <w:sz w:val="21"/>
          <w:szCs w:val="21"/>
          <w:highlight w:val="none"/>
          <w:lang w:val="en-US" w:eastAsia="en-US" w:bidi="ar-SA"/>
        </w:rPr>
        <w:id w:val="147481333"/>
        <w15:color w:val="DBDBDB"/>
        <w:docPartObj>
          <w:docPartGallery w:val="Table of Contents"/>
          <w:docPartUnique/>
        </w:docPartObj>
      </w:sdtPr>
      <w:sdtEndPr>
        <w:rPr>
          <w:rFonts w:hint="eastAsia" w:ascii="宋体" w:hAnsi="宋体" w:eastAsia="宋体" w:cs="宋体"/>
          <w:bCs/>
          <w:snapToGrid w:val="0"/>
          <w:color w:val="auto"/>
          <w:spacing w:val="5"/>
          <w:kern w:val="0"/>
          <w:sz w:val="21"/>
          <w:szCs w:val="35"/>
          <w:highlight w:val="none"/>
          <w:lang w:val="en-US" w:eastAsia="en-US" w:bidi="ar-SA"/>
        </w:rPr>
      </w:sdtEndPr>
      <w:sdtContent>
        <w:p w14:paraId="495AB6E7">
          <w:pPr>
            <w:keepNext w:val="0"/>
            <w:keepLines w:val="0"/>
            <w:pageBreakBefore w:val="0"/>
            <w:widowControl/>
            <w:kinsoku w:val="0"/>
            <w:wordWrap/>
            <w:overflowPunct/>
            <w:topLinePunct w:val="0"/>
            <w:autoSpaceDE w:val="0"/>
            <w:autoSpaceDN w:val="0"/>
            <w:bidi w:val="0"/>
            <w:adjustRightInd w:val="0"/>
            <w:snapToGrid w:val="0"/>
            <w:spacing w:before="113" w:line="252" w:lineRule="auto"/>
            <w:ind w:left="3505" w:firstLine="840" w:firstLineChars="400"/>
            <w:jc w:val="left"/>
            <w:textAlignment w:val="baseline"/>
            <w:outlineLvl w:val="0"/>
            <w:rPr>
              <w:rFonts w:hint="eastAsia" w:ascii="宋体" w:hAnsi="宋体" w:eastAsia="宋体" w:cs="宋体"/>
              <w:snapToGrid w:val="0"/>
              <w:color w:val="auto"/>
              <w:kern w:val="0"/>
              <w:sz w:val="21"/>
              <w:szCs w:val="21"/>
              <w:highlight w:val="none"/>
              <w:lang w:val="en-US" w:eastAsia="zh-CN" w:bidi="ar-SA"/>
            </w:rPr>
          </w:pPr>
          <w:bookmarkStart w:id="0" w:name="bookmark1"/>
          <w:bookmarkEnd w:id="0"/>
          <w:bookmarkStart w:id="1" w:name="bookmark72"/>
          <w:bookmarkEnd w:id="1"/>
          <w:r>
            <w:rPr>
              <w:rFonts w:hint="eastAsia" w:ascii="宋体" w:hAnsi="宋体" w:eastAsia="宋体" w:cs="宋体"/>
              <w:b/>
              <w:bCs/>
              <w:snapToGrid w:val="0"/>
              <w:color w:val="auto"/>
              <w:kern w:val="0"/>
              <w:sz w:val="28"/>
              <w:szCs w:val="28"/>
              <w:highlight w:val="none"/>
              <w:lang w:val="en-US" w:eastAsia="zh-CN" w:bidi="ar-SA"/>
            </w:rPr>
            <w:t>目      录</w:t>
          </w:r>
        </w:p>
        <w:p w14:paraId="17735701">
          <w:pPr>
            <w:pStyle w:val="10"/>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 w:val="21"/>
              <w:szCs w:val="35"/>
              <w:highlight w:val="none"/>
              <w:lang w:val="en-US" w:eastAsia="en-US" w:bidi="ar-SA"/>
            </w:rPr>
            <w:fldChar w:fldCharType="begin"/>
          </w:r>
          <w:r>
            <w:rPr>
              <w:rFonts w:hint="eastAsia" w:ascii="宋体" w:hAnsi="宋体" w:eastAsia="宋体" w:cs="宋体"/>
              <w:bCs/>
              <w:snapToGrid w:val="0"/>
              <w:color w:val="auto"/>
              <w:spacing w:val="5"/>
              <w:kern w:val="0"/>
              <w:sz w:val="21"/>
              <w:szCs w:val="35"/>
              <w:highlight w:val="none"/>
              <w:lang w:val="en-US" w:eastAsia="en-US" w:bidi="ar-SA"/>
            </w:rPr>
            <w:instrText xml:space="preserve">TOC \o "1-3" \h \u </w:instrText>
          </w:r>
          <w:r>
            <w:rPr>
              <w:rFonts w:hint="eastAsia" w:ascii="宋体" w:hAnsi="宋体" w:eastAsia="宋体" w:cs="宋体"/>
              <w:bCs/>
              <w:snapToGrid w:val="0"/>
              <w:color w:val="auto"/>
              <w:spacing w:val="5"/>
              <w:kern w:val="0"/>
              <w:sz w:val="21"/>
              <w:szCs w:val="35"/>
              <w:highlight w:val="none"/>
              <w:lang w:val="en-US" w:eastAsia="en-US" w:bidi="ar-SA"/>
            </w:rPr>
            <w:fldChar w:fldCharType="separate"/>
          </w: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_Toc3168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5"/>
              <w:szCs w:val="35"/>
              <w:highlight w:val="none"/>
            </w:rPr>
            <w:t>第一章</w:t>
          </w:r>
          <w:r>
            <w:rPr>
              <w:rFonts w:hint="eastAsia" w:ascii="宋体" w:hAnsi="宋体" w:eastAsia="宋体" w:cs="宋体"/>
              <w:color w:val="auto"/>
              <w:spacing w:val="5"/>
              <w:szCs w:val="35"/>
              <w:highlight w:val="none"/>
            </w:rPr>
            <w:t xml:space="preserve">  </w:t>
          </w:r>
          <w:r>
            <w:rPr>
              <w:rFonts w:hint="eastAsia" w:ascii="宋体" w:hAnsi="宋体" w:eastAsia="宋体" w:cs="宋体"/>
              <w:bCs/>
              <w:color w:val="auto"/>
              <w:spacing w:val="5"/>
              <w:szCs w:val="35"/>
              <w:highlight w:val="none"/>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37B8F04A">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_Toc25093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一、项目基本情况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683233B3">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_Toc24165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二、申请人的资格要求：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61855F6C">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_Toc28678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三、获取采购文件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5A42BF08">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_Toc27347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四、响应文件提交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_Toc27347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3992EFA4">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_Toc24462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五、响应文件开启</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1B941EF6">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_Toc13672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六、公告期限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35F5173A">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_Toc11627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七、其他补充事宜</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_Toc11627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57718A66">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_Toc22427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24"/>
              <w:highlight w:val="none"/>
              <w:lang w:val="en-US" w:eastAsia="zh-CN"/>
            </w:rPr>
            <w:t>八、凡对本次招标提出询问，请按以下方式联系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0A4406A3">
          <w:pPr>
            <w:pStyle w:val="10"/>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_Toc26004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3"/>
              <w:szCs w:val="31"/>
              <w:highlight w:val="none"/>
            </w:rPr>
            <w:t>第二章</w:t>
          </w:r>
          <w:r>
            <w:rPr>
              <w:rFonts w:hint="eastAsia" w:ascii="宋体" w:hAnsi="宋体" w:eastAsia="宋体" w:cs="宋体"/>
              <w:color w:val="auto"/>
              <w:spacing w:val="3"/>
              <w:szCs w:val="31"/>
              <w:highlight w:val="none"/>
            </w:rPr>
            <w:t xml:space="preserve">   </w:t>
          </w:r>
          <w:r>
            <w:rPr>
              <w:rFonts w:hint="eastAsia" w:ascii="宋体" w:hAnsi="宋体" w:eastAsia="宋体" w:cs="宋体"/>
              <w:bCs/>
              <w:color w:val="auto"/>
              <w:spacing w:val="3"/>
              <w:szCs w:val="31"/>
              <w:highlight w:val="none"/>
            </w:rPr>
            <w:t>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5CD7D1F0">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_Toc3192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6"/>
              <w:szCs w:val="31"/>
              <w:highlight w:val="none"/>
            </w:rPr>
            <w:t>一、供应商须知前附表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1685F17B">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_Toc527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16"/>
              <w:szCs w:val="31"/>
              <w:highlight w:val="none"/>
              <w:lang w:val="en-US" w:eastAsia="zh-CN"/>
            </w:rPr>
            <w:t>二、</w:t>
          </w:r>
          <w:r>
            <w:rPr>
              <w:rFonts w:hint="eastAsia" w:ascii="宋体" w:hAnsi="宋体" w:eastAsia="宋体" w:cs="宋体"/>
              <w:bCs/>
              <w:color w:val="auto"/>
              <w:spacing w:val="-16"/>
              <w:szCs w:val="31"/>
              <w:highlight w:val="none"/>
            </w:rPr>
            <w:t>总</w:t>
          </w:r>
          <w:r>
            <w:rPr>
              <w:rFonts w:hint="eastAsia" w:ascii="宋体" w:hAnsi="宋体" w:eastAsia="宋体" w:cs="宋体"/>
              <w:color w:val="auto"/>
              <w:spacing w:val="15"/>
              <w:szCs w:val="31"/>
              <w:highlight w:val="none"/>
            </w:rPr>
            <w:t xml:space="preserve">  </w:t>
          </w:r>
          <w:r>
            <w:rPr>
              <w:rFonts w:hint="eastAsia" w:ascii="宋体" w:hAnsi="宋体" w:eastAsia="宋体" w:cs="宋体"/>
              <w:bCs/>
              <w:color w:val="auto"/>
              <w:spacing w:val="-16"/>
              <w:szCs w:val="31"/>
              <w:highlight w:val="none"/>
            </w:rPr>
            <w:t>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05B4E7A1">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_Toc3190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5"/>
              <w:szCs w:val="32"/>
              <w:highlight w:val="none"/>
            </w:rPr>
            <w:t>三、招标文件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733D1DE6">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_Toc28143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32"/>
              <w:highlight w:val="none"/>
              <w:lang w:val="en-US" w:eastAsia="zh-CN"/>
            </w:rPr>
            <w:t>四、响应文件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_Toc28143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30C3D6F4">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_Toc16615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32"/>
              <w:highlight w:val="none"/>
              <w:lang w:val="en-US" w:eastAsia="zh-CN"/>
            </w:rPr>
            <w:t>五、开标和中标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743B2473">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_Toc13706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32"/>
              <w:highlight w:val="none"/>
              <w:lang w:val="en-US" w:eastAsia="zh-CN"/>
            </w:rPr>
            <w:t>六、签订、履行合同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50164C0A">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_Toc21484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32"/>
              <w:highlight w:val="none"/>
              <w:lang w:val="en-US" w:eastAsia="zh-CN"/>
            </w:rPr>
            <w:t>七、投标纪律要求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19336042">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_Toc29973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32"/>
              <w:highlight w:val="none"/>
              <w:lang w:val="en-US" w:eastAsia="zh-CN"/>
            </w:rPr>
            <w:t>八、支付货款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_Toc29973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532354C8">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_Toc2331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32"/>
              <w:highlight w:val="none"/>
              <w:lang w:val="en-US" w:eastAsia="zh-CN"/>
            </w:rPr>
            <w:t>九、质疑和投诉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47D8B9B7">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_Toc24891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i w:val="0"/>
              <w:iCs w:val="0"/>
              <w:color w:val="auto"/>
              <w:szCs w:val="32"/>
              <w:highlight w:val="none"/>
              <w:lang w:val="en-US" w:eastAsia="zh-CN"/>
            </w:rPr>
            <w:t>十、需要补充的其他内容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_Toc24891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21E263E6">
          <w:pPr>
            <w:pStyle w:val="10"/>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_Toc27699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5"/>
              <w:szCs w:val="35"/>
              <w:highlight w:val="none"/>
            </w:rPr>
            <w:t>第三章</w:t>
          </w:r>
          <w:r>
            <w:rPr>
              <w:rFonts w:hint="eastAsia" w:ascii="宋体" w:hAnsi="宋体" w:eastAsia="宋体" w:cs="宋体"/>
              <w:color w:val="auto"/>
              <w:spacing w:val="5"/>
              <w:szCs w:val="35"/>
              <w:highlight w:val="none"/>
            </w:rPr>
            <w:t xml:space="preserve">  </w:t>
          </w:r>
          <w:r>
            <w:rPr>
              <w:rFonts w:hint="eastAsia" w:ascii="宋体" w:hAnsi="宋体" w:eastAsia="宋体" w:cs="宋体"/>
              <w:bCs/>
              <w:color w:val="auto"/>
              <w:spacing w:val="5"/>
              <w:szCs w:val="35"/>
              <w:highlight w:val="none"/>
            </w:rPr>
            <w:t>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_Toc27699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7AFB1760">
          <w:pPr>
            <w:pStyle w:val="10"/>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_Toc24952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10"/>
              <w:position w:val="1"/>
              <w:szCs w:val="31"/>
              <w:highlight w:val="none"/>
            </w:rPr>
            <w:t>第四章</w:t>
          </w:r>
          <w:r>
            <w:rPr>
              <w:rFonts w:hint="eastAsia" w:ascii="宋体" w:hAnsi="宋体" w:eastAsia="宋体" w:cs="宋体"/>
              <w:color w:val="auto"/>
              <w:spacing w:val="100"/>
              <w:position w:val="1"/>
              <w:szCs w:val="31"/>
              <w:highlight w:val="none"/>
            </w:rPr>
            <w:t xml:space="preserve"> </w:t>
          </w:r>
          <w:r>
            <w:rPr>
              <w:rFonts w:hint="eastAsia" w:ascii="宋体" w:hAnsi="宋体" w:eastAsia="宋体" w:cs="宋体"/>
              <w:bCs/>
              <w:color w:val="auto"/>
              <w:spacing w:val="10"/>
              <w:szCs w:val="35"/>
              <w:highlight w:val="none"/>
            </w:rPr>
            <w:t>评审办法及评分标准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41E42927">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_Toc3730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22"/>
              <w:szCs w:val="31"/>
              <w:highlight w:val="none"/>
              <w:lang w:val="en-US" w:eastAsia="zh-CN"/>
            </w:rPr>
            <w:t xml:space="preserve">第一节 </w:t>
          </w:r>
          <w:r>
            <w:rPr>
              <w:rFonts w:hint="eastAsia" w:ascii="宋体" w:hAnsi="宋体" w:eastAsia="宋体" w:cs="宋体"/>
              <w:bCs/>
              <w:color w:val="auto"/>
              <w:spacing w:val="22"/>
              <w:szCs w:val="31"/>
              <w:highlight w:val="none"/>
            </w:rPr>
            <w:t>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_Toc3730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47B7B659">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_Toc12858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8"/>
              <w:szCs w:val="32"/>
              <w:highlight w:val="none"/>
            </w:rPr>
            <w:t>第</w:t>
          </w:r>
          <w:r>
            <w:rPr>
              <w:rFonts w:hint="eastAsia" w:ascii="宋体" w:hAnsi="宋体" w:eastAsia="宋体" w:cs="宋体"/>
              <w:bCs/>
              <w:color w:val="auto"/>
              <w:spacing w:val="-8"/>
              <w:szCs w:val="32"/>
              <w:highlight w:val="none"/>
              <w:lang w:val="en-US" w:eastAsia="zh-CN"/>
            </w:rPr>
            <w:t>二</w:t>
          </w:r>
          <w:r>
            <w:rPr>
              <w:rFonts w:hint="eastAsia" w:ascii="宋体" w:hAnsi="宋体" w:eastAsia="宋体" w:cs="宋体"/>
              <w:bCs/>
              <w:color w:val="auto"/>
              <w:spacing w:val="-8"/>
              <w:szCs w:val="32"/>
              <w:highlight w:val="none"/>
            </w:rPr>
            <w:t>节</w:t>
          </w:r>
          <w:r>
            <w:rPr>
              <w:rFonts w:hint="eastAsia" w:ascii="宋体" w:hAnsi="宋体" w:eastAsia="宋体" w:cs="宋体"/>
              <w:bCs/>
              <w:color w:val="auto"/>
              <w:spacing w:val="-20"/>
              <w:szCs w:val="32"/>
              <w:highlight w:val="none"/>
            </w:rPr>
            <w:t xml:space="preserve"> </w:t>
          </w:r>
          <w:r>
            <w:rPr>
              <w:rFonts w:hint="eastAsia" w:ascii="宋体" w:hAnsi="宋体" w:eastAsia="宋体" w:cs="宋体"/>
              <w:bCs/>
              <w:color w:val="auto"/>
              <w:spacing w:val="-8"/>
              <w:szCs w:val="32"/>
              <w:highlight w:val="none"/>
            </w:rPr>
            <w:t>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_Toc12858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3428DD21">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_Toc4431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8"/>
              <w:szCs w:val="32"/>
              <w:highlight w:val="none"/>
            </w:rPr>
            <w:t>第</w:t>
          </w:r>
          <w:r>
            <w:rPr>
              <w:rFonts w:hint="eastAsia" w:ascii="宋体" w:hAnsi="宋体" w:eastAsia="宋体" w:cs="宋体"/>
              <w:bCs/>
              <w:color w:val="auto"/>
              <w:spacing w:val="-8"/>
              <w:szCs w:val="32"/>
              <w:highlight w:val="none"/>
              <w:lang w:val="en-US" w:eastAsia="zh-CN"/>
            </w:rPr>
            <w:t>三</w:t>
          </w:r>
          <w:r>
            <w:rPr>
              <w:rFonts w:hint="eastAsia" w:ascii="宋体" w:hAnsi="宋体" w:eastAsia="宋体" w:cs="宋体"/>
              <w:bCs/>
              <w:color w:val="auto"/>
              <w:spacing w:val="-8"/>
              <w:szCs w:val="32"/>
              <w:highlight w:val="none"/>
            </w:rPr>
            <w:t>节 中标候选人推荐原则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3D84937C">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_Toc26914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8"/>
              <w:szCs w:val="32"/>
              <w:highlight w:val="none"/>
            </w:rPr>
            <w:t>第</w:t>
          </w:r>
          <w:r>
            <w:rPr>
              <w:rFonts w:hint="eastAsia" w:ascii="宋体" w:hAnsi="宋体" w:eastAsia="宋体" w:cs="宋体"/>
              <w:bCs/>
              <w:color w:val="auto"/>
              <w:spacing w:val="-8"/>
              <w:szCs w:val="32"/>
              <w:highlight w:val="none"/>
              <w:lang w:val="en-US" w:eastAsia="zh-CN"/>
            </w:rPr>
            <w:t>四</w:t>
          </w:r>
          <w:r>
            <w:rPr>
              <w:rFonts w:hint="eastAsia" w:ascii="宋体" w:hAnsi="宋体" w:eastAsia="宋体" w:cs="宋体"/>
              <w:bCs/>
              <w:color w:val="auto"/>
              <w:spacing w:val="-8"/>
              <w:szCs w:val="32"/>
              <w:highlight w:val="none"/>
            </w:rPr>
            <w:t>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4E923485">
          <w:pPr>
            <w:pStyle w:val="10"/>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_Toc1934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5"/>
              <w:szCs w:val="35"/>
              <w:highlight w:val="none"/>
            </w:rPr>
            <w:t>第五章</w:t>
          </w:r>
          <w:r>
            <w:rPr>
              <w:rFonts w:hint="eastAsia" w:ascii="宋体" w:hAnsi="宋体" w:eastAsia="宋体" w:cs="宋体"/>
              <w:color w:val="auto"/>
              <w:spacing w:val="5"/>
              <w:szCs w:val="35"/>
              <w:highlight w:val="none"/>
            </w:rPr>
            <w:t xml:space="preserve"> </w:t>
          </w:r>
          <w:r>
            <w:rPr>
              <w:rFonts w:hint="eastAsia" w:ascii="宋体" w:hAnsi="宋体" w:eastAsia="宋体" w:cs="宋体"/>
              <w:bCs/>
              <w:color w:val="auto"/>
              <w:spacing w:val="5"/>
              <w:szCs w:val="35"/>
              <w:highlight w:val="none"/>
            </w:rPr>
            <w:t>合同主要条款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6E625231">
          <w:pPr>
            <w:pStyle w:val="10"/>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_Toc29309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2"/>
              <w:szCs w:val="35"/>
              <w:highlight w:val="none"/>
            </w:rPr>
            <w:t>第六章</w:t>
          </w:r>
          <w:r>
            <w:rPr>
              <w:rFonts w:hint="eastAsia" w:ascii="宋体" w:hAnsi="宋体" w:eastAsia="宋体" w:cs="宋体"/>
              <w:color w:val="auto"/>
              <w:spacing w:val="73"/>
              <w:szCs w:val="35"/>
              <w:highlight w:val="none"/>
            </w:rPr>
            <w:t xml:space="preserve">  </w:t>
          </w:r>
          <w:r>
            <w:rPr>
              <w:rFonts w:hint="eastAsia" w:ascii="宋体" w:hAnsi="宋体" w:eastAsia="宋体" w:cs="宋体"/>
              <w:bCs/>
              <w:color w:val="auto"/>
              <w:spacing w:val="2"/>
              <w:szCs w:val="35"/>
              <w:highlight w:val="none"/>
            </w:rPr>
            <w:t>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27E9A939">
          <w:pPr>
            <w:pStyle w:val="12"/>
            <w:tabs>
              <w:tab w:val="right" w:leader="dot" w:pos="9746"/>
            </w:tabs>
            <w:rPr>
              <w:rFonts w:hint="eastAsia" w:ascii="宋体" w:hAnsi="宋体" w:eastAsia="宋体" w:cs="宋体"/>
              <w:color w:val="auto"/>
              <w:highlight w:val="none"/>
            </w:rPr>
          </w:pPr>
          <w:r>
            <w:rPr>
              <w:rFonts w:hint="eastAsia" w:ascii="宋体" w:hAnsi="宋体" w:eastAsia="宋体" w:cs="宋体"/>
              <w:bCs/>
              <w:snapToGrid w:val="0"/>
              <w:color w:val="auto"/>
              <w:spacing w:val="5"/>
              <w:kern w:val="0"/>
              <w:szCs w:val="35"/>
              <w:highlight w:val="none"/>
              <w:lang w:val="en-US" w:eastAsia="en-US" w:bidi="ar-SA"/>
            </w:rPr>
            <w:fldChar w:fldCharType="begin"/>
          </w:r>
          <w:r>
            <w:rPr>
              <w:rFonts w:hint="eastAsia" w:ascii="宋体" w:hAnsi="宋体" w:eastAsia="宋体" w:cs="宋体"/>
              <w:bCs/>
              <w:snapToGrid w:val="0"/>
              <w:color w:val="auto"/>
              <w:spacing w:val="5"/>
              <w:kern w:val="0"/>
              <w:szCs w:val="35"/>
              <w:highlight w:val="none"/>
              <w:lang w:val="en-US" w:eastAsia="en-US" w:bidi="ar-SA"/>
            </w:rPr>
            <w:instrText xml:space="preserve"> HYPERLINK \l _Toc32073 </w:instrText>
          </w:r>
          <w:r>
            <w:rPr>
              <w:rFonts w:hint="eastAsia" w:ascii="宋体" w:hAnsi="宋体" w:eastAsia="宋体" w:cs="宋体"/>
              <w:bCs/>
              <w:snapToGrid w:val="0"/>
              <w:color w:val="auto"/>
              <w:spacing w:val="5"/>
              <w:kern w:val="0"/>
              <w:szCs w:val="35"/>
              <w:highlight w:val="none"/>
              <w:lang w:val="en-US" w:eastAsia="en-US" w:bidi="ar-SA"/>
            </w:rPr>
            <w:fldChar w:fldCharType="separate"/>
          </w:r>
          <w:r>
            <w:rPr>
              <w:rFonts w:hint="eastAsia" w:ascii="宋体" w:hAnsi="宋体" w:eastAsia="宋体" w:cs="宋体"/>
              <w:bCs/>
              <w:color w:val="auto"/>
              <w:spacing w:val="-3"/>
              <w:szCs w:val="28"/>
              <w:highlight w:val="none"/>
            </w:rPr>
            <w:t>第五节</w:t>
          </w:r>
          <w:r>
            <w:rPr>
              <w:rFonts w:hint="eastAsia" w:ascii="宋体" w:hAnsi="宋体" w:eastAsia="宋体" w:cs="宋体"/>
              <w:color w:val="auto"/>
              <w:spacing w:val="-3"/>
              <w:szCs w:val="28"/>
              <w:highlight w:val="none"/>
            </w:rPr>
            <w:t xml:space="preserve"> </w:t>
          </w:r>
          <w:r>
            <w:rPr>
              <w:rFonts w:hint="eastAsia" w:ascii="宋体" w:hAnsi="宋体" w:eastAsia="宋体" w:cs="宋体"/>
              <w:bCs/>
              <w:color w:val="auto"/>
              <w:spacing w:val="-3"/>
              <w:szCs w:val="28"/>
              <w:highlight w:val="none"/>
            </w:rPr>
            <w:t>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95</w:t>
          </w:r>
          <w:r>
            <w:rPr>
              <w:rFonts w:hint="eastAsia" w:ascii="宋体" w:hAnsi="宋体" w:eastAsia="宋体" w:cs="宋体"/>
              <w:color w:val="auto"/>
              <w:highlight w:val="none"/>
            </w:rPr>
            <w:fldChar w:fldCharType="end"/>
          </w:r>
          <w:r>
            <w:rPr>
              <w:rFonts w:hint="eastAsia" w:ascii="宋体" w:hAnsi="宋体" w:eastAsia="宋体" w:cs="宋体"/>
              <w:bCs/>
              <w:snapToGrid w:val="0"/>
              <w:color w:val="auto"/>
              <w:spacing w:val="5"/>
              <w:kern w:val="0"/>
              <w:szCs w:val="35"/>
              <w:highlight w:val="none"/>
              <w:lang w:val="en-US" w:eastAsia="en-US" w:bidi="ar-SA"/>
            </w:rPr>
            <w:fldChar w:fldCharType="end"/>
          </w:r>
        </w:p>
        <w:p w14:paraId="33B13FCC">
          <w:pPr>
            <w:keepNext w:val="0"/>
            <w:keepLines w:val="0"/>
            <w:pageBreakBefore w:val="0"/>
            <w:widowControl/>
            <w:kinsoku w:val="0"/>
            <w:wordWrap/>
            <w:overflowPunct/>
            <w:topLinePunct w:val="0"/>
            <w:autoSpaceDE w:val="0"/>
            <w:autoSpaceDN w:val="0"/>
            <w:bidi w:val="0"/>
            <w:adjustRightInd w:val="0"/>
            <w:snapToGrid w:val="0"/>
            <w:spacing w:before="113" w:line="252" w:lineRule="auto"/>
            <w:ind w:left="3505"/>
            <w:textAlignment w:val="baseline"/>
            <w:outlineLvl w:val="0"/>
            <w:rPr>
              <w:rFonts w:hint="eastAsia" w:ascii="宋体" w:hAnsi="宋体" w:eastAsia="宋体" w:cs="宋体"/>
              <w:bCs/>
              <w:snapToGrid w:val="0"/>
              <w:color w:val="auto"/>
              <w:spacing w:val="5"/>
              <w:kern w:val="0"/>
              <w:sz w:val="21"/>
              <w:szCs w:val="35"/>
              <w:highlight w:val="none"/>
              <w:lang w:val="en-US" w:eastAsia="en-US" w:bidi="ar-SA"/>
            </w:rPr>
          </w:pPr>
          <w:r>
            <w:rPr>
              <w:rFonts w:hint="eastAsia" w:ascii="宋体" w:hAnsi="宋体" w:eastAsia="宋体" w:cs="宋体"/>
              <w:bCs/>
              <w:snapToGrid w:val="0"/>
              <w:color w:val="auto"/>
              <w:spacing w:val="5"/>
              <w:kern w:val="0"/>
              <w:szCs w:val="35"/>
              <w:highlight w:val="none"/>
              <w:lang w:val="en-US" w:eastAsia="en-US" w:bidi="ar-SA"/>
            </w:rPr>
            <w:fldChar w:fldCharType="end"/>
          </w:r>
        </w:p>
      </w:sdtContent>
    </w:sdt>
    <w:p w14:paraId="4450436E">
      <w:pPr>
        <w:rPr>
          <w:rFonts w:hint="eastAsia" w:ascii="宋体" w:hAnsi="宋体" w:eastAsia="宋体" w:cs="宋体"/>
          <w:b/>
          <w:bCs/>
          <w:color w:val="auto"/>
          <w:spacing w:val="5"/>
          <w:sz w:val="35"/>
          <w:szCs w:val="35"/>
          <w:highlight w:val="none"/>
        </w:rPr>
      </w:pPr>
      <w:bookmarkStart w:id="2" w:name="_Toc16517"/>
      <w:bookmarkStart w:id="3" w:name="_Toc3168"/>
      <w:r>
        <w:rPr>
          <w:rFonts w:hint="eastAsia" w:ascii="宋体" w:hAnsi="宋体" w:eastAsia="宋体" w:cs="宋体"/>
          <w:b/>
          <w:bCs/>
          <w:color w:val="auto"/>
          <w:spacing w:val="5"/>
          <w:sz w:val="35"/>
          <w:szCs w:val="35"/>
          <w:highlight w:val="none"/>
        </w:rPr>
        <w:br w:type="page"/>
      </w:r>
    </w:p>
    <w:p w14:paraId="31E44899">
      <w:pPr>
        <w:rPr>
          <w:rFonts w:hint="eastAsia" w:ascii="宋体" w:hAnsi="宋体" w:eastAsia="宋体" w:cs="宋体"/>
          <w:b/>
          <w:bCs/>
          <w:color w:val="auto"/>
          <w:spacing w:val="5"/>
          <w:sz w:val="35"/>
          <w:szCs w:val="35"/>
          <w:highlight w:val="none"/>
        </w:rPr>
      </w:pPr>
      <w:r>
        <w:rPr>
          <w:rFonts w:hint="eastAsia" w:ascii="宋体" w:hAnsi="宋体" w:eastAsia="宋体" w:cs="宋体"/>
          <w:b/>
          <w:bCs/>
          <w:color w:val="auto"/>
          <w:spacing w:val="5"/>
          <w:sz w:val="35"/>
          <w:szCs w:val="35"/>
          <w:highlight w:val="none"/>
        </w:rPr>
        <w:br w:type="page"/>
      </w:r>
    </w:p>
    <w:p w14:paraId="7584250F">
      <w:pPr>
        <w:keepNext w:val="0"/>
        <w:keepLines w:val="0"/>
        <w:pageBreakBefore w:val="0"/>
        <w:widowControl/>
        <w:kinsoku w:val="0"/>
        <w:wordWrap/>
        <w:overflowPunct/>
        <w:topLinePunct w:val="0"/>
        <w:autoSpaceDE w:val="0"/>
        <w:autoSpaceDN w:val="0"/>
        <w:bidi w:val="0"/>
        <w:adjustRightInd w:val="0"/>
        <w:snapToGrid w:val="0"/>
        <w:spacing w:before="113" w:line="240" w:lineRule="auto"/>
        <w:ind w:left="3505"/>
        <w:textAlignment w:val="baseline"/>
        <w:outlineLvl w:val="0"/>
        <w:rPr>
          <w:rFonts w:hint="eastAsia" w:ascii="宋体" w:hAnsi="宋体" w:eastAsia="宋体" w:cs="宋体"/>
          <w:b/>
          <w:bCs/>
          <w:color w:val="auto"/>
          <w:spacing w:val="5"/>
          <w:sz w:val="35"/>
          <w:szCs w:val="35"/>
          <w:highlight w:val="none"/>
        </w:rPr>
        <w:sectPr>
          <w:headerReference r:id="rId5" w:type="default"/>
          <w:pgSz w:w="11906" w:h="16840"/>
          <w:pgMar w:top="1440" w:right="1080" w:bottom="1440" w:left="1080" w:header="0" w:footer="0" w:gutter="0"/>
          <w:pgNumType w:fmt="decimal" w:start="1"/>
          <w:cols w:space="720" w:num="1"/>
        </w:sectPr>
      </w:pPr>
    </w:p>
    <w:p w14:paraId="36E7634E">
      <w:pPr>
        <w:keepNext w:val="0"/>
        <w:keepLines w:val="0"/>
        <w:pageBreakBefore w:val="0"/>
        <w:widowControl/>
        <w:kinsoku w:val="0"/>
        <w:wordWrap/>
        <w:overflowPunct/>
        <w:topLinePunct w:val="0"/>
        <w:autoSpaceDE w:val="0"/>
        <w:autoSpaceDN w:val="0"/>
        <w:bidi w:val="0"/>
        <w:adjustRightInd w:val="0"/>
        <w:snapToGrid w:val="0"/>
        <w:spacing w:before="113" w:line="240" w:lineRule="auto"/>
        <w:ind w:left="3505"/>
        <w:textAlignment w:val="baseline"/>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第一章</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招标公告</w:t>
      </w:r>
      <w:bookmarkEnd w:id="2"/>
      <w:bookmarkEnd w:id="3"/>
    </w:p>
    <w:p w14:paraId="7F5FAA9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项目概况</w:t>
      </w:r>
    </w:p>
    <w:p w14:paraId="75A2A36F">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温泉县安格里格镇牛羊屠宰场建设项目（二期）的潜在供应商应在政采云平台https://www.zcygov.cn/获取采购文件，并于</w:t>
      </w:r>
      <w:r>
        <w:rPr>
          <w:rFonts w:hint="eastAsia" w:ascii="宋体" w:hAnsi="宋体" w:eastAsia="宋体" w:cs="宋体"/>
          <w:i w:val="0"/>
          <w:iCs w:val="0"/>
          <w:color w:val="0000FF"/>
          <w:sz w:val="24"/>
          <w:szCs w:val="24"/>
          <w:highlight w:val="none"/>
          <w:u w:val="none"/>
          <w:lang w:val="en-US" w:eastAsia="zh-CN"/>
        </w:rPr>
        <w:t>2026年6月9日16:30</w:t>
      </w:r>
      <w:r>
        <w:rPr>
          <w:rFonts w:hint="eastAsia" w:ascii="宋体" w:hAnsi="宋体" w:eastAsia="宋体" w:cs="宋体"/>
          <w:i w:val="0"/>
          <w:iCs w:val="0"/>
          <w:color w:val="auto"/>
          <w:sz w:val="24"/>
          <w:szCs w:val="24"/>
          <w:highlight w:val="none"/>
          <w:u w:val="none"/>
          <w:lang w:val="en-US" w:eastAsia="zh-CN"/>
        </w:rPr>
        <w:t>（北京时间）前提交响应文件。</w:t>
      </w:r>
    </w:p>
    <w:p w14:paraId="6020D5D3">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b/>
          <w:bCs/>
          <w:i w:val="0"/>
          <w:iCs w:val="0"/>
          <w:color w:val="auto"/>
          <w:sz w:val="24"/>
          <w:szCs w:val="24"/>
          <w:highlight w:val="none"/>
          <w:u w:val="none"/>
          <w:lang w:val="en-US" w:eastAsia="zh-CN"/>
        </w:rPr>
      </w:pPr>
      <w:bookmarkStart w:id="4" w:name="bookmark2"/>
      <w:bookmarkEnd w:id="4"/>
      <w:bookmarkStart w:id="5" w:name="_Toc25093"/>
      <w:r>
        <w:rPr>
          <w:rFonts w:hint="eastAsia" w:ascii="宋体" w:hAnsi="宋体" w:eastAsia="宋体" w:cs="宋体"/>
          <w:b/>
          <w:bCs/>
          <w:i w:val="0"/>
          <w:iCs w:val="0"/>
          <w:color w:val="auto"/>
          <w:sz w:val="24"/>
          <w:szCs w:val="24"/>
          <w:highlight w:val="none"/>
          <w:u w:val="none"/>
          <w:lang w:val="en-US" w:eastAsia="zh-CN"/>
        </w:rPr>
        <w:t>一、项目基本情况</w:t>
      </w:r>
      <w:bookmarkEnd w:id="5"/>
    </w:p>
    <w:p w14:paraId="024CB40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项目编号：XHYJGK2026-017</w:t>
      </w:r>
    </w:p>
    <w:p w14:paraId="5DA65544">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项目名称：温泉县安格里格镇牛羊屠宰场建设项目（二期）</w:t>
      </w:r>
    </w:p>
    <w:p w14:paraId="5AB7403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采购方式：公开招标</w:t>
      </w:r>
    </w:p>
    <w:p w14:paraId="0BC09E3E">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预算金额（元）：7830000.00</w:t>
      </w:r>
    </w:p>
    <w:p w14:paraId="509144F2">
      <w:pPr>
        <w:keepNext w:val="0"/>
        <w:keepLines w:val="0"/>
        <w:pageBreakBefore w:val="0"/>
        <w:widowControl/>
        <w:shd w:val="clear"/>
        <w:kinsoku w:val="0"/>
        <w:wordWrap/>
        <w:overflowPunct/>
        <w:topLinePunct w:val="0"/>
        <w:autoSpaceDE w:val="0"/>
        <w:autoSpaceDN w:val="0"/>
        <w:bidi w:val="0"/>
        <w:adjustRightInd w:val="0"/>
        <w:snapToGrid w:val="0"/>
        <w:spacing w:line="252" w:lineRule="auto"/>
        <w:ind w:firstLine="480" w:firstLineChars="200"/>
        <w:textAlignment w:val="baseline"/>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最高限价（元）：</w:t>
      </w:r>
      <w:bookmarkStart w:id="6" w:name="OLE_LINK1"/>
      <w:r>
        <w:rPr>
          <w:rFonts w:hint="eastAsia" w:ascii="宋体" w:hAnsi="宋体" w:eastAsia="宋体" w:cs="宋体"/>
          <w:i w:val="0"/>
          <w:iCs w:val="0"/>
          <w:color w:val="0000FF"/>
          <w:sz w:val="24"/>
          <w:szCs w:val="24"/>
          <w:highlight w:val="none"/>
          <w:u w:val="none"/>
          <w:lang w:val="en-US" w:eastAsia="zh-CN"/>
        </w:rPr>
        <w:t>7830000.00</w:t>
      </w:r>
    </w:p>
    <w:bookmarkEnd w:id="6"/>
    <w:p w14:paraId="7069E2A3">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采购需求：</w:t>
      </w:r>
      <w:r>
        <w:rPr>
          <w:rFonts w:hint="eastAsia" w:ascii="宋体" w:hAnsi="宋体" w:eastAsia="宋体" w:cs="宋体"/>
          <w:i w:val="0"/>
          <w:iCs w:val="0"/>
          <w:color w:val="0000FF"/>
          <w:sz w:val="24"/>
          <w:szCs w:val="24"/>
          <w:highlight w:val="none"/>
          <w:u w:val="none"/>
          <w:lang w:val="en-US" w:eastAsia="zh-CN"/>
        </w:rPr>
        <w:t>牛羊屠宰场相关设备，具体详见第三章采购需求</w:t>
      </w:r>
      <w:r>
        <w:rPr>
          <w:rFonts w:hint="eastAsia" w:ascii="宋体" w:hAnsi="宋体" w:eastAsia="宋体" w:cs="宋体"/>
          <w:i w:val="0"/>
          <w:iCs w:val="0"/>
          <w:color w:val="auto"/>
          <w:sz w:val="24"/>
          <w:szCs w:val="24"/>
          <w:highlight w:val="none"/>
          <w:u w:val="none"/>
          <w:lang w:val="en-US" w:eastAsia="zh-CN"/>
        </w:rPr>
        <w:t>。</w:t>
      </w:r>
    </w:p>
    <w:p w14:paraId="232CF663">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标项名称：/</w:t>
      </w:r>
    </w:p>
    <w:p w14:paraId="77D939D8">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数量：/</w:t>
      </w:r>
    </w:p>
    <w:p w14:paraId="24870901">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预算金额（元）：7830000.00</w:t>
      </w:r>
    </w:p>
    <w:p w14:paraId="529E4CDF">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单位： 批</w:t>
      </w:r>
    </w:p>
    <w:p w14:paraId="527225C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简要规格描述：</w:t>
      </w:r>
      <w:r>
        <w:rPr>
          <w:rFonts w:hint="eastAsia" w:ascii="宋体" w:hAnsi="宋体" w:eastAsia="宋体" w:cs="宋体"/>
          <w:i w:val="0"/>
          <w:iCs w:val="0"/>
          <w:color w:val="0000FF"/>
          <w:sz w:val="24"/>
          <w:szCs w:val="24"/>
          <w:highlight w:val="none"/>
          <w:u w:val="none"/>
          <w:lang w:val="en-US" w:eastAsia="zh-CN"/>
        </w:rPr>
        <w:t>牛羊屠宰场相关设备，具体详见第三章采购需求</w:t>
      </w:r>
      <w:r>
        <w:rPr>
          <w:rFonts w:hint="eastAsia" w:ascii="宋体" w:hAnsi="宋体" w:eastAsia="宋体" w:cs="宋体"/>
          <w:i w:val="0"/>
          <w:iCs w:val="0"/>
          <w:color w:val="auto"/>
          <w:sz w:val="24"/>
          <w:szCs w:val="24"/>
          <w:highlight w:val="none"/>
          <w:u w:val="none"/>
          <w:lang w:val="en-US" w:eastAsia="zh-CN"/>
        </w:rPr>
        <w:t>。</w:t>
      </w:r>
    </w:p>
    <w:p w14:paraId="62C2181C">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0000FF"/>
          <w:sz w:val="24"/>
          <w:szCs w:val="24"/>
          <w:highlight w:val="none"/>
          <w:u w:val="none"/>
          <w:lang w:val="en-US" w:eastAsia="zh-CN"/>
        </w:rPr>
        <w:t>合同履约期限：自签订合同之日起45日内完成。</w:t>
      </w:r>
    </w:p>
    <w:p w14:paraId="26D165E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本项目不接受联合体投标。</w:t>
      </w:r>
    </w:p>
    <w:p w14:paraId="4E595378">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b/>
          <w:bCs/>
          <w:i w:val="0"/>
          <w:iCs w:val="0"/>
          <w:color w:val="auto"/>
          <w:sz w:val="24"/>
          <w:szCs w:val="24"/>
          <w:highlight w:val="none"/>
          <w:u w:val="none"/>
          <w:lang w:val="en-US" w:eastAsia="zh-CN"/>
        </w:rPr>
      </w:pPr>
      <w:bookmarkStart w:id="7" w:name="bookmark4"/>
      <w:bookmarkEnd w:id="7"/>
      <w:bookmarkStart w:id="8" w:name="_Toc24165"/>
      <w:r>
        <w:rPr>
          <w:rFonts w:hint="eastAsia" w:ascii="宋体" w:hAnsi="宋体" w:eastAsia="宋体" w:cs="宋体"/>
          <w:b/>
          <w:bCs/>
          <w:i w:val="0"/>
          <w:iCs w:val="0"/>
          <w:color w:val="auto"/>
          <w:sz w:val="24"/>
          <w:szCs w:val="24"/>
          <w:highlight w:val="none"/>
          <w:u w:val="none"/>
          <w:lang w:val="en-US" w:eastAsia="zh-CN"/>
        </w:rPr>
        <w:t>二、申请人的资格要求：</w:t>
      </w:r>
      <w:bookmarkEnd w:id="8"/>
    </w:p>
    <w:p w14:paraId="520A981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25B667F8">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落实政府采购政策需满足的资格要求：本项目供应商应为中小企业或大型企业以合同分包形式参与采购活动，获得采购合同的供应商将采购项目中的40%分包给一家或多家中小企业，其中小微企业承担部分达到70%。</w:t>
      </w:r>
    </w:p>
    <w:p w14:paraId="06E3311E">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p>
    <w:p w14:paraId="7B2E3EE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i w:val="0"/>
          <w:iCs w:val="0"/>
          <w:color w:val="auto"/>
          <w:sz w:val="24"/>
          <w:szCs w:val="24"/>
          <w:highlight w:val="none"/>
          <w:u w:val="none"/>
          <w:lang w:val="en-US" w:eastAsia="zh-CN"/>
        </w:rPr>
      </w:pPr>
      <w:bookmarkStart w:id="9" w:name="bookmark6"/>
      <w:bookmarkEnd w:id="9"/>
      <w:bookmarkStart w:id="10" w:name="_Toc28678"/>
      <w:r>
        <w:rPr>
          <w:rFonts w:hint="eastAsia" w:ascii="宋体" w:hAnsi="宋体" w:eastAsia="宋体" w:cs="宋体"/>
          <w:b/>
          <w:bCs/>
          <w:i w:val="0"/>
          <w:iCs w:val="0"/>
          <w:color w:val="auto"/>
          <w:sz w:val="24"/>
          <w:szCs w:val="24"/>
          <w:highlight w:val="none"/>
          <w:u w:val="none"/>
          <w:lang w:val="en-US" w:eastAsia="zh-CN"/>
        </w:rPr>
        <w:t>三、获取采购文件</w:t>
      </w:r>
      <w:bookmarkEnd w:id="10"/>
    </w:p>
    <w:p w14:paraId="0289140F">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时间：</w:t>
      </w:r>
      <w:r>
        <w:rPr>
          <w:rFonts w:hint="eastAsia" w:ascii="宋体" w:hAnsi="宋体" w:eastAsia="宋体" w:cs="宋体"/>
          <w:i w:val="0"/>
          <w:iCs w:val="0"/>
          <w:color w:val="0000FF"/>
          <w:sz w:val="24"/>
          <w:szCs w:val="24"/>
          <w:highlight w:val="none"/>
          <w:u w:val="none"/>
          <w:lang w:val="en-US" w:eastAsia="zh-CN"/>
        </w:rPr>
        <w:t>2026年5月20日至2026年6月1日</w:t>
      </w:r>
      <w:r>
        <w:rPr>
          <w:rFonts w:hint="eastAsia" w:ascii="宋体" w:hAnsi="宋体" w:eastAsia="宋体" w:cs="宋体"/>
          <w:i w:val="0"/>
          <w:iCs w:val="0"/>
          <w:color w:val="auto"/>
          <w:sz w:val="24"/>
          <w:szCs w:val="24"/>
          <w:highlight w:val="none"/>
          <w:u w:val="none"/>
          <w:lang w:val="en-US" w:eastAsia="zh-CN"/>
        </w:rPr>
        <w:t>，每天上午00:00至12:00，下午12:00至23:59（北京时间，法定节假日除外）</w:t>
      </w:r>
    </w:p>
    <w:p w14:paraId="02A56F8E">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地点：政采云平台（http://www.ccgp-xinjiang.gov.cn/）线上获取</w:t>
      </w:r>
    </w:p>
    <w:p w14:paraId="24DCA01B">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录，直接获取采购文件。</w:t>
      </w:r>
    </w:p>
    <w:p w14:paraId="34E3D48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售价（元）：0</w:t>
      </w:r>
    </w:p>
    <w:p w14:paraId="6FE3331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i w:val="0"/>
          <w:iCs w:val="0"/>
          <w:color w:val="auto"/>
          <w:sz w:val="24"/>
          <w:szCs w:val="24"/>
          <w:highlight w:val="none"/>
          <w:u w:val="none"/>
          <w:lang w:val="en-US" w:eastAsia="zh-CN"/>
        </w:rPr>
      </w:pPr>
      <w:bookmarkStart w:id="11" w:name="bookmark8"/>
      <w:bookmarkEnd w:id="11"/>
      <w:bookmarkStart w:id="12" w:name="_Toc27347"/>
      <w:r>
        <w:rPr>
          <w:rFonts w:hint="eastAsia" w:ascii="宋体" w:hAnsi="宋体" w:eastAsia="宋体" w:cs="宋体"/>
          <w:b/>
          <w:bCs/>
          <w:i w:val="0"/>
          <w:iCs w:val="0"/>
          <w:color w:val="auto"/>
          <w:sz w:val="24"/>
          <w:szCs w:val="24"/>
          <w:highlight w:val="none"/>
          <w:u w:val="none"/>
          <w:lang w:val="en-US" w:eastAsia="zh-CN"/>
        </w:rPr>
        <w:t>四、响应文件提交</w:t>
      </w:r>
      <w:bookmarkEnd w:id="12"/>
    </w:p>
    <w:p w14:paraId="2582CB77">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截止时间：</w:t>
      </w:r>
      <w:r>
        <w:rPr>
          <w:rFonts w:hint="eastAsia" w:ascii="宋体" w:hAnsi="宋体" w:eastAsia="宋体" w:cs="宋体"/>
          <w:i w:val="0"/>
          <w:iCs w:val="0"/>
          <w:color w:val="0000FF"/>
          <w:sz w:val="24"/>
          <w:szCs w:val="24"/>
          <w:highlight w:val="none"/>
          <w:u w:val="none"/>
          <w:lang w:val="en-US" w:eastAsia="zh-CN"/>
        </w:rPr>
        <w:t>2026年6月9日16:30</w:t>
      </w:r>
      <w:r>
        <w:rPr>
          <w:rFonts w:hint="eastAsia" w:ascii="宋体" w:hAnsi="宋体" w:eastAsia="宋体" w:cs="宋体"/>
          <w:i w:val="0"/>
          <w:iCs w:val="0"/>
          <w:color w:val="auto"/>
          <w:sz w:val="24"/>
          <w:szCs w:val="24"/>
          <w:highlight w:val="none"/>
          <w:u w:val="none"/>
          <w:lang w:val="en-US" w:eastAsia="zh-CN"/>
        </w:rPr>
        <w:t>（北京时间）</w:t>
      </w:r>
    </w:p>
    <w:p w14:paraId="7603023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    点：请使用CA数字证书登录政采云平台（http://www.ccgp-xinjiang.gov.cn/)上传加密版投标文件</w:t>
      </w:r>
    </w:p>
    <w:p w14:paraId="7FC9EDE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i w:val="0"/>
          <w:iCs w:val="0"/>
          <w:color w:val="auto"/>
          <w:sz w:val="24"/>
          <w:szCs w:val="24"/>
          <w:highlight w:val="none"/>
          <w:u w:val="none"/>
          <w:lang w:val="en-US" w:eastAsia="zh-CN"/>
        </w:rPr>
      </w:pPr>
      <w:bookmarkStart w:id="13" w:name="bookmark10"/>
      <w:bookmarkEnd w:id="13"/>
      <w:bookmarkStart w:id="14" w:name="_Toc24462"/>
      <w:r>
        <w:rPr>
          <w:rFonts w:hint="eastAsia" w:ascii="宋体" w:hAnsi="宋体" w:eastAsia="宋体" w:cs="宋体"/>
          <w:b/>
          <w:bCs/>
          <w:i w:val="0"/>
          <w:iCs w:val="0"/>
          <w:color w:val="auto"/>
          <w:sz w:val="24"/>
          <w:szCs w:val="24"/>
          <w:highlight w:val="none"/>
          <w:u w:val="none"/>
          <w:lang w:val="en-US" w:eastAsia="zh-CN"/>
        </w:rPr>
        <w:t>五、响应文件开启</w:t>
      </w:r>
      <w:bookmarkEnd w:id="14"/>
    </w:p>
    <w:p w14:paraId="6B5D0677">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开启时间：</w:t>
      </w:r>
      <w:r>
        <w:rPr>
          <w:rFonts w:hint="eastAsia" w:ascii="宋体" w:hAnsi="宋体" w:eastAsia="宋体" w:cs="宋体"/>
          <w:i w:val="0"/>
          <w:iCs w:val="0"/>
          <w:color w:val="0000FF"/>
          <w:sz w:val="24"/>
          <w:szCs w:val="24"/>
          <w:highlight w:val="none"/>
          <w:u w:val="none"/>
          <w:lang w:val="en-US" w:eastAsia="zh-CN"/>
        </w:rPr>
        <w:t>2026年6月9日16:30</w:t>
      </w:r>
      <w:r>
        <w:rPr>
          <w:rFonts w:hint="eastAsia" w:ascii="宋体" w:hAnsi="宋体" w:eastAsia="宋体" w:cs="宋体"/>
          <w:i w:val="0"/>
          <w:iCs w:val="0"/>
          <w:color w:val="auto"/>
          <w:sz w:val="24"/>
          <w:szCs w:val="24"/>
          <w:highlight w:val="none"/>
          <w:u w:val="none"/>
          <w:lang w:val="en-US" w:eastAsia="zh-CN"/>
        </w:rPr>
        <w:t>（北京时间）</w:t>
      </w:r>
    </w:p>
    <w:p w14:paraId="0AD25983">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    点：政采云平台https://www.zcygov.cn/</w:t>
      </w:r>
    </w:p>
    <w:p w14:paraId="2DA081B4">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b/>
          <w:bCs/>
          <w:i w:val="0"/>
          <w:iCs w:val="0"/>
          <w:color w:val="auto"/>
          <w:sz w:val="24"/>
          <w:szCs w:val="24"/>
          <w:highlight w:val="none"/>
          <w:u w:val="none"/>
          <w:lang w:val="en-US" w:eastAsia="zh-CN"/>
        </w:rPr>
      </w:pPr>
      <w:bookmarkStart w:id="15" w:name="bookmark12"/>
      <w:bookmarkEnd w:id="15"/>
      <w:bookmarkStart w:id="16" w:name="_Toc13672"/>
      <w:r>
        <w:rPr>
          <w:rFonts w:hint="eastAsia" w:ascii="宋体" w:hAnsi="宋体" w:eastAsia="宋体" w:cs="宋体"/>
          <w:b/>
          <w:bCs/>
          <w:i w:val="0"/>
          <w:iCs w:val="0"/>
          <w:color w:val="auto"/>
          <w:sz w:val="24"/>
          <w:szCs w:val="24"/>
          <w:highlight w:val="none"/>
          <w:u w:val="none"/>
          <w:lang w:val="en-US" w:eastAsia="zh-CN"/>
        </w:rPr>
        <w:t>六、公告期限</w:t>
      </w:r>
      <w:bookmarkEnd w:id="16"/>
    </w:p>
    <w:p w14:paraId="26224558">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自本公告发布之日起 5 个工作日。</w:t>
      </w:r>
    </w:p>
    <w:p w14:paraId="77002276">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i w:val="0"/>
          <w:iCs w:val="0"/>
          <w:color w:val="auto"/>
          <w:sz w:val="24"/>
          <w:szCs w:val="24"/>
          <w:highlight w:val="none"/>
          <w:u w:val="none"/>
          <w:lang w:val="en-US" w:eastAsia="zh-CN"/>
        </w:rPr>
      </w:pPr>
      <w:bookmarkStart w:id="17" w:name="bookmark14"/>
      <w:bookmarkEnd w:id="17"/>
      <w:bookmarkStart w:id="18" w:name="_Toc11627"/>
      <w:r>
        <w:rPr>
          <w:rFonts w:hint="eastAsia" w:ascii="宋体" w:hAnsi="宋体" w:eastAsia="宋体" w:cs="宋体"/>
          <w:b/>
          <w:bCs/>
          <w:i w:val="0"/>
          <w:iCs w:val="0"/>
          <w:color w:val="auto"/>
          <w:sz w:val="24"/>
          <w:szCs w:val="24"/>
          <w:highlight w:val="none"/>
          <w:u w:val="none"/>
          <w:lang w:val="en-US" w:eastAsia="zh-CN"/>
        </w:rPr>
        <w:t>七、其他补充事宜</w:t>
      </w:r>
      <w:bookmarkEnd w:id="18"/>
    </w:p>
    <w:p w14:paraId="12439124">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1、本项目实行电子招投标，电子交易平台为“政府采购云平台（www.zcygov.cn）”，各供应商应在开标前确保是新疆维吾尔自治区政府采购网正式注册入库的供应商，并完成CA数字证书申领。因未注册入库、未办理 CA 数字证书等原因造成无法投标或投标失败等后果的由供应商自行承担。CA数字证书办理详见办事指南</w:t>
      </w:r>
      <w:r>
        <w:rPr>
          <w:rFonts w:hint="eastAsia" w:ascii="宋体" w:hAnsi="宋体" w:eastAsia="宋体" w:cs="宋体"/>
          <w:i w:val="0"/>
          <w:iCs w:val="0"/>
          <w:color w:val="auto"/>
          <w:sz w:val="24"/>
          <w:szCs w:val="24"/>
          <w:highlight w:val="none"/>
          <w:u w:val="none"/>
          <w:lang w:val="en-US" w:eastAsia="zh-CN"/>
        </w:rPr>
        <w:fldChar w:fldCharType="begin"/>
      </w:r>
      <w:r>
        <w:rPr>
          <w:rFonts w:hint="eastAsia" w:ascii="宋体" w:hAnsi="宋体" w:eastAsia="宋体" w:cs="宋体"/>
          <w:i w:val="0"/>
          <w:iCs w:val="0"/>
          <w:color w:val="auto"/>
          <w:sz w:val="24"/>
          <w:szCs w:val="24"/>
          <w:highlight w:val="none"/>
          <w:u w:val="none"/>
          <w:lang w:val="en-US" w:eastAsia="zh-CN"/>
        </w:rPr>
        <w:instrText xml:space="preserve"> HYPERLINK "http://www.ccgp-xinjiang.gov.cn/luban/detail?parentId=3335&amp;articleId=LARZx20mtdl0XaVcGZIKAw==" </w:instrText>
      </w:r>
      <w:r>
        <w:rPr>
          <w:rFonts w:hint="eastAsia" w:ascii="宋体" w:hAnsi="宋体" w:eastAsia="宋体" w:cs="宋体"/>
          <w:i w:val="0"/>
          <w:iCs w:val="0"/>
          <w:color w:val="auto"/>
          <w:sz w:val="24"/>
          <w:szCs w:val="24"/>
          <w:highlight w:val="none"/>
          <w:u w:val="none"/>
          <w:lang w:val="en-US" w:eastAsia="zh-CN"/>
        </w:rPr>
        <w:fldChar w:fldCharType="separate"/>
      </w:r>
      <w:r>
        <w:rPr>
          <w:rFonts w:hint="eastAsia" w:ascii="宋体" w:hAnsi="宋体" w:eastAsia="宋体" w:cs="宋体"/>
          <w:i w:val="0"/>
          <w:iCs w:val="0"/>
          <w:color w:val="auto"/>
          <w:sz w:val="24"/>
          <w:szCs w:val="24"/>
          <w:highlight w:val="none"/>
          <w:u w:val="none"/>
          <w:lang w:val="en-US" w:eastAsia="zh-CN"/>
        </w:rPr>
        <w:t>CA证书办理操作指南</w:t>
      </w:r>
      <w:r>
        <w:rPr>
          <w:rFonts w:hint="eastAsia" w:ascii="宋体" w:hAnsi="宋体" w:eastAsia="宋体" w:cs="宋体"/>
          <w:i w:val="0"/>
          <w:iCs w:val="0"/>
          <w:color w:val="auto"/>
          <w:sz w:val="24"/>
          <w:szCs w:val="24"/>
          <w:highlight w:val="none"/>
          <w:u w:val="none"/>
          <w:lang w:val="en-US" w:eastAsia="zh-CN"/>
        </w:rPr>
        <w:fldChar w:fldCharType="end"/>
      </w:r>
      <w:r>
        <w:rPr>
          <w:rFonts w:hint="eastAsia" w:ascii="宋体" w:hAnsi="宋体" w:eastAsia="宋体" w:cs="宋体"/>
          <w:i w:val="0"/>
          <w:iCs w:val="0"/>
          <w:color w:val="auto"/>
          <w:sz w:val="24"/>
          <w:szCs w:val="24"/>
          <w:highlight w:val="none"/>
          <w:u w:val="none"/>
          <w:lang w:val="en-US" w:eastAsia="zh-CN"/>
        </w:rPr>
        <w:t>。</w:t>
      </w:r>
    </w:p>
    <w:p w14:paraId="141BE42C">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2、投标供应商应当在投标截止时间前，将生成的“电子加密投标文件”上传递交至“政府采购云平台”，投标截止时间以后上传递交的投标文件将被“政府采购云平台”拒收。</w:t>
      </w:r>
    </w:p>
    <w:p w14:paraId="3DD8171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特别提示：</w:t>
      </w:r>
      <w:r>
        <w:rPr>
          <w:rFonts w:hint="eastAsia" w:ascii="宋体" w:hAnsi="宋体" w:eastAsia="宋体" w:cs="宋体"/>
          <w:i w:val="0"/>
          <w:iCs w:val="0"/>
          <w:color w:val="auto"/>
          <w:sz w:val="24"/>
          <w:szCs w:val="24"/>
          <w:highlight w:val="none"/>
          <w:u w:val="none"/>
          <w:lang w:val="en-US" w:eastAsia="zh-CN"/>
        </w:rPr>
        <w:t>1、采购限额标准以上，200万元以下的货物和服务采购项目、400万元以下的工程采购项目，适宜由中小企业提供的，采购人应当专门面向中小企业采购。</w:t>
      </w:r>
    </w:p>
    <w:p w14:paraId="1374AAB7">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2219161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21676CA0">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B64D83">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2" w:firstLineChars="200"/>
        <w:textAlignment w:val="baseline"/>
        <w:outlineLvl w:val="1"/>
        <w:rPr>
          <w:rFonts w:hint="eastAsia" w:ascii="宋体" w:hAnsi="宋体" w:eastAsia="宋体" w:cs="宋体"/>
          <w:b/>
          <w:bCs/>
          <w:i w:val="0"/>
          <w:iCs w:val="0"/>
          <w:color w:val="auto"/>
          <w:sz w:val="24"/>
          <w:szCs w:val="24"/>
          <w:highlight w:val="none"/>
          <w:u w:val="none"/>
          <w:lang w:val="en-US" w:eastAsia="zh-CN"/>
        </w:rPr>
      </w:pPr>
      <w:bookmarkStart w:id="19" w:name="_Toc22427"/>
      <w:r>
        <w:rPr>
          <w:rFonts w:hint="eastAsia" w:ascii="宋体" w:hAnsi="宋体" w:eastAsia="宋体" w:cs="宋体"/>
          <w:b/>
          <w:bCs/>
          <w:i w:val="0"/>
          <w:iCs w:val="0"/>
          <w:color w:val="auto"/>
          <w:sz w:val="24"/>
          <w:szCs w:val="24"/>
          <w:highlight w:val="none"/>
          <w:u w:val="none"/>
          <w:lang w:val="en-US" w:eastAsia="zh-CN"/>
        </w:rPr>
        <w:t>八、凡对本次招标提出询问，请按以下方式联系</w:t>
      </w:r>
      <w:bookmarkEnd w:id="19"/>
    </w:p>
    <w:p w14:paraId="74871D8D">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1.采购人信息</w:t>
      </w:r>
    </w:p>
    <w:p w14:paraId="7527BC16">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名 称：温泉县安格里格镇人民政府 </w:t>
      </w:r>
    </w:p>
    <w:p w14:paraId="4F12980B">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 址：温泉县</w:t>
      </w:r>
    </w:p>
    <w:p w14:paraId="71CC42EF">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联系方式：18609093727</w:t>
      </w:r>
    </w:p>
    <w:p w14:paraId="68C358CF">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2.采购代理机构信息</w:t>
      </w:r>
    </w:p>
    <w:p w14:paraId="2B8F16F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名  称：新疆新华远景工程造价咨询有限公司</w:t>
      </w:r>
    </w:p>
    <w:p w14:paraId="5DE0E363">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  址：博乐市南城隆泉大厦18楼1820室</w:t>
      </w:r>
    </w:p>
    <w:p w14:paraId="52B4A51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3.项目联系方式</w:t>
      </w:r>
    </w:p>
    <w:p w14:paraId="41480F30">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项目联系人：朱丽敏</w:t>
      </w:r>
    </w:p>
    <w:p w14:paraId="2ABA583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  话：0909-2231819</w:t>
      </w:r>
    </w:p>
    <w:p w14:paraId="36992691">
      <w:pPr>
        <w:rPr>
          <w:rFonts w:hint="eastAsia" w:ascii="宋体" w:hAnsi="宋体" w:eastAsia="宋体" w:cs="宋体"/>
          <w:b/>
          <w:bCs/>
          <w:color w:val="auto"/>
          <w:spacing w:val="3"/>
          <w:sz w:val="31"/>
          <w:szCs w:val="31"/>
          <w:highlight w:val="none"/>
        </w:rPr>
      </w:pPr>
      <w:bookmarkStart w:id="20" w:name="bookmark18"/>
      <w:bookmarkEnd w:id="20"/>
      <w:r>
        <w:rPr>
          <w:rFonts w:hint="eastAsia" w:ascii="宋体" w:hAnsi="宋体" w:eastAsia="宋体" w:cs="宋体"/>
          <w:b/>
          <w:bCs/>
          <w:color w:val="auto"/>
          <w:spacing w:val="3"/>
          <w:sz w:val="31"/>
          <w:szCs w:val="31"/>
          <w:highlight w:val="none"/>
        </w:rPr>
        <w:br w:type="page"/>
      </w:r>
    </w:p>
    <w:p w14:paraId="3A2272EB">
      <w:pPr>
        <w:spacing w:before="101" w:line="240" w:lineRule="auto"/>
        <w:jc w:val="center"/>
        <w:outlineLvl w:val="0"/>
        <w:rPr>
          <w:rFonts w:hint="eastAsia" w:ascii="宋体" w:hAnsi="宋体" w:eastAsia="宋体" w:cs="宋体"/>
          <w:color w:val="auto"/>
          <w:sz w:val="31"/>
          <w:szCs w:val="31"/>
          <w:highlight w:val="none"/>
        </w:rPr>
      </w:pPr>
      <w:bookmarkStart w:id="21" w:name="_Toc27814"/>
      <w:bookmarkStart w:id="22" w:name="_Toc26004"/>
      <w:r>
        <w:rPr>
          <w:rFonts w:hint="eastAsia" w:ascii="宋体" w:hAnsi="宋体" w:eastAsia="宋体" w:cs="宋体"/>
          <w:b/>
          <w:bCs/>
          <w:color w:val="auto"/>
          <w:spacing w:val="3"/>
          <w:sz w:val="31"/>
          <w:szCs w:val="31"/>
          <w:highlight w:val="none"/>
        </w:rPr>
        <w:t>第二章</w:t>
      </w:r>
      <w:r>
        <w:rPr>
          <w:rFonts w:hint="eastAsia" w:ascii="宋体" w:hAnsi="宋体" w:eastAsia="宋体" w:cs="宋体"/>
          <w:color w:val="auto"/>
          <w:spacing w:val="3"/>
          <w:sz w:val="31"/>
          <w:szCs w:val="31"/>
          <w:highlight w:val="none"/>
        </w:rPr>
        <w:t xml:space="preserve">   </w:t>
      </w:r>
      <w:r>
        <w:rPr>
          <w:rFonts w:hint="eastAsia" w:ascii="宋体" w:hAnsi="宋体" w:eastAsia="宋体" w:cs="宋体"/>
          <w:b/>
          <w:bCs/>
          <w:color w:val="auto"/>
          <w:spacing w:val="3"/>
          <w:sz w:val="31"/>
          <w:szCs w:val="31"/>
          <w:highlight w:val="none"/>
        </w:rPr>
        <w:t>投标须知</w:t>
      </w:r>
      <w:bookmarkEnd w:id="21"/>
      <w:bookmarkEnd w:id="22"/>
    </w:p>
    <w:p w14:paraId="3D664842">
      <w:pPr>
        <w:spacing w:before="277" w:line="225" w:lineRule="auto"/>
        <w:jc w:val="center"/>
        <w:outlineLvl w:val="1"/>
        <w:rPr>
          <w:rFonts w:hint="eastAsia" w:ascii="宋体" w:hAnsi="宋体" w:eastAsia="宋体" w:cs="宋体"/>
          <w:color w:val="auto"/>
          <w:highlight w:val="none"/>
        </w:rPr>
      </w:pPr>
      <w:bookmarkStart w:id="23" w:name="_Toc3192"/>
      <w:r>
        <w:rPr>
          <w:rFonts w:hint="eastAsia" w:ascii="宋体" w:hAnsi="宋体" w:eastAsia="宋体" w:cs="宋体"/>
          <w:b/>
          <w:bCs/>
          <w:color w:val="auto"/>
          <w:spacing w:val="6"/>
          <w:sz w:val="31"/>
          <w:szCs w:val="31"/>
          <w:highlight w:val="none"/>
        </w:rPr>
        <w:t>一、供应商须知前附表</w:t>
      </w:r>
      <w:bookmarkEnd w:id="23"/>
    </w:p>
    <w:tbl>
      <w:tblPr>
        <w:tblStyle w:val="17"/>
        <w:tblW w:w="10383"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1543"/>
        <w:gridCol w:w="8068"/>
      </w:tblGrid>
      <w:tr w14:paraId="70C16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772" w:type="dxa"/>
            <w:vAlign w:val="center"/>
          </w:tcPr>
          <w:p w14:paraId="5E65E9D1">
            <w:pPr>
              <w:pStyle w:val="18"/>
              <w:spacing w:before="128" w:line="240" w:lineRule="auto"/>
              <w:ind w:left="150"/>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序号</w:t>
            </w:r>
          </w:p>
        </w:tc>
        <w:tc>
          <w:tcPr>
            <w:tcW w:w="1543" w:type="dxa"/>
            <w:vAlign w:val="center"/>
          </w:tcPr>
          <w:p w14:paraId="03D2546D">
            <w:pPr>
              <w:pStyle w:val="18"/>
              <w:spacing w:before="128"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名</w:t>
            </w:r>
            <w:r>
              <w:rPr>
                <w:rFonts w:hint="eastAsia" w:ascii="宋体" w:hAnsi="宋体" w:eastAsia="宋体" w:cs="宋体"/>
                <w:color w:val="auto"/>
                <w:spacing w:val="8"/>
                <w:sz w:val="24"/>
                <w:szCs w:val="24"/>
                <w:highlight w:val="none"/>
              </w:rPr>
              <w:t xml:space="preserve"> </w:t>
            </w:r>
            <w:r>
              <w:rPr>
                <w:rFonts w:hint="eastAsia" w:ascii="宋体" w:hAnsi="宋体" w:eastAsia="宋体" w:cs="宋体"/>
                <w:b/>
                <w:bCs/>
                <w:color w:val="auto"/>
                <w:spacing w:val="-8"/>
                <w:sz w:val="24"/>
                <w:szCs w:val="24"/>
                <w:highlight w:val="none"/>
              </w:rPr>
              <w:t>称</w:t>
            </w:r>
          </w:p>
        </w:tc>
        <w:tc>
          <w:tcPr>
            <w:tcW w:w="8068" w:type="dxa"/>
            <w:vAlign w:val="center"/>
          </w:tcPr>
          <w:p w14:paraId="1351AEF1">
            <w:pPr>
              <w:pStyle w:val="18"/>
              <w:spacing w:before="128"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20"/>
                <w:sz w:val="24"/>
                <w:szCs w:val="24"/>
                <w:highlight w:val="none"/>
              </w:rPr>
              <w:t>内</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20"/>
                <w:sz w:val="24"/>
                <w:szCs w:val="24"/>
                <w:highlight w:val="none"/>
              </w:rPr>
              <w:t>容</w:t>
            </w:r>
          </w:p>
        </w:tc>
      </w:tr>
      <w:tr w14:paraId="3E3F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772" w:type="dxa"/>
            <w:vAlign w:val="center"/>
          </w:tcPr>
          <w:p w14:paraId="144F117C">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43" w:type="dxa"/>
            <w:vAlign w:val="center"/>
          </w:tcPr>
          <w:p w14:paraId="2449BB20">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采购人</w:t>
            </w:r>
          </w:p>
        </w:tc>
        <w:tc>
          <w:tcPr>
            <w:tcW w:w="8068" w:type="dxa"/>
            <w:vAlign w:val="center"/>
          </w:tcPr>
          <w:p w14:paraId="1B310C4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名称：</w:t>
            </w:r>
            <w:r>
              <w:rPr>
                <w:rStyle w:val="16"/>
                <w:rFonts w:hint="eastAsia" w:ascii="宋体" w:hAnsi="宋体" w:cs="宋体"/>
                <w:i w:val="0"/>
                <w:iCs w:val="0"/>
                <w:color w:val="auto"/>
                <w:sz w:val="22"/>
                <w:szCs w:val="22"/>
                <w:highlight w:val="none"/>
                <w:lang w:eastAsia="zh-CN"/>
              </w:rPr>
              <w:t>温泉县安格里格镇人民政府</w:t>
            </w:r>
          </w:p>
          <w:p w14:paraId="518FE75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联 系 人：布音加普</w:t>
            </w:r>
          </w:p>
          <w:p w14:paraId="037907A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电    话：18609093727</w:t>
            </w:r>
          </w:p>
          <w:p w14:paraId="66BB55E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详细地址：温泉县</w:t>
            </w:r>
          </w:p>
        </w:tc>
      </w:tr>
      <w:tr w14:paraId="6114A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772" w:type="dxa"/>
            <w:vAlign w:val="center"/>
          </w:tcPr>
          <w:p w14:paraId="21C022F8">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543" w:type="dxa"/>
            <w:vAlign w:val="center"/>
          </w:tcPr>
          <w:p w14:paraId="25A8C73D">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采购代理机构</w:t>
            </w:r>
          </w:p>
        </w:tc>
        <w:tc>
          <w:tcPr>
            <w:tcW w:w="8068" w:type="dxa"/>
            <w:vAlign w:val="center"/>
          </w:tcPr>
          <w:p w14:paraId="3C93AA33">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名称：</w:t>
            </w:r>
            <w:r>
              <w:rPr>
                <w:rStyle w:val="16"/>
                <w:rFonts w:hint="eastAsia" w:ascii="宋体" w:hAnsi="宋体" w:eastAsia="宋体" w:cs="宋体"/>
                <w:i w:val="0"/>
                <w:iCs w:val="0"/>
                <w:color w:val="auto"/>
                <w:sz w:val="22"/>
                <w:szCs w:val="22"/>
                <w:highlight w:val="none"/>
                <w:lang w:eastAsia="zh-CN"/>
              </w:rPr>
              <w:t>新疆新华远景工程造价咨询有限公司</w:t>
            </w:r>
          </w:p>
          <w:p w14:paraId="141339A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地址：</w:t>
            </w:r>
            <w:r>
              <w:rPr>
                <w:rStyle w:val="16"/>
                <w:rFonts w:hint="eastAsia" w:ascii="宋体" w:hAnsi="宋体" w:eastAsia="宋体" w:cs="宋体"/>
                <w:i w:val="0"/>
                <w:iCs w:val="0"/>
                <w:color w:val="auto"/>
                <w:sz w:val="22"/>
                <w:szCs w:val="22"/>
                <w:highlight w:val="none"/>
                <w:lang w:eastAsia="zh-CN"/>
              </w:rPr>
              <w:t>博乐市</w:t>
            </w:r>
            <w:r>
              <w:rPr>
                <w:rStyle w:val="16"/>
                <w:rFonts w:hint="eastAsia" w:ascii="宋体" w:hAnsi="宋体" w:eastAsia="宋体" w:cs="宋体"/>
                <w:i w:val="0"/>
                <w:iCs w:val="0"/>
                <w:color w:val="auto"/>
                <w:sz w:val="22"/>
                <w:szCs w:val="22"/>
                <w:highlight w:val="none"/>
                <w:lang w:val="en-US" w:eastAsia="zh-CN"/>
              </w:rPr>
              <w:t>南城隆泉大厦18楼1820室</w:t>
            </w:r>
          </w:p>
          <w:p w14:paraId="61284E1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联系人：</w:t>
            </w:r>
            <w:r>
              <w:rPr>
                <w:rStyle w:val="16"/>
                <w:rFonts w:hint="eastAsia" w:ascii="宋体" w:hAnsi="宋体" w:eastAsia="宋体" w:cs="宋体"/>
                <w:i w:val="0"/>
                <w:iCs w:val="0"/>
                <w:color w:val="auto"/>
                <w:sz w:val="22"/>
                <w:szCs w:val="22"/>
                <w:highlight w:val="none"/>
                <w:lang w:val="en-US" w:eastAsia="zh-CN"/>
              </w:rPr>
              <w:t>朱丽敏</w:t>
            </w:r>
          </w:p>
          <w:p w14:paraId="07EBC79C">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rPr>
              <w:t>电话：</w:t>
            </w:r>
            <w:r>
              <w:rPr>
                <w:rStyle w:val="16"/>
                <w:rFonts w:hint="eastAsia" w:ascii="宋体" w:hAnsi="宋体" w:eastAsia="宋体" w:cs="宋体"/>
                <w:i w:val="0"/>
                <w:iCs w:val="0"/>
                <w:color w:val="auto"/>
                <w:sz w:val="22"/>
                <w:szCs w:val="22"/>
                <w:highlight w:val="none"/>
                <w:lang w:val="en-US" w:eastAsia="zh-CN"/>
              </w:rPr>
              <w:t>0909-2231819</w:t>
            </w:r>
          </w:p>
        </w:tc>
      </w:tr>
      <w:tr w14:paraId="29296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2373D73D">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543" w:type="dxa"/>
            <w:vAlign w:val="center"/>
          </w:tcPr>
          <w:p w14:paraId="4678414F">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项目名称</w:t>
            </w:r>
          </w:p>
        </w:tc>
        <w:tc>
          <w:tcPr>
            <w:tcW w:w="8068" w:type="dxa"/>
            <w:vAlign w:val="center"/>
          </w:tcPr>
          <w:p w14:paraId="0E14012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eastAsia="zh-CN"/>
              </w:rPr>
            </w:pPr>
            <w:r>
              <w:rPr>
                <w:rStyle w:val="16"/>
                <w:rFonts w:hint="eastAsia" w:ascii="宋体" w:hAnsi="宋体" w:cs="宋体"/>
                <w:i w:val="0"/>
                <w:iCs w:val="0"/>
                <w:color w:val="auto"/>
                <w:sz w:val="22"/>
                <w:szCs w:val="22"/>
                <w:highlight w:val="none"/>
                <w:lang w:eastAsia="zh-CN"/>
              </w:rPr>
              <w:t>温泉县安格里格镇牛羊屠宰场建设项目（二期）</w:t>
            </w:r>
          </w:p>
        </w:tc>
      </w:tr>
      <w:tr w14:paraId="071E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6BDAECA8">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543" w:type="dxa"/>
            <w:vAlign w:val="center"/>
          </w:tcPr>
          <w:p w14:paraId="2748EDFD">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招标编号</w:t>
            </w:r>
          </w:p>
        </w:tc>
        <w:tc>
          <w:tcPr>
            <w:tcW w:w="8068" w:type="dxa"/>
            <w:vAlign w:val="center"/>
          </w:tcPr>
          <w:p w14:paraId="438F7818">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cs="宋体"/>
                <w:i w:val="0"/>
                <w:iCs w:val="0"/>
                <w:color w:val="auto"/>
                <w:sz w:val="22"/>
                <w:szCs w:val="22"/>
                <w:highlight w:val="none"/>
                <w:lang w:val="en-US" w:eastAsia="zh-CN"/>
              </w:rPr>
              <w:t>XHYJGK2026-017</w:t>
            </w:r>
          </w:p>
        </w:tc>
      </w:tr>
      <w:tr w14:paraId="0D8D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72" w:type="dxa"/>
            <w:vAlign w:val="center"/>
          </w:tcPr>
          <w:p w14:paraId="5806C1D4">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543" w:type="dxa"/>
            <w:vAlign w:val="center"/>
          </w:tcPr>
          <w:p w14:paraId="4F1ED9D6">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预算金额及采购最高限价</w:t>
            </w:r>
          </w:p>
        </w:tc>
        <w:tc>
          <w:tcPr>
            <w:tcW w:w="8068" w:type="dxa"/>
            <w:vAlign w:val="center"/>
          </w:tcPr>
          <w:p w14:paraId="7300A0E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预算金额：</w:t>
            </w:r>
            <w:r>
              <w:rPr>
                <w:rStyle w:val="16"/>
                <w:rFonts w:hint="eastAsia" w:ascii="宋体" w:hAnsi="宋体" w:cs="宋体"/>
                <w:i w:val="0"/>
                <w:iCs w:val="0"/>
                <w:color w:val="auto"/>
                <w:sz w:val="22"/>
                <w:szCs w:val="22"/>
                <w:highlight w:val="none"/>
                <w:lang w:val="en-US" w:eastAsia="zh-CN"/>
              </w:rPr>
              <w:t>7830000.00</w:t>
            </w:r>
            <w:r>
              <w:rPr>
                <w:rStyle w:val="16"/>
                <w:rFonts w:hint="eastAsia" w:ascii="宋体" w:hAnsi="宋体" w:eastAsia="宋体" w:cs="宋体"/>
                <w:i w:val="0"/>
                <w:iCs w:val="0"/>
                <w:color w:val="auto"/>
                <w:sz w:val="22"/>
                <w:szCs w:val="22"/>
                <w:highlight w:val="none"/>
              </w:rPr>
              <w:t>元</w:t>
            </w:r>
          </w:p>
          <w:p w14:paraId="1387F097">
            <w:pPr>
              <w:keepNext w:val="0"/>
              <w:keepLines w:val="0"/>
              <w:pageBreakBefore w:val="0"/>
              <w:widowControl/>
              <w:shd w:val="clear"/>
              <w:kinsoku w:val="0"/>
              <w:wordWrap/>
              <w:overflowPunct/>
              <w:topLinePunct w:val="0"/>
              <w:autoSpaceDE w:val="0"/>
              <w:autoSpaceDN w:val="0"/>
              <w:bidi w:val="0"/>
              <w:adjustRightInd w:val="0"/>
              <w:snapToGrid w:val="0"/>
              <w:spacing w:line="252" w:lineRule="auto"/>
              <w:ind w:leftChars="100"/>
              <w:textAlignment w:val="baseline"/>
              <w:rPr>
                <w:rStyle w:val="16"/>
                <w:rFonts w:hint="default" w:ascii="宋体" w:hAnsi="宋体" w:eastAsia="宋体" w:cs="宋体"/>
                <w:i w:val="0"/>
                <w:iCs w:val="0"/>
                <w:color w:val="auto"/>
                <w:sz w:val="22"/>
                <w:szCs w:val="22"/>
                <w:highlight w:val="none"/>
                <w:lang w:val="en-US"/>
              </w:rPr>
            </w:pPr>
            <w:bookmarkStart w:id="24" w:name="OLE_LINK2"/>
            <w:r>
              <w:rPr>
                <w:rStyle w:val="16"/>
                <w:rFonts w:hint="eastAsia" w:ascii="宋体" w:hAnsi="宋体" w:eastAsia="宋体" w:cs="宋体"/>
                <w:i w:val="0"/>
                <w:iCs w:val="0"/>
                <w:snapToGrid/>
                <w:color w:val="0000FF"/>
                <w:kern w:val="2"/>
                <w:sz w:val="22"/>
                <w:szCs w:val="22"/>
                <w:highlight w:val="none"/>
                <w:lang w:val="en-US" w:eastAsia="zh-CN" w:bidi="ar-SA"/>
              </w:rPr>
              <w:t>最高限价：</w:t>
            </w:r>
            <w:bookmarkEnd w:id="24"/>
            <w:r>
              <w:rPr>
                <w:rStyle w:val="16"/>
                <w:rFonts w:hint="eastAsia" w:ascii="宋体" w:hAnsi="宋体" w:eastAsia="宋体" w:cs="宋体"/>
                <w:i w:val="0"/>
                <w:iCs w:val="0"/>
                <w:snapToGrid/>
                <w:color w:val="0000FF"/>
                <w:kern w:val="2"/>
                <w:sz w:val="22"/>
                <w:szCs w:val="22"/>
                <w:highlight w:val="none"/>
                <w:lang w:val="en-US" w:eastAsia="zh-CN" w:bidi="ar-SA"/>
              </w:rPr>
              <w:t>7830000.00元，对高于或等于最高限价的响应文件，应做无效投标处理。</w:t>
            </w:r>
          </w:p>
        </w:tc>
      </w:tr>
      <w:tr w14:paraId="015C3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648251E7">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543" w:type="dxa"/>
            <w:vAlign w:val="center"/>
          </w:tcPr>
          <w:p w14:paraId="11C626BF">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招标范围</w:t>
            </w:r>
          </w:p>
        </w:tc>
        <w:tc>
          <w:tcPr>
            <w:tcW w:w="8068" w:type="dxa"/>
            <w:vAlign w:val="center"/>
          </w:tcPr>
          <w:p w14:paraId="5A6033D3">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0000FF"/>
                <w:sz w:val="22"/>
                <w:szCs w:val="22"/>
                <w:highlight w:val="none"/>
                <w:lang w:val="en-US" w:eastAsia="zh-CN"/>
              </w:rPr>
              <w:t>牛羊屠宰场相关设备，具体详见第三章采购需求。</w:t>
            </w:r>
          </w:p>
        </w:tc>
      </w:tr>
      <w:tr w14:paraId="7A53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021DCD32">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543" w:type="dxa"/>
            <w:vAlign w:val="center"/>
          </w:tcPr>
          <w:p w14:paraId="154F4496">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标段（包）划分</w:t>
            </w:r>
          </w:p>
        </w:tc>
        <w:tc>
          <w:tcPr>
            <w:tcW w:w="8068" w:type="dxa"/>
            <w:vAlign w:val="center"/>
          </w:tcPr>
          <w:p w14:paraId="70E9FCF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本次招标共</w:t>
            </w:r>
            <w:r>
              <w:rPr>
                <w:rStyle w:val="16"/>
                <w:rFonts w:hint="eastAsia" w:ascii="宋体" w:hAnsi="宋体" w:cs="宋体"/>
                <w:i w:val="0"/>
                <w:iCs w:val="0"/>
                <w:color w:val="auto"/>
                <w:sz w:val="22"/>
                <w:szCs w:val="22"/>
                <w:highlight w:val="none"/>
                <w:lang w:val="en-US" w:eastAsia="zh-CN"/>
              </w:rPr>
              <w:t>1</w:t>
            </w:r>
            <w:r>
              <w:rPr>
                <w:rStyle w:val="16"/>
                <w:rFonts w:hint="eastAsia" w:ascii="宋体" w:hAnsi="宋体" w:eastAsia="宋体" w:cs="宋体"/>
                <w:i w:val="0"/>
                <w:iCs w:val="0"/>
                <w:color w:val="auto"/>
                <w:sz w:val="22"/>
                <w:szCs w:val="22"/>
                <w:highlight w:val="none"/>
              </w:rPr>
              <w:t>个标段</w:t>
            </w:r>
          </w:p>
        </w:tc>
      </w:tr>
      <w:tr w14:paraId="4883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3A983385">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543" w:type="dxa"/>
            <w:vAlign w:val="center"/>
          </w:tcPr>
          <w:p w14:paraId="4B9E82C5">
            <w:pPr>
              <w:pStyle w:val="18"/>
              <w:spacing w:before="34" w:line="240" w:lineRule="auto"/>
              <w:jc w:val="center"/>
              <w:rPr>
                <w:rFonts w:hint="default" w:ascii="宋体" w:hAnsi="宋体" w:eastAsia="宋体" w:cs="宋体"/>
                <w:color w:val="auto"/>
                <w:spacing w:val="-3"/>
                <w:sz w:val="22"/>
                <w:szCs w:val="22"/>
                <w:highlight w:val="none"/>
                <w:lang w:val="en-US" w:eastAsia="zh-CN"/>
              </w:rPr>
            </w:pPr>
            <w:r>
              <w:rPr>
                <w:rFonts w:hint="eastAsia" w:cs="宋体"/>
                <w:color w:val="auto"/>
                <w:spacing w:val="-3"/>
                <w:sz w:val="22"/>
                <w:szCs w:val="22"/>
                <w:highlight w:val="none"/>
                <w:lang w:val="en-US" w:eastAsia="zh-CN"/>
              </w:rPr>
              <w:t>合同履约期限</w:t>
            </w:r>
          </w:p>
        </w:tc>
        <w:tc>
          <w:tcPr>
            <w:tcW w:w="8068" w:type="dxa"/>
            <w:vAlign w:val="center"/>
          </w:tcPr>
          <w:p w14:paraId="294D951C">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lang w:val="en-US" w:eastAsia="zh-CN"/>
              </w:rPr>
              <w:t xml:space="preserve"> </w:t>
            </w:r>
            <w:r>
              <w:rPr>
                <w:rStyle w:val="16"/>
                <w:rFonts w:hint="eastAsia" w:ascii="宋体" w:hAnsi="宋体" w:eastAsia="宋体" w:cs="宋体"/>
                <w:i w:val="0"/>
                <w:iCs w:val="0"/>
                <w:color w:val="0000FF"/>
                <w:sz w:val="22"/>
                <w:szCs w:val="22"/>
                <w:highlight w:val="none"/>
                <w:lang w:val="en-US" w:eastAsia="zh-CN"/>
              </w:rPr>
              <w:t>自签订合同之日起45日内完成。</w:t>
            </w:r>
          </w:p>
        </w:tc>
      </w:tr>
      <w:tr w14:paraId="16EF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5E14DAA6">
            <w:pPr>
              <w:pStyle w:val="18"/>
              <w:spacing w:before="72"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543" w:type="dxa"/>
            <w:vAlign w:val="center"/>
          </w:tcPr>
          <w:p w14:paraId="1D88B485">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质量要求</w:t>
            </w:r>
          </w:p>
        </w:tc>
        <w:tc>
          <w:tcPr>
            <w:tcW w:w="8068" w:type="dxa"/>
            <w:vAlign w:val="center"/>
          </w:tcPr>
          <w:p w14:paraId="6846236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合格</w:t>
            </w:r>
          </w:p>
        </w:tc>
      </w:tr>
      <w:tr w14:paraId="5079C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vAlign w:val="center"/>
          </w:tcPr>
          <w:p w14:paraId="55A193BE">
            <w:pPr>
              <w:pStyle w:val="18"/>
              <w:spacing w:before="71"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10</w:t>
            </w:r>
          </w:p>
        </w:tc>
        <w:tc>
          <w:tcPr>
            <w:tcW w:w="1543" w:type="dxa"/>
            <w:vAlign w:val="center"/>
          </w:tcPr>
          <w:p w14:paraId="2628CEB1">
            <w:pPr>
              <w:pStyle w:val="18"/>
              <w:spacing w:before="34" w:line="240" w:lineRule="auto"/>
              <w:jc w:val="center"/>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政府采购政策</w:t>
            </w:r>
          </w:p>
        </w:tc>
        <w:tc>
          <w:tcPr>
            <w:tcW w:w="8068" w:type="dxa"/>
            <w:vAlign w:val="center"/>
          </w:tcPr>
          <w:p w14:paraId="0AF1C022">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执行促进中小型（JY、残疾人福利）企业发展相关政策（是☑ / 否□),</w:t>
            </w:r>
            <w:r>
              <w:rPr>
                <w:rStyle w:val="16"/>
                <w:rFonts w:hint="eastAsia" w:ascii="宋体" w:hAnsi="宋体" w:eastAsia="宋体" w:cs="宋体"/>
                <w:i w:val="0"/>
                <w:iCs w:val="0"/>
                <w:color w:val="auto"/>
                <w:sz w:val="22"/>
                <w:szCs w:val="22"/>
                <w:highlight w:val="none"/>
                <w:lang w:val="en-US" w:eastAsia="zh-CN"/>
              </w:rPr>
              <w:t>本项目供应商应为中小企业或大型企业以合同分包形式参与采购活动，获得采购合同的供应商将采购项目中的40%分包给一家或多家中小企业，其中小微企业承担部分达到70%。</w:t>
            </w:r>
          </w:p>
          <w:p w14:paraId="3C685D48">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1、（1）根据财政部、工业和信息化部《关于印发《政府采购促进中小企业发展管理办法》的通知》（财库[2020]46号文）和《关于进一步加大政府采购支持中小企业力度的通知》财库〔2022〕19号</w:t>
            </w:r>
            <w:r>
              <w:rPr>
                <w:rStyle w:val="16"/>
                <w:rFonts w:hint="eastAsia" w:ascii="宋体" w:hAnsi="宋体" w:eastAsia="宋体" w:cs="宋体"/>
                <w:i w:val="0"/>
                <w:iCs w:val="0"/>
                <w:color w:val="auto"/>
                <w:sz w:val="22"/>
                <w:szCs w:val="22"/>
                <w:highlight w:val="none"/>
                <w:lang w:val="en-US" w:eastAsia="zh-CN"/>
              </w:rPr>
              <w:t>规定；</w:t>
            </w:r>
            <w:r>
              <w:rPr>
                <w:rStyle w:val="16"/>
                <w:rFonts w:hint="eastAsia" w:ascii="宋体" w:hAnsi="宋体" w:eastAsia="宋体" w:cs="宋体"/>
                <w:i w:val="0"/>
                <w:iCs w:val="0"/>
                <w:color w:val="auto"/>
                <w:sz w:val="22"/>
                <w:szCs w:val="22"/>
                <w:highlight w:val="none"/>
              </w:rPr>
              <w:t>（2）财政部、国家发展改革委、生态环境部、市场监管总局《关于调整优化节能产品、环境标志产品政府采购执行机制的通知》（财库[2019]9号文）；（3）财政部、生态环境部《关于印发环境标志产品政府采购品目清单的通知》（财库[2019]18号文）；（4）财政部、发展改革委《关于印发节能产品政府采购品目清单的通知》（财库[2019]19号文）；（5）市场监管总局《市场监管总局关于发布参与实施政府采购节能产品、环境标志产品认证机构名录的公告》（2019年第16号）；（6）财政部、工业和信息化部《关于印发《政府采购促进中小企业发展管理办法》的通知》（</w:t>
            </w:r>
            <w:r>
              <w:rPr>
                <w:rStyle w:val="16"/>
                <w:rFonts w:hint="eastAsia" w:ascii="宋体" w:hAnsi="宋体" w:eastAsia="宋体" w:cs="宋体"/>
                <w:i w:val="0"/>
                <w:iCs w:val="0"/>
                <w:color w:val="auto"/>
                <w:sz w:val="22"/>
                <w:szCs w:val="22"/>
                <w:highlight w:val="none"/>
                <w:lang w:val="en-US" w:eastAsia="zh-CN"/>
              </w:rPr>
              <w:t>财库</w:t>
            </w:r>
            <w:r>
              <w:rPr>
                <w:rStyle w:val="16"/>
                <w:rFonts w:hint="eastAsia" w:ascii="宋体" w:hAnsi="宋体" w:eastAsia="宋体" w:cs="宋体"/>
                <w:i w:val="0"/>
                <w:iCs w:val="0"/>
                <w:color w:val="auto"/>
                <w:sz w:val="22"/>
                <w:szCs w:val="22"/>
                <w:highlight w:val="none"/>
              </w:rPr>
              <w:t>[2020]46号文）、《关于进一步加大政府采购支持中小企业力度的通知财库[2022]19号；（7）财政部、民政部、中国残疾人联合会《关于促进残疾人就业政府采购政策的通知》（财库[2017]141号）；（8）财政部、司法部《关于政府采购支持JY企业发展有关问题的通知》（财库[2014]68号文）；</w:t>
            </w:r>
          </w:p>
          <w:p w14:paraId="3E68094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2、符合政府采购优先采购节能产品、环境标志产品的，实行价格评审优惠（由投标人在报价文件中选择并填报，评标时进行价格评审优惠）；投标人符合政府采购促进中小企业（JY企业、残疾人福利性单位）发展政策的，其评标时给予价格评审优惠，用扣除后的价格参与评审打分。财政部门关于政府采购优先采购的政策规定可在中国政府采购网(www.ccgp.gov.cn)查询。同一项目中部分产品属于优先采购政策的，评标时只对该部分产品的报价实行价格优惠。</w:t>
            </w:r>
          </w:p>
          <w:p w14:paraId="5567A3C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（1）对于未预留份额专门面向中小企业的采购项目，以及预留份额项目中的非预留部分采购包，采购人、采购代理机构应当对符合规定的小微企业报价给予10%~20%（工程项目为</w:t>
            </w:r>
            <w:r>
              <w:rPr>
                <w:rStyle w:val="16"/>
                <w:rFonts w:hint="eastAsia" w:ascii="宋体" w:hAnsi="宋体" w:cs="宋体"/>
                <w:i w:val="0"/>
                <w:iCs w:val="0"/>
                <w:color w:val="auto"/>
                <w:sz w:val="22"/>
                <w:szCs w:val="22"/>
                <w:highlight w:val="none"/>
                <w:lang w:eastAsia="zh-CN"/>
              </w:rPr>
              <w:t>6%~10%</w:t>
            </w:r>
            <w:r>
              <w:rPr>
                <w:rStyle w:val="16"/>
                <w:rFonts w:hint="eastAsia" w:ascii="宋体" w:hAnsi="宋体" w:eastAsia="宋体" w:cs="宋体"/>
                <w:i w:val="0"/>
                <w:iCs w:val="0"/>
                <w:color w:val="auto"/>
                <w:sz w:val="22"/>
                <w:szCs w:val="22"/>
                <w:highlight w:val="none"/>
              </w:rPr>
              <w:t>）的扣除，用扣除后的价格参加评审。</w:t>
            </w:r>
            <w:r>
              <w:rPr>
                <w:rStyle w:val="16"/>
                <w:rFonts w:hint="eastAsia" w:ascii="宋体" w:hAnsi="宋体" w:eastAsia="宋体" w:cs="宋体"/>
                <w:i w:val="0"/>
                <w:iCs w:val="0"/>
                <w:color w:val="auto"/>
                <w:sz w:val="22"/>
                <w:szCs w:val="22"/>
                <w:highlight w:val="none"/>
                <w:lang w:val="en-US" w:eastAsia="zh-CN"/>
              </w:rPr>
              <w:t>本项目的价格扣除比例为10%。</w:t>
            </w:r>
          </w:p>
          <w:p w14:paraId="0CD17409">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lang w:val="en-US" w:eastAsia="zh-CN"/>
              </w:rPr>
              <w:t>（2）</w:t>
            </w:r>
            <w:r>
              <w:rPr>
                <w:rStyle w:val="16"/>
                <w:rFonts w:hint="eastAsia" w:ascii="宋体" w:hAnsi="宋体" w:eastAsia="宋体" w:cs="宋体"/>
                <w:i w:val="0"/>
                <w:iCs w:val="0"/>
                <w:color w:val="auto"/>
                <w:sz w:val="22"/>
                <w:szCs w:val="22"/>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w:t>
            </w:r>
            <w:r>
              <w:rPr>
                <w:rStyle w:val="16"/>
                <w:rFonts w:hint="eastAsia" w:ascii="宋体" w:hAnsi="宋体" w:eastAsia="宋体" w:cs="宋体"/>
                <w:i w:val="0"/>
                <w:iCs w:val="0"/>
                <w:color w:val="auto"/>
                <w:sz w:val="22"/>
                <w:szCs w:val="22"/>
                <w:highlight w:val="none"/>
                <w:lang w:val="en-US" w:eastAsia="zh-CN"/>
              </w:rPr>
              <w:t>本项目的价格扣除比例为4%。</w:t>
            </w:r>
          </w:p>
          <w:p w14:paraId="5C681F5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w:t>
            </w:r>
            <w:r>
              <w:rPr>
                <w:rStyle w:val="16"/>
                <w:rFonts w:hint="eastAsia" w:ascii="宋体" w:hAnsi="宋体" w:eastAsia="宋体" w:cs="宋体"/>
                <w:i w:val="0"/>
                <w:iCs w:val="0"/>
                <w:color w:val="auto"/>
                <w:sz w:val="22"/>
                <w:szCs w:val="22"/>
                <w:highlight w:val="none"/>
                <w:lang w:val="en-US" w:eastAsia="zh-CN"/>
              </w:rPr>
              <w:t>3</w:t>
            </w:r>
            <w:r>
              <w:rPr>
                <w:rStyle w:val="16"/>
                <w:rFonts w:hint="eastAsia" w:ascii="宋体" w:hAnsi="宋体" w:eastAsia="宋体" w:cs="宋体"/>
                <w:i w:val="0"/>
                <w:iCs w:val="0"/>
                <w:color w:val="auto"/>
                <w:sz w:val="22"/>
                <w:szCs w:val="22"/>
                <w:highlight w:val="none"/>
              </w:rPr>
              <w:t>）政府采购促进残疾人就业：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p>
          <w:p w14:paraId="6CF35DD3">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w:t>
            </w:r>
            <w:r>
              <w:rPr>
                <w:rStyle w:val="16"/>
                <w:rFonts w:hint="eastAsia" w:ascii="宋体" w:hAnsi="宋体" w:eastAsia="宋体" w:cs="宋体"/>
                <w:i w:val="0"/>
                <w:iCs w:val="0"/>
                <w:color w:val="auto"/>
                <w:sz w:val="22"/>
                <w:szCs w:val="22"/>
                <w:highlight w:val="none"/>
                <w:lang w:val="en-US" w:eastAsia="zh-CN"/>
              </w:rPr>
              <w:t>4</w:t>
            </w:r>
            <w:r>
              <w:rPr>
                <w:rStyle w:val="16"/>
                <w:rFonts w:hint="eastAsia" w:ascii="宋体" w:hAnsi="宋体" w:eastAsia="宋体" w:cs="宋体"/>
                <w:i w:val="0"/>
                <w:iCs w:val="0"/>
                <w:color w:val="auto"/>
                <w:sz w:val="22"/>
                <w:szCs w:val="22"/>
                <w:highlight w:val="none"/>
              </w:rPr>
              <w:t>）节能产品、环境标志产品的产品优惠：按国家有关节能、环保政策执行。</w:t>
            </w:r>
          </w:p>
          <w:p w14:paraId="7E64228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注：当面向</w:t>
            </w:r>
            <w:r>
              <w:rPr>
                <w:rStyle w:val="16"/>
                <w:rFonts w:hint="eastAsia" w:ascii="宋体" w:hAnsi="宋体" w:eastAsia="宋体" w:cs="宋体"/>
                <w:i w:val="0"/>
                <w:iCs w:val="0"/>
                <w:color w:val="auto"/>
                <w:sz w:val="22"/>
                <w:szCs w:val="22"/>
                <w:highlight w:val="none"/>
                <w:lang w:val="en-US" w:eastAsia="zh-CN"/>
              </w:rPr>
              <w:t>小微</w:t>
            </w:r>
            <w:r>
              <w:rPr>
                <w:rStyle w:val="16"/>
                <w:rFonts w:hint="eastAsia" w:ascii="宋体" w:hAnsi="宋体" w:eastAsia="宋体" w:cs="宋体"/>
                <w:i w:val="0"/>
                <w:iCs w:val="0"/>
                <w:color w:val="auto"/>
                <w:sz w:val="22"/>
                <w:szCs w:val="22"/>
                <w:highlight w:val="none"/>
              </w:rPr>
              <w:t>企业采购时，根据《政府采购促进中小企业发展管理办法》第十一条</w:t>
            </w:r>
            <w:r>
              <w:rPr>
                <w:rStyle w:val="16"/>
                <w:rFonts w:hint="eastAsia" w:ascii="宋体" w:hAnsi="宋体" w:eastAsia="宋体" w:cs="宋体"/>
                <w:i w:val="0"/>
                <w:iCs w:val="0"/>
                <w:color w:val="auto"/>
                <w:sz w:val="22"/>
                <w:szCs w:val="22"/>
                <w:highlight w:val="none"/>
                <w:lang w:val="en-US" w:eastAsia="zh-CN"/>
              </w:rPr>
              <w:t>小微</w:t>
            </w:r>
            <w:r>
              <w:rPr>
                <w:rStyle w:val="16"/>
                <w:rFonts w:hint="eastAsia" w:ascii="宋体" w:hAnsi="宋体" w:eastAsia="宋体" w:cs="宋体"/>
                <w:i w:val="0"/>
                <w:iCs w:val="0"/>
                <w:color w:val="auto"/>
                <w:sz w:val="22"/>
                <w:szCs w:val="22"/>
                <w:highlight w:val="none"/>
              </w:rPr>
              <w:t>企业参加政府采购活动，应当出具本办法规定的《</w:t>
            </w:r>
            <w:r>
              <w:rPr>
                <w:rStyle w:val="16"/>
                <w:rFonts w:hint="eastAsia" w:ascii="宋体" w:hAnsi="宋体" w:eastAsia="宋体" w:cs="宋体"/>
                <w:i w:val="0"/>
                <w:iCs w:val="0"/>
                <w:color w:val="auto"/>
                <w:sz w:val="22"/>
                <w:szCs w:val="22"/>
                <w:highlight w:val="none"/>
                <w:lang w:eastAsia="zh-CN"/>
              </w:rPr>
              <w:t>中小企业声明函</w:t>
            </w:r>
            <w:r>
              <w:rPr>
                <w:rStyle w:val="16"/>
                <w:rFonts w:hint="eastAsia" w:ascii="宋体" w:hAnsi="宋体" w:eastAsia="宋体" w:cs="宋体"/>
                <w:i w:val="0"/>
                <w:iCs w:val="0"/>
                <w:color w:val="auto"/>
                <w:sz w:val="22"/>
                <w:szCs w:val="22"/>
                <w:highlight w:val="none"/>
              </w:rPr>
              <w:t>》，否则不得享受相关</w:t>
            </w:r>
            <w:r>
              <w:rPr>
                <w:rStyle w:val="16"/>
                <w:rFonts w:hint="eastAsia" w:ascii="宋体" w:hAnsi="宋体" w:eastAsia="宋体" w:cs="宋体"/>
                <w:i w:val="0"/>
                <w:iCs w:val="0"/>
                <w:color w:val="auto"/>
                <w:sz w:val="22"/>
                <w:szCs w:val="22"/>
                <w:highlight w:val="none"/>
                <w:lang w:val="en-US" w:eastAsia="zh-CN"/>
              </w:rPr>
              <w:t>小微</w:t>
            </w:r>
            <w:r>
              <w:rPr>
                <w:rStyle w:val="16"/>
                <w:rFonts w:hint="eastAsia" w:ascii="宋体" w:hAnsi="宋体" w:eastAsia="宋体" w:cs="宋体"/>
                <w:i w:val="0"/>
                <w:iCs w:val="0"/>
                <w:color w:val="auto"/>
                <w:sz w:val="22"/>
                <w:szCs w:val="22"/>
                <w:highlight w:val="none"/>
              </w:rPr>
              <w:t>企业扶持政策。任何单位和个人不得要求供应商提供《</w:t>
            </w:r>
            <w:r>
              <w:rPr>
                <w:rStyle w:val="16"/>
                <w:rFonts w:hint="eastAsia" w:ascii="宋体" w:hAnsi="宋体" w:eastAsia="宋体" w:cs="宋体"/>
                <w:i w:val="0"/>
                <w:iCs w:val="0"/>
                <w:color w:val="auto"/>
                <w:sz w:val="22"/>
                <w:szCs w:val="22"/>
                <w:highlight w:val="none"/>
                <w:lang w:eastAsia="zh-CN"/>
              </w:rPr>
              <w:t>中小企业声明函</w:t>
            </w:r>
            <w:r>
              <w:rPr>
                <w:rStyle w:val="16"/>
                <w:rFonts w:hint="eastAsia" w:ascii="宋体" w:hAnsi="宋体" w:eastAsia="宋体" w:cs="宋体"/>
                <w:i w:val="0"/>
                <w:iCs w:val="0"/>
                <w:color w:val="auto"/>
                <w:sz w:val="22"/>
                <w:szCs w:val="22"/>
                <w:highlight w:val="none"/>
              </w:rPr>
              <w:t>》之外的</w:t>
            </w:r>
            <w:r>
              <w:rPr>
                <w:rStyle w:val="16"/>
                <w:rFonts w:hint="eastAsia" w:ascii="宋体" w:hAnsi="宋体" w:eastAsia="宋体" w:cs="宋体"/>
                <w:i w:val="0"/>
                <w:iCs w:val="0"/>
                <w:color w:val="auto"/>
                <w:sz w:val="22"/>
                <w:szCs w:val="22"/>
                <w:highlight w:val="none"/>
                <w:lang w:val="en-US" w:eastAsia="zh-CN"/>
              </w:rPr>
              <w:t>小微</w:t>
            </w:r>
            <w:r>
              <w:rPr>
                <w:rStyle w:val="16"/>
                <w:rFonts w:hint="eastAsia" w:ascii="宋体" w:hAnsi="宋体" w:eastAsia="宋体" w:cs="宋体"/>
                <w:i w:val="0"/>
                <w:iCs w:val="0"/>
                <w:color w:val="auto"/>
                <w:sz w:val="22"/>
                <w:szCs w:val="22"/>
                <w:highlight w:val="none"/>
              </w:rPr>
              <w:t>企业身份证明文件。</w:t>
            </w:r>
          </w:p>
          <w:p w14:paraId="3B50B8C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3、在政府采购活动中，供应商提供的货物、工程或者服务符合下列情形的，享受本办法规定的中小企业扶持政策：</w:t>
            </w:r>
          </w:p>
          <w:p w14:paraId="059757D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（一）在货物采购项目中，货物由中小企业制造，即货物由中小企业生产且使用该中小企业商号或者注册商标；</w:t>
            </w:r>
          </w:p>
          <w:p w14:paraId="59C358D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（二）在工程采购项目中，工程由中小企业承建，即工程施工单位为中小企业；</w:t>
            </w:r>
          </w:p>
          <w:p w14:paraId="0FE98347">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（三）在服务采购项目中，服务由中小企业承接，即提供服务的人员为中小企业依照《中华人民共和国劳动合同法》订立劳动合同的从业人员。</w:t>
            </w:r>
          </w:p>
          <w:p w14:paraId="06F53B58">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4、在货物采购项目中，供应商提供的货物既有中小企业制造货物，也有大型企业制造货物的，不享受本办法规定的中小企业扶持政策。</w:t>
            </w:r>
          </w:p>
          <w:p w14:paraId="38D0471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5、以联合体形式参加政府采购活动，联合体各方均为中小企业的，联合体视同中小企业。其中，联合体各方均为小微企业的，联合体视同小微企业。</w:t>
            </w:r>
          </w:p>
          <w:p w14:paraId="029556CB">
            <w:pPr>
              <w:pStyle w:val="18"/>
              <w:spacing w:before="74" w:line="240" w:lineRule="auto"/>
              <w:ind w:leftChars="100" w:right="106"/>
              <w:jc w:val="left"/>
              <w:rPr>
                <w:rFonts w:hint="eastAsia" w:ascii="宋体" w:hAnsi="宋体" w:eastAsia="宋体" w:cs="宋体"/>
                <w:color w:val="auto"/>
                <w:sz w:val="24"/>
                <w:szCs w:val="24"/>
                <w:highlight w:val="none"/>
                <w:lang w:val="en-US" w:eastAsia="zh-CN"/>
              </w:rPr>
            </w:pPr>
          </w:p>
        </w:tc>
      </w:tr>
      <w:tr w14:paraId="2031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772" w:type="dxa"/>
            <w:vAlign w:val="center"/>
          </w:tcPr>
          <w:p w14:paraId="77C00AA6">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11</w:t>
            </w:r>
          </w:p>
        </w:tc>
        <w:tc>
          <w:tcPr>
            <w:tcW w:w="1543" w:type="dxa"/>
            <w:vAlign w:val="center"/>
          </w:tcPr>
          <w:p w14:paraId="7A037528">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项目采购标的对应的中小企业划分标准所属行业</w:t>
            </w:r>
          </w:p>
        </w:tc>
        <w:tc>
          <w:tcPr>
            <w:tcW w:w="8068" w:type="dxa"/>
            <w:vAlign w:val="center"/>
          </w:tcPr>
          <w:p w14:paraId="47E882BB">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4"/>
                <w:szCs w:val="24"/>
                <w:highlight w:val="none"/>
              </w:rPr>
            </w:pPr>
            <w:r>
              <w:rPr>
                <w:rStyle w:val="16"/>
                <w:rFonts w:hint="eastAsia" w:ascii="宋体" w:hAnsi="宋体" w:eastAsia="宋体" w:cs="宋体"/>
                <w:i w:val="0"/>
                <w:iCs w:val="0"/>
                <w:color w:val="auto"/>
                <w:sz w:val="22"/>
                <w:szCs w:val="22"/>
                <w:highlight w:val="none"/>
              </w:rPr>
              <w:t>该项目对应的中小企业划分标准所属行业：</w:t>
            </w:r>
            <w:r>
              <w:rPr>
                <w:rStyle w:val="16"/>
                <w:rFonts w:hint="eastAsia" w:ascii="宋体" w:hAnsi="宋体" w:cs="宋体"/>
                <w:b/>
                <w:bCs/>
                <w:i w:val="0"/>
                <w:iCs w:val="0"/>
                <w:color w:val="auto"/>
                <w:sz w:val="22"/>
                <w:szCs w:val="22"/>
                <w:highlight w:val="none"/>
                <w:lang w:val="en-US" w:eastAsia="zh-CN"/>
              </w:rPr>
              <w:t>工业</w:t>
            </w:r>
            <w:r>
              <w:rPr>
                <w:rStyle w:val="16"/>
                <w:rFonts w:hint="eastAsia" w:ascii="宋体" w:hAnsi="宋体" w:eastAsia="宋体" w:cs="宋体"/>
                <w:i w:val="0"/>
                <w:iCs w:val="0"/>
                <w:color w:val="auto"/>
                <w:sz w:val="22"/>
                <w:szCs w:val="22"/>
                <w:highlight w:val="none"/>
              </w:rPr>
              <w:t>【行业划分标准按《国民经济行业分类》执行。中小企业划分标准按《中小企业划型标准规定》（工信部联企业[2011]300号）文件规定执行。】详见附件</w:t>
            </w:r>
          </w:p>
        </w:tc>
      </w:tr>
      <w:tr w14:paraId="3851A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772" w:type="dxa"/>
            <w:vAlign w:val="center"/>
          </w:tcPr>
          <w:p w14:paraId="62A3985A">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12</w:t>
            </w:r>
          </w:p>
        </w:tc>
        <w:tc>
          <w:tcPr>
            <w:tcW w:w="1543" w:type="dxa"/>
            <w:vAlign w:val="center"/>
          </w:tcPr>
          <w:p w14:paraId="5225F4FC">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是否允许采购进口产品</w:t>
            </w:r>
          </w:p>
        </w:tc>
        <w:tc>
          <w:tcPr>
            <w:tcW w:w="8068" w:type="dxa"/>
            <w:vAlign w:val="center"/>
          </w:tcPr>
          <w:p w14:paraId="260CD5DB">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default" w:ascii="宋体" w:hAnsi="宋体" w:eastAsia="宋体" w:cs="宋体"/>
                <w:i w:val="0"/>
                <w:iCs w:val="0"/>
                <w:color w:val="auto"/>
                <w:sz w:val="24"/>
                <w:szCs w:val="24"/>
                <w:highlight w:val="none"/>
                <w:lang w:val="en-US" w:eastAsia="zh-CN"/>
              </w:rPr>
            </w:pPr>
            <w:r>
              <w:rPr>
                <w:rStyle w:val="16"/>
                <w:rFonts w:hint="eastAsia" w:ascii="宋体" w:hAnsi="宋体" w:eastAsia="宋体" w:cs="宋体"/>
                <w:i w:val="0"/>
                <w:iCs w:val="0"/>
                <w:color w:val="auto"/>
                <w:sz w:val="24"/>
                <w:szCs w:val="24"/>
                <w:highlight w:val="none"/>
              </w:rPr>
              <w:t>否</w:t>
            </w:r>
          </w:p>
        </w:tc>
      </w:tr>
      <w:tr w14:paraId="4FA63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5" w:hRule="atLeast"/>
        </w:trPr>
        <w:tc>
          <w:tcPr>
            <w:tcW w:w="772" w:type="dxa"/>
            <w:vAlign w:val="center"/>
          </w:tcPr>
          <w:p w14:paraId="312EBB88">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13</w:t>
            </w:r>
          </w:p>
        </w:tc>
        <w:tc>
          <w:tcPr>
            <w:tcW w:w="1543" w:type="dxa"/>
            <w:vAlign w:val="center"/>
          </w:tcPr>
          <w:p w14:paraId="17A9E9E0">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供应商资格要求</w:t>
            </w:r>
          </w:p>
        </w:tc>
        <w:tc>
          <w:tcPr>
            <w:tcW w:w="8068" w:type="dxa"/>
            <w:vAlign w:val="center"/>
          </w:tcPr>
          <w:p w14:paraId="0FD8CF4F">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1、满足《中华人民共和国政府采购法》第二十二条规定；</w:t>
            </w:r>
          </w:p>
          <w:p w14:paraId="5F9826B2">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①具有独立承担民事责任的能力；</w:t>
            </w:r>
          </w:p>
          <w:p w14:paraId="6160B678">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■供应商为法人或者其他组织的提供其营业执照等证明文件(如营业执照或者事业单位法人证书或者执业许可证等)，供应商为自然人的提供其身份证原件扫描件。</w:t>
            </w:r>
          </w:p>
          <w:p w14:paraId="2290F54F">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②具有良好的商业信誉和健全的财务会计制度；</w:t>
            </w:r>
          </w:p>
          <w:p w14:paraId="26A128C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■提供银行出具的近</w:t>
            </w:r>
            <w:r>
              <w:rPr>
                <w:rStyle w:val="16"/>
                <w:rFonts w:hint="eastAsia" w:ascii="宋体" w:hAnsi="宋体" w:cs="宋体"/>
                <w:i w:val="0"/>
                <w:iCs w:val="0"/>
                <w:color w:val="auto"/>
                <w:sz w:val="22"/>
                <w:szCs w:val="22"/>
                <w:highlight w:val="none"/>
                <w:lang w:val="en-US" w:eastAsia="zh-CN"/>
              </w:rPr>
              <w:t>1</w:t>
            </w:r>
            <w:r>
              <w:rPr>
                <w:rStyle w:val="16"/>
                <w:rFonts w:hint="eastAsia" w:ascii="宋体" w:hAnsi="宋体" w:eastAsia="宋体" w:cs="宋体"/>
                <w:i w:val="0"/>
                <w:iCs w:val="0"/>
                <w:color w:val="auto"/>
                <w:sz w:val="22"/>
                <w:szCs w:val="22"/>
                <w:highlight w:val="none"/>
              </w:rPr>
              <w:t>年内资信证明或</w:t>
            </w:r>
            <w:r>
              <w:rPr>
                <w:rStyle w:val="16"/>
                <w:rFonts w:hint="eastAsia" w:ascii="宋体" w:hAnsi="宋体" w:eastAsia="宋体" w:cs="宋体"/>
                <w:i w:val="0"/>
                <w:iCs w:val="0"/>
                <w:color w:val="auto"/>
                <w:sz w:val="22"/>
                <w:szCs w:val="22"/>
                <w:highlight w:val="none"/>
                <w:lang w:val="en-US" w:eastAsia="zh-CN"/>
              </w:rPr>
              <w:t>2024</w:t>
            </w:r>
            <w:r>
              <w:rPr>
                <w:rStyle w:val="16"/>
                <w:rFonts w:hint="eastAsia" w:ascii="宋体" w:hAnsi="宋体" w:eastAsia="宋体" w:cs="宋体"/>
                <w:i w:val="0"/>
                <w:iCs w:val="0"/>
                <w:color w:val="auto"/>
                <w:sz w:val="22"/>
                <w:szCs w:val="22"/>
                <w:highlight w:val="none"/>
              </w:rPr>
              <w:t>年度</w:t>
            </w:r>
            <w:r>
              <w:rPr>
                <w:rStyle w:val="16"/>
                <w:rFonts w:hint="eastAsia" w:ascii="宋体" w:hAnsi="宋体" w:eastAsia="宋体" w:cs="宋体"/>
                <w:i w:val="0"/>
                <w:iCs w:val="0"/>
                <w:color w:val="auto"/>
                <w:sz w:val="22"/>
                <w:szCs w:val="22"/>
                <w:highlight w:val="none"/>
                <w:lang w:eastAsia="zh-CN"/>
              </w:rPr>
              <w:t>、</w:t>
            </w:r>
            <w:r>
              <w:rPr>
                <w:rStyle w:val="16"/>
                <w:rFonts w:hint="eastAsia" w:ascii="宋体" w:hAnsi="宋体" w:eastAsia="宋体" w:cs="宋体"/>
                <w:i w:val="0"/>
                <w:iCs w:val="0"/>
                <w:color w:val="auto"/>
                <w:sz w:val="22"/>
                <w:szCs w:val="22"/>
                <w:highlight w:val="none"/>
                <w:lang w:val="en-US" w:eastAsia="zh-CN"/>
              </w:rPr>
              <w:t>2025年度任意一年</w:t>
            </w:r>
            <w:r>
              <w:rPr>
                <w:rStyle w:val="16"/>
                <w:rFonts w:hint="eastAsia" w:ascii="宋体" w:hAnsi="宋体" w:eastAsia="宋体" w:cs="宋体"/>
                <w:i w:val="0"/>
                <w:iCs w:val="0"/>
                <w:color w:val="auto"/>
                <w:sz w:val="22"/>
                <w:szCs w:val="22"/>
                <w:highlight w:val="none"/>
              </w:rPr>
              <w:t>经审计的财务报告，从取得营业执照时间起到响应文件提交截止时间为止不足一年的，为新成立企业，提供财务状况良好承诺函（格式自拟）；</w:t>
            </w:r>
          </w:p>
          <w:p w14:paraId="154CB04C">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③具有履行合同所必需的设备和专业技术能力，</w:t>
            </w:r>
          </w:p>
          <w:p w14:paraId="2B3BF6F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■提供具有履行合同所必需的设备和专业技术能力的承诺函（格式自拟）；</w:t>
            </w:r>
          </w:p>
          <w:p w14:paraId="4BD6422C">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④有依法缴纳税收和社会保障资金的良好</w:t>
            </w:r>
            <w:r>
              <w:rPr>
                <w:rStyle w:val="16"/>
                <w:rFonts w:hint="eastAsia" w:ascii="宋体" w:hAnsi="宋体" w:cs="宋体"/>
                <w:i w:val="0"/>
                <w:iCs w:val="0"/>
                <w:color w:val="auto"/>
                <w:sz w:val="22"/>
                <w:szCs w:val="22"/>
                <w:highlight w:val="none"/>
                <w:lang w:eastAsia="zh-CN"/>
              </w:rPr>
              <w:t>记录</w:t>
            </w:r>
            <w:r>
              <w:rPr>
                <w:rStyle w:val="16"/>
                <w:rFonts w:hint="eastAsia" w:ascii="宋体" w:hAnsi="宋体" w:eastAsia="宋体" w:cs="宋体"/>
                <w:i w:val="0"/>
                <w:iCs w:val="0"/>
                <w:color w:val="auto"/>
                <w:sz w:val="22"/>
                <w:szCs w:val="22"/>
                <w:highlight w:val="none"/>
              </w:rPr>
              <w:t xml:space="preserve"> ；</w:t>
            </w:r>
          </w:p>
          <w:p w14:paraId="192F6A72">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■提供近 12 个月内（任意 1 个月）已依法缴纳税收的凭据；</w:t>
            </w:r>
          </w:p>
          <w:p w14:paraId="389F01C8">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■提供近 12 个月内（任意 1 个月）已依法缴纳社会保险的凭据；依法免税或不需要缴纳社会保障资金的供应商，应提供相应证明文件；</w:t>
            </w:r>
          </w:p>
          <w:p w14:paraId="3D247F92">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本项目供应商应为中小企业或大型企业以合同分包形式参与采购活动，获得采购合同的供应商将采购项目中的40%分包给一家或多家中小企业，其中小微企业承担部分达到70%。</w:t>
            </w:r>
          </w:p>
          <w:p w14:paraId="2825506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rPr>
              <w:t>3、特定资格要求：</w:t>
            </w:r>
            <w:r>
              <w:rPr>
                <w:rStyle w:val="16"/>
                <w:rFonts w:hint="eastAsia" w:ascii="宋体" w:hAnsi="宋体" w:cs="宋体"/>
                <w:i w:val="0"/>
                <w:iCs w:val="0"/>
                <w:color w:val="auto"/>
                <w:sz w:val="22"/>
                <w:szCs w:val="22"/>
                <w:highlight w:val="none"/>
                <w:lang w:val="en-US" w:eastAsia="zh-CN"/>
              </w:rPr>
              <w:t>/</w:t>
            </w:r>
          </w:p>
          <w:p w14:paraId="04864003">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4、参加政府采购活动前三年内，在经营活动中没有重大违法记录（须提供书面声明(供应商自行承诺并承担后果，声明不实的，按《政府采购法》及相关法律法规 中提供虚假材料的有关规定处理）；</w:t>
            </w:r>
          </w:p>
          <w:p w14:paraId="0A36E9EC">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5、单位负责人为同一人或者存在直接控股、管理关系的不同投标人，不得参加同一合同项下的政府采购活动；</w:t>
            </w:r>
          </w:p>
          <w:p w14:paraId="62655F67">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6、本项目不接受联合体投标；</w:t>
            </w:r>
          </w:p>
          <w:p w14:paraId="6C983AF7">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7、法律、行政法规规定的其他条件。</w:t>
            </w:r>
          </w:p>
        </w:tc>
      </w:tr>
      <w:tr w14:paraId="723CE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72" w:type="dxa"/>
            <w:vAlign w:val="center"/>
          </w:tcPr>
          <w:p w14:paraId="10C67B96">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14</w:t>
            </w:r>
          </w:p>
        </w:tc>
        <w:tc>
          <w:tcPr>
            <w:tcW w:w="1543" w:type="dxa"/>
            <w:vAlign w:val="center"/>
          </w:tcPr>
          <w:p w14:paraId="6FCFD8F4">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供应商信用情况</w:t>
            </w:r>
          </w:p>
        </w:tc>
        <w:tc>
          <w:tcPr>
            <w:tcW w:w="8068" w:type="dxa"/>
            <w:vAlign w:val="center"/>
          </w:tcPr>
          <w:p w14:paraId="3E216C9F">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79D3CD02">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2、查询渠道：由审查小组在“政采云”平台“信用中国”网站(www.creditchina.gov.cn)、中国政府采购网(www.ccgp.gov.cn)链接入口查询。</w:t>
            </w:r>
          </w:p>
          <w:p w14:paraId="6C09AA73">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3、信用查询截止时点：资格审查结束前。</w:t>
            </w:r>
          </w:p>
          <w:p w14:paraId="7B4A5769">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4、查询记录和证据留存方式：在查询网站中直接打印查询记录。</w:t>
            </w:r>
          </w:p>
        </w:tc>
      </w:tr>
      <w:tr w14:paraId="51B0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72" w:type="dxa"/>
            <w:vAlign w:val="center"/>
          </w:tcPr>
          <w:p w14:paraId="13F4A4E1">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15</w:t>
            </w:r>
          </w:p>
        </w:tc>
        <w:tc>
          <w:tcPr>
            <w:tcW w:w="1543" w:type="dxa"/>
            <w:vAlign w:val="center"/>
          </w:tcPr>
          <w:p w14:paraId="2DC8CDB9">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资格证明文件组成</w:t>
            </w:r>
          </w:p>
        </w:tc>
        <w:tc>
          <w:tcPr>
            <w:tcW w:w="8068" w:type="dxa"/>
            <w:vAlign w:val="center"/>
          </w:tcPr>
          <w:p w14:paraId="37231B25">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1、具有独立承担民事责任的能力；(</w:t>
            </w:r>
            <w:r>
              <w:rPr>
                <w:rStyle w:val="16"/>
                <w:rFonts w:hint="eastAsia" w:ascii="宋体" w:hAnsi="宋体" w:eastAsia="宋体" w:cs="宋体"/>
                <w:b/>
                <w:bCs/>
                <w:i w:val="0"/>
                <w:iCs w:val="0"/>
                <w:color w:val="auto"/>
                <w:sz w:val="22"/>
                <w:szCs w:val="22"/>
                <w:highlight w:val="none"/>
              </w:rPr>
              <w:t>必须提供，否则响应文件按无效响应处理)</w:t>
            </w:r>
          </w:p>
          <w:p w14:paraId="32EA3903">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■供应商为法人或者其他组织的提供其营业执照等证明文件(如营业执照或者事业单位法人证书或者执业许可证等)，供应商为自然人的提供其身份证原件扫描件。</w:t>
            </w:r>
          </w:p>
          <w:p w14:paraId="6C7E83D8">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2、具有良好的商业信誉和健全的财务会计制度；</w:t>
            </w:r>
            <w:r>
              <w:rPr>
                <w:rStyle w:val="16"/>
                <w:rFonts w:hint="eastAsia" w:ascii="宋体" w:hAnsi="宋体" w:eastAsia="宋体" w:cs="宋体"/>
                <w:b/>
                <w:bCs/>
                <w:i w:val="0"/>
                <w:iCs w:val="0"/>
                <w:color w:val="auto"/>
                <w:sz w:val="22"/>
                <w:szCs w:val="22"/>
                <w:highlight w:val="none"/>
              </w:rPr>
              <w:t>(必须提供，否则响应文件按无 效响应处理)</w:t>
            </w:r>
          </w:p>
          <w:p w14:paraId="4765F6A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■提供银行出具的近 1 年内资信证明或</w:t>
            </w:r>
            <w:r>
              <w:rPr>
                <w:rStyle w:val="16"/>
                <w:rFonts w:hint="eastAsia" w:ascii="宋体" w:hAnsi="宋体" w:eastAsia="宋体" w:cs="宋体"/>
                <w:i w:val="0"/>
                <w:iCs w:val="0"/>
                <w:color w:val="auto"/>
                <w:sz w:val="22"/>
                <w:szCs w:val="22"/>
                <w:highlight w:val="none"/>
                <w:lang w:val="en-US" w:eastAsia="zh-CN"/>
              </w:rPr>
              <w:t>2024</w:t>
            </w:r>
            <w:r>
              <w:rPr>
                <w:rStyle w:val="16"/>
                <w:rFonts w:hint="eastAsia" w:ascii="宋体" w:hAnsi="宋体" w:eastAsia="宋体" w:cs="宋体"/>
                <w:i w:val="0"/>
                <w:iCs w:val="0"/>
                <w:color w:val="auto"/>
                <w:sz w:val="22"/>
                <w:szCs w:val="22"/>
                <w:highlight w:val="none"/>
              </w:rPr>
              <w:t>年度</w:t>
            </w:r>
            <w:r>
              <w:rPr>
                <w:rStyle w:val="16"/>
                <w:rFonts w:hint="eastAsia" w:ascii="宋体" w:hAnsi="宋体" w:eastAsia="宋体" w:cs="宋体"/>
                <w:i w:val="0"/>
                <w:iCs w:val="0"/>
                <w:color w:val="auto"/>
                <w:sz w:val="22"/>
                <w:szCs w:val="22"/>
                <w:highlight w:val="none"/>
                <w:lang w:eastAsia="zh-CN"/>
              </w:rPr>
              <w:t>、</w:t>
            </w:r>
            <w:r>
              <w:rPr>
                <w:rStyle w:val="16"/>
                <w:rFonts w:hint="eastAsia" w:ascii="宋体" w:hAnsi="宋体" w:eastAsia="宋体" w:cs="宋体"/>
                <w:i w:val="0"/>
                <w:iCs w:val="0"/>
                <w:color w:val="auto"/>
                <w:sz w:val="22"/>
                <w:szCs w:val="22"/>
                <w:highlight w:val="none"/>
                <w:lang w:val="en-US" w:eastAsia="zh-CN"/>
              </w:rPr>
              <w:t>2025年度任意一年</w:t>
            </w:r>
            <w:r>
              <w:rPr>
                <w:rStyle w:val="16"/>
                <w:rFonts w:hint="eastAsia" w:ascii="宋体" w:hAnsi="宋体" w:eastAsia="宋体" w:cs="宋体"/>
                <w:i w:val="0"/>
                <w:iCs w:val="0"/>
                <w:color w:val="auto"/>
                <w:sz w:val="22"/>
                <w:szCs w:val="22"/>
                <w:highlight w:val="none"/>
              </w:rPr>
              <w:t>经审计的财务报告，从取得营业执照时间起到响应文件提交截止时间为止不足一年的，为新成立企业，提供财务状况良好承诺函（格式自拟）；</w:t>
            </w:r>
          </w:p>
          <w:p w14:paraId="0CDF16B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3、具有履行合同所必需的设备和专业技术能力，</w:t>
            </w:r>
            <w:r>
              <w:rPr>
                <w:rStyle w:val="16"/>
                <w:rFonts w:hint="eastAsia" w:ascii="宋体" w:hAnsi="宋体" w:eastAsia="宋体" w:cs="宋体"/>
                <w:b/>
                <w:bCs/>
                <w:i w:val="0"/>
                <w:iCs w:val="0"/>
                <w:color w:val="auto"/>
                <w:sz w:val="22"/>
                <w:szCs w:val="22"/>
                <w:highlight w:val="none"/>
              </w:rPr>
              <w:t>(必须提供，否则响应文件按无效响应处理)</w:t>
            </w:r>
          </w:p>
          <w:p w14:paraId="68134FB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■提供具有履行合同所必需的设备和专业技术能力的承诺函（格式自拟）</w:t>
            </w:r>
          </w:p>
          <w:p w14:paraId="675FEA4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4、有依法缴纳税收和社会保障资金的良好</w:t>
            </w:r>
            <w:r>
              <w:rPr>
                <w:rStyle w:val="16"/>
                <w:rFonts w:hint="eastAsia" w:ascii="宋体" w:hAnsi="宋体" w:cs="宋体"/>
                <w:i w:val="0"/>
                <w:iCs w:val="0"/>
                <w:color w:val="auto"/>
                <w:sz w:val="22"/>
                <w:szCs w:val="22"/>
                <w:highlight w:val="none"/>
                <w:lang w:eastAsia="zh-CN"/>
              </w:rPr>
              <w:t>记录</w:t>
            </w:r>
            <w:r>
              <w:rPr>
                <w:rStyle w:val="16"/>
                <w:rFonts w:hint="eastAsia" w:ascii="宋体" w:hAnsi="宋体" w:eastAsia="宋体" w:cs="宋体"/>
                <w:i w:val="0"/>
                <w:iCs w:val="0"/>
                <w:color w:val="auto"/>
                <w:sz w:val="22"/>
                <w:szCs w:val="22"/>
                <w:highlight w:val="none"/>
              </w:rPr>
              <w:t>；</w:t>
            </w:r>
            <w:r>
              <w:rPr>
                <w:rStyle w:val="16"/>
                <w:rFonts w:hint="eastAsia" w:ascii="宋体" w:hAnsi="宋体" w:eastAsia="宋体" w:cs="宋体"/>
                <w:b/>
                <w:bCs/>
                <w:i w:val="0"/>
                <w:iCs w:val="0"/>
                <w:color w:val="auto"/>
                <w:sz w:val="22"/>
                <w:szCs w:val="22"/>
                <w:highlight w:val="none"/>
              </w:rPr>
              <w:t>(必须提供，否则响应文件按无效响应处理)</w:t>
            </w:r>
          </w:p>
          <w:p w14:paraId="31E05447">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■提供近 12 个月内（任意 1 个月）已依法缴纳税收的凭据；</w:t>
            </w:r>
          </w:p>
          <w:p w14:paraId="2467697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■提供近 12 个月内（任意 1 个月）已依法缴纳社会保险的凭据；依法免税或不需要缴纳社会保障资金的供应商，应提供相应证明文件。</w:t>
            </w:r>
          </w:p>
          <w:p w14:paraId="3C05909F">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rPr>
              <w:t>5、</w:t>
            </w:r>
            <w:r>
              <w:rPr>
                <w:rStyle w:val="16"/>
                <w:rFonts w:hint="eastAsia" w:ascii="宋体" w:hAnsi="宋体" w:eastAsia="宋体" w:cs="宋体"/>
                <w:i w:val="0"/>
                <w:iCs w:val="0"/>
                <w:color w:val="auto"/>
                <w:sz w:val="22"/>
                <w:szCs w:val="22"/>
                <w:highlight w:val="none"/>
                <w:lang w:eastAsia="zh-CN"/>
              </w:rPr>
              <w:t>（</w:t>
            </w:r>
            <w:r>
              <w:rPr>
                <w:rStyle w:val="16"/>
                <w:rFonts w:hint="eastAsia" w:ascii="宋体" w:hAnsi="宋体" w:eastAsia="宋体" w:cs="宋体"/>
                <w:i w:val="0"/>
                <w:iCs w:val="0"/>
                <w:color w:val="auto"/>
                <w:sz w:val="22"/>
                <w:szCs w:val="22"/>
                <w:highlight w:val="none"/>
                <w:lang w:val="en-US" w:eastAsia="zh-CN"/>
              </w:rPr>
              <w:t>1</w:t>
            </w:r>
            <w:r>
              <w:rPr>
                <w:rStyle w:val="16"/>
                <w:rFonts w:hint="eastAsia" w:ascii="宋体" w:hAnsi="宋体" w:eastAsia="宋体" w:cs="宋体"/>
                <w:i w:val="0"/>
                <w:iCs w:val="0"/>
                <w:color w:val="auto"/>
                <w:sz w:val="22"/>
                <w:szCs w:val="22"/>
                <w:highlight w:val="none"/>
                <w:lang w:eastAsia="zh-CN"/>
              </w:rPr>
              <w:t>）</w:t>
            </w:r>
            <w:r>
              <w:rPr>
                <w:rStyle w:val="16"/>
                <w:rFonts w:hint="eastAsia" w:ascii="宋体" w:hAnsi="宋体" w:eastAsia="宋体" w:cs="宋体"/>
                <w:i w:val="0"/>
                <w:iCs w:val="0"/>
                <w:color w:val="auto"/>
                <w:sz w:val="22"/>
                <w:szCs w:val="22"/>
                <w:highlight w:val="none"/>
                <w:lang w:val="en-US" w:eastAsia="zh-CN"/>
              </w:rPr>
              <w:t>供应商应为小微企业的，请根据要求单独上传《中小企业声明函》。格式以采购文件要求为准。</w:t>
            </w:r>
          </w:p>
          <w:p w14:paraId="38152D4B">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lang w:val="en-US" w:eastAsia="zh-CN"/>
              </w:rPr>
              <w:t>（2）供应商为大中型企业的。请根据要求单独上传《分包意向协议》及《中小企业声明函》，并在分包意向协议中进行相关比例说明。（分包意向协议格式自拟）</w:t>
            </w:r>
            <w:r>
              <w:rPr>
                <w:rStyle w:val="16"/>
                <w:rFonts w:hint="eastAsia" w:ascii="宋体" w:hAnsi="宋体" w:eastAsia="宋体" w:cs="宋体"/>
                <w:i w:val="0"/>
                <w:iCs w:val="0"/>
                <w:color w:val="auto"/>
                <w:sz w:val="22"/>
                <w:szCs w:val="22"/>
                <w:highlight w:val="none"/>
              </w:rPr>
              <w:t>或者残疾人福利性单位声明函或者省级以上JY管理局、戒毒管理局（含新疆生产建设兵团）出具的属于JY企业的证明文件；</w:t>
            </w:r>
            <w:r>
              <w:rPr>
                <w:rStyle w:val="16"/>
                <w:rFonts w:hint="eastAsia" w:ascii="宋体" w:hAnsi="宋体" w:eastAsia="宋体" w:cs="宋体"/>
                <w:b/>
                <w:bCs/>
                <w:i w:val="0"/>
                <w:iCs w:val="0"/>
                <w:color w:val="auto"/>
                <w:sz w:val="22"/>
                <w:szCs w:val="22"/>
                <w:highlight w:val="none"/>
              </w:rPr>
              <w:t>(必须提供，否则响应文件按无效响应处理)</w:t>
            </w:r>
          </w:p>
          <w:p w14:paraId="2C3363F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6、特定资格要求：</w:t>
            </w:r>
          </w:p>
          <w:p w14:paraId="33383F4E">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■供应商需提供有效期内的</w:t>
            </w:r>
            <w:r>
              <w:rPr>
                <w:rStyle w:val="16"/>
                <w:rFonts w:hint="eastAsia" w:ascii="宋体" w:hAnsi="宋体" w:cs="宋体"/>
                <w:i w:val="0"/>
                <w:iCs w:val="0"/>
                <w:color w:val="auto"/>
                <w:sz w:val="22"/>
                <w:szCs w:val="22"/>
                <w:highlight w:val="none"/>
                <w:lang w:val="en-US" w:eastAsia="zh-CN"/>
              </w:rPr>
              <w:t>营业执照</w:t>
            </w:r>
            <w:r>
              <w:rPr>
                <w:rStyle w:val="16"/>
                <w:rFonts w:hint="eastAsia" w:ascii="宋体" w:hAnsi="宋体" w:eastAsia="宋体" w:cs="宋体"/>
                <w:b/>
                <w:bCs/>
                <w:i w:val="0"/>
                <w:iCs w:val="0"/>
                <w:color w:val="auto"/>
                <w:sz w:val="22"/>
                <w:szCs w:val="22"/>
                <w:highlight w:val="none"/>
              </w:rPr>
              <w:t>(必须提供，否则响应文件按无效响应处理)</w:t>
            </w:r>
          </w:p>
          <w:p w14:paraId="654232D2">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7、参加政府采购活动前三年内，在经营活动中没有重大违法记录</w:t>
            </w:r>
          </w:p>
          <w:p w14:paraId="3C02998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■须提供书面声明(供应商自行承诺并承担后果，声明不实的，按《政府采购法》及相关法律法规中提供虚假材料的有关规定处理。</w:t>
            </w:r>
            <w:r>
              <w:rPr>
                <w:rStyle w:val="16"/>
                <w:rFonts w:hint="eastAsia" w:ascii="宋体" w:hAnsi="宋体" w:eastAsia="宋体" w:cs="宋体"/>
                <w:b/>
                <w:bCs/>
                <w:i w:val="0"/>
                <w:iCs w:val="0"/>
                <w:color w:val="auto"/>
                <w:sz w:val="22"/>
                <w:szCs w:val="22"/>
                <w:highlight w:val="none"/>
              </w:rPr>
              <w:t>(必须提供，否则响应文件按无效响应处理)</w:t>
            </w:r>
          </w:p>
          <w:p w14:paraId="2D22D9BB">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8、单位负责人为同一人或者存在直接控股、管理关系的不同投标人，不得参加同一合同项下的政府采购活动；</w:t>
            </w:r>
            <w:r>
              <w:rPr>
                <w:rStyle w:val="16"/>
                <w:rFonts w:hint="eastAsia" w:ascii="宋体" w:hAnsi="宋体" w:eastAsia="宋体" w:cs="宋体"/>
                <w:b/>
                <w:bCs/>
                <w:i w:val="0"/>
                <w:iCs w:val="0"/>
                <w:color w:val="auto"/>
                <w:sz w:val="22"/>
                <w:szCs w:val="22"/>
                <w:highlight w:val="none"/>
              </w:rPr>
              <w:t>(必须提供，否则响应文件按无效响应处理)</w:t>
            </w:r>
          </w:p>
          <w:p w14:paraId="3B4CFF15">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■供应商直接控股、管理关系信息表；</w:t>
            </w:r>
          </w:p>
          <w:p w14:paraId="6147884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9、除采购文件规定必须提供以外，供应商认为需要提供的其他证明材料；</w:t>
            </w:r>
          </w:p>
          <w:p w14:paraId="6204259B">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以上标明“</w:t>
            </w:r>
            <w:r>
              <w:rPr>
                <w:rStyle w:val="16"/>
                <w:rFonts w:hint="eastAsia" w:ascii="宋体" w:hAnsi="宋体" w:eastAsia="宋体" w:cs="宋体"/>
                <w:b/>
                <w:bCs/>
                <w:i w:val="0"/>
                <w:iCs w:val="0"/>
                <w:color w:val="auto"/>
                <w:sz w:val="22"/>
                <w:szCs w:val="22"/>
                <w:highlight w:val="none"/>
              </w:rPr>
              <w:t>必须提供</w:t>
            </w:r>
            <w:r>
              <w:rPr>
                <w:rStyle w:val="16"/>
                <w:rFonts w:hint="eastAsia" w:ascii="宋体" w:hAnsi="宋体" w:eastAsia="宋体" w:cs="宋体"/>
                <w:i w:val="0"/>
                <w:iCs w:val="0"/>
                <w:color w:val="auto"/>
                <w:sz w:val="22"/>
                <w:szCs w:val="22"/>
                <w:highlight w:val="none"/>
              </w:rPr>
              <w:t>”的材料属于复印件的扫描件的，必须加盖供应商电子公章，否则响应文件按无效响应处理。</w:t>
            </w:r>
          </w:p>
        </w:tc>
      </w:tr>
      <w:tr w14:paraId="02BD8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vAlign w:val="center"/>
          </w:tcPr>
          <w:p w14:paraId="7440215B">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16</w:t>
            </w:r>
          </w:p>
        </w:tc>
        <w:tc>
          <w:tcPr>
            <w:tcW w:w="1543" w:type="dxa"/>
            <w:vAlign w:val="center"/>
          </w:tcPr>
          <w:p w14:paraId="51B253B6">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商务技术文件组成</w:t>
            </w:r>
          </w:p>
        </w:tc>
        <w:tc>
          <w:tcPr>
            <w:tcW w:w="8068" w:type="dxa"/>
            <w:vAlign w:val="center"/>
          </w:tcPr>
          <w:p w14:paraId="0F0B421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1、无串标行为承诺函(必须提供，否则响应文件按无效响应处理)</w:t>
            </w:r>
          </w:p>
          <w:p w14:paraId="69041AC5">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2、法定代表人身份证明及法定代表人有效身份证正反面复印件(除自然人投标外必须提供，否则响应文件按无效响应处理)</w:t>
            </w:r>
          </w:p>
          <w:p w14:paraId="69172CBC">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3、法定代表人授权委托书(委托时必须提供，否则响应文件按无效响应处理)</w:t>
            </w:r>
          </w:p>
          <w:p w14:paraId="4BD6DE6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4、采购需求偏离表(必须提供，否则响应文件按无效响应处理)</w:t>
            </w:r>
          </w:p>
          <w:p w14:paraId="7DBFDDD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5、供应商情况介绍</w:t>
            </w:r>
          </w:p>
          <w:p w14:paraId="0914EB22">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6、供应商类似业绩的证明文件</w:t>
            </w:r>
          </w:p>
          <w:p w14:paraId="263660A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7、项目</w:t>
            </w:r>
            <w:r>
              <w:rPr>
                <w:rStyle w:val="16"/>
                <w:rFonts w:hint="eastAsia" w:ascii="宋体" w:hAnsi="宋体" w:cs="宋体"/>
                <w:i w:val="0"/>
                <w:iCs w:val="0"/>
                <w:color w:val="auto"/>
                <w:sz w:val="22"/>
                <w:szCs w:val="22"/>
                <w:highlight w:val="none"/>
                <w:lang w:val="en-US" w:eastAsia="zh-CN"/>
              </w:rPr>
              <w:t>团队</w:t>
            </w:r>
            <w:r>
              <w:rPr>
                <w:rStyle w:val="16"/>
                <w:rFonts w:hint="eastAsia" w:ascii="宋体" w:hAnsi="宋体" w:eastAsia="宋体" w:cs="宋体"/>
                <w:i w:val="0"/>
                <w:iCs w:val="0"/>
                <w:color w:val="auto"/>
                <w:sz w:val="22"/>
                <w:szCs w:val="22"/>
                <w:highlight w:val="none"/>
                <w:lang w:val="en-US" w:eastAsia="zh-CN"/>
              </w:rPr>
              <w:t>人员一览表</w:t>
            </w:r>
          </w:p>
          <w:p w14:paraId="691099C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8、技术方案（供应商应按照招标文件“采购需求”中的要求、以及“详细评审”相关内容自行编写。方案须条理清晰、突出重点、科学合理、细致周到。详尽、易于理解、评审和富于建设性的服务方案将在评标时具有优势。）</w:t>
            </w:r>
          </w:p>
          <w:p w14:paraId="2D80D767">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9、除采购文件规定必须提供以外，供应商认为需要提供的其他证明材料</w:t>
            </w:r>
          </w:p>
          <w:p w14:paraId="64D9DCC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注：</w:t>
            </w:r>
          </w:p>
          <w:p w14:paraId="3B2A900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1.法定代表人授权委托书必须由法定代表人及委托代理人签字，并加盖供应商公章，否则响应文件按无效响应处理。</w:t>
            </w:r>
          </w:p>
          <w:p w14:paraId="6D2550A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lang w:val="en-US" w:eastAsia="zh-CN"/>
              </w:rPr>
              <w:t>2.以上标明“必须提供”的材料属于复印件的扫描件的，必须加盖供应商电子公章，否则响应文件按无效响应处理。</w:t>
            </w:r>
          </w:p>
        </w:tc>
      </w:tr>
      <w:tr w14:paraId="7A8AA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772" w:type="dxa"/>
            <w:vAlign w:val="center"/>
          </w:tcPr>
          <w:p w14:paraId="77EAE33B">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17</w:t>
            </w:r>
          </w:p>
        </w:tc>
        <w:tc>
          <w:tcPr>
            <w:tcW w:w="1543" w:type="dxa"/>
            <w:vAlign w:val="center"/>
          </w:tcPr>
          <w:p w14:paraId="262495DB">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报价文件组成</w:t>
            </w:r>
          </w:p>
        </w:tc>
        <w:tc>
          <w:tcPr>
            <w:tcW w:w="8068" w:type="dxa"/>
            <w:vAlign w:val="center"/>
          </w:tcPr>
          <w:p w14:paraId="66B5C943">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1.响应函；</w:t>
            </w:r>
            <w:r>
              <w:rPr>
                <w:rStyle w:val="16"/>
                <w:rFonts w:hint="eastAsia" w:ascii="宋体" w:hAnsi="宋体" w:eastAsia="宋体" w:cs="宋体"/>
                <w:b/>
                <w:bCs/>
                <w:i w:val="0"/>
                <w:iCs w:val="0"/>
                <w:color w:val="auto"/>
                <w:sz w:val="22"/>
                <w:szCs w:val="22"/>
                <w:highlight w:val="none"/>
              </w:rPr>
              <w:t>(必须提供，否则作无效响应处理)</w:t>
            </w:r>
          </w:p>
          <w:p w14:paraId="5A34D49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b/>
                <w:bCs/>
                <w:i w:val="0"/>
                <w:iCs w:val="0"/>
                <w:color w:val="auto"/>
                <w:sz w:val="22"/>
                <w:szCs w:val="22"/>
                <w:highlight w:val="none"/>
              </w:rPr>
            </w:pPr>
            <w:r>
              <w:rPr>
                <w:rStyle w:val="16"/>
                <w:rFonts w:hint="eastAsia" w:ascii="宋体" w:hAnsi="宋体" w:eastAsia="宋体" w:cs="宋体"/>
                <w:i w:val="0"/>
                <w:iCs w:val="0"/>
                <w:color w:val="auto"/>
                <w:sz w:val="22"/>
                <w:szCs w:val="22"/>
                <w:highlight w:val="none"/>
              </w:rPr>
              <w:t>2.响应报价表；</w:t>
            </w:r>
            <w:r>
              <w:rPr>
                <w:rStyle w:val="16"/>
                <w:rFonts w:hint="eastAsia" w:ascii="宋体" w:hAnsi="宋体" w:eastAsia="宋体" w:cs="宋体"/>
                <w:b/>
                <w:bCs/>
                <w:i w:val="0"/>
                <w:iCs w:val="0"/>
                <w:color w:val="auto"/>
                <w:sz w:val="22"/>
                <w:szCs w:val="22"/>
                <w:highlight w:val="none"/>
              </w:rPr>
              <w:t>(必须提供，否则响应文件按无效响应处理)</w:t>
            </w:r>
          </w:p>
          <w:p w14:paraId="65E1227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上述材料必须在规定盖章处加盖供应商公章，否则作无效响应处理。</w:t>
            </w:r>
          </w:p>
        </w:tc>
      </w:tr>
      <w:tr w14:paraId="2929E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7" w:hRule="atLeast"/>
        </w:trPr>
        <w:tc>
          <w:tcPr>
            <w:tcW w:w="772" w:type="dxa"/>
            <w:vAlign w:val="center"/>
          </w:tcPr>
          <w:p w14:paraId="36863097">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18</w:t>
            </w:r>
          </w:p>
        </w:tc>
        <w:tc>
          <w:tcPr>
            <w:tcW w:w="1543" w:type="dxa"/>
            <w:vAlign w:val="center"/>
          </w:tcPr>
          <w:p w14:paraId="4C3FEEF7">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投标报价要求</w:t>
            </w:r>
          </w:p>
        </w:tc>
        <w:tc>
          <w:tcPr>
            <w:tcW w:w="8068" w:type="dxa"/>
            <w:vAlign w:val="center"/>
          </w:tcPr>
          <w:p w14:paraId="601A7A7E">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default" w:ascii="宋体" w:hAnsi="宋体" w:eastAsia="宋体" w:cs="宋体"/>
                <w:i w:val="0"/>
                <w:iCs w:val="0"/>
                <w:color w:val="auto"/>
                <w:sz w:val="22"/>
                <w:szCs w:val="22"/>
                <w:highlight w:val="none"/>
                <w:lang w:val="en-US" w:eastAsia="zh-CN"/>
              </w:rPr>
            </w:pPr>
            <w:bookmarkStart w:id="25" w:name="OLE_LINK4"/>
            <w:r>
              <w:rPr>
                <w:rStyle w:val="16"/>
                <w:rFonts w:hint="eastAsia" w:ascii="宋体" w:hAnsi="宋体" w:eastAsia="宋体" w:cs="宋体"/>
                <w:i w:val="0"/>
                <w:iCs w:val="0"/>
                <w:color w:val="0000FF"/>
                <w:sz w:val="22"/>
                <w:szCs w:val="22"/>
                <w:highlight w:val="none"/>
              </w:rPr>
              <w:t>投标报价是履行合同的最终价格，</w:t>
            </w:r>
            <w:r>
              <w:rPr>
                <w:rStyle w:val="16"/>
                <w:rFonts w:hint="eastAsia" w:ascii="宋体" w:hAnsi="宋体" w:eastAsia="宋体" w:cs="宋体"/>
                <w:i w:val="0"/>
                <w:iCs w:val="0"/>
                <w:snapToGrid/>
                <w:color w:val="0000FF"/>
                <w:kern w:val="2"/>
                <w:sz w:val="22"/>
                <w:szCs w:val="22"/>
                <w:highlight w:val="none"/>
                <w:lang w:val="en-US" w:eastAsia="zh-CN" w:bidi="ar-SA"/>
              </w:rPr>
              <w:t>单价包括</w:t>
            </w:r>
            <w:bookmarkEnd w:id="25"/>
            <w:r>
              <w:rPr>
                <w:rStyle w:val="16"/>
                <w:rFonts w:hint="eastAsia" w:ascii="宋体" w:hAnsi="宋体" w:eastAsia="宋体" w:cs="宋体"/>
                <w:i w:val="0"/>
                <w:iCs w:val="0"/>
                <w:color w:val="0000FF"/>
                <w:sz w:val="22"/>
                <w:szCs w:val="22"/>
                <w:highlight w:val="none"/>
                <w:lang w:eastAsia="zh-CN"/>
              </w:rPr>
              <w:t>包括设备的供货、运输、</w:t>
            </w:r>
            <w:r>
              <w:rPr>
                <w:rStyle w:val="16"/>
                <w:rFonts w:hint="eastAsia" w:ascii="宋体" w:hAnsi="宋体" w:cs="宋体"/>
                <w:i w:val="0"/>
                <w:iCs w:val="0"/>
                <w:color w:val="0000FF"/>
                <w:sz w:val="22"/>
                <w:szCs w:val="22"/>
                <w:highlight w:val="none"/>
                <w:lang w:val="en-US" w:eastAsia="zh-CN"/>
              </w:rPr>
              <w:t>储藏、</w:t>
            </w:r>
            <w:r>
              <w:rPr>
                <w:rStyle w:val="16"/>
                <w:rFonts w:hint="eastAsia" w:ascii="宋体" w:hAnsi="宋体" w:eastAsia="宋体" w:cs="宋体"/>
                <w:i w:val="0"/>
                <w:iCs w:val="0"/>
                <w:color w:val="0000FF"/>
                <w:sz w:val="22"/>
                <w:szCs w:val="22"/>
                <w:highlight w:val="none"/>
                <w:lang w:eastAsia="zh-CN"/>
              </w:rPr>
              <w:t xml:space="preserve">保险、安装调试、 </w:t>
            </w:r>
            <w:r>
              <w:rPr>
                <w:rStyle w:val="16"/>
                <w:rFonts w:hint="eastAsia" w:ascii="宋体" w:hAnsi="宋体" w:cs="宋体"/>
                <w:i w:val="0"/>
                <w:iCs w:val="0"/>
                <w:color w:val="0000FF"/>
                <w:sz w:val="22"/>
                <w:szCs w:val="22"/>
                <w:highlight w:val="none"/>
                <w:lang w:val="en-US" w:eastAsia="zh-CN"/>
              </w:rPr>
              <w:t>检测、</w:t>
            </w:r>
            <w:r>
              <w:rPr>
                <w:rStyle w:val="16"/>
                <w:rFonts w:hint="eastAsia" w:ascii="宋体" w:hAnsi="宋体" w:eastAsia="宋体" w:cs="宋体"/>
                <w:i w:val="0"/>
                <w:iCs w:val="0"/>
                <w:color w:val="0000FF"/>
                <w:sz w:val="22"/>
                <w:szCs w:val="22"/>
                <w:highlight w:val="none"/>
                <w:lang w:eastAsia="zh-CN"/>
              </w:rPr>
              <w:t>验收、运行试车、技术培训、售后服务、</w:t>
            </w:r>
            <w:r>
              <w:rPr>
                <w:rStyle w:val="16"/>
                <w:rFonts w:hint="eastAsia" w:ascii="宋体" w:hAnsi="宋体" w:cs="宋体"/>
                <w:i w:val="0"/>
                <w:iCs w:val="0"/>
                <w:color w:val="0000FF"/>
                <w:sz w:val="22"/>
                <w:szCs w:val="22"/>
                <w:highlight w:val="none"/>
                <w:lang w:val="en-US" w:eastAsia="zh-CN"/>
              </w:rPr>
              <w:t>税金、利润</w:t>
            </w:r>
            <w:r>
              <w:rPr>
                <w:rStyle w:val="16"/>
                <w:rFonts w:hint="eastAsia" w:ascii="宋体" w:hAnsi="宋体" w:eastAsia="宋体" w:cs="宋体"/>
                <w:i w:val="0"/>
                <w:iCs w:val="0"/>
                <w:color w:val="0000FF"/>
                <w:sz w:val="22"/>
                <w:szCs w:val="22"/>
                <w:highlight w:val="none"/>
                <w:lang w:eastAsia="zh-CN"/>
              </w:rPr>
              <w:t>及其他伴随服务等</w:t>
            </w:r>
            <w:r>
              <w:rPr>
                <w:rStyle w:val="16"/>
                <w:rFonts w:hint="eastAsia" w:ascii="宋体" w:hAnsi="宋体" w:cs="宋体"/>
                <w:i w:val="0"/>
                <w:iCs w:val="0"/>
                <w:color w:val="0000FF"/>
                <w:sz w:val="22"/>
                <w:szCs w:val="22"/>
                <w:highlight w:val="none"/>
                <w:lang w:val="en-US" w:eastAsia="zh-CN"/>
              </w:rPr>
              <w:t>一切费用。</w:t>
            </w:r>
          </w:p>
        </w:tc>
      </w:tr>
      <w:tr w14:paraId="46CB8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0B5B8B1B">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19</w:t>
            </w:r>
          </w:p>
        </w:tc>
        <w:tc>
          <w:tcPr>
            <w:tcW w:w="1543" w:type="dxa"/>
            <w:vAlign w:val="center"/>
          </w:tcPr>
          <w:p w14:paraId="628FF212">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投标保证金</w:t>
            </w:r>
          </w:p>
        </w:tc>
        <w:tc>
          <w:tcPr>
            <w:tcW w:w="8068" w:type="dxa"/>
            <w:vAlign w:val="center"/>
          </w:tcPr>
          <w:p w14:paraId="38BDA66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0000FF"/>
                <w:sz w:val="22"/>
                <w:szCs w:val="22"/>
                <w:highlight w:val="none"/>
              </w:rPr>
              <w:t>本</w:t>
            </w:r>
            <w:r>
              <w:rPr>
                <w:rStyle w:val="16"/>
                <w:rFonts w:hint="eastAsia" w:ascii="宋体" w:hAnsi="宋体" w:eastAsia="宋体" w:cs="宋体"/>
                <w:i w:val="0"/>
                <w:iCs w:val="0"/>
                <w:color w:val="0000FF"/>
                <w:sz w:val="22"/>
                <w:szCs w:val="22"/>
                <w:highlight w:val="none"/>
                <w:lang w:val="en-US" w:eastAsia="zh-CN"/>
              </w:rPr>
              <w:t>项目</w:t>
            </w:r>
            <w:r>
              <w:rPr>
                <w:rStyle w:val="16"/>
                <w:rFonts w:hint="eastAsia" w:ascii="宋体" w:hAnsi="宋体" w:eastAsia="宋体" w:cs="宋体"/>
                <w:i w:val="0"/>
                <w:iCs w:val="0"/>
                <w:color w:val="0000FF"/>
                <w:sz w:val="22"/>
                <w:szCs w:val="22"/>
                <w:highlight w:val="none"/>
              </w:rPr>
              <w:t>不收取投标保证金</w:t>
            </w:r>
            <w:r>
              <w:rPr>
                <w:rStyle w:val="16"/>
                <w:rFonts w:hint="eastAsia" w:ascii="宋体" w:hAnsi="宋体" w:eastAsia="宋体" w:cs="宋体"/>
                <w:i w:val="0"/>
                <w:iCs w:val="0"/>
                <w:color w:val="auto"/>
                <w:sz w:val="22"/>
                <w:szCs w:val="22"/>
                <w:highlight w:val="none"/>
              </w:rPr>
              <w:t>。</w:t>
            </w:r>
          </w:p>
        </w:tc>
      </w:tr>
      <w:tr w14:paraId="4598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72" w:type="dxa"/>
            <w:vAlign w:val="center"/>
          </w:tcPr>
          <w:p w14:paraId="55F5CC43">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20</w:t>
            </w:r>
          </w:p>
        </w:tc>
        <w:tc>
          <w:tcPr>
            <w:tcW w:w="1543" w:type="dxa"/>
            <w:vAlign w:val="center"/>
          </w:tcPr>
          <w:p w14:paraId="48ED8930">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是否接受联合体投标</w:t>
            </w:r>
          </w:p>
        </w:tc>
        <w:tc>
          <w:tcPr>
            <w:tcW w:w="8068" w:type="dxa"/>
            <w:vAlign w:val="center"/>
          </w:tcPr>
          <w:p w14:paraId="61FD6AE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drawing>
                <wp:inline distT="0" distB="0" distL="0" distR="0">
                  <wp:extent cx="113030" cy="1079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
                          <a:stretch>
                            <a:fillRect/>
                          </a:stretch>
                        </pic:blipFill>
                        <pic:spPr>
                          <a:xfrm>
                            <a:off x="0" y="0"/>
                            <a:ext cx="113250" cy="108479"/>
                          </a:xfrm>
                          <a:prstGeom prst="rect">
                            <a:avLst/>
                          </a:prstGeom>
                        </pic:spPr>
                      </pic:pic>
                    </a:graphicData>
                  </a:graphic>
                </wp:inline>
              </w:drawing>
            </w:r>
            <w:r>
              <w:rPr>
                <w:rStyle w:val="16"/>
                <w:rFonts w:hint="eastAsia" w:ascii="宋体" w:hAnsi="宋体" w:eastAsia="宋体" w:cs="宋体"/>
                <w:i w:val="0"/>
                <w:iCs w:val="0"/>
                <w:color w:val="auto"/>
                <w:sz w:val="22"/>
                <w:szCs w:val="22"/>
                <w:highlight w:val="none"/>
              </w:rPr>
              <w:t>不接受/¨接受</w:t>
            </w:r>
          </w:p>
        </w:tc>
      </w:tr>
      <w:tr w14:paraId="3BD8C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72" w:type="dxa"/>
            <w:vAlign w:val="center"/>
          </w:tcPr>
          <w:p w14:paraId="458B984D">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1</w:t>
            </w:r>
          </w:p>
        </w:tc>
        <w:tc>
          <w:tcPr>
            <w:tcW w:w="1543" w:type="dxa"/>
            <w:vAlign w:val="center"/>
          </w:tcPr>
          <w:p w14:paraId="722576A8">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响应文件递交截止时间及开标地点</w:t>
            </w:r>
          </w:p>
        </w:tc>
        <w:tc>
          <w:tcPr>
            <w:tcW w:w="8068" w:type="dxa"/>
            <w:vAlign w:val="center"/>
          </w:tcPr>
          <w:p w14:paraId="3367428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响应文件递交截止时间：</w:t>
            </w:r>
            <w:r>
              <w:rPr>
                <w:rStyle w:val="16"/>
                <w:rFonts w:hint="eastAsia" w:ascii="宋体" w:hAnsi="宋体" w:cs="宋体"/>
                <w:i w:val="0"/>
                <w:iCs w:val="0"/>
                <w:color w:val="0000FF"/>
                <w:sz w:val="22"/>
                <w:szCs w:val="22"/>
                <w:highlight w:val="none"/>
                <w:lang w:val="en-US" w:eastAsia="zh-CN"/>
              </w:rPr>
              <w:t>2026年6月9日16:30</w:t>
            </w:r>
            <w:r>
              <w:rPr>
                <w:rStyle w:val="16"/>
                <w:rFonts w:hint="eastAsia" w:ascii="宋体" w:hAnsi="宋体" w:eastAsia="宋体" w:cs="宋体"/>
                <w:i w:val="0"/>
                <w:iCs w:val="0"/>
                <w:color w:val="auto"/>
                <w:sz w:val="22"/>
                <w:szCs w:val="22"/>
                <w:highlight w:val="none"/>
              </w:rPr>
              <w:t xml:space="preserve">（北京时间） </w:t>
            </w:r>
          </w:p>
          <w:p w14:paraId="38F61BC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开标地点：政采云平台 https://www.zcygov.cn/</w:t>
            </w:r>
          </w:p>
        </w:tc>
      </w:tr>
      <w:tr w14:paraId="18F5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772" w:type="dxa"/>
            <w:vAlign w:val="center"/>
          </w:tcPr>
          <w:p w14:paraId="645E25AB">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2</w:t>
            </w:r>
          </w:p>
        </w:tc>
        <w:tc>
          <w:tcPr>
            <w:tcW w:w="1543" w:type="dxa"/>
            <w:vAlign w:val="center"/>
          </w:tcPr>
          <w:p w14:paraId="5345EEF7">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响应文件</w:t>
            </w:r>
          </w:p>
          <w:p w14:paraId="1F135062">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加密要求</w:t>
            </w:r>
          </w:p>
        </w:tc>
        <w:tc>
          <w:tcPr>
            <w:tcW w:w="8068" w:type="dxa"/>
            <w:vAlign w:val="center"/>
          </w:tcPr>
          <w:p w14:paraId="780928F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加密电子响应文件请于响应文件开启时间截止之前上传至供应商登录政采云平台</w:t>
            </w:r>
            <w:r>
              <w:rPr>
                <w:rStyle w:val="16"/>
                <w:rFonts w:hint="eastAsia" w:ascii="宋体" w:hAnsi="宋体" w:eastAsia="宋体" w:cs="宋体"/>
                <w:i w:val="0"/>
                <w:iCs w:val="0"/>
                <w:color w:val="auto"/>
                <w:sz w:val="22"/>
                <w:szCs w:val="22"/>
                <w:highlight w:val="none"/>
              </w:rPr>
              <w:fldChar w:fldCharType="begin"/>
            </w:r>
            <w:r>
              <w:rPr>
                <w:rStyle w:val="16"/>
                <w:rFonts w:hint="eastAsia" w:ascii="宋体" w:hAnsi="宋体" w:eastAsia="宋体" w:cs="宋体"/>
                <w:i w:val="0"/>
                <w:iCs w:val="0"/>
                <w:color w:val="auto"/>
                <w:sz w:val="22"/>
                <w:szCs w:val="22"/>
                <w:highlight w:val="none"/>
              </w:rPr>
              <w:instrText xml:space="preserve"> HYPERLINK "https://www.zcygov.cn/" </w:instrText>
            </w:r>
            <w:r>
              <w:rPr>
                <w:rStyle w:val="16"/>
                <w:rFonts w:hint="eastAsia" w:ascii="宋体" w:hAnsi="宋体" w:eastAsia="宋体" w:cs="宋体"/>
                <w:i w:val="0"/>
                <w:iCs w:val="0"/>
                <w:color w:val="auto"/>
                <w:sz w:val="22"/>
                <w:szCs w:val="22"/>
                <w:highlight w:val="none"/>
              </w:rPr>
              <w:fldChar w:fldCharType="separate"/>
            </w:r>
            <w:r>
              <w:rPr>
                <w:rStyle w:val="16"/>
                <w:rFonts w:hint="eastAsia" w:ascii="宋体" w:hAnsi="宋体" w:eastAsia="宋体" w:cs="宋体"/>
                <w:i w:val="0"/>
                <w:iCs w:val="0"/>
                <w:color w:val="auto"/>
                <w:sz w:val="22"/>
                <w:szCs w:val="22"/>
                <w:highlight w:val="none"/>
              </w:rPr>
              <w:t>https://www.zcygov.cn/</w:t>
            </w:r>
            <w:r>
              <w:rPr>
                <w:rStyle w:val="16"/>
                <w:rFonts w:hint="eastAsia" w:ascii="宋体" w:hAnsi="宋体" w:eastAsia="宋体" w:cs="宋体"/>
                <w:i w:val="0"/>
                <w:iCs w:val="0"/>
                <w:color w:val="auto"/>
                <w:sz w:val="22"/>
                <w:szCs w:val="22"/>
                <w:highlight w:val="none"/>
              </w:rPr>
              <w:fldChar w:fldCharType="end"/>
            </w:r>
            <w:r>
              <w:rPr>
                <w:rStyle w:val="16"/>
                <w:rFonts w:hint="eastAsia" w:ascii="宋体" w:hAnsi="宋体" w:eastAsia="宋体" w:cs="宋体"/>
                <w:i w:val="0"/>
                <w:iCs w:val="0"/>
                <w:color w:val="auto"/>
                <w:sz w:val="22"/>
                <w:szCs w:val="22"/>
                <w:highlight w:val="none"/>
              </w:rPr>
              <w:t>；备注：加密的电子响应文件为使用政采云投标工具制作生成的加密版响应文件，未加密的电子响应文件应与加密的电子响应文件为同时生成的版本，请供应商开标时使用生成响应文件的CA锁参加开标解密。若因供应商自身原因导致解密失败的，将导致其投标被拒绝且响应文件被退回；但因网上招标系统故障导致所有供应商均解密失败时，允许供应商使用未加密的电子响应文件进行开评标。</w:t>
            </w:r>
          </w:p>
        </w:tc>
      </w:tr>
      <w:tr w14:paraId="2441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72" w:type="dxa"/>
            <w:vAlign w:val="center"/>
          </w:tcPr>
          <w:p w14:paraId="4EF787FD">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3</w:t>
            </w:r>
          </w:p>
        </w:tc>
        <w:tc>
          <w:tcPr>
            <w:tcW w:w="1543" w:type="dxa"/>
            <w:vAlign w:val="center"/>
          </w:tcPr>
          <w:p w14:paraId="2716FE69">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响应文件</w:t>
            </w:r>
          </w:p>
          <w:p w14:paraId="4EB3CB7E">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电子版要求</w:t>
            </w:r>
          </w:p>
        </w:tc>
        <w:tc>
          <w:tcPr>
            <w:tcW w:w="8068" w:type="dxa"/>
            <w:vAlign w:val="center"/>
          </w:tcPr>
          <w:p w14:paraId="286FD87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1.响应文件电子版要求：按照本采购文件“第六章响应文件格式”编写(第六章未附格式的，由供应商自行拟定)，不可涂改并在规定加盖公章处加盖电子公章，否则响应文件按无效响应处理。</w:t>
            </w:r>
          </w:p>
          <w:p w14:paraId="7748CE95">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2.响应文件电子版密封方式：电子响应文件通过平台有效CA加密后在“政采云”平台递交。</w:t>
            </w:r>
          </w:p>
        </w:tc>
      </w:tr>
      <w:tr w14:paraId="588C5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72" w:type="dxa"/>
            <w:vAlign w:val="center"/>
          </w:tcPr>
          <w:p w14:paraId="4CC3BBCE">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4</w:t>
            </w:r>
          </w:p>
        </w:tc>
        <w:tc>
          <w:tcPr>
            <w:tcW w:w="1543" w:type="dxa"/>
            <w:vAlign w:val="center"/>
          </w:tcPr>
          <w:p w14:paraId="1F9F1512">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低价竞标</w:t>
            </w:r>
          </w:p>
        </w:tc>
        <w:tc>
          <w:tcPr>
            <w:tcW w:w="8068" w:type="dxa"/>
            <w:vAlign w:val="center"/>
          </w:tcPr>
          <w:p w14:paraId="2BCCEFDF">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对于异常低价的投标报价，根据财库〔2026〕2号文的规定处理。</w:t>
            </w:r>
          </w:p>
        </w:tc>
      </w:tr>
      <w:tr w14:paraId="1D80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72" w:type="dxa"/>
            <w:vAlign w:val="center"/>
          </w:tcPr>
          <w:p w14:paraId="1A4FC374">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5</w:t>
            </w:r>
          </w:p>
        </w:tc>
        <w:tc>
          <w:tcPr>
            <w:tcW w:w="1543" w:type="dxa"/>
            <w:vAlign w:val="center"/>
          </w:tcPr>
          <w:p w14:paraId="488C1E4C">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踏勘现场</w:t>
            </w:r>
          </w:p>
        </w:tc>
        <w:tc>
          <w:tcPr>
            <w:tcW w:w="8068" w:type="dxa"/>
            <w:vAlign w:val="center"/>
          </w:tcPr>
          <w:p w14:paraId="3610AC2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drawing>
                <wp:inline distT="0" distB="0" distL="0" distR="0">
                  <wp:extent cx="113030" cy="107950"/>
                  <wp:effectExtent l="0" t="0" r="1270"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
                          <a:stretch>
                            <a:fillRect/>
                          </a:stretch>
                        </pic:blipFill>
                        <pic:spPr>
                          <a:xfrm>
                            <a:off x="0" y="0"/>
                            <a:ext cx="113250" cy="108478"/>
                          </a:xfrm>
                          <a:prstGeom prst="rect">
                            <a:avLst/>
                          </a:prstGeom>
                        </pic:spPr>
                      </pic:pic>
                    </a:graphicData>
                  </a:graphic>
                </wp:inline>
              </w:drawing>
            </w:r>
            <w:r>
              <w:rPr>
                <w:rStyle w:val="16"/>
                <w:rFonts w:hint="eastAsia" w:ascii="宋体" w:hAnsi="宋体" w:eastAsia="宋体" w:cs="宋体"/>
                <w:i w:val="0"/>
                <w:iCs w:val="0"/>
                <w:color w:val="auto"/>
                <w:sz w:val="22"/>
                <w:szCs w:val="22"/>
                <w:highlight w:val="none"/>
              </w:rPr>
              <w:t>不组织，供应商自行踏勘，无论供应商对现场考察与否，都将被视为熟悉履行合同有关的一切情况。</w:t>
            </w:r>
          </w:p>
        </w:tc>
      </w:tr>
      <w:tr w14:paraId="75710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72" w:type="dxa"/>
            <w:vAlign w:val="center"/>
          </w:tcPr>
          <w:p w14:paraId="582E41FC">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6</w:t>
            </w:r>
          </w:p>
        </w:tc>
        <w:tc>
          <w:tcPr>
            <w:tcW w:w="1543" w:type="dxa"/>
            <w:vAlign w:val="center"/>
          </w:tcPr>
          <w:p w14:paraId="01252F2A">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投标答疑会</w:t>
            </w:r>
          </w:p>
        </w:tc>
        <w:tc>
          <w:tcPr>
            <w:tcW w:w="8068" w:type="dxa"/>
            <w:vAlign w:val="center"/>
          </w:tcPr>
          <w:p w14:paraId="519A1175">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drawing>
                <wp:inline distT="0" distB="0" distL="0" distR="0">
                  <wp:extent cx="113030" cy="107950"/>
                  <wp:effectExtent l="0" t="0" r="1270"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
                          <a:stretch>
                            <a:fillRect/>
                          </a:stretch>
                        </pic:blipFill>
                        <pic:spPr>
                          <a:xfrm>
                            <a:off x="0" y="0"/>
                            <a:ext cx="113250" cy="108478"/>
                          </a:xfrm>
                          <a:prstGeom prst="rect">
                            <a:avLst/>
                          </a:prstGeom>
                        </pic:spPr>
                      </pic:pic>
                    </a:graphicData>
                  </a:graphic>
                </wp:inline>
              </w:drawing>
            </w:r>
            <w:r>
              <w:rPr>
                <w:rStyle w:val="16"/>
                <w:rFonts w:hint="eastAsia" w:ascii="宋体" w:hAnsi="宋体" w:eastAsia="宋体" w:cs="宋体"/>
                <w:i w:val="0"/>
                <w:iCs w:val="0"/>
                <w:color w:val="auto"/>
                <w:sz w:val="22"/>
                <w:szCs w:val="22"/>
                <w:highlight w:val="none"/>
              </w:rPr>
              <w:t>不召开</w:t>
            </w:r>
          </w:p>
        </w:tc>
      </w:tr>
      <w:tr w14:paraId="5F777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772" w:type="dxa"/>
            <w:vAlign w:val="center"/>
          </w:tcPr>
          <w:p w14:paraId="3BBD09CF">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7</w:t>
            </w:r>
          </w:p>
        </w:tc>
        <w:tc>
          <w:tcPr>
            <w:tcW w:w="1543" w:type="dxa"/>
            <w:vAlign w:val="center"/>
          </w:tcPr>
          <w:p w14:paraId="666B699D">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对采购文件质疑</w:t>
            </w:r>
          </w:p>
        </w:tc>
        <w:tc>
          <w:tcPr>
            <w:tcW w:w="8068" w:type="dxa"/>
            <w:vAlign w:val="center"/>
          </w:tcPr>
          <w:p w14:paraId="41808ADE">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潜在供应商已依法获取其可质疑的采购文件的，可以对该文件提出质疑。对采购文件提出质疑的，应当在获取采购文件或者采购文件公告期限届满之日起7个工作日内提出。供应商在法定质疑期内针对采购文件的质疑必须一次性提出，在规定时间内未对采购文件提出质疑的，则视为供应商完全同意采购文件的所有内容。</w:t>
            </w:r>
          </w:p>
        </w:tc>
      </w:tr>
      <w:tr w14:paraId="2F380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40D032D6">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2</w:t>
            </w:r>
            <w:r>
              <w:rPr>
                <w:rStyle w:val="16"/>
                <w:rFonts w:hint="eastAsia" w:ascii="宋体" w:hAnsi="宋体" w:eastAsia="宋体" w:cs="宋体"/>
                <w:i w:val="0"/>
                <w:iCs w:val="0"/>
                <w:color w:val="auto"/>
                <w:sz w:val="22"/>
                <w:szCs w:val="22"/>
                <w:highlight w:val="none"/>
                <w:lang w:val="en-US" w:eastAsia="zh-CN"/>
              </w:rPr>
              <w:t>8</w:t>
            </w:r>
          </w:p>
        </w:tc>
        <w:tc>
          <w:tcPr>
            <w:tcW w:w="1543" w:type="dxa"/>
            <w:vAlign w:val="center"/>
          </w:tcPr>
          <w:p w14:paraId="50E2A084">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投标有效期</w:t>
            </w:r>
          </w:p>
        </w:tc>
        <w:tc>
          <w:tcPr>
            <w:tcW w:w="8068" w:type="dxa"/>
            <w:vAlign w:val="center"/>
          </w:tcPr>
          <w:p w14:paraId="03C403D8">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从开标之日起 90 日历天</w:t>
            </w:r>
          </w:p>
        </w:tc>
      </w:tr>
      <w:tr w14:paraId="043E5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773136D1">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29</w:t>
            </w:r>
          </w:p>
        </w:tc>
        <w:tc>
          <w:tcPr>
            <w:tcW w:w="1543" w:type="dxa"/>
            <w:vAlign w:val="center"/>
          </w:tcPr>
          <w:p w14:paraId="63469A06">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评审小组的组建</w:t>
            </w:r>
          </w:p>
        </w:tc>
        <w:tc>
          <w:tcPr>
            <w:tcW w:w="8068" w:type="dxa"/>
            <w:vAlign w:val="center"/>
          </w:tcPr>
          <w:p w14:paraId="14FAE83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0000FF"/>
                <w:sz w:val="22"/>
                <w:szCs w:val="22"/>
                <w:highlight w:val="none"/>
              </w:rPr>
            </w:pPr>
            <w:r>
              <w:rPr>
                <w:rStyle w:val="16"/>
                <w:rFonts w:hint="eastAsia" w:ascii="宋体" w:hAnsi="宋体" w:eastAsia="宋体" w:cs="宋体"/>
                <w:i w:val="0"/>
                <w:iCs w:val="0"/>
                <w:color w:val="0000FF"/>
                <w:sz w:val="22"/>
                <w:szCs w:val="22"/>
                <w:highlight w:val="none"/>
              </w:rPr>
              <w:t>评审小组构成：</w:t>
            </w:r>
            <w:r>
              <w:rPr>
                <w:rStyle w:val="16"/>
                <w:rFonts w:hint="eastAsia" w:ascii="宋体" w:hAnsi="宋体" w:cs="宋体"/>
                <w:i w:val="0"/>
                <w:iCs w:val="0"/>
                <w:color w:val="0000FF"/>
                <w:sz w:val="22"/>
                <w:szCs w:val="22"/>
                <w:highlight w:val="none"/>
                <w:lang w:val="en-US" w:eastAsia="zh-CN"/>
              </w:rPr>
              <w:t>5</w:t>
            </w:r>
            <w:r>
              <w:rPr>
                <w:rStyle w:val="16"/>
                <w:rFonts w:hint="eastAsia" w:ascii="宋体" w:hAnsi="宋体" w:eastAsia="宋体" w:cs="宋体"/>
                <w:i w:val="0"/>
                <w:iCs w:val="0"/>
                <w:color w:val="0000FF"/>
                <w:sz w:val="22"/>
                <w:szCs w:val="22"/>
                <w:highlight w:val="none"/>
              </w:rPr>
              <w:t>人</w:t>
            </w:r>
            <w:r>
              <w:rPr>
                <w:rStyle w:val="16"/>
                <w:rFonts w:hint="eastAsia" w:ascii="宋体" w:hAnsi="宋体" w:cs="宋体"/>
                <w:i w:val="0"/>
                <w:iCs w:val="0"/>
                <w:color w:val="0000FF"/>
                <w:sz w:val="22"/>
                <w:szCs w:val="22"/>
                <w:highlight w:val="none"/>
                <w:lang w:val="en-US" w:eastAsia="zh-CN"/>
              </w:rPr>
              <w:t>。</w:t>
            </w:r>
          </w:p>
          <w:p w14:paraId="341D0549">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评标专家确定方式：依法从政采云专家库中随机抽取。</w:t>
            </w:r>
          </w:p>
          <w:p w14:paraId="23821CF0">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评审地址：博州公共资源交易中心三楼评标室</w:t>
            </w:r>
          </w:p>
        </w:tc>
      </w:tr>
      <w:tr w14:paraId="6647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2" w:type="dxa"/>
            <w:vAlign w:val="center"/>
          </w:tcPr>
          <w:p w14:paraId="02885158">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3</w:t>
            </w:r>
            <w:r>
              <w:rPr>
                <w:rStyle w:val="16"/>
                <w:rFonts w:hint="eastAsia" w:ascii="宋体" w:hAnsi="宋体" w:eastAsia="宋体" w:cs="宋体"/>
                <w:i w:val="0"/>
                <w:iCs w:val="0"/>
                <w:color w:val="auto"/>
                <w:sz w:val="22"/>
                <w:szCs w:val="22"/>
                <w:highlight w:val="none"/>
                <w:lang w:val="en-US" w:eastAsia="zh-CN"/>
              </w:rPr>
              <w:t>0</w:t>
            </w:r>
          </w:p>
        </w:tc>
        <w:tc>
          <w:tcPr>
            <w:tcW w:w="1543" w:type="dxa"/>
            <w:vAlign w:val="center"/>
          </w:tcPr>
          <w:p w14:paraId="3F8EE070">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评标办法</w:t>
            </w:r>
          </w:p>
        </w:tc>
        <w:tc>
          <w:tcPr>
            <w:tcW w:w="8068" w:type="dxa"/>
            <w:vAlign w:val="center"/>
          </w:tcPr>
          <w:p w14:paraId="5A93C96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综合评分法</w:t>
            </w:r>
          </w:p>
        </w:tc>
      </w:tr>
      <w:tr w14:paraId="72127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72" w:type="dxa"/>
            <w:vAlign w:val="center"/>
          </w:tcPr>
          <w:p w14:paraId="39AE7016">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3</w:t>
            </w:r>
            <w:r>
              <w:rPr>
                <w:rStyle w:val="16"/>
                <w:rFonts w:hint="eastAsia" w:ascii="宋体" w:hAnsi="宋体" w:eastAsia="宋体" w:cs="宋体"/>
                <w:i w:val="0"/>
                <w:iCs w:val="0"/>
                <w:color w:val="auto"/>
                <w:sz w:val="22"/>
                <w:szCs w:val="22"/>
                <w:highlight w:val="none"/>
                <w:lang w:val="en-US" w:eastAsia="zh-CN"/>
              </w:rPr>
              <w:t>1</w:t>
            </w:r>
          </w:p>
        </w:tc>
        <w:tc>
          <w:tcPr>
            <w:tcW w:w="1543" w:type="dxa"/>
            <w:vAlign w:val="center"/>
          </w:tcPr>
          <w:p w14:paraId="7B4B382D">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确定中标人时，出现中标候选人分数并列的情形，确定中标人方式</w:t>
            </w:r>
          </w:p>
        </w:tc>
        <w:tc>
          <w:tcPr>
            <w:tcW w:w="8068" w:type="dxa"/>
            <w:vAlign w:val="center"/>
          </w:tcPr>
          <w:p w14:paraId="101531B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☑采用综合评分法的，按评审后得分由高到低顺序排列。得分相同的，按投标报</w:t>
            </w:r>
          </w:p>
          <w:p w14:paraId="33DD473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价由低到高顺序排列。得分且投标报价相同的，按技术指标优劣顺序排列。</w:t>
            </w:r>
          </w:p>
        </w:tc>
      </w:tr>
      <w:tr w14:paraId="003A2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772" w:type="dxa"/>
            <w:vAlign w:val="center"/>
          </w:tcPr>
          <w:p w14:paraId="31F8B0B0">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3</w:t>
            </w:r>
            <w:r>
              <w:rPr>
                <w:rStyle w:val="16"/>
                <w:rFonts w:hint="eastAsia" w:ascii="宋体" w:hAnsi="宋体" w:eastAsia="宋体" w:cs="宋体"/>
                <w:i w:val="0"/>
                <w:iCs w:val="0"/>
                <w:color w:val="auto"/>
                <w:sz w:val="22"/>
                <w:szCs w:val="22"/>
                <w:highlight w:val="none"/>
                <w:lang w:val="en-US" w:eastAsia="zh-CN"/>
              </w:rPr>
              <w:t>2</w:t>
            </w:r>
          </w:p>
        </w:tc>
        <w:tc>
          <w:tcPr>
            <w:tcW w:w="1543" w:type="dxa"/>
            <w:vAlign w:val="center"/>
          </w:tcPr>
          <w:p w14:paraId="78E41149">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履约保证金</w:t>
            </w:r>
          </w:p>
        </w:tc>
        <w:tc>
          <w:tcPr>
            <w:tcW w:w="8068" w:type="dxa"/>
            <w:vAlign w:val="center"/>
          </w:tcPr>
          <w:p w14:paraId="32AE4E4A">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bookmarkStart w:id="26" w:name="OLE_LINK8"/>
            <w:r>
              <w:rPr>
                <w:rStyle w:val="16"/>
                <w:rFonts w:hint="eastAsia" w:ascii="宋体" w:hAnsi="宋体" w:eastAsia="宋体" w:cs="宋体"/>
                <w:i w:val="0"/>
                <w:iCs w:val="0"/>
                <w:color w:val="auto"/>
                <w:sz w:val="22"/>
                <w:szCs w:val="22"/>
                <w:highlight w:val="none"/>
                <w:lang w:val="en-US" w:eastAsia="zh-CN"/>
              </w:rPr>
              <w:t>履约保证金额：合同金额的5%。</w:t>
            </w:r>
            <w:bookmarkEnd w:id="26"/>
          </w:p>
          <w:p w14:paraId="61C5FD99">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rPr>
            </w:pPr>
            <w:r>
              <w:rPr>
                <w:rStyle w:val="16"/>
                <w:rFonts w:hint="eastAsia" w:ascii="宋体" w:hAnsi="宋体" w:eastAsia="宋体" w:cs="宋体"/>
                <w:i w:val="0"/>
                <w:iCs w:val="0"/>
                <w:color w:val="auto"/>
                <w:sz w:val="22"/>
                <w:szCs w:val="22"/>
                <w:highlight w:val="none"/>
                <w:lang w:val="en-US" w:eastAsia="zh-CN"/>
              </w:rPr>
              <w:t>履约担保的形式：中标人需采用银行、保险机构出具的保函、公证处提存等形式缴纳，履约保证金为中标合同金额的5%。如中标人未按期限及时提供履约保证金，视为中标人无履约能力，自动放弃中标资格。</w:t>
            </w:r>
          </w:p>
        </w:tc>
      </w:tr>
      <w:tr w14:paraId="415D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772" w:type="dxa"/>
            <w:vAlign w:val="center"/>
          </w:tcPr>
          <w:p w14:paraId="0416F2C1">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3</w:t>
            </w:r>
            <w:r>
              <w:rPr>
                <w:rStyle w:val="16"/>
                <w:rFonts w:hint="eastAsia" w:ascii="宋体" w:hAnsi="宋体" w:eastAsia="宋体" w:cs="宋体"/>
                <w:i w:val="0"/>
                <w:iCs w:val="0"/>
                <w:color w:val="auto"/>
                <w:sz w:val="22"/>
                <w:szCs w:val="22"/>
                <w:highlight w:val="none"/>
                <w:lang w:val="en-US" w:eastAsia="zh-CN"/>
              </w:rPr>
              <w:t>3</w:t>
            </w:r>
          </w:p>
        </w:tc>
        <w:tc>
          <w:tcPr>
            <w:tcW w:w="1543" w:type="dxa"/>
            <w:vAlign w:val="center"/>
          </w:tcPr>
          <w:p w14:paraId="34B310CC">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代理服务费</w:t>
            </w:r>
          </w:p>
        </w:tc>
        <w:tc>
          <w:tcPr>
            <w:tcW w:w="8068" w:type="dxa"/>
            <w:vAlign w:val="center"/>
          </w:tcPr>
          <w:p w14:paraId="481AA505">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参照国家计委关于印发《招标代理服务收费管理暂行办法》的通知”（计价格按照发改价格(2015)299号文收取，由中标单位支付。</w:t>
            </w:r>
          </w:p>
        </w:tc>
      </w:tr>
      <w:tr w14:paraId="1B64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72" w:type="dxa"/>
            <w:vAlign w:val="center"/>
          </w:tcPr>
          <w:p w14:paraId="31BBD2D6">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3</w:t>
            </w:r>
            <w:r>
              <w:rPr>
                <w:rStyle w:val="16"/>
                <w:rFonts w:hint="eastAsia" w:ascii="宋体" w:hAnsi="宋体" w:eastAsia="宋体" w:cs="宋体"/>
                <w:i w:val="0"/>
                <w:iCs w:val="0"/>
                <w:color w:val="auto"/>
                <w:sz w:val="22"/>
                <w:szCs w:val="22"/>
                <w:highlight w:val="none"/>
                <w:lang w:val="en-US" w:eastAsia="zh-CN"/>
              </w:rPr>
              <w:t>4</w:t>
            </w:r>
          </w:p>
        </w:tc>
        <w:tc>
          <w:tcPr>
            <w:tcW w:w="1543" w:type="dxa"/>
            <w:vAlign w:val="center"/>
          </w:tcPr>
          <w:p w14:paraId="18EB0C37">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eastAsia="宋体" w:cs="宋体"/>
                <w:i w:val="0"/>
                <w:iCs w:val="0"/>
                <w:color w:val="auto"/>
                <w:sz w:val="22"/>
                <w:szCs w:val="22"/>
                <w:highlight w:val="none"/>
                <w:lang w:val="en-US" w:eastAsia="zh-CN"/>
              </w:rPr>
              <w:t>付款方式</w:t>
            </w:r>
          </w:p>
        </w:tc>
        <w:tc>
          <w:tcPr>
            <w:tcW w:w="8068" w:type="dxa"/>
            <w:vAlign w:val="center"/>
          </w:tcPr>
          <w:p w14:paraId="5B6D6A7F">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lang w:val="en-US" w:eastAsia="zh-CN"/>
              </w:rPr>
            </w:pPr>
            <w:r>
              <w:rPr>
                <w:rStyle w:val="16"/>
                <w:rFonts w:hint="eastAsia" w:ascii="宋体" w:hAnsi="宋体" w:cs="宋体"/>
                <w:i w:val="0"/>
                <w:iCs w:val="0"/>
                <w:color w:val="auto"/>
                <w:sz w:val="22"/>
                <w:szCs w:val="22"/>
                <w:highlight w:val="none"/>
                <w:lang w:val="en-US" w:eastAsia="zh-CN"/>
              </w:rPr>
              <w:t>按双方签订的合同为准</w:t>
            </w:r>
            <w:r>
              <w:rPr>
                <w:rStyle w:val="16"/>
                <w:rFonts w:hint="eastAsia" w:ascii="宋体" w:hAnsi="宋体" w:eastAsia="宋体" w:cs="宋体"/>
                <w:i w:val="0"/>
                <w:iCs w:val="0"/>
                <w:color w:val="auto"/>
                <w:sz w:val="22"/>
                <w:szCs w:val="22"/>
                <w:highlight w:val="none"/>
                <w:lang w:val="en-US" w:eastAsia="zh-CN"/>
              </w:rPr>
              <w:t>。</w:t>
            </w:r>
          </w:p>
        </w:tc>
      </w:tr>
      <w:tr w14:paraId="78C0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0" w:hRule="atLeast"/>
        </w:trPr>
        <w:tc>
          <w:tcPr>
            <w:tcW w:w="772" w:type="dxa"/>
            <w:vAlign w:val="center"/>
          </w:tcPr>
          <w:p w14:paraId="2B8635C7">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3</w:t>
            </w:r>
            <w:r>
              <w:rPr>
                <w:rStyle w:val="16"/>
                <w:rFonts w:hint="eastAsia" w:ascii="宋体" w:hAnsi="宋体" w:eastAsia="宋体" w:cs="宋体"/>
                <w:i w:val="0"/>
                <w:iCs w:val="0"/>
                <w:color w:val="auto"/>
                <w:sz w:val="22"/>
                <w:szCs w:val="22"/>
                <w:highlight w:val="none"/>
                <w:lang w:val="en-US" w:eastAsia="zh-CN"/>
              </w:rPr>
              <w:t>5</w:t>
            </w:r>
          </w:p>
        </w:tc>
        <w:tc>
          <w:tcPr>
            <w:tcW w:w="1543" w:type="dxa"/>
            <w:vAlign w:val="center"/>
          </w:tcPr>
          <w:p w14:paraId="28843E99">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注意事项</w:t>
            </w:r>
          </w:p>
        </w:tc>
        <w:tc>
          <w:tcPr>
            <w:tcW w:w="8068" w:type="dxa"/>
            <w:vAlign w:val="center"/>
          </w:tcPr>
          <w:p w14:paraId="105343DE">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1、本项目实行电子招投标，供应商须登录政采云平台申请获取采购文件，并需要使用CA锁，登录政采云电子投标客户端制作投标文件，若供应商参与投标,自行承担与投标有关的一切费用。</w:t>
            </w:r>
          </w:p>
          <w:p w14:paraId="0F1FFEA6">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9602C0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3、供应商将政采云电子交易客户端下载、安装完成后，可通过账号密码或CA登录客户端进行响应文件制作。在使用政采云投标客户端时，建议使用WIN7及以上操作系统。客户端请至政采云平（https://login.zcygov.cn/user-login/#/login）下载专区查看，如有问题可拨打政采云客户服务热线400-881-7190进行咨询。</w:t>
            </w:r>
          </w:p>
          <w:p w14:paraId="20D00CD1">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4、供应商在开标时须使用制作加密电子响应文件所使用的CA锁及电脑，电脑须 提前配置好浏览器，以便开标时解锁、投标报价。如因供应商自身原因导致在规定时间内无法正常解密的（如：浏览器故障、未安装相关驱动、网络故障、加密CA与解密CA不一致等），因以上原因影响开标的，造成的后果由供应商自行承担。</w:t>
            </w:r>
          </w:p>
          <w:p w14:paraId="6229006D">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5、投标供应商应当在响应文件开启时间截止前，将生成的“电子加密响应文件”上传递交至“政府采购云平台”，响应文件开启时间以后上传递交的响应文件将被“政府采购云平台”拒收。</w:t>
            </w:r>
          </w:p>
        </w:tc>
      </w:tr>
      <w:tr w14:paraId="645FE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772" w:type="dxa"/>
            <w:vAlign w:val="center"/>
          </w:tcPr>
          <w:p w14:paraId="0DDC615E">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lang w:eastAsia="zh-CN"/>
              </w:rPr>
            </w:pPr>
            <w:r>
              <w:rPr>
                <w:rStyle w:val="16"/>
                <w:rFonts w:hint="eastAsia" w:ascii="宋体" w:hAnsi="宋体" w:eastAsia="宋体" w:cs="宋体"/>
                <w:i w:val="0"/>
                <w:iCs w:val="0"/>
                <w:color w:val="auto"/>
                <w:sz w:val="22"/>
                <w:szCs w:val="22"/>
                <w:highlight w:val="none"/>
              </w:rPr>
              <w:t>3</w:t>
            </w:r>
            <w:r>
              <w:rPr>
                <w:rStyle w:val="16"/>
                <w:rFonts w:hint="eastAsia" w:ascii="宋体" w:hAnsi="宋体" w:eastAsia="宋体" w:cs="宋体"/>
                <w:i w:val="0"/>
                <w:iCs w:val="0"/>
                <w:color w:val="auto"/>
                <w:sz w:val="22"/>
                <w:szCs w:val="22"/>
                <w:highlight w:val="none"/>
                <w:lang w:val="en-US" w:eastAsia="zh-CN"/>
              </w:rPr>
              <w:t>6</w:t>
            </w:r>
          </w:p>
        </w:tc>
        <w:tc>
          <w:tcPr>
            <w:tcW w:w="1543" w:type="dxa"/>
            <w:vAlign w:val="center"/>
          </w:tcPr>
          <w:p w14:paraId="0BB43EB7">
            <w:pPr>
              <w:pStyle w:val="20"/>
              <w:keepNext w:val="0"/>
              <w:keepLines w:val="0"/>
              <w:pageBreakBefore w:val="0"/>
              <w:shd w:val="clear"/>
              <w:wordWrap/>
              <w:overflowPunct/>
              <w:topLinePunct w:val="0"/>
              <w:bidi w:val="0"/>
              <w:adjustRightInd w:val="0"/>
              <w:snapToGrid w:val="0"/>
              <w:spacing w:line="240" w:lineRule="auto"/>
              <w:jc w:val="center"/>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其他</w:t>
            </w:r>
          </w:p>
        </w:tc>
        <w:tc>
          <w:tcPr>
            <w:tcW w:w="8068" w:type="dxa"/>
            <w:vAlign w:val="center"/>
          </w:tcPr>
          <w:p w14:paraId="4BE5E56B">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1、本次招标如有变更、澄清或其他通知将在发布招标公告的网站上公布。</w:t>
            </w:r>
          </w:p>
          <w:p w14:paraId="715BE4F4">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2、发布招标公告的网址为“新疆政府采购网政采云平台”（www.zcygov.cn）</w:t>
            </w:r>
          </w:p>
          <w:p w14:paraId="36DFE74F">
            <w:pPr>
              <w:pStyle w:val="20"/>
              <w:keepNext w:val="0"/>
              <w:keepLines w:val="0"/>
              <w:pageBreakBefore w:val="0"/>
              <w:shd w:val="clear"/>
              <w:wordWrap/>
              <w:overflowPunct/>
              <w:topLinePunct w:val="0"/>
              <w:bidi w:val="0"/>
              <w:adjustRightInd w:val="0"/>
              <w:snapToGrid w:val="0"/>
              <w:spacing w:line="240" w:lineRule="auto"/>
              <w:ind w:leftChars="100"/>
              <w:jc w:val="left"/>
              <w:rPr>
                <w:rStyle w:val="16"/>
                <w:rFonts w:hint="eastAsia" w:ascii="宋体" w:hAnsi="宋体" w:eastAsia="宋体" w:cs="宋体"/>
                <w:i w:val="0"/>
                <w:iCs w:val="0"/>
                <w:color w:val="auto"/>
                <w:sz w:val="22"/>
                <w:szCs w:val="22"/>
                <w:highlight w:val="none"/>
              </w:rPr>
            </w:pPr>
            <w:r>
              <w:rPr>
                <w:rStyle w:val="16"/>
                <w:rFonts w:hint="eastAsia" w:ascii="宋体" w:hAnsi="宋体" w:eastAsia="宋体" w:cs="宋体"/>
                <w:i w:val="0"/>
                <w:iCs w:val="0"/>
                <w:color w:val="auto"/>
                <w:sz w:val="22"/>
                <w:szCs w:val="22"/>
                <w:highlight w:val="none"/>
              </w:rPr>
              <w:t>3、如招标文件正文内容与供应商须知前附表不一致时，以供应商须知前附表为准。</w:t>
            </w:r>
          </w:p>
        </w:tc>
      </w:tr>
    </w:tbl>
    <w:p w14:paraId="0B99653B">
      <w:pPr>
        <w:rPr>
          <w:rFonts w:hint="eastAsia" w:ascii="宋体" w:hAnsi="宋体" w:eastAsia="宋体" w:cs="宋体"/>
          <w:color w:val="auto"/>
          <w:highlight w:val="none"/>
        </w:rPr>
        <w:sectPr>
          <w:footerReference r:id="rId6" w:type="default"/>
          <w:pgSz w:w="11906" w:h="16840"/>
          <w:pgMar w:top="1440" w:right="1080" w:bottom="1440" w:left="1080" w:header="0" w:footer="0" w:gutter="0"/>
          <w:pgNumType w:fmt="decimal" w:start="1"/>
          <w:cols w:space="720" w:num="1"/>
        </w:sectPr>
      </w:pPr>
    </w:p>
    <w:p w14:paraId="1F7B45E0">
      <w:pPr>
        <w:spacing w:before="101" w:line="226" w:lineRule="auto"/>
        <w:ind w:left="4075"/>
        <w:outlineLvl w:val="1"/>
        <w:rPr>
          <w:rFonts w:hint="eastAsia" w:ascii="宋体" w:hAnsi="宋体" w:eastAsia="宋体" w:cs="宋体"/>
          <w:color w:val="auto"/>
          <w:sz w:val="31"/>
          <w:szCs w:val="31"/>
          <w:highlight w:val="none"/>
        </w:rPr>
      </w:pPr>
      <w:bookmarkStart w:id="27" w:name="bookmark20"/>
      <w:bookmarkEnd w:id="27"/>
      <w:bookmarkStart w:id="28" w:name="_Toc527"/>
      <w:r>
        <w:rPr>
          <w:rFonts w:hint="eastAsia" w:ascii="宋体" w:hAnsi="宋体" w:eastAsia="宋体" w:cs="宋体"/>
          <w:b/>
          <w:bCs/>
          <w:color w:val="auto"/>
          <w:spacing w:val="-16"/>
          <w:sz w:val="31"/>
          <w:szCs w:val="31"/>
          <w:highlight w:val="none"/>
          <w:lang w:val="en-US" w:eastAsia="zh-CN"/>
        </w:rPr>
        <w:t>二、</w:t>
      </w:r>
      <w:r>
        <w:rPr>
          <w:rFonts w:hint="eastAsia" w:ascii="宋体" w:hAnsi="宋体" w:eastAsia="宋体" w:cs="宋体"/>
          <w:b/>
          <w:bCs/>
          <w:color w:val="auto"/>
          <w:spacing w:val="-16"/>
          <w:sz w:val="31"/>
          <w:szCs w:val="31"/>
          <w:highlight w:val="none"/>
        </w:rPr>
        <w:t>总</w:t>
      </w:r>
      <w:r>
        <w:rPr>
          <w:rFonts w:hint="eastAsia" w:ascii="宋体" w:hAnsi="宋体" w:eastAsia="宋体" w:cs="宋体"/>
          <w:color w:val="auto"/>
          <w:spacing w:val="15"/>
          <w:sz w:val="31"/>
          <w:szCs w:val="31"/>
          <w:highlight w:val="none"/>
        </w:rPr>
        <w:t xml:space="preserve">  </w:t>
      </w:r>
      <w:r>
        <w:rPr>
          <w:rFonts w:hint="eastAsia" w:ascii="宋体" w:hAnsi="宋体" w:eastAsia="宋体" w:cs="宋体"/>
          <w:b/>
          <w:bCs/>
          <w:color w:val="auto"/>
          <w:spacing w:val="-16"/>
          <w:sz w:val="31"/>
          <w:szCs w:val="31"/>
          <w:highlight w:val="none"/>
        </w:rPr>
        <w:t>则</w:t>
      </w:r>
      <w:bookmarkEnd w:id="28"/>
    </w:p>
    <w:p w14:paraId="64A1309C">
      <w:pPr>
        <w:spacing w:before="224" w:line="222" w:lineRule="auto"/>
        <w:ind w:left="456"/>
        <w:outlineLvl w:val="9"/>
        <w:rPr>
          <w:rFonts w:hint="eastAsia" w:ascii="宋体" w:hAnsi="宋体" w:eastAsia="宋体" w:cs="宋体"/>
          <w:color w:val="auto"/>
          <w:sz w:val="22"/>
          <w:szCs w:val="22"/>
          <w:highlight w:val="none"/>
        </w:rPr>
      </w:pPr>
      <w:r>
        <w:rPr>
          <w:rFonts w:hint="eastAsia" w:ascii="宋体" w:hAnsi="宋体" w:eastAsia="宋体" w:cs="宋体"/>
          <w:b/>
          <w:bCs/>
          <w:color w:val="auto"/>
          <w:spacing w:val="-7"/>
          <w:sz w:val="22"/>
          <w:szCs w:val="22"/>
          <w:highlight w:val="none"/>
        </w:rPr>
        <w:t>1.</w:t>
      </w:r>
      <w:r>
        <w:rPr>
          <w:rFonts w:hint="eastAsia" w:ascii="宋体" w:hAnsi="宋体" w:eastAsia="宋体" w:cs="宋体"/>
          <w:color w:val="auto"/>
          <w:spacing w:val="9"/>
          <w:sz w:val="22"/>
          <w:szCs w:val="22"/>
          <w:highlight w:val="none"/>
        </w:rPr>
        <w:t xml:space="preserve"> </w:t>
      </w:r>
      <w:r>
        <w:rPr>
          <w:rFonts w:hint="eastAsia" w:ascii="宋体" w:hAnsi="宋体" w:eastAsia="宋体" w:cs="宋体"/>
          <w:b/>
          <w:bCs/>
          <w:color w:val="auto"/>
          <w:spacing w:val="-7"/>
          <w:sz w:val="22"/>
          <w:szCs w:val="22"/>
          <w:highlight w:val="none"/>
        </w:rPr>
        <w:t>适用范围</w:t>
      </w:r>
    </w:p>
    <w:p w14:paraId="519E41F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 适用法律：本项目采购人、采购代理机构、供应商、评审小组的相关行为均受《中华人民共和国政府采购法》《中华人民共和国政府采购法实施条例》《政府采购非招标采购方式管理办法》及本项目本级和上级财政部门政府采购有关规定的约束和保护。</w:t>
      </w:r>
    </w:p>
    <w:p w14:paraId="5161F90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1.2本招标文件适用于本项目的所有采购程序和环节(法律、法规另有规定的，从其规定)。</w:t>
      </w:r>
    </w:p>
    <w:p w14:paraId="5A8841A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 有关定义</w:t>
      </w:r>
    </w:p>
    <w:p w14:paraId="4B0C98E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 “采购人”系指依法进行政府采购的国家机关、事业单位、团体组织。本次招标的采购人是温泉县安格里格镇人民政府。</w:t>
      </w:r>
    </w:p>
    <w:p w14:paraId="616B3DC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2.2 “采购代理机构”系指根据采购人的委托依法办理招标事宜的采购机构。本次招标的采购代理机构是新疆新华远景工程造价咨询有限公司。</w:t>
      </w:r>
    </w:p>
    <w:p w14:paraId="23A6E5D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2.3 “招标采购单位”系指“采购人”和“采购代理机构”的统称。</w:t>
      </w:r>
    </w:p>
    <w:p w14:paraId="2E90717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2.4 “供应商”是指向采购人提供货物、工程或者服务的法人、其他组织或者自然人。</w:t>
      </w:r>
    </w:p>
    <w:p w14:paraId="595187F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“货物”是指各种形态和种类的物品，包括原材料、燃料、设备、产品等。“服务”是指除货物和工程以外的其他政府采购对象。</w:t>
      </w:r>
    </w:p>
    <w:p w14:paraId="03243AC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 “投标”是指按照本项目招标公告或者邀请函规定的方式供应商获取招标文件、提交响应 文件并希望获得标的的行为。</w:t>
      </w:r>
    </w:p>
    <w:p w14:paraId="53AF579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 “书面形式”是指合同书、信件和数据电文(包括电报、电传、传真、电子数据交换和电子邮件)等可以有形地表现所载内容的形式。</w:t>
      </w:r>
    </w:p>
    <w:p w14:paraId="5CEAC3A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 “响应文件”是指：供应商根据本文件要求，编制包含报价、技术和服务等所有内容的文件。</w:t>
      </w:r>
    </w:p>
    <w:p w14:paraId="5454A0B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 “实质性要求 ”是指不能负偏离的条款或者已经指明不满足按响应文件作无效处理的条款。</w:t>
      </w:r>
    </w:p>
    <w:p w14:paraId="773522F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2.10“正偏离”，是指响应文件对招标文件“采购需求”中有关条款作出优于条款要求并有利于采购人的响应情形；</w:t>
      </w:r>
    </w:p>
    <w:p w14:paraId="71296A6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2.11“负偏离”，是指响应文件对招标文件“采购需求”中有关条款作出的响应不满足条款要求，导致采购人要求不能得到满足的情形。</w:t>
      </w:r>
    </w:p>
    <w:p w14:paraId="56B9A86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2.12“允许负偏离的条款 ”是指采购需求中的不属于“实质性要求”的条款。 </w:t>
      </w:r>
    </w:p>
    <w:p w14:paraId="3299392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2.13“响应报价”是指供应商提交的响应文件中的投标报价。</w:t>
      </w:r>
    </w:p>
    <w:p w14:paraId="19544AD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 合格的供应商</w:t>
      </w:r>
    </w:p>
    <w:p w14:paraId="5E0171E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合格的供应商应具备以下条件：</w:t>
      </w:r>
    </w:p>
    <w:p w14:paraId="5CE5E7E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（1）本招标文件“招标公告”第二条申请人的资格要求规定的条件；</w:t>
      </w:r>
    </w:p>
    <w:p w14:paraId="3E7BC2D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（2）遵守国家有关的法律、法规、规章和其他政策制度；</w:t>
      </w:r>
    </w:p>
    <w:p w14:paraId="175EF9B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（3）在“新疆政府采购网政采云平台（www.zcygov.cn）领取了招标文件的供应商</w:t>
      </w:r>
    </w:p>
    <w:p w14:paraId="056E589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4. 投标费用</w:t>
      </w:r>
    </w:p>
    <w:p w14:paraId="775247E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供应商应承担参与本次采购活动有关的所有费用，包括但不限于、勘查现场、编制和提交响应文件、参加投标与应答、签订合同等，不论投标结果如何，均应自行承担。</w:t>
      </w:r>
    </w:p>
    <w:p w14:paraId="3E9B197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5.响应文件内容的真实性</w:t>
      </w:r>
    </w:p>
    <w:p w14:paraId="0830F47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5.1 供应商应保证其响应文件中所提供的所有有关投标的资料、信息是真实的、并且来源于合法的渠道。因响应文件中所提供的有关投标的资料、信息不真实、或者其来源不合法而导致的所有法律责任，由供应商自行承担。</w:t>
      </w:r>
    </w:p>
    <w:p w14:paraId="63005FD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6.特别说明</w:t>
      </w:r>
    </w:p>
    <w:p w14:paraId="1C4CE95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 如果本招标文件要求提供供应商的资格、信誉、荣誉、业绩与企业认证等材料的，资格、信誉、荣誉、业绩与企业认证等必须为供应商所拥有或自身获得。</w:t>
      </w:r>
    </w:p>
    <w:p w14:paraId="654BC90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6.2 供应商应仔细阅读招标文件的所有内容，按照招标文件的要求提交响应文件，并对所提供的全部资料的真实性承担法律责任。</w:t>
      </w:r>
    </w:p>
    <w:p w14:paraId="6E0EEE8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6.3 供应商在投标活动中提供任何虚假材料,其响应文件作无效处理，并报监管部门查处；签订合同后发现的,成交供应商须依照《中华人民共和国消费者权益保护法》规定赔偿采购人，且民事赔偿并 不免除违法供应商的行政与刑事责任。</w:t>
      </w:r>
    </w:p>
    <w:p w14:paraId="2F2B596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6.4 在政府采购活动中，采购人员及相关人员与供应商有下列利害关系之一的，应当回避：</w:t>
      </w:r>
    </w:p>
    <w:p w14:paraId="2124ABB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(1)参加采购活动前 3 年内与供应商存在劳动关系；</w:t>
      </w:r>
    </w:p>
    <w:p w14:paraId="7AFB03E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(2)参加采购活动前 3 年内担任供应商的董事、监事；</w:t>
      </w:r>
    </w:p>
    <w:p w14:paraId="04D549B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(3)参加采购活动前 3 年内是供应商的控股股东或者实际控制人；</w:t>
      </w:r>
    </w:p>
    <w:p w14:paraId="28AF7F9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(4)与供应商的法定代表人或者负责人有夫妻、直系血亲、三代以内旁系血亲或者近姻亲关系；</w:t>
      </w:r>
    </w:p>
    <w:p w14:paraId="6874A0A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(5)与供应商有其他可能影响政府采购活动公平、公正进行的关系。</w:t>
      </w:r>
    </w:p>
    <w:p w14:paraId="142C6E3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EEC3C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6.5 有下列情形之一的视为供应商相互串通投标，响应文件将被视为无效：</w:t>
      </w:r>
    </w:p>
    <w:p w14:paraId="10A3497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(1)不同供应商的响应文件由同一单位或者个人编制；或者不同供应商报名的 IP 地址一致的；或者编制响应文件硬件设备 CPU 编号、硬盘编号、网卡地址一致的情况。</w:t>
      </w:r>
    </w:p>
    <w:p w14:paraId="0B77685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(2)不同供应商委托同一单位或者个人办理投标事宜；</w:t>
      </w:r>
    </w:p>
    <w:p w14:paraId="49B3A8B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(3)不同的供应商的响应文件载明的项目管理员为同一个人；</w:t>
      </w:r>
    </w:p>
    <w:p w14:paraId="221266D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(4)不同供应商的响应文件异常一致或者报价呈规律性差异；</w:t>
      </w:r>
    </w:p>
    <w:p w14:paraId="5BC4AFE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(5)不同供应商的响应文件相互混装；</w:t>
      </w:r>
    </w:p>
    <w:p w14:paraId="6FE29D3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(6)不同供应商的投标保证金从同一单位或者个人账户转出。</w:t>
      </w:r>
    </w:p>
    <w:p w14:paraId="4EFF5F2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6.6 供应商有下列情形之一的，属于恶意串通行为，将报同级监督管理部门：</w:t>
      </w:r>
    </w:p>
    <w:p w14:paraId="7AA3207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(1)供应商直接或者间接从采购人或者采购代理机构处获得其他供应商的相关信息并修改其响应文件；</w:t>
      </w:r>
    </w:p>
    <w:p w14:paraId="736E013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(2)供应商按照采购人或者采购代理机构的授意撤换、修改响应文件；</w:t>
      </w:r>
    </w:p>
    <w:p w14:paraId="6C9D81B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(3)供应商之间协商报价、技术方案等响应文件或者响应文件的实质性内容；</w:t>
      </w:r>
    </w:p>
    <w:p w14:paraId="72B8E16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(4)属于同一集团、协会、商会等组织成员的供应商按照该组织要求协同参加政府采购活动；</w:t>
      </w:r>
    </w:p>
    <w:p w14:paraId="305BD96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(5)供应商之间事先约定一致抬高或者压低报价,或者在政府采购活动中事先约定轮流以高价位或者低价位成交,或者事先约定由某一特定供应商成交,然后再参加投标；</w:t>
      </w:r>
    </w:p>
    <w:p w14:paraId="3253AC6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(6)供应商之间商定部分供应商放弃参加政府采购活动或者放弃成交；</w:t>
      </w:r>
    </w:p>
    <w:p w14:paraId="488C203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(7)供应商与采购人或者采购代理机构之间、供应商相互之间，为谋求特定供应商成交或者排斥其 他供应商的其他串通行为。</w:t>
      </w:r>
    </w:p>
    <w:p w14:paraId="6DFE5176">
      <w:pPr>
        <w:rPr>
          <w:rFonts w:hint="eastAsia" w:ascii="宋体" w:hAnsi="宋体" w:eastAsia="宋体" w:cs="宋体"/>
          <w:b/>
          <w:bCs/>
          <w:color w:val="auto"/>
          <w:spacing w:val="5"/>
          <w:sz w:val="31"/>
          <w:szCs w:val="31"/>
          <w:highlight w:val="none"/>
        </w:rPr>
      </w:pPr>
      <w:bookmarkStart w:id="29" w:name="bookmark22"/>
      <w:bookmarkEnd w:id="29"/>
    </w:p>
    <w:p w14:paraId="382D390B">
      <w:pPr>
        <w:spacing w:line="480" w:lineRule="auto"/>
        <w:jc w:val="center"/>
        <w:outlineLvl w:val="1"/>
        <w:rPr>
          <w:rFonts w:hint="eastAsia" w:ascii="宋体" w:hAnsi="宋体" w:eastAsia="宋体" w:cs="宋体"/>
          <w:color w:val="auto"/>
          <w:sz w:val="31"/>
          <w:szCs w:val="31"/>
          <w:highlight w:val="none"/>
        </w:rPr>
      </w:pPr>
      <w:bookmarkStart w:id="30" w:name="_Toc3190"/>
      <w:r>
        <w:rPr>
          <w:rFonts w:hint="eastAsia" w:ascii="宋体" w:hAnsi="宋体" w:eastAsia="宋体" w:cs="宋体"/>
          <w:b/>
          <w:bCs/>
          <w:color w:val="auto"/>
          <w:spacing w:val="5"/>
          <w:sz w:val="32"/>
          <w:szCs w:val="32"/>
          <w:highlight w:val="none"/>
        </w:rPr>
        <w:t>三、招标文件</w:t>
      </w:r>
      <w:bookmarkEnd w:id="30"/>
    </w:p>
    <w:p w14:paraId="3C26C56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7．招标文件的构成</w:t>
      </w:r>
    </w:p>
    <w:p w14:paraId="4C800E3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7.1 招标文件是供应商准备响应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236EF84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（1）招标公告</w:t>
      </w:r>
    </w:p>
    <w:p w14:paraId="2A3B1C9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（2）投标须知</w:t>
      </w:r>
    </w:p>
    <w:p w14:paraId="587F08E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（3）采购需求</w:t>
      </w:r>
    </w:p>
    <w:p w14:paraId="7BF75D6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（4）评审办法及评分标准；</w:t>
      </w:r>
    </w:p>
    <w:p w14:paraId="3BA23E6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（5）合同书（参考格式）</w:t>
      </w:r>
    </w:p>
    <w:p w14:paraId="2FFC384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（6）响应文件格式</w:t>
      </w:r>
    </w:p>
    <w:p w14:paraId="32396CA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7.2 供应商应认真阅读和充分理解招标文件中所有的事项、格式条款和规范要求。供应商没有对招标文件全面做出实质性响应是供应商的风险。没有按照招标文件要求作出实质性响应的响应文件将被拒绝。</w:t>
      </w:r>
    </w:p>
    <w:p w14:paraId="5165957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8. 招标文件的澄清和修改</w:t>
      </w:r>
    </w:p>
    <w:p w14:paraId="23C8D7A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8.1 已获取招标文件的潜在供应商，若有问题需要澄清，应于应标截止时间前，以书面形式向采购代理机构提出，采购代理机构与采购人研究后，对认为有必要回答的问题，按照本章 8.3 的内容处理。</w:t>
      </w:r>
    </w:p>
    <w:p w14:paraId="15C1BFA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8.2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05C924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8.3 提交响应文件截止之日前，采购人、采购代理机构或者评审小组可以对已发出的招标文件 进行必要的澄清或者修改，澄清或者修改的内容作为招标文件的组成部分。澄清或者修改的内容可能影响响应文件编制的，采购人、采购代理机构或者评审小组在提交响应文件截止之日 15 日前，以书面形式（目前为网上公告和系统短信等形式）通知所有获取招标文件的供应商，不足 15 日的，应当顺延提交响应文件截止之日。发出的澄清或者修改不影响投标文件编制的也应在截标前 3 日发出。</w:t>
      </w:r>
    </w:p>
    <w:p w14:paraId="6F3F332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8.4 采购人和采购代理机构可以视采购具体情况，变更提交响应文件截止时间和开标时间，变更时 间将在“发布采购公告”的政府采购信息发布媒体上发布更正公告。</w:t>
      </w:r>
    </w:p>
    <w:p w14:paraId="3EE7643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9. 答疑会和现场考察</w:t>
      </w:r>
    </w:p>
    <w:p w14:paraId="3BA9D8F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9.1 根据采购项目和具体情况，招标采购单位认为有必要，可以组织召开标前答疑会或组织供应商对项目现场进行考察。答疑会或进行现场考察的时间，招标采购单位将以书面形式通知所有下载了招标文件的供应商，具体详见“投标人须知前附表”。</w:t>
      </w:r>
    </w:p>
    <w:p w14:paraId="2B1C8A0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9.2 供应商考察现场所发生的一切费用由供应商自己承担。</w:t>
      </w:r>
    </w:p>
    <w:p w14:paraId="7C01DE0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p>
    <w:p w14:paraId="371E62C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60" w:lineRule="auto"/>
        <w:ind w:firstLine="643" w:firstLineChars="200"/>
        <w:jc w:val="center"/>
        <w:textAlignment w:val="baseline"/>
        <w:outlineLvl w:val="1"/>
        <w:rPr>
          <w:rFonts w:hint="eastAsia" w:ascii="宋体" w:hAnsi="宋体" w:eastAsia="宋体" w:cs="宋体"/>
          <w:b/>
          <w:bCs/>
          <w:i w:val="0"/>
          <w:iCs w:val="0"/>
          <w:color w:val="auto"/>
          <w:sz w:val="32"/>
          <w:szCs w:val="32"/>
          <w:highlight w:val="none"/>
          <w:lang w:val="en-US" w:eastAsia="zh-CN"/>
        </w:rPr>
      </w:pPr>
      <w:bookmarkStart w:id="31" w:name="bookmark24"/>
      <w:bookmarkEnd w:id="31"/>
      <w:bookmarkStart w:id="32" w:name="_Toc28143"/>
      <w:r>
        <w:rPr>
          <w:rFonts w:hint="eastAsia" w:ascii="宋体" w:hAnsi="宋体" w:eastAsia="宋体" w:cs="宋体"/>
          <w:b/>
          <w:bCs/>
          <w:i w:val="0"/>
          <w:iCs w:val="0"/>
          <w:color w:val="auto"/>
          <w:sz w:val="32"/>
          <w:szCs w:val="32"/>
          <w:highlight w:val="none"/>
          <w:lang w:val="en-US" w:eastAsia="zh-CN"/>
        </w:rPr>
        <w:t>四、响应文件</w:t>
      </w:r>
      <w:bookmarkEnd w:id="32"/>
    </w:p>
    <w:p w14:paraId="425A43E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10.响应文件的编制原则</w:t>
      </w:r>
    </w:p>
    <w:p w14:paraId="7C75BE9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供应商必须按照招标文件的要求编制响应文件，并对其提交的响应文件的真实性、合法性承担法律责任。响应文件必须对招标文件作出实质性响应。</w:t>
      </w:r>
    </w:p>
    <w:p w14:paraId="053685B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11．响应文件的语言</w:t>
      </w:r>
    </w:p>
    <w:p w14:paraId="67F4210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11.1 供应商提交的响应文件以及供应商与招标采购单位就有关投标的所有来往书面文件均须使 用中文。响应文件中如附有外文资料，必须逐一对应翻译成中文并加盖供应商公章后附在相关外文资 料后面，否则，供应商的响应文件将作为无效投标处理。</w:t>
      </w:r>
    </w:p>
    <w:p w14:paraId="1BB7245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11.2 翻译的中文资料与外文资料如果出现差异和矛盾时，以中文为准。但不能故意错误翻译，否 则供应商的响应文件将作为无效投标处理。</w:t>
      </w:r>
    </w:p>
    <w:p w14:paraId="41F064F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12.响应文件的编制</w:t>
      </w:r>
    </w:p>
    <w:p w14:paraId="60EE0AD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12.1 响应文件由资格证明文件、报价文件、商务和技术文件三部分组成。</w:t>
      </w:r>
    </w:p>
    <w:p w14:paraId="5FFE6FD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12.1.1 资格证明文件：具体材料见“投标人须知前附表”。</w:t>
      </w:r>
    </w:p>
    <w:p w14:paraId="38FD59C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12.1.2 商务技术文件：具体材料见“投标人须知前附表”。</w:t>
      </w:r>
    </w:p>
    <w:p w14:paraId="09A3CDE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12.1.3 报价文件：具体材料见“投标人须知前附表”。</w:t>
      </w:r>
    </w:p>
    <w:p w14:paraId="3366670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12.2 响应文件电子版：详见须知前附表</w:t>
      </w:r>
    </w:p>
    <w:p w14:paraId="3FCADAD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12.3 各供应商在编制响应文件时请按照招标文件“第六章 响应文件格式”规定的格式进行，混乱的编排导致响应文件被误读或评审小组查找不到有效文件是供应商的风险。不完整、编排混乱导致 响应文件被误读、漏读或者查找不到相关内容的，由此引发的后果由供应商承担。</w:t>
      </w:r>
    </w:p>
    <w:p w14:paraId="38124AF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12.4 响应文件应按资格证明、报价分别编制，商务技术文件合并编制，本投标只接受电子版 响应文件，要求见本章“ 12.2 响应文件电子版要求 ”。</w:t>
      </w:r>
    </w:p>
    <w:p w14:paraId="48C5246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12.5 响应文件须由供应商在“第六章 响应文件格式 ”规定位置进行签署、盖章，否则其响 应文件按无效响应处理。骑缝盖公章不视为在规定位置盖章。</w:t>
      </w:r>
    </w:p>
    <w:p w14:paraId="7A3DBB3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12.6 响应文件中标注的供应商名称应与营业执照（事业单位法人证书、执业许可证、自然人 身份证）及电子公章一致，否则其响应文件按无效响应处理。</w:t>
      </w:r>
    </w:p>
    <w:p w14:paraId="7435271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12.7 响应文件应避免涂改、行间插字或者删除，否则其响应文件按无效响应处理。</w:t>
      </w:r>
    </w:p>
    <w:p w14:paraId="520B899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13．计量单位</w:t>
      </w:r>
    </w:p>
    <w:p w14:paraId="4584D59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除技术规格及要求中另有规定外，本采购项下的投标均采用国家法定的计量单位。</w:t>
      </w:r>
    </w:p>
    <w:p w14:paraId="7D6CBD0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 投标货币</w:t>
      </w:r>
    </w:p>
    <w:p w14:paraId="7D7E63D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本次招标项目的投标报价均以人民币报价。</w:t>
      </w:r>
    </w:p>
    <w:p w14:paraId="0878EF4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14.1 投标人对投标报价若有说明应在投标文件中显著处注明。</w:t>
      </w:r>
    </w:p>
    <w:p w14:paraId="00F5262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14.2 除政策性文件规定以外，投标人所报价格在合同实施期间不因市场变化因素而变动。</w:t>
      </w:r>
    </w:p>
    <w:p w14:paraId="3A5AEFB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14.3 投标报价是履行合同的最终价格，必须包含投标货物的价格及其储藏、运输（含保险）、安装（如有）、调试、检验、技术服务、培训和招标文件要求提供的所有伴随服务、工程（如有）、利润等费用和税费。</w:t>
      </w:r>
    </w:p>
    <w:p w14:paraId="77FA807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14.4 对于有配件、耗材、选件、备件和特殊工具的设备，还应填报投标设备配件、耗材、选件表和备件及特殊工具清单，注明品牌、型号、产地、功能等内容，该表格格式由供应商自行设计。供应商按照上述要求分类报价，其目的是便于评标，但在任何情况下并不限制采购人以其他条款签订合同的权利。</w:t>
      </w:r>
    </w:p>
    <w:p w14:paraId="65291E7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14.5 在投标过程中，如有供应商故意抬高报价或有其他不正当行为，按废标处理。对高于最高限价的响应文件，视为超出采购人的支付能力，按废标处理。</w:t>
      </w:r>
    </w:p>
    <w:p w14:paraId="4A3BF74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14.6 最低报价不能作为中标的保证。</w:t>
      </w:r>
    </w:p>
    <w:p w14:paraId="22B715C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15.投标的风险</w:t>
      </w:r>
    </w:p>
    <w:p w14:paraId="7CC6ED4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供应商没有按照招标文件要求提供全部资料，或者供应商没有对招标文件在各方面作出实质性响 应可能导致其响应无效，是供应商应当考虑的风险。</w:t>
      </w:r>
    </w:p>
    <w:p w14:paraId="2110DCB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16.响应报价要求和构成</w:t>
      </w:r>
    </w:p>
    <w:p w14:paraId="76396E4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16.1 响应报价应按“第六章 响应文件格式”中“响应报价表”格式填写。</w:t>
      </w:r>
    </w:p>
    <w:p w14:paraId="57967EA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16.2 响应报价的价格构成见“供应商须知前附表”。</w:t>
      </w:r>
    </w:p>
    <w:p w14:paraId="424BFA8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16.3 响应报价要求</w:t>
      </w:r>
    </w:p>
    <w:p w14:paraId="57B5AAE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16.3.1 供应商的响应报价应符合以下要求，否则响应文件按无效响应处理：</w:t>
      </w:r>
    </w:p>
    <w:p w14:paraId="3363E0E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（1）供应商必须就“采购需求”中所竞标的每个分标的全部内容分别作完整唯一总价报价，不得存在漏项报价；</w:t>
      </w:r>
    </w:p>
    <w:p w14:paraId="674478C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（2）供应商必须就所竞标的分标的单项内容作唯一报价。</w:t>
      </w:r>
    </w:p>
    <w:p w14:paraId="0D2D68A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16.3.2 响应报价超过招标文件规定的最高限价的，其响应文件将作无效处理。</w:t>
      </w:r>
    </w:p>
    <w:p w14:paraId="67881CF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17. 联合体投标</w:t>
      </w:r>
    </w:p>
    <w:p w14:paraId="6BC4548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详见供应商须知前附表</w:t>
      </w:r>
    </w:p>
    <w:p w14:paraId="0907ED1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18. 知识产权</w:t>
      </w:r>
    </w:p>
    <w:p w14:paraId="01872B0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18.1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6929C87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18.2 采购人享有本项目实施过程中产生的知识成果及知识产权。</w:t>
      </w:r>
    </w:p>
    <w:p w14:paraId="5F27815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18.3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7A58CF2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18.4 如采用供应商所不拥有的知识产权，则在投标报价中必须包括合法获取该知识产权的相关费用。</w:t>
      </w:r>
    </w:p>
    <w:p w14:paraId="29E86EF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19.响应文件的密封和标记</w:t>
      </w:r>
    </w:p>
    <w:p w14:paraId="180DF75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19.1 供应商进行电子交易应安装客户端软件—“政采云电子交易客户端”，并按照招标文件和电子交易平台的要求编制并加密响应文件。供应商未按规定加密的响应文件，电子交易平台将拒收并提示。</w:t>
      </w:r>
    </w:p>
    <w:p w14:paraId="1C15DF6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19.2 使用“政采云电子交易客户端 ”需要提前申领 CA 数字证书。</w:t>
      </w:r>
    </w:p>
    <w:p w14:paraId="6469785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19.3 为确保网上操作合法、有效和安全，供应商应当在响应文件提交截止时间前完成在“政府采购云平台”的身份认证，确保在电子交易过程中能够对相关数据电文进行加密和使用电子签名。</w:t>
      </w:r>
    </w:p>
    <w:p w14:paraId="0A546F8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20.响应文件的递交</w:t>
      </w:r>
    </w:p>
    <w:p w14:paraId="516D42C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20.1 供应商必须在“供应商须知前附表”规定的时间和地点提交响应文件。</w:t>
      </w:r>
    </w:p>
    <w:p w14:paraId="400F48A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20.2 在响应文件提交截止时间以后，不能补充、修改响应文件。</w:t>
      </w:r>
    </w:p>
    <w:p w14:paraId="06C03E4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20.3 在提交“响应报价”后，供应商不能退出投标。</w:t>
      </w:r>
    </w:p>
    <w:p w14:paraId="22F3582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20.4 电子交易平台收到响应文件，将妥善保存并即时向供应商发出确认回执通知。在响应文件提交截止时间前，除供应商补充、修改或者撤回响应文件外，任何单位和个人不得解密或提取响应文件。</w:t>
      </w:r>
    </w:p>
    <w:p w14:paraId="6616926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20.5 备份响应文件要求。详见在“供应商须知前附表”。</w:t>
      </w:r>
    </w:p>
    <w:p w14:paraId="23515C0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21．响应文件的修改和撤回</w:t>
      </w:r>
    </w:p>
    <w:p w14:paraId="6C029C8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未在规定时间内提交或者未按照招 标文件要求密封或者标记的电子投标文件，“政采云”平台将拒收。</w:t>
      </w:r>
    </w:p>
    <w:p w14:paraId="6340DDD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21.2 在投标截止时间之后，供应商不得对其递交的响应文件做任何修改或撤回投标。</w:t>
      </w:r>
    </w:p>
    <w:p w14:paraId="01F7A12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21.3 响应文件中如果出现计算上或累加上的算术错误，可按以下原则进行修改：</w:t>
      </w:r>
    </w:p>
    <w:p w14:paraId="6964BB3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（1）用数字表示的金额和用文字表示的金额不一致，应以文字表示的金额为准。</w:t>
      </w:r>
    </w:p>
    <w:p w14:paraId="4C0EDEF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（2）单价和数量的乘积与总价不一致时，以单价为准，并修正总价。</w:t>
      </w:r>
    </w:p>
    <w:p w14:paraId="3024400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（3）单价金额小数点有明显错误的，以总价为准，修正单价。</w:t>
      </w:r>
    </w:p>
    <w:p w14:paraId="620C9C3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按上述修正错误的方法调整的投标报价应对供应商具有约束力。如果供应商不接受修正后的价格，其投标将被拒绝。对不同文字文本响应文件的解释发生异议的，以中文文本为准。招标人不接受任何有选择性的报价。</w:t>
      </w:r>
    </w:p>
    <w:p w14:paraId="2D12D40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22．投标保证金</w:t>
      </w:r>
    </w:p>
    <w:p w14:paraId="1A02422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本项目不收取投标保证金</w:t>
      </w:r>
    </w:p>
    <w:p w14:paraId="1639899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23．投标有效期</w:t>
      </w:r>
    </w:p>
    <w:p w14:paraId="54FE825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23.1 投标有效期详见供应商须知前附表。投标有效期短于此规定期限的投标，将被拒绝。</w:t>
      </w:r>
    </w:p>
    <w:p w14:paraId="7A9A291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23.2 特殊情况下，采购人可于投标有效期满之前要求供应商同意延长有效期，要求与答复均应为书面形式。供应商可以拒绝上述要求，其投标保证金不被没收。拒绝延长投标有效期的供应商不得再 参与该项目后续采购活动。同意延长投标有效期的供应商不能修改其响应文件，关于投标保证金的有 关规定在延长的投标有效期内继续有效。</w:t>
      </w:r>
    </w:p>
    <w:p w14:paraId="7635D2D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p>
    <w:p w14:paraId="6172668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643" w:firstLineChars="200"/>
        <w:jc w:val="center"/>
        <w:textAlignment w:val="baseline"/>
        <w:outlineLvl w:val="1"/>
        <w:rPr>
          <w:rFonts w:hint="eastAsia" w:ascii="宋体" w:hAnsi="宋体" w:eastAsia="宋体" w:cs="宋体"/>
          <w:b/>
          <w:bCs/>
          <w:i w:val="0"/>
          <w:iCs w:val="0"/>
          <w:color w:val="auto"/>
          <w:sz w:val="32"/>
          <w:szCs w:val="32"/>
          <w:highlight w:val="none"/>
          <w:lang w:val="en-US" w:eastAsia="zh-CN"/>
        </w:rPr>
      </w:pPr>
      <w:bookmarkStart w:id="33" w:name="bookmark26"/>
      <w:bookmarkEnd w:id="33"/>
      <w:bookmarkStart w:id="34" w:name="_Toc16615"/>
      <w:r>
        <w:rPr>
          <w:rFonts w:hint="eastAsia" w:ascii="宋体" w:hAnsi="宋体" w:eastAsia="宋体" w:cs="宋体"/>
          <w:b/>
          <w:bCs/>
          <w:i w:val="0"/>
          <w:iCs w:val="0"/>
          <w:color w:val="auto"/>
          <w:sz w:val="32"/>
          <w:szCs w:val="32"/>
          <w:highlight w:val="none"/>
          <w:lang w:val="en-US" w:eastAsia="zh-CN"/>
        </w:rPr>
        <w:t>五、开标和中标</w:t>
      </w:r>
      <w:bookmarkEnd w:id="34"/>
    </w:p>
    <w:p w14:paraId="2F52EC9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24．开标</w:t>
      </w:r>
    </w:p>
    <w:p w14:paraId="3390D21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24.1 采购代理机构在招标文件规定的时间和地点组织公开开标，采购人、供应商须派代表参加并 签到以证明其出席。</w:t>
      </w:r>
    </w:p>
    <w:p w14:paraId="1F39A26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24.2 开标时，采购代理机构可以邀请有关监督管理部门对开标进行现场监督，也可以（非必须） 申请公证机构对整个开标程序进行现场公证。</w:t>
      </w:r>
    </w:p>
    <w:p w14:paraId="20E01C4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24.3 开标时，采购代理机构应让供应商对其响应文件的进行解密，或申请公证机构检查响应文件的密封情况并公证。经确认无误后，由招标工作人员或公证人员将供应商单独递交的“开标一览表”当众拆封，并由唱标人员按照招标文件规定的内容进行宣读。</w:t>
      </w:r>
    </w:p>
    <w:p w14:paraId="522A991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24.4 开标时，“开标一览表 ”中的大写金额与小写金额不一致的，以大写金额为准；总价金额与按单价计算的汇总金额不一致的，以单价计算的汇总金额为准；单价金额有明显小数点错误的，以总价为准，并修改单价。</w:t>
      </w:r>
    </w:p>
    <w:p w14:paraId="34AB001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24.5 响应文件中有关明细表内容与“开标一览表”不一致的，以“开标一览表”为准。对不同文字文本响应文件的解释发生异议的，以中文文本为准。</w:t>
      </w:r>
    </w:p>
    <w:p w14:paraId="53EDB24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24.6 所有投标唱标完毕，如供应商代表对宣读的“开标一览表”上的内容有异议的，应在获得开标会主持人同意后当场提出。如确实属于唱标人员宣读错了的，经现场监督人员或公证人员核实后，当场予以更正。</w:t>
      </w:r>
    </w:p>
    <w:p w14:paraId="7AEF265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25. 开标程序</w:t>
      </w:r>
    </w:p>
    <w:p w14:paraId="60BAF2B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采购代理机构在招标文件规定的时间和地点组织招标活动，如投标人成功解密投标文件，但未在“政采云”电子开标大厅参加开标的，视同认可开标过程和结果，由此产生的后果由供应商自行负责。供应商不足 3 家的，不得开标。</w:t>
      </w:r>
    </w:p>
    <w:p w14:paraId="7DC2399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供应商不足 3 家的，不得开标。</w:t>
      </w:r>
    </w:p>
    <w:p w14:paraId="20BB2BE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（1）响应文件的开启，响应文件由评审小组或者采购代理机构在“供应商须知前附表 ”规定的时间开启。</w:t>
      </w:r>
    </w:p>
    <w:p w14:paraId="5AECE0F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（2）响应文件解密</w:t>
      </w:r>
    </w:p>
    <w:p w14:paraId="3B5BD47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采购代理机构将在“供应商须知前附表”规定的时间通过电子交易平台组织响应文件开启采购机构依托电子交易平台发起开始解密指令，供应商的法定代表人或其委托代理人须携带加密时所用的 CA 锁按平台提示和采购文件的规定登录到“政采云”平台电子开标大厅签到并在发起解密指令之时起 30 分钟内完成对电子响应文件在线解密。发起解密指令之时起5分钟内供应商还未进行解密的，代理机构要通知供应商，供应商没预留联系方式或预留联系方式无效，导致代理机构无法联系到供应 商进行解密的，视为响应文件无效。</w:t>
      </w:r>
    </w:p>
    <w:p w14:paraId="7ADA9F2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如供应商成功解密响应文件，但未在“政采云”电子开标大厅参加投标的，视同认可评审过程和结果，由此产生的后果由供应商自行负责。参与投标的供应商不足 3 家的，不得评审。</w:t>
      </w:r>
    </w:p>
    <w:p w14:paraId="4E75A82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（3）开标时，供应商完成在线解密后，由工作人员开始唱标。</w:t>
      </w:r>
    </w:p>
    <w:p w14:paraId="2F138AF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（4）电子唱标。响应文件解密结束，各投标供应商报价均在“政采云”平台远程不见面开标大厅展示。</w:t>
      </w:r>
    </w:p>
    <w:p w14:paraId="5F1E3EB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（5）开标过程由采购代理机构如实记录，并电子留痕，由参加电子开标的各供应商代表对电子开标记录在开标记录公布后 15 分钟内进行当场校核及勘误，并线上确认，未确认的视同认可开标结果。</w:t>
      </w:r>
    </w:p>
    <w:p w14:paraId="205619C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供应商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45D4E2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（7）资格审查的组建。</w:t>
      </w:r>
    </w:p>
    <w:p w14:paraId="2351476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（8）资格性审查，资格审查标准为本“招标文件”中“投标人须知前附表”载明对投标人资格要求的条件。本项目资格审查采用合格制，凡符合招标文件规定的投标人资格要求的投标人均通过资格审查。</w:t>
      </w:r>
    </w:p>
    <w:p w14:paraId="18421AD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投标人有下列情形之一的，资格审查不通过，作无效投标处理：</w:t>
      </w:r>
    </w:p>
    <w:p w14:paraId="0141A0E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1、不具备招标文件中规定的资格要求的；(注：其中信用查询规则见“供应商须知前附表”，“政采云”平台已与“信用中国”平台做接口，审查专家可直接在线查询)</w:t>
      </w:r>
    </w:p>
    <w:p w14:paraId="1A2EE71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2、投标文件未提供任一项“投标人须知前附表 ”资格证明文件规定的“必须提供 ”的文件资料的；</w:t>
      </w:r>
    </w:p>
    <w:p w14:paraId="54C129F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3、投标文件提供的资格证明文件出现任一项不符合“投标人须知前附表”资格证明文件规定的“必须提供”的文件资料要求或者无效的。</w:t>
      </w:r>
    </w:p>
    <w:p w14:paraId="79B320C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采购人或者采购代理机依法对供应商进行资格审查。合格供应商不足 3 家的，不得评标。</w:t>
      </w:r>
    </w:p>
    <w:p w14:paraId="6550758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（9）开标结束</w:t>
      </w:r>
    </w:p>
    <w:p w14:paraId="1BCE604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（10）评标小组组建，评标委员会由采购人代表和评审专家组成，人数为 5 人以上单数，其中评审专家不得少于成员总数的三分之二。</w:t>
      </w:r>
    </w:p>
    <w:p w14:paraId="0EB0E20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评标小组按照“第四章 评审程序、评审方法和评审标准”规定的方法、评审因素、标准和程序对响应文件进行评审。</w:t>
      </w:r>
    </w:p>
    <w:p w14:paraId="4027D80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（8）符合性审查。符合性审查是指依据招标文件的规定，从商务和技术角度对响应文件的有效性和完整性进行审查，以确定是否对招标文件的实质性要求做出响应。</w:t>
      </w:r>
    </w:p>
    <w:p w14:paraId="08D522E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（9）评标小组会采用综合评分法对满足招标文件全部实质性要求的响应文件和投标报价进行综合评分。</w:t>
      </w:r>
    </w:p>
    <w:p w14:paraId="3FE01F5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（10）评标委员会根据综合评分情况，按照评标得分由高到低顺序推荐 3 名中标候选人，并编写评标报告。得分相同的，按投标报价由低到高顺序排列。得分且投标报价相同的，按照技术指标优劣顺序推荐。</w:t>
      </w:r>
    </w:p>
    <w:p w14:paraId="3C96E9D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电子交易活动的中止。</w:t>
      </w:r>
    </w:p>
    <w:p w14:paraId="0FF5957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采购过程中出现以下情形，导致电子交易平台无法正常运行,或者无法保证电子交易的公平、公正和安全时，采购机构可中止电子交易活动。不影响采购公平、公正性的，采购组织机构可以待上述情 形消除后继续组织电子交易活动；影响或可能影响采购公平、公正性的，经采购代理机构确认后，应 当重新采购。采购代理机构必须对原有的资料及信息作出妥善保密处理，并报财政部门备案：</w:t>
      </w:r>
    </w:p>
    <w:p w14:paraId="7FB17D1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 电子交易平台发生故障而无法登录访问的；</w:t>
      </w:r>
    </w:p>
    <w:p w14:paraId="5067BED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 电子交易平台应用或数据库出现错误，不能进行正常操作的；</w:t>
      </w:r>
    </w:p>
    <w:p w14:paraId="488703E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 电子交易平台发现严重安全漏洞，有潜在泄密危险的；</w:t>
      </w:r>
    </w:p>
    <w:p w14:paraId="7AAD2D1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 病毒发作导致不能进行正常操作的；</w:t>
      </w:r>
    </w:p>
    <w:p w14:paraId="40569AC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 其他无法保证电子交易的公平、公正和安全的情况。</w:t>
      </w:r>
    </w:p>
    <w:p w14:paraId="55A1C7B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26．确定成交供应商及结果公告</w:t>
      </w:r>
    </w:p>
    <w:p w14:paraId="6549E15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26.1 确定成交供应商：由采购人直接委托评审专家确定，评审报告提出的排序第一的供应商为成交供应商。</w:t>
      </w:r>
    </w:p>
    <w:p w14:paraId="78F8763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26.2 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47CB347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 成交通知及成交结果公告。成交供应商确定后 2 个工作日内，在发布招标公告的媒体上公告成交结果，同时向成交供应商发出成交通知书，成交通知书规定签订合同的时间不得超过 30 日。</w:t>
      </w:r>
    </w:p>
    <w:p w14:paraId="44062C1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 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记录及相关证据与招标文件一并保存。</w:t>
      </w:r>
    </w:p>
    <w:p w14:paraId="74EBA3E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0000FF"/>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26.5 </w:t>
      </w:r>
      <w:r>
        <w:rPr>
          <w:rFonts w:hint="eastAsia" w:ascii="宋体" w:hAnsi="宋体" w:eastAsia="宋体" w:cs="宋体"/>
          <w:i w:val="0"/>
          <w:iCs w:val="0"/>
          <w:color w:val="0000FF"/>
          <w:sz w:val="24"/>
          <w:szCs w:val="24"/>
          <w:highlight w:val="none"/>
          <w:lang w:val="en-US" w:eastAsia="zh-CN"/>
        </w:rPr>
        <w:t>本项目评标结束并在公示中标候选人期间，采购人有权对中标候选人开展实地现场核查考察，核查内容包含生产场地、产能规模、供货能力、售后服务体系、资质资料真实性、履约保障能力等相关情况。本次实地考察仅用于核实投标资料真实性及实际履约能力，不得改变评标委员会既定评审结果与评审排名。</w:t>
      </w:r>
    </w:p>
    <w:p w14:paraId="3B998DB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0000FF"/>
          <w:sz w:val="24"/>
          <w:szCs w:val="24"/>
          <w:highlight w:val="none"/>
          <w:lang w:val="en-US" w:eastAsia="zh-CN"/>
        </w:rPr>
      </w:pPr>
      <w:r>
        <w:rPr>
          <w:rFonts w:hint="eastAsia" w:ascii="宋体" w:hAnsi="宋体" w:eastAsia="宋体" w:cs="宋体"/>
          <w:i w:val="0"/>
          <w:iCs w:val="0"/>
          <w:color w:val="0000FF"/>
          <w:sz w:val="24"/>
          <w:szCs w:val="24"/>
          <w:highlight w:val="none"/>
          <w:lang w:val="en-US" w:eastAsia="zh-CN"/>
        </w:rPr>
        <w:t>所有中标候选人须主动配合采购人现场核查工作，按时安排专人对接、开放实地场地、提供佐证材料。若核查发现存在弄虚作假、资质不实、无实际履约条件、隐瞒重要信息等情形，视为自动放弃中标资格，采购人可依规取消其中标资格，并按中标候选人排名依次递补，由此产生的一切损失由该投标人自行承担。</w:t>
      </w:r>
    </w:p>
    <w:p w14:paraId="046789D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0000FF"/>
          <w:sz w:val="24"/>
          <w:szCs w:val="24"/>
          <w:highlight w:val="none"/>
          <w:lang w:val="en-US" w:eastAsia="zh-CN"/>
        </w:rPr>
        <w:t>投标人参与本项目投标，即视为自愿知晓并同意本项实地考察相关全部约定，无任何异议。</w:t>
      </w:r>
    </w:p>
    <w:p w14:paraId="320236A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26.5 成交供应商享受《政府采购促进中小企业发展管理办法》（财库〔2020〕46号）规定的中小企业扶持政策的，应当在政府采购活动过程中，请根据企业的真实情况出具《中小企业声明函》，采购人、采购代理机构会随成交结果公开成交供应商的《中小企业声明函》，接受社会监督。</w:t>
      </w:r>
    </w:p>
    <w:p w14:paraId="4DEC3C0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26.6 采购人、采购代理机构认为供应商对采购过程、成交结果提出的质疑成立且影响或者可能影响成交结果的，合格供应商符合法定数量时，可以从合格的成交候选人中另行确定成交供应商或者重新开展采购活动。</w:t>
      </w:r>
    </w:p>
    <w:p w14:paraId="55BAA67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27．中标通知书</w:t>
      </w:r>
    </w:p>
    <w:p w14:paraId="276EF24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27.1 中标通知书为签订政府采购合同的依据，是合同的有效组成部分。</w:t>
      </w:r>
    </w:p>
    <w:p w14:paraId="4246505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27.2 中标通知书对采购人和中标人均具有法律效力。中标通知书发出后，采购人改变中标结果，或者中标人无正当理由放弃中标的，应当承担相应的法律责任。</w:t>
      </w:r>
    </w:p>
    <w:p w14:paraId="18C7C06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27．3 中标人的响应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14:paraId="37ACAB1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60" w:lineRule="auto"/>
        <w:ind w:firstLine="643" w:firstLineChars="200"/>
        <w:jc w:val="center"/>
        <w:textAlignment w:val="baseline"/>
        <w:outlineLvl w:val="1"/>
        <w:rPr>
          <w:rFonts w:hint="eastAsia" w:ascii="宋体" w:hAnsi="宋体" w:eastAsia="宋体" w:cs="宋体"/>
          <w:b/>
          <w:bCs/>
          <w:i w:val="0"/>
          <w:iCs w:val="0"/>
          <w:color w:val="auto"/>
          <w:sz w:val="32"/>
          <w:szCs w:val="32"/>
          <w:highlight w:val="none"/>
          <w:lang w:val="en-US" w:eastAsia="zh-CN"/>
        </w:rPr>
      </w:pPr>
      <w:bookmarkStart w:id="35" w:name="bookmark28"/>
      <w:bookmarkEnd w:id="35"/>
      <w:bookmarkStart w:id="36" w:name="_Toc13706"/>
      <w:r>
        <w:rPr>
          <w:rFonts w:hint="eastAsia" w:ascii="宋体" w:hAnsi="宋体" w:eastAsia="宋体" w:cs="宋体"/>
          <w:b/>
          <w:bCs/>
          <w:i w:val="0"/>
          <w:iCs w:val="0"/>
          <w:color w:val="auto"/>
          <w:sz w:val="32"/>
          <w:szCs w:val="32"/>
          <w:highlight w:val="none"/>
          <w:lang w:val="en-US" w:eastAsia="zh-CN"/>
        </w:rPr>
        <w:t>六、签订、履行合同</w:t>
      </w:r>
      <w:bookmarkEnd w:id="36"/>
    </w:p>
    <w:p w14:paraId="0262D39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28. 签订合同</w:t>
      </w:r>
    </w:p>
    <w:p w14:paraId="7E0B299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28.1 中标人领取中标通知书后，按规定的日期、时间、地点，由法定代表人或其授权代表与采购人代表签订采购合同。如中标人为联合体的，由联合体成员各方法定代表人或其授权代表与采购人代表签订合同。在合同签订之前，招标代理机构或招标人有权对中标人的履约能力及中标的产品的质量进行最后审查，如发现中标人提供的材料虚假或对标书所要求说明的情况故意隐瞒或虚报，则招标采购单位有权取消其中标资格，并另行决定评标得分（或价格）居其后的供应商中标（在投标有效期内）或由招标代理机构组织重新招标。</w:t>
      </w:r>
    </w:p>
    <w:p w14:paraId="697EFEC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28.2 采购人与成交供应商应当在成交通知书发出之日起 30 日内，按照采购文件确定的合同文本以及采购标的、采购金额、技术和服务要求等事项签订政府采购合同。采购人不得向成交供应商提出超出采购文件以外的任何要求作为签订合同的条件，不得与成交供应商订立背离采购商文件确定的合同文本以及采购标的、采购金额、技术和服务要求等实质性内容的协议。</w:t>
      </w:r>
    </w:p>
    <w:p w14:paraId="69CA9DF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28.3 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97743F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28.4 采购文件所附《合同主要条款》是采购人与成交供应商签订合同的基本条款，成交供应商应认真阅读，在没有实质性违反采购文件及响应文件的前提下，采购人有权在合同签订前对合同条款进行适当修改、增加、删除，成交供应商不得以此为由拒绝签订合同。对此，请供应商参加采购前慎重考虑相关商业风险。</w:t>
      </w:r>
    </w:p>
    <w:p w14:paraId="3B2616C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28.5 中标通知书是购销合同的组成部分，对采购人和中标人均具有法律效力。中标通知书发出后 招标代理机构改变中标结果或中标人放弃赔偿责任中标项目的，均应依法承担法律责任。</w:t>
      </w:r>
    </w:p>
    <w:p w14:paraId="648B3DD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28.6 如签订合同并生效后，供应商无故拒绝或延期，除按照合同条款处理外，将承担相应的法律责任。政府采购合同继续履行将损害国家利益和社会公共利益的，双方当事人应当变更、中止或终止合同，有过错的一方应当承担，双方都有过错的，各自承担相应的责任。</w:t>
      </w:r>
    </w:p>
    <w:p w14:paraId="170F66C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28.7.合同份数</w:t>
      </w:r>
    </w:p>
    <w:p w14:paraId="415236E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本合同正本6份，具有同等法律效力，合同签订后，需将合同原件 2 份送至招标代理公司留存，投标供应商所需合同份数需自行酌情签订。</w:t>
      </w:r>
    </w:p>
    <w:p w14:paraId="255FA0E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28.8 政府采购合同公告</w:t>
      </w:r>
    </w:p>
    <w:p w14:paraId="30348E5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采购人或者受托采购代理机构应当自政府采购合同签订之日起 2 个工作日内，将政府采购合同在以下媒体上发布“新疆政府采购网政采云平台（http://www.ccgp-xinjiang.gov.cn/）”上公告，但政府采购合同中涉及国家秘密、商业秘密的内容除外。供应商需及时将采购合同送至招标代理机构。</w:t>
      </w:r>
    </w:p>
    <w:p w14:paraId="0B4FEB0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29. 合同分包</w:t>
      </w:r>
    </w:p>
    <w:p w14:paraId="0830817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29.1 若本项目允许分包的，经采购人同意，中标人可以依法采取分包方式履行合同。这种要求应当在合同签订之前征得采购人同意，并且分包供应商履行的分包项目的品牌、规格型号及技术要求等，必须与中标的一致。</w:t>
      </w:r>
    </w:p>
    <w:p w14:paraId="57119D3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 采购合同实行分包履行的，中标人就采购项目和分包项目向采购人负责，分包供应商就分包项目承担责任。</w:t>
      </w:r>
    </w:p>
    <w:p w14:paraId="1989979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30. 采购人增加合同标的权利</w:t>
      </w:r>
    </w:p>
    <w:p w14:paraId="5AFDF97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14:paraId="1F33973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31.履约保证金要求，详见在“供应商须知前附表”</w:t>
      </w:r>
    </w:p>
    <w:p w14:paraId="260896D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32. 履行合同</w:t>
      </w:r>
    </w:p>
    <w:p w14:paraId="412D228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32.1 中标人与采购人签订合同后，合同双方应严格执行合同条款，履行合同规定的义务，保证合同的顺利完成。</w:t>
      </w:r>
    </w:p>
    <w:p w14:paraId="1CF6365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32.2 在合同履行过程中，如发生合同纠纷，合同双方应按照《合同法》的有关规定进行处理。</w:t>
      </w:r>
    </w:p>
    <w:p w14:paraId="2BD17A4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33. 验收</w:t>
      </w:r>
    </w:p>
    <w:p w14:paraId="590FCEC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中标人与采购人应严格按照国家财政部《关于进一步加强政府采购需求和履约验收管理的指导意见》（财库〔2016〕205号）的要求进行验收。</w:t>
      </w:r>
    </w:p>
    <w:p w14:paraId="6D6FCD4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8274F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33.2 采购人可以邀请参加本项目的其他投标人或者第三方机构参与验收。参与验收的投标人或者 第三方机构的意见作为验收书的参考资料一并存档。</w:t>
      </w:r>
    </w:p>
    <w:p w14:paraId="15B4969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33.3 严格按照采购合同开展履约验收。采购人成立验收小组，按照采购合同的约定对供应商履约情况进行验收。验收时，按照采购合同的约定对每一项技术、服务、安全标准的履约情况进行确认。</w:t>
      </w:r>
    </w:p>
    <w:p w14:paraId="1F96529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验收结束后，应当出具验收书，列明各项标准的验收情况及项目总体评价，由验收双方共同签署。验收结果与采购合同约定的资金支付及履约保证金返还条件挂钩。履约验收的各项资料应当存档备查。</w:t>
      </w:r>
    </w:p>
    <w:p w14:paraId="5807458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33.4 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88225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33.5 成交供应商需在履约验收后提供完备的验收报告原件一份递交至新疆新华远景工程造价咨询有限公司留档。</w:t>
      </w:r>
    </w:p>
    <w:p w14:paraId="701BB86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p>
    <w:p w14:paraId="7C64B80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643" w:firstLineChars="200"/>
        <w:jc w:val="center"/>
        <w:textAlignment w:val="baseline"/>
        <w:outlineLvl w:val="1"/>
        <w:rPr>
          <w:rFonts w:hint="eastAsia" w:ascii="宋体" w:hAnsi="宋体" w:eastAsia="宋体" w:cs="宋体"/>
          <w:b/>
          <w:bCs/>
          <w:i w:val="0"/>
          <w:iCs w:val="0"/>
          <w:color w:val="auto"/>
          <w:sz w:val="32"/>
          <w:szCs w:val="32"/>
          <w:highlight w:val="none"/>
          <w:lang w:val="en-US" w:eastAsia="zh-CN"/>
        </w:rPr>
      </w:pPr>
      <w:bookmarkStart w:id="37" w:name="_Toc21484"/>
      <w:r>
        <w:rPr>
          <w:rFonts w:hint="eastAsia" w:ascii="宋体" w:hAnsi="宋体" w:eastAsia="宋体" w:cs="宋体"/>
          <w:b/>
          <w:bCs/>
          <w:i w:val="0"/>
          <w:iCs w:val="0"/>
          <w:color w:val="auto"/>
          <w:sz w:val="32"/>
          <w:szCs w:val="32"/>
          <w:highlight w:val="none"/>
          <w:lang w:val="en-US" w:eastAsia="zh-CN"/>
        </w:rPr>
        <w:t>七、投标纪律要求</w:t>
      </w:r>
      <w:bookmarkEnd w:id="37"/>
    </w:p>
    <w:p w14:paraId="2BAA245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34. 供应商不得具有的情形</w:t>
      </w:r>
    </w:p>
    <w:p w14:paraId="3B75BAB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供应商参加投标不得有下列情形：</w:t>
      </w:r>
    </w:p>
    <w:p w14:paraId="32F703F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（1）提供虚假材料谋取成交；</w:t>
      </w:r>
    </w:p>
    <w:p w14:paraId="70A9F26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（2）采取不正当手段诋毁、排挤其他投标供应商；</w:t>
      </w:r>
    </w:p>
    <w:p w14:paraId="39612A8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（3）与采购单位、其他投标供应商恶意串通；</w:t>
      </w:r>
    </w:p>
    <w:p w14:paraId="2169934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（4）向采购单位、评审委员会成员行贿或者提供其他不正当利益；</w:t>
      </w:r>
    </w:p>
    <w:p w14:paraId="32D0E22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（5）在投标过程中与采购单位进行协商谈判；</w:t>
      </w:r>
    </w:p>
    <w:p w14:paraId="3614422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（6）成交后无正当理由拒不与采购人签订政府采购合同；</w:t>
      </w:r>
    </w:p>
    <w:p w14:paraId="6B7DB6C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（7）未按照采购文件确定的事项签订政府采购合同；</w:t>
      </w:r>
    </w:p>
    <w:p w14:paraId="1607EDB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（8）将政府采购合同转包或者违规分包；</w:t>
      </w:r>
    </w:p>
    <w:p w14:paraId="7F38749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（9）提供假冒伪劣产品；</w:t>
      </w:r>
    </w:p>
    <w:p w14:paraId="2CCE476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（10）擅自变更、中止或者终止政府采购合同；</w:t>
      </w:r>
    </w:p>
    <w:p w14:paraId="5B46D4F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（11）拒绝有关部门的监督检查或者向监督检查部门提供虚假情况；</w:t>
      </w:r>
    </w:p>
    <w:p w14:paraId="2763856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（12）法律法规规定的其他情形。</w:t>
      </w:r>
    </w:p>
    <w:p w14:paraId="5E4B091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供应商有上述情形的，按照规定追究法律责任，具备（1）-（10）条情形之一的，同时将取消成 交资格或者认定成交无效。</w:t>
      </w:r>
    </w:p>
    <w:p w14:paraId="3929085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p>
    <w:p w14:paraId="11E2F87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60" w:lineRule="auto"/>
        <w:ind w:firstLine="643" w:firstLineChars="200"/>
        <w:jc w:val="center"/>
        <w:textAlignment w:val="baseline"/>
        <w:outlineLvl w:val="1"/>
        <w:rPr>
          <w:rFonts w:hint="eastAsia" w:ascii="宋体" w:hAnsi="宋体" w:eastAsia="宋体" w:cs="宋体"/>
          <w:b/>
          <w:bCs/>
          <w:i w:val="0"/>
          <w:iCs w:val="0"/>
          <w:color w:val="auto"/>
          <w:sz w:val="32"/>
          <w:szCs w:val="32"/>
          <w:highlight w:val="none"/>
          <w:lang w:val="en-US" w:eastAsia="zh-CN"/>
        </w:rPr>
      </w:pPr>
      <w:bookmarkStart w:id="38" w:name="bookmark32"/>
      <w:bookmarkEnd w:id="38"/>
      <w:bookmarkStart w:id="39" w:name="_Toc29973"/>
      <w:r>
        <w:rPr>
          <w:rFonts w:hint="eastAsia" w:ascii="宋体" w:hAnsi="宋体" w:eastAsia="宋体" w:cs="宋体"/>
          <w:b/>
          <w:bCs/>
          <w:i w:val="0"/>
          <w:iCs w:val="0"/>
          <w:color w:val="auto"/>
          <w:sz w:val="32"/>
          <w:szCs w:val="32"/>
          <w:highlight w:val="none"/>
          <w:lang w:val="en-US" w:eastAsia="zh-CN"/>
        </w:rPr>
        <w:t>八、支付货款</w:t>
      </w:r>
      <w:bookmarkEnd w:id="39"/>
    </w:p>
    <w:p w14:paraId="27BA516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35. 申请支付</w:t>
      </w:r>
    </w:p>
    <w:p w14:paraId="57A57D6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 采购项目验收合格，采购人签署验收单后，由采购人直接支付给中标人或者按照有关规定执行。</w:t>
      </w:r>
    </w:p>
    <w:p w14:paraId="2AAC7AE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p>
    <w:p w14:paraId="4BCCEA3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60" w:lineRule="auto"/>
        <w:ind w:firstLine="643" w:firstLineChars="200"/>
        <w:jc w:val="center"/>
        <w:textAlignment w:val="baseline"/>
        <w:outlineLvl w:val="1"/>
        <w:rPr>
          <w:rFonts w:hint="eastAsia" w:ascii="宋体" w:hAnsi="宋体" w:eastAsia="宋体" w:cs="宋体"/>
          <w:b/>
          <w:bCs/>
          <w:i w:val="0"/>
          <w:iCs w:val="0"/>
          <w:color w:val="auto"/>
          <w:sz w:val="32"/>
          <w:szCs w:val="32"/>
          <w:highlight w:val="none"/>
          <w:lang w:val="en-US" w:eastAsia="zh-CN"/>
        </w:rPr>
      </w:pPr>
      <w:bookmarkStart w:id="40" w:name="bookmark34"/>
      <w:bookmarkEnd w:id="40"/>
      <w:bookmarkStart w:id="41" w:name="_Toc2331"/>
      <w:r>
        <w:rPr>
          <w:rFonts w:hint="eastAsia" w:ascii="宋体" w:hAnsi="宋体" w:eastAsia="宋体" w:cs="宋体"/>
          <w:b/>
          <w:bCs/>
          <w:i w:val="0"/>
          <w:iCs w:val="0"/>
          <w:color w:val="auto"/>
          <w:sz w:val="32"/>
          <w:szCs w:val="32"/>
          <w:highlight w:val="none"/>
          <w:lang w:val="en-US" w:eastAsia="zh-CN"/>
        </w:rPr>
        <w:t>九、质疑和投诉</w:t>
      </w:r>
      <w:bookmarkEnd w:id="41"/>
    </w:p>
    <w:p w14:paraId="7EF033A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36．质疑、投诉的接收和处理严格按照《中华人共和国政府采购法》、《政府采购质疑和投诉办法》、《财政部关于加强政府采购投标人投诉受理审查工作的通知》的规定办理。</w:t>
      </w:r>
    </w:p>
    <w:p w14:paraId="501131C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36.1 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3C38528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5E1230">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代理人提出质疑和投诉，应当提交投标人签署的授权委托书。</w:t>
      </w:r>
    </w:p>
    <w:p w14:paraId="3CAA8A7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36.3 投标人提出质疑应当提交质疑函和必要的证明材料。质疑函应当包括下列内容：</w:t>
      </w:r>
    </w:p>
    <w:p w14:paraId="067365F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（一）投标人的姓名或者名称、地址、邮编、联系人及联系电话；</w:t>
      </w:r>
    </w:p>
    <w:p w14:paraId="2969CFA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（二）质疑项目的名称、编号；</w:t>
      </w:r>
    </w:p>
    <w:p w14:paraId="16F1447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（三）具体、明确的质疑事项和与质疑事项相关的请求；</w:t>
      </w:r>
    </w:p>
    <w:p w14:paraId="18409EA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（四）事实依据；</w:t>
      </w:r>
    </w:p>
    <w:p w14:paraId="755C4E0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（五）必要的法律依据；</w:t>
      </w:r>
    </w:p>
    <w:p w14:paraId="35B51E8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（六）提出质疑的日期。</w:t>
      </w:r>
    </w:p>
    <w:p w14:paraId="53201D4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投标人为自然人的，应当由本人签字；投标人为法人或者其他组织的，应当由法定代表人、主要负责人或者其被授权人签字或盖章，并加盖公章。</w:t>
      </w:r>
    </w:p>
    <w:p w14:paraId="7268F44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接收质疑函的方式：书面形式</w:t>
      </w:r>
    </w:p>
    <w:p w14:paraId="6438D7E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联系部门：新疆新华远景工程造价咨询有限公司；联系人及联系电话：朱丽敏；0909-2231819  通讯地址：博乐市南城隆泉大厦18楼1820室</w:t>
      </w:r>
    </w:p>
    <w:p w14:paraId="763779A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36.4 质疑供应商对采购人、采购代理机构的答复不满意，或者采购人、采购代理机构未在规定时间内作出答复的，可以在答复期满后 15 个工作日内向本办法第六条规定的财政部门提起投诉。</w:t>
      </w:r>
    </w:p>
    <w:p w14:paraId="23D782A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36.5 投诉人投诉时，应当提交投诉书和必要的证明材料，并按照被投诉采购人、采购代理机构（以下简称被投诉人）和与投诉事项有关的投标人数量提供投诉书的副本。投诉书应当包括下列内容：</w:t>
      </w:r>
    </w:p>
    <w:p w14:paraId="6E2F9E2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（一）投诉人和被投诉人的姓名或者名称、通讯地址、邮编、联系人及联系电话；</w:t>
      </w:r>
    </w:p>
    <w:p w14:paraId="6F827CD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（二）质疑和质疑答复情况说明及相关证明材料；</w:t>
      </w:r>
    </w:p>
    <w:p w14:paraId="74BA527E">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（三）具体、明确的投诉事项和与投诉事项相关的投诉请求；</w:t>
      </w:r>
    </w:p>
    <w:p w14:paraId="2C98E80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（四）事实依据；</w:t>
      </w:r>
    </w:p>
    <w:p w14:paraId="4913B4A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（五）法律依据；</w:t>
      </w:r>
    </w:p>
    <w:p w14:paraId="39EE197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（六）提起投诉的日期。</w:t>
      </w:r>
    </w:p>
    <w:p w14:paraId="705C638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投诉人为自然人的，应当由本人签字；投诉人为法人或者其他组织的，应当由法定代表人、主要负责人，或者其授权代表签字或者盖章，并加盖公章。</w:t>
      </w:r>
    </w:p>
    <w:p w14:paraId="197D559F">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36.6 投诉人应当根据《政府采购质疑和投诉办法》第七条第二款规定的信息内容，并按照其规定 的方式提起投诉。</w:t>
      </w:r>
    </w:p>
    <w:p w14:paraId="4FABF79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投诉人提起投诉应当符合下列条件：</w:t>
      </w:r>
    </w:p>
    <w:p w14:paraId="4798EF8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（一）提起投诉前已依法进行质疑；</w:t>
      </w:r>
    </w:p>
    <w:p w14:paraId="057DC0C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（二）投诉书内容符合本办法的规定；</w:t>
      </w:r>
    </w:p>
    <w:p w14:paraId="0FE20EF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（三）在投诉有效期限内提起投诉；</w:t>
      </w:r>
    </w:p>
    <w:p w14:paraId="1CCC751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（四）同一投诉事项未经财政部门投诉处理；</w:t>
      </w:r>
    </w:p>
    <w:p w14:paraId="2E0A9B5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（五）财政部规定的其他条件。</w:t>
      </w:r>
    </w:p>
    <w:p w14:paraId="7C09D16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恶意行为的处理细则</w:t>
      </w:r>
    </w:p>
    <w:p w14:paraId="4826296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1、若供应商的响应文件中合格供应商应符合条件缺少任何一项，供应商将承担投标无效的风险。</w:t>
      </w:r>
    </w:p>
    <w:p w14:paraId="381A8B9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2、经查实，若供应商有提供虚假证明文件的行为，采购人将再视情节轻重和影响程度做出：在政府采购相关网站予以曝光、向有关部门通报。</w:t>
      </w:r>
    </w:p>
    <w:p w14:paraId="11E6C93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供应商认为采购文件、采购过程、成交结果使自己的合法权益受到损害的，应当在七个工作日内，按照相关的规定以书面形式向采购人提出质疑，但质疑供应商行使质疑权时，必须坚持“谁主张谁举证”，遵守“实事求是”和“谨慎性”原则，承担使用虚假材料或恶意方式质疑的法律责任，采购人将遵循“谁过错谁负担”的原则，由过错方负责承担相关的调查论证费用。</w:t>
      </w:r>
    </w:p>
    <w:p w14:paraId="06A060D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643" w:firstLineChars="200"/>
        <w:jc w:val="center"/>
        <w:textAlignment w:val="baseline"/>
        <w:outlineLvl w:val="1"/>
        <w:rPr>
          <w:rFonts w:hint="eastAsia" w:ascii="宋体" w:hAnsi="宋体" w:eastAsia="宋体" w:cs="宋体"/>
          <w:b/>
          <w:bCs/>
          <w:i w:val="0"/>
          <w:iCs w:val="0"/>
          <w:color w:val="auto"/>
          <w:sz w:val="32"/>
          <w:szCs w:val="32"/>
          <w:highlight w:val="none"/>
          <w:lang w:val="en-US" w:eastAsia="zh-CN"/>
        </w:rPr>
      </w:pPr>
      <w:bookmarkStart w:id="42" w:name="bookmark36"/>
      <w:bookmarkEnd w:id="42"/>
      <w:bookmarkStart w:id="43" w:name="_Toc24891"/>
      <w:r>
        <w:rPr>
          <w:rFonts w:hint="eastAsia" w:ascii="宋体" w:hAnsi="宋体" w:eastAsia="宋体" w:cs="宋体"/>
          <w:b/>
          <w:bCs/>
          <w:i w:val="0"/>
          <w:iCs w:val="0"/>
          <w:color w:val="auto"/>
          <w:sz w:val="32"/>
          <w:szCs w:val="32"/>
          <w:highlight w:val="none"/>
          <w:lang w:val="en-US" w:eastAsia="zh-CN"/>
        </w:rPr>
        <w:t>十、需要补充的其他内容</w:t>
      </w:r>
      <w:bookmarkEnd w:id="43"/>
    </w:p>
    <w:p w14:paraId="4541091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37.供应商瑕疵滞后发现的处理规则</w:t>
      </w:r>
    </w:p>
    <w:p w14:paraId="0B3E562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37.1 无论基于何种原因，各项本应作拒绝处理的情形即便未被及时发现而使该供应商人进入初审、综合评审或其他后续程序，包括已经签订合同的情形，一旦供应商被拒绝或该投标人的此前评议结果被取消，其现有的位置将被其他供应商依序替代，相关的一切损失均由该供应商承担。</w:t>
      </w:r>
    </w:p>
    <w:p w14:paraId="391B84BB">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38.保密和披露</w:t>
      </w:r>
    </w:p>
    <w:p w14:paraId="770B27E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38.1 供应商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14:paraId="7A59279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38.2 采购代理机构有权将供应商提供的所有资料向有关政府部门或评审标书的有关人员披露。</w:t>
      </w:r>
    </w:p>
    <w:p w14:paraId="0A158FE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38.3 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6AAAAF6E">
      <w:pPr>
        <w:rPr>
          <w:rFonts w:hint="eastAsia" w:ascii="宋体" w:hAnsi="宋体" w:eastAsia="宋体" w:cs="宋体"/>
          <w:b/>
          <w:bCs/>
          <w:color w:val="auto"/>
          <w:spacing w:val="5"/>
          <w:sz w:val="35"/>
          <w:szCs w:val="35"/>
          <w:highlight w:val="none"/>
        </w:rPr>
      </w:pPr>
      <w:bookmarkStart w:id="44" w:name="bookmark38"/>
      <w:bookmarkEnd w:id="44"/>
      <w:r>
        <w:rPr>
          <w:rFonts w:hint="eastAsia" w:ascii="宋体" w:hAnsi="宋体" w:eastAsia="宋体" w:cs="宋体"/>
          <w:b/>
          <w:bCs/>
          <w:color w:val="auto"/>
          <w:spacing w:val="5"/>
          <w:sz w:val="35"/>
          <w:szCs w:val="35"/>
          <w:highlight w:val="none"/>
        </w:rPr>
        <w:br w:type="page"/>
      </w:r>
    </w:p>
    <w:p w14:paraId="66DF9206">
      <w:pPr>
        <w:spacing w:before="114" w:line="360" w:lineRule="auto"/>
        <w:ind w:left="3493"/>
        <w:outlineLvl w:val="0"/>
        <w:rPr>
          <w:rFonts w:hint="eastAsia" w:ascii="宋体" w:hAnsi="宋体" w:eastAsia="宋体" w:cs="宋体"/>
          <w:color w:val="auto"/>
          <w:sz w:val="35"/>
          <w:szCs w:val="35"/>
          <w:highlight w:val="none"/>
        </w:rPr>
      </w:pPr>
      <w:bookmarkStart w:id="45" w:name="_Toc20409"/>
      <w:bookmarkStart w:id="46" w:name="_Toc27699"/>
      <w:r>
        <w:rPr>
          <w:rFonts w:hint="eastAsia" w:ascii="宋体" w:hAnsi="宋体" w:eastAsia="宋体" w:cs="宋体"/>
          <w:b/>
          <w:bCs/>
          <w:color w:val="auto"/>
          <w:spacing w:val="5"/>
          <w:sz w:val="35"/>
          <w:szCs w:val="35"/>
          <w:highlight w:val="none"/>
        </w:rPr>
        <w:t>第三章</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0000FF"/>
          <w:spacing w:val="5"/>
          <w:sz w:val="35"/>
          <w:szCs w:val="35"/>
          <w:highlight w:val="none"/>
        </w:rPr>
        <w:t>采购需求</w:t>
      </w:r>
      <w:bookmarkEnd w:id="45"/>
      <w:bookmarkEnd w:id="46"/>
    </w:p>
    <w:p w14:paraId="58459BC3">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受</w:t>
      </w:r>
      <w:r>
        <w:rPr>
          <w:rFonts w:hint="eastAsia" w:ascii="宋体" w:hAnsi="宋体" w:eastAsia="宋体" w:cs="宋体"/>
          <w:color w:val="auto"/>
          <w:spacing w:val="3"/>
          <w:sz w:val="24"/>
          <w:szCs w:val="24"/>
          <w:highlight w:val="none"/>
          <w:lang w:eastAsia="zh-CN"/>
        </w:rPr>
        <w:t>温泉县安格里格镇人民政府</w:t>
      </w:r>
      <w:r>
        <w:rPr>
          <w:rFonts w:hint="eastAsia" w:ascii="宋体" w:hAnsi="宋体" w:eastAsia="宋体" w:cs="宋体"/>
          <w:color w:val="auto"/>
          <w:spacing w:val="3"/>
          <w:sz w:val="24"/>
          <w:szCs w:val="24"/>
          <w:highlight w:val="none"/>
        </w:rPr>
        <w:t>的委托，</w:t>
      </w:r>
      <w:r>
        <w:rPr>
          <w:rFonts w:hint="eastAsia" w:ascii="宋体" w:hAnsi="宋体" w:eastAsia="宋体" w:cs="宋体"/>
          <w:color w:val="auto"/>
          <w:spacing w:val="3"/>
          <w:sz w:val="24"/>
          <w:szCs w:val="24"/>
          <w:highlight w:val="none"/>
          <w:lang w:eastAsia="zh-CN"/>
        </w:rPr>
        <w:t>新疆新华远景工程造价咨询有限公司</w:t>
      </w:r>
      <w:r>
        <w:rPr>
          <w:rFonts w:hint="eastAsia" w:ascii="宋体" w:hAnsi="宋体" w:eastAsia="宋体" w:cs="宋体"/>
          <w:color w:val="auto"/>
          <w:spacing w:val="3"/>
          <w:sz w:val="24"/>
          <w:szCs w:val="24"/>
          <w:highlight w:val="none"/>
        </w:rPr>
        <w:t>对其所需</w:t>
      </w:r>
      <w:r>
        <w:rPr>
          <w:rFonts w:hint="eastAsia" w:ascii="宋体" w:hAnsi="宋体" w:eastAsia="宋体" w:cs="宋体"/>
          <w:color w:val="auto"/>
          <w:spacing w:val="3"/>
          <w:sz w:val="24"/>
          <w:szCs w:val="24"/>
          <w:highlight w:val="none"/>
          <w:lang w:eastAsia="zh-CN"/>
        </w:rPr>
        <w:t>温泉县安格里格镇牛羊屠宰场建设项目（二期）</w:t>
      </w:r>
      <w:r>
        <w:rPr>
          <w:rFonts w:hint="eastAsia" w:ascii="宋体" w:hAnsi="宋体" w:eastAsia="宋体" w:cs="宋体"/>
          <w:color w:val="auto"/>
          <w:spacing w:val="-1"/>
          <w:sz w:val="24"/>
          <w:szCs w:val="24"/>
          <w:highlight w:val="none"/>
        </w:rPr>
        <w:t>以公开招标的方式进行公开招标。</w:t>
      </w:r>
    </w:p>
    <w:p w14:paraId="30EFD261">
      <w:pPr>
        <w:keepNext w:val="0"/>
        <w:keepLines w:val="0"/>
        <w:pageBreakBefore w:val="0"/>
        <w:widowControl/>
        <w:kinsoku w:val="0"/>
        <w:wordWrap/>
        <w:overflowPunct/>
        <w:topLinePunct w:val="0"/>
        <w:autoSpaceDE w:val="0"/>
        <w:autoSpaceDN w:val="0"/>
        <w:bidi w:val="0"/>
        <w:adjustRightInd w:val="0"/>
        <w:snapToGrid w:val="0"/>
        <w:spacing w:before="36" w:line="288" w:lineRule="auto"/>
        <w:ind w:left="364"/>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rPr>
        <w:t>一、项目编号：</w:t>
      </w:r>
      <w:r>
        <w:rPr>
          <w:rFonts w:hint="eastAsia" w:ascii="宋体" w:hAnsi="宋体" w:eastAsia="宋体" w:cs="宋体"/>
          <w:color w:val="auto"/>
          <w:spacing w:val="-1"/>
          <w:sz w:val="24"/>
          <w:szCs w:val="24"/>
          <w:highlight w:val="none"/>
          <w:lang w:eastAsia="zh-CN"/>
        </w:rPr>
        <w:t>XHYJGK2026-017</w:t>
      </w:r>
    </w:p>
    <w:p w14:paraId="3DDBAA24">
      <w:pPr>
        <w:keepNext w:val="0"/>
        <w:keepLines w:val="0"/>
        <w:pageBreakBefore w:val="0"/>
        <w:widowControl/>
        <w:kinsoku w:val="0"/>
        <w:wordWrap/>
        <w:overflowPunct/>
        <w:topLinePunct w:val="0"/>
        <w:autoSpaceDE w:val="0"/>
        <w:autoSpaceDN w:val="0"/>
        <w:bidi w:val="0"/>
        <w:adjustRightInd w:val="0"/>
        <w:snapToGrid w:val="0"/>
        <w:spacing w:before="165" w:line="288" w:lineRule="auto"/>
        <w:ind w:left="364"/>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二、采购内容及数量</w:t>
      </w:r>
    </w:p>
    <w:p w14:paraId="4A70B05E">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2.1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货物清单名称：牛羊屠宰场相关设备</w:t>
      </w:r>
      <w:r>
        <w:rPr>
          <w:rFonts w:hint="eastAsia" w:ascii="宋体" w:hAnsi="宋体" w:eastAsia="宋体" w:cs="宋体"/>
          <w:color w:val="auto"/>
          <w:spacing w:val="3"/>
          <w:sz w:val="24"/>
          <w:szCs w:val="24"/>
          <w:highlight w:val="none"/>
          <w:lang w:val="en-US" w:eastAsia="zh-CN"/>
        </w:rPr>
        <w:t>。</w:t>
      </w:r>
    </w:p>
    <w:p w14:paraId="6F2B3159">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采购数量：以</w:t>
      </w:r>
      <w:r>
        <w:rPr>
          <w:rFonts w:hint="eastAsia" w:ascii="宋体" w:hAnsi="宋体" w:eastAsia="宋体" w:cs="宋体"/>
          <w:color w:val="auto"/>
          <w:spacing w:val="3"/>
          <w:sz w:val="24"/>
          <w:szCs w:val="24"/>
          <w:highlight w:val="none"/>
          <w:lang w:eastAsia="zh-CN"/>
        </w:rPr>
        <w:t>验收</w:t>
      </w:r>
      <w:r>
        <w:rPr>
          <w:rFonts w:hint="eastAsia" w:ascii="宋体" w:hAnsi="宋体" w:eastAsia="宋体" w:cs="宋体"/>
          <w:color w:val="auto"/>
          <w:spacing w:val="3"/>
          <w:sz w:val="24"/>
          <w:szCs w:val="24"/>
          <w:highlight w:val="none"/>
        </w:rPr>
        <w:t>的数量为准。</w:t>
      </w:r>
    </w:p>
    <w:p w14:paraId="1272A44A">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三、具体</w:t>
      </w:r>
      <w:r>
        <w:rPr>
          <w:rFonts w:hint="eastAsia" w:ascii="宋体" w:hAnsi="宋体" w:eastAsia="宋体" w:cs="宋体"/>
          <w:b/>
          <w:bCs/>
          <w:color w:val="auto"/>
          <w:spacing w:val="-2"/>
          <w:sz w:val="24"/>
          <w:szCs w:val="24"/>
          <w:highlight w:val="none"/>
          <w:lang w:val="en-US" w:eastAsia="zh-CN"/>
        </w:rPr>
        <w:t>设备清单及要求：</w:t>
      </w:r>
    </w:p>
    <w:tbl>
      <w:tblPr>
        <w:tblStyle w:val="15"/>
        <w:tblpPr w:leftFromText="180" w:rightFromText="180" w:vertAnchor="text" w:horzAnchor="page" w:tblpX="1326" w:tblpY="348"/>
        <w:tblOverlap w:val="never"/>
        <w:tblW w:w="94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728"/>
        <w:gridCol w:w="1642"/>
        <w:gridCol w:w="1530"/>
        <w:gridCol w:w="855"/>
        <w:gridCol w:w="900"/>
        <w:gridCol w:w="3785"/>
      </w:tblGrid>
      <w:tr w14:paraId="02D12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728" w:type="dxa"/>
            <w:vAlign w:val="center"/>
          </w:tcPr>
          <w:p w14:paraId="122D5A1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序号</w:t>
            </w:r>
          </w:p>
        </w:tc>
        <w:tc>
          <w:tcPr>
            <w:tcW w:w="1642" w:type="dxa"/>
            <w:vAlign w:val="center"/>
          </w:tcPr>
          <w:p w14:paraId="042E0AA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设备名称</w:t>
            </w:r>
          </w:p>
        </w:tc>
        <w:tc>
          <w:tcPr>
            <w:tcW w:w="1530" w:type="dxa"/>
            <w:vAlign w:val="center"/>
          </w:tcPr>
          <w:p w14:paraId="4DA16E02">
            <w:pPr>
              <w:widowControl/>
              <w:spacing w:line="400" w:lineRule="exact"/>
              <w:ind w:firstLine="240" w:firstLineChars="100"/>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型号</w:t>
            </w:r>
          </w:p>
        </w:tc>
        <w:tc>
          <w:tcPr>
            <w:tcW w:w="855" w:type="dxa"/>
            <w:vAlign w:val="center"/>
          </w:tcPr>
          <w:p w14:paraId="57D282B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数量</w:t>
            </w:r>
          </w:p>
        </w:tc>
        <w:tc>
          <w:tcPr>
            <w:tcW w:w="900" w:type="dxa"/>
            <w:vAlign w:val="center"/>
          </w:tcPr>
          <w:p w14:paraId="30DA3B7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单位</w:t>
            </w:r>
          </w:p>
        </w:tc>
        <w:tc>
          <w:tcPr>
            <w:tcW w:w="3785" w:type="dxa"/>
            <w:vAlign w:val="center"/>
          </w:tcPr>
          <w:p w14:paraId="774D1CC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参数配置</w:t>
            </w:r>
          </w:p>
        </w:tc>
      </w:tr>
      <w:tr w14:paraId="51698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9440" w:type="dxa"/>
            <w:gridSpan w:val="6"/>
            <w:vAlign w:val="center"/>
          </w:tcPr>
          <w:p w14:paraId="544F10D4">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bCs w:val="0"/>
                <w:color w:val="auto"/>
                <w:kern w:val="0"/>
                <w:sz w:val="24"/>
                <w:szCs w:val="21"/>
              </w:rPr>
              <w:t>一、肉牛屠宰加工区域</w:t>
            </w:r>
          </w:p>
        </w:tc>
      </w:tr>
      <w:tr w14:paraId="330F0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728" w:type="dxa"/>
            <w:vAlign w:val="center"/>
          </w:tcPr>
          <w:p w14:paraId="3B5C4D8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w:t>
            </w:r>
          </w:p>
        </w:tc>
        <w:tc>
          <w:tcPr>
            <w:tcW w:w="1642" w:type="dxa"/>
            <w:vAlign w:val="center"/>
          </w:tcPr>
          <w:p w14:paraId="08A1E203">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称重系统</w:t>
            </w:r>
          </w:p>
        </w:tc>
        <w:tc>
          <w:tcPr>
            <w:tcW w:w="1530" w:type="dxa"/>
            <w:vAlign w:val="center"/>
          </w:tcPr>
          <w:p w14:paraId="3D381D2C">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 </w:t>
            </w:r>
            <w:r>
              <w:rPr>
                <w:rFonts w:hint="eastAsia" w:ascii="宋体" w:hAnsi="宋体" w:eastAsia="宋体" w:cs="宋体"/>
                <w:b w:val="0"/>
                <w:bCs/>
                <w:color w:val="auto"/>
                <w:kern w:val="0"/>
                <w:sz w:val="24"/>
                <w:szCs w:val="21"/>
                <w:lang w:val="en-US" w:eastAsia="zh-CN"/>
              </w:rPr>
              <w:t>1.5</w:t>
            </w:r>
            <w:r>
              <w:rPr>
                <w:rFonts w:hint="eastAsia" w:ascii="宋体" w:hAnsi="宋体" w:eastAsia="宋体" w:cs="宋体"/>
                <w:b w:val="0"/>
                <w:bCs/>
                <w:color w:val="auto"/>
                <w:kern w:val="0"/>
                <w:sz w:val="24"/>
                <w:szCs w:val="21"/>
              </w:rPr>
              <w:t>T</w:t>
            </w:r>
          </w:p>
        </w:tc>
        <w:tc>
          <w:tcPr>
            <w:tcW w:w="855" w:type="dxa"/>
            <w:vAlign w:val="center"/>
          </w:tcPr>
          <w:p w14:paraId="1D7CC57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59B1F56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62CE6423">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szCs w:val="21"/>
              </w:rPr>
              <w:t>地磅式活体称重；配 4 支高精度称重传感器、称重仪表、数字高亮显示屏</w:t>
            </w:r>
            <w:r>
              <w:rPr>
                <w:rFonts w:hint="eastAsia" w:ascii="宋体" w:hAnsi="宋体" w:eastAsia="宋体" w:cs="宋体"/>
                <w:b w:val="0"/>
                <w:bCs/>
                <w:color w:val="auto"/>
                <w:sz w:val="24"/>
                <w:szCs w:val="21"/>
                <w:lang w:eastAsia="zh-CN"/>
              </w:rPr>
              <w:t>。</w:t>
            </w:r>
            <w:r>
              <w:rPr>
                <w:rFonts w:hint="eastAsia" w:ascii="宋体" w:hAnsi="宋体" w:eastAsia="宋体" w:cs="宋体"/>
                <w:b w:val="0"/>
                <w:bCs/>
                <w:color w:val="auto"/>
                <w:sz w:val="24"/>
              </w:rPr>
              <w:t>称重能力范围：1000-</w:t>
            </w:r>
            <w:r>
              <w:rPr>
                <w:rFonts w:hint="eastAsia" w:ascii="宋体" w:hAnsi="宋体" w:eastAsia="宋体" w:cs="宋体"/>
                <w:b w:val="0"/>
                <w:bCs/>
                <w:color w:val="auto"/>
                <w:sz w:val="24"/>
                <w:lang w:val="en-US" w:eastAsia="zh-CN"/>
              </w:rPr>
              <w:t>15</w:t>
            </w:r>
            <w:r>
              <w:rPr>
                <w:rFonts w:hint="eastAsia" w:ascii="宋体" w:hAnsi="宋体" w:eastAsia="宋体" w:cs="宋体"/>
                <w:b w:val="0"/>
                <w:bCs/>
                <w:color w:val="auto"/>
                <w:sz w:val="24"/>
              </w:rPr>
              <w:t>00Kg ，重量分辨能力：500g-1000g。供电220V或充电电池使用，工作温度-20℃+60℃，称重工作平台尺寸：2700*900mm（长*宽）</w:t>
            </w:r>
          </w:p>
          <w:p w14:paraId="5B35A026">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lang w:eastAsia="zh-CN"/>
              </w:rPr>
              <w:t>秤体结构</w:t>
            </w:r>
            <w:r>
              <w:rPr>
                <w:rFonts w:hint="eastAsia" w:ascii="宋体" w:hAnsi="宋体" w:eastAsia="宋体" w:cs="宋体"/>
                <w:b w:val="0"/>
                <w:bCs/>
                <w:color w:val="auto"/>
                <w:sz w:val="24"/>
              </w:rPr>
              <w:t>：碳钢防滑花纹板</w:t>
            </w:r>
          </w:p>
          <w:p w14:paraId="53BE418B">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含基础预埋件、调试、1 年质保</w:t>
            </w:r>
            <w:r>
              <w:rPr>
                <w:rFonts w:hint="eastAsia" w:ascii="宋体" w:hAnsi="宋体" w:eastAsia="宋体" w:cs="宋体"/>
                <w:b w:val="0"/>
                <w:bCs/>
                <w:color w:val="auto"/>
                <w:sz w:val="24"/>
                <w:lang w:eastAsia="zh-CN"/>
              </w:rPr>
              <w:t>。</w:t>
            </w:r>
          </w:p>
        </w:tc>
      </w:tr>
      <w:tr w14:paraId="450E5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728" w:type="dxa"/>
            <w:vAlign w:val="center"/>
          </w:tcPr>
          <w:p w14:paraId="121A10C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w:t>
            </w:r>
          </w:p>
        </w:tc>
        <w:tc>
          <w:tcPr>
            <w:tcW w:w="1642" w:type="dxa"/>
            <w:vAlign w:val="center"/>
          </w:tcPr>
          <w:p w14:paraId="336DE5A1">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液压旋转翻板箱</w:t>
            </w:r>
          </w:p>
        </w:tc>
        <w:tc>
          <w:tcPr>
            <w:tcW w:w="1530" w:type="dxa"/>
            <w:vAlign w:val="center"/>
          </w:tcPr>
          <w:p w14:paraId="042B9BD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QZ-FBX-180</w:t>
            </w:r>
          </w:p>
        </w:tc>
        <w:tc>
          <w:tcPr>
            <w:tcW w:w="855" w:type="dxa"/>
            <w:vAlign w:val="center"/>
          </w:tcPr>
          <w:p w14:paraId="3D5805F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328799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7197B291">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电机功率：2.2KW</w:t>
            </w:r>
          </w:p>
          <w:p w14:paraId="5CF21EF7">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电磁阀电压220V</w:t>
            </w:r>
          </w:p>
          <w:p w14:paraId="34B4382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旋转角度 180°</w:t>
            </w:r>
          </w:p>
          <w:p w14:paraId="0EF226F1">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外形尺寸: 2300×2100×2700mm</w:t>
            </w:r>
          </w:p>
          <w:p w14:paraId="7E2748BB">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箱体热镀锌，圆形/方形，带进/出门、推牛板、牛头固定/夹脖装置</w:t>
            </w:r>
            <w:r>
              <w:rPr>
                <w:rFonts w:hint="eastAsia" w:ascii="宋体" w:hAnsi="宋体" w:eastAsia="宋体" w:cs="宋体"/>
                <w:b w:val="0"/>
                <w:bCs/>
                <w:color w:val="auto"/>
                <w:sz w:val="24"/>
                <w:lang w:eastAsia="zh-CN"/>
              </w:rPr>
              <w:t>；</w:t>
            </w:r>
          </w:p>
          <w:p w14:paraId="35E263EB">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液压系统：液压站（5.5KW）</w:t>
            </w:r>
          </w:p>
          <w:p w14:paraId="494B1412">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配套：不锈钢接血池、接牛栏、提升上挂接口、液压管路、电控箱、安装紧固件</w:t>
            </w:r>
            <w:r>
              <w:rPr>
                <w:rFonts w:hint="eastAsia" w:ascii="宋体" w:hAnsi="宋体" w:eastAsia="宋体" w:cs="宋体"/>
                <w:b w:val="0"/>
                <w:bCs/>
                <w:color w:val="auto"/>
                <w:sz w:val="24"/>
                <w:lang w:eastAsia="zh-CN"/>
              </w:rPr>
              <w:t>。</w:t>
            </w:r>
          </w:p>
        </w:tc>
      </w:tr>
      <w:tr w14:paraId="6B2B4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728" w:type="dxa"/>
            <w:vAlign w:val="center"/>
          </w:tcPr>
          <w:p w14:paraId="622699E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w:t>
            </w:r>
          </w:p>
        </w:tc>
        <w:tc>
          <w:tcPr>
            <w:tcW w:w="1642" w:type="dxa"/>
            <w:vAlign w:val="center"/>
          </w:tcPr>
          <w:p w14:paraId="44ECE130">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不锈钢接血池</w:t>
            </w:r>
          </w:p>
        </w:tc>
        <w:tc>
          <w:tcPr>
            <w:tcW w:w="1530" w:type="dxa"/>
            <w:vAlign w:val="center"/>
          </w:tcPr>
          <w:p w14:paraId="45B77F90">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L=14M</w:t>
            </w:r>
          </w:p>
        </w:tc>
        <w:tc>
          <w:tcPr>
            <w:tcW w:w="855" w:type="dxa"/>
            <w:vAlign w:val="center"/>
          </w:tcPr>
          <w:p w14:paraId="1F1F657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7D38D51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1684A0A5">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食品级 SUS304 不锈钢材质，板厚2</w:t>
            </w:r>
            <w:r>
              <w:rPr>
                <w:rFonts w:hint="eastAsia" w:ascii="宋体" w:hAnsi="宋体" w:eastAsia="宋体" w:cs="宋体"/>
                <w:b w:val="0"/>
                <w:bCs/>
                <w:color w:val="auto"/>
                <w:sz w:val="24"/>
                <w:lang w:val="en-US" w:eastAsia="zh-CN"/>
              </w:rPr>
              <w:t>mm</w:t>
            </w:r>
            <w:r>
              <w:rPr>
                <w:rFonts w:hint="eastAsia" w:ascii="宋体" w:hAnsi="宋体" w:eastAsia="宋体" w:cs="宋体"/>
                <w:b w:val="0"/>
                <w:bCs/>
                <w:color w:val="auto"/>
                <w:sz w:val="24"/>
                <w:lang w:eastAsia="zh-CN"/>
              </w:rPr>
              <w:t>；</w:t>
            </w:r>
          </w:p>
          <w:p w14:paraId="74C65BBA">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尺寸：1500mm*800mm*高度依据工艺</w:t>
            </w:r>
            <w:r>
              <w:rPr>
                <w:rFonts w:hint="eastAsia" w:ascii="宋体" w:hAnsi="宋体" w:eastAsia="宋体" w:cs="宋体"/>
                <w:b w:val="0"/>
                <w:bCs/>
                <w:color w:val="auto"/>
                <w:sz w:val="24"/>
                <w:lang w:eastAsia="zh-CN"/>
              </w:rPr>
              <w:t>；</w:t>
            </w:r>
          </w:p>
          <w:p w14:paraId="42FF1817">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底部配有血液收集阀门，可连接血液收集管道</w:t>
            </w:r>
            <w:r>
              <w:rPr>
                <w:rFonts w:hint="eastAsia" w:ascii="宋体" w:hAnsi="宋体" w:eastAsia="宋体" w:cs="宋体"/>
                <w:b w:val="0"/>
                <w:bCs/>
                <w:color w:val="auto"/>
                <w:sz w:val="24"/>
                <w:lang w:eastAsia="zh-CN"/>
              </w:rPr>
              <w:t>；</w:t>
            </w:r>
          </w:p>
          <w:p w14:paraId="6CDE8B4A">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满焊抛光、防渗漏、含支架、排水接口。</w:t>
            </w:r>
          </w:p>
        </w:tc>
      </w:tr>
      <w:tr w14:paraId="60980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728" w:type="dxa"/>
            <w:vAlign w:val="center"/>
          </w:tcPr>
          <w:p w14:paraId="61E022B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1.4</w:t>
            </w:r>
          </w:p>
        </w:tc>
        <w:tc>
          <w:tcPr>
            <w:tcW w:w="1642" w:type="dxa"/>
            <w:vAlign w:val="center"/>
          </w:tcPr>
          <w:p w14:paraId="1D052D7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刺杀操作站台（L=2米）</w:t>
            </w:r>
          </w:p>
        </w:tc>
        <w:tc>
          <w:tcPr>
            <w:tcW w:w="1530" w:type="dxa"/>
            <w:vAlign w:val="center"/>
          </w:tcPr>
          <w:p w14:paraId="16C69CE9">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L=2M</w:t>
            </w:r>
          </w:p>
        </w:tc>
        <w:tc>
          <w:tcPr>
            <w:tcW w:w="855" w:type="dxa"/>
            <w:vAlign w:val="center"/>
          </w:tcPr>
          <w:p w14:paraId="3169276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D9EAEA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4D670938">
            <w:pPr>
              <w:pStyle w:val="6"/>
              <w:spacing w:line="300" w:lineRule="exact"/>
              <w:ind w:left="210" w:leftChars="100"/>
              <w:rPr>
                <w:rFonts w:hint="eastAsia" w:ascii="宋体" w:hAnsi="宋体" w:eastAsia="宋体" w:cs="宋体"/>
                <w:b w:val="0"/>
                <w:bCs/>
                <w:color w:val="auto"/>
              </w:rPr>
            </w:pPr>
            <w:r>
              <w:rPr>
                <w:rFonts w:hint="eastAsia" w:ascii="宋体" w:hAnsi="宋体" w:eastAsia="宋体" w:cs="宋体"/>
                <w:b w:val="0"/>
                <w:bCs/>
                <w:color w:val="auto"/>
              </w:rPr>
              <w:t>框架 SUS304 不锈钢方管75*45*2</w:t>
            </w:r>
            <w:r>
              <w:rPr>
                <w:rFonts w:hint="eastAsia" w:ascii="宋体" w:hAnsi="宋体" w:eastAsia="宋体" w:cs="宋体"/>
                <w:b w:val="0"/>
                <w:bCs/>
                <w:color w:val="auto"/>
                <w:lang w:val="en-US" w:eastAsia="zh-CN"/>
              </w:rPr>
              <w:t>mm</w:t>
            </w:r>
            <w:r>
              <w:rPr>
                <w:rFonts w:hint="eastAsia" w:ascii="宋体" w:hAnsi="宋体" w:eastAsia="宋体" w:cs="宋体"/>
                <w:b w:val="0"/>
                <w:bCs/>
                <w:color w:val="auto"/>
              </w:rPr>
              <w:t>、38*38*2mm</w:t>
            </w:r>
          </w:p>
          <w:p w14:paraId="6DABEB48">
            <w:pPr>
              <w:numPr>
                <w:ilvl w:val="2"/>
                <w:numId w:val="0"/>
              </w:num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尺寸：2000*1000mm</w:t>
            </w:r>
          </w:p>
          <w:p w14:paraId="2E4DC764">
            <w:pPr>
              <w:numPr>
                <w:ilvl w:val="2"/>
                <w:numId w:val="0"/>
              </w:num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kern w:val="0"/>
                <w:sz w:val="24"/>
              </w:rPr>
              <w:t>台面为厚度38mm绿色环保格栅</w:t>
            </w:r>
            <w:r>
              <w:rPr>
                <w:rFonts w:hint="eastAsia" w:ascii="宋体" w:hAnsi="宋体" w:eastAsia="宋体" w:cs="宋体"/>
                <w:b w:val="0"/>
                <w:bCs/>
                <w:color w:val="auto"/>
                <w:kern w:val="0"/>
                <w:sz w:val="24"/>
                <w:lang w:eastAsia="zh-CN"/>
              </w:rPr>
              <w:t>；</w:t>
            </w:r>
          </w:p>
          <w:p w14:paraId="438CCF14">
            <w:pPr>
              <w:numPr>
                <w:ilvl w:val="2"/>
                <w:numId w:val="0"/>
              </w:numPr>
              <w:spacing w:line="300" w:lineRule="exact"/>
              <w:ind w:leftChars="100"/>
              <w:rPr>
                <w:rFonts w:hint="eastAsia" w:ascii="宋体" w:hAnsi="宋体" w:eastAsia="宋体" w:cs="宋体"/>
                <w:b w:val="0"/>
                <w:bCs/>
                <w:color w:val="auto"/>
                <w:kern w:val="0"/>
                <w:sz w:val="24"/>
                <w:lang w:eastAsia="zh-CN"/>
              </w:rPr>
            </w:pPr>
            <w:r>
              <w:rPr>
                <w:rFonts w:hint="eastAsia" w:ascii="宋体" w:hAnsi="宋体" w:eastAsia="宋体" w:cs="宋体"/>
                <w:b w:val="0"/>
                <w:bCs/>
                <w:color w:val="auto"/>
                <w:kern w:val="0"/>
                <w:sz w:val="24"/>
              </w:rPr>
              <w:t>不锈钢φ32*2mm圆管护栏</w:t>
            </w:r>
            <w:r>
              <w:rPr>
                <w:rFonts w:hint="eastAsia" w:ascii="宋体" w:hAnsi="宋体" w:eastAsia="宋体" w:cs="宋体"/>
                <w:b w:val="0"/>
                <w:bCs/>
                <w:color w:val="auto"/>
                <w:kern w:val="0"/>
                <w:sz w:val="24"/>
                <w:lang w:eastAsia="zh-CN"/>
              </w:rPr>
              <w:t>；</w:t>
            </w:r>
          </w:p>
          <w:p w14:paraId="15316FEE">
            <w:pPr>
              <w:numPr>
                <w:ilvl w:val="2"/>
                <w:numId w:val="0"/>
              </w:numPr>
              <w:spacing w:line="300" w:lineRule="exact"/>
              <w:ind w:leftChars="100"/>
              <w:rPr>
                <w:rFonts w:hint="eastAsia" w:ascii="宋体" w:hAnsi="宋体" w:eastAsia="宋体" w:cs="宋体"/>
                <w:b w:val="0"/>
                <w:bCs/>
                <w:color w:val="auto"/>
                <w:kern w:val="0"/>
                <w:sz w:val="24"/>
                <w:lang w:eastAsia="zh-CN"/>
              </w:rPr>
            </w:pPr>
            <w:r>
              <w:rPr>
                <w:rFonts w:hint="eastAsia" w:ascii="宋体" w:hAnsi="宋体" w:eastAsia="宋体" w:cs="宋体"/>
                <w:b w:val="0"/>
                <w:bCs/>
                <w:color w:val="auto"/>
                <w:kern w:val="0"/>
                <w:sz w:val="24"/>
                <w:lang w:eastAsia="zh-CN"/>
              </w:rPr>
              <w:t>含防滑、防腐、固定膨胀螺栓。</w:t>
            </w:r>
          </w:p>
        </w:tc>
      </w:tr>
      <w:tr w14:paraId="3A2BC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728" w:type="dxa"/>
            <w:vAlign w:val="center"/>
          </w:tcPr>
          <w:p w14:paraId="4A2BE1E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1.5</w:t>
            </w:r>
          </w:p>
        </w:tc>
        <w:tc>
          <w:tcPr>
            <w:tcW w:w="1642" w:type="dxa"/>
            <w:vAlign w:val="center"/>
          </w:tcPr>
          <w:p w14:paraId="39FE53C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安全桩</w:t>
            </w:r>
          </w:p>
        </w:tc>
        <w:tc>
          <w:tcPr>
            <w:tcW w:w="1530" w:type="dxa"/>
            <w:vAlign w:val="center"/>
          </w:tcPr>
          <w:p w14:paraId="5806B981">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114*3</w:t>
            </w:r>
          </w:p>
        </w:tc>
        <w:tc>
          <w:tcPr>
            <w:tcW w:w="855" w:type="dxa"/>
            <w:vAlign w:val="center"/>
          </w:tcPr>
          <w:p w14:paraId="5386732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18</w:t>
            </w:r>
          </w:p>
        </w:tc>
        <w:tc>
          <w:tcPr>
            <w:tcW w:w="900" w:type="dxa"/>
            <w:vAlign w:val="center"/>
          </w:tcPr>
          <w:p w14:paraId="0640781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支</w:t>
            </w:r>
          </w:p>
        </w:tc>
        <w:tc>
          <w:tcPr>
            <w:tcW w:w="3785" w:type="dxa"/>
            <w:vAlign w:val="center"/>
          </w:tcPr>
          <w:p w14:paraId="660CA6E6">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热镀锌钢管 φ114×3，长度 1300–1400mm；顶部封闭；安装间距 400–450mm；底板 240×240×10mm 镀锌钢板；含地脚螺栓、防腐处理</w:t>
            </w:r>
            <w:r>
              <w:rPr>
                <w:rFonts w:hint="eastAsia" w:ascii="宋体" w:hAnsi="宋体" w:eastAsia="宋体" w:cs="宋体"/>
                <w:b w:val="0"/>
                <w:bCs/>
                <w:color w:val="auto"/>
                <w:sz w:val="24"/>
                <w:lang w:eastAsia="zh-CN"/>
              </w:rPr>
              <w:t>。</w:t>
            </w:r>
          </w:p>
        </w:tc>
      </w:tr>
      <w:tr w14:paraId="68281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20" w:hRule="atLeast"/>
        </w:trPr>
        <w:tc>
          <w:tcPr>
            <w:tcW w:w="728" w:type="dxa"/>
            <w:vAlign w:val="center"/>
          </w:tcPr>
          <w:p w14:paraId="062A738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1.6</w:t>
            </w:r>
          </w:p>
        </w:tc>
        <w:tc>
          <w:tcPr>
            <w:tcW w:w="1642" w:type="dxa"/>
            <w:vAlign w:val="center"/>
          </w:tcPr>
          <w:p w14:paraId="3088826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自动加载装置</w:t>
            </w:r>
          </w:p>
        </w:tc>
        <w:tc>
          <w:tcPr>
            <w:tcW w:w="1530" w:type="dxa"/>
            <w:vAlign w:val="center"/>
          </w:tcPr>
          <w:p w14:paraId="2C71C79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JZ-100C</w:t>
            </w:r>
          </w:p>
        </w:tc>
        <w:tc>
          <w:tcPr>
            <w:tcW w:w="855" w:type="dxa"/>
            <w:vAlign w:val="center"/>
          </w:tcPr>
          <w:p w14:paraId="79F3329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300E9E6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11F15E4B">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10#槽钢热镀锌结构</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自动加载型。配有安装材料和安全过载保护。配有手动开关限位装置，与放血缓冲轨道相连</w:t>
            </w:r>
            <w:r>
              <w:rPr>
                <w:rFonts w:hint="eastAsia" w:ascii="宋体" w:hAnsi="宋体" w:eastAsia="宋体" w:cs="宋体"/>
                <w:b w:val="0"/>
                <w:bCs/>
                <w:color w:val="auto"/>
                <w:sz w:val="24"/>
                <w:lang w:eastAsia="zh-CN"/>
              </w:rPr>
              <w:t>。含安装附件、电控。</w:t>
            </w:r>
          </w:p>
        </w:tc>
      </w:tr>
      <w:tr w14:paraId="64B2D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35" w:hRule="atLeast"/>
        </w:trPr>
        <w:tc>
          <w:tcPr>
            <w:tcW w:w="728" w:type="dxa"/>
            <w:vAlign w:val="center"/>
          </w:tcPr>
          <w:p w14:paraId="1E4ABFE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1.7</w:t>
            </w:r>
          </w:p>
        </w:tc>
        <w:tc>
          <w:tcPr>
            <w:tcW w:w="1642" w:type="dxa"/>
            <w:vAlign w:val="center"/>
          </w:tcPr>
          <w:p w14:paraId="10B90F35">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放血提升机（2T）</w:t>
            </w:r>
          </w:p>
        </w:tc>
        <w:tc>
          <w:tcPr>
            <w:tcW w:w="1530" w:type="dxa"/>
            <w:vAlign w:val="center"/>
          </w:tcPr>
          <w:p w14:paraId="5CDE1F5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2T </w:t>
            </w:r>
          </w:p>
        </w:tc>
        <w:tc>
          <w:tcPr>
            <w:tcW w:w="855" w:type="dxa"/>
            <w:vAlign w:val="center"/>
          </w:tcPr>
          <w:p w14:paraId="6AA5902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7257141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7A2BB71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提升高度：6m。提升能力2000KG。</w:t>
            </w:r>
          </w:p>
          <w:p w14:paraId="41C2AB70">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装机动力3KW，提升速度：14m/min</w:t>
            </w:r>
          </w:p>
          <w:p w14:paraId="3C15A96A">
            <w:pPr>
              <w:spacing w:line="300" w:lineRule="exact"/>
              <w:ind w:leftChars="1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含热镀锌机架、链条、限位、制动、电控箱。</w:t>
            </w:r>
          </w:p>
        </w:tc>
      </w:tr>
      <w:tr w14:paraId="1B654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35" w:hRule="atLeast"/>
        </w:trPr>
        <w:tc>
          <w:tcPr>
            <w:tcW w:w="728" w:type="dxa"/>
            <w:vAlign w:val="center"/>
          </w:tcPr>
          <w:p w14:paraId="19EEB62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1.8</w:t>
            </w:r>
          </w:p>
        </w:tc>
        <w:tc>
          <w:tcPr>
            <w:tcW w:w="1642" w:type="dxa"/>
            <w:vAlign w:val="center"/>
          </w:tcPr>
          <w:p w14:paraId="51FC75B3">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管轨放血滑行线含二次梁</w:t>
            </w:r>
          </w:p>
          <w:p w14:paraId="33CC2D4E">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lang w:eastAsia="zh-CN"/>
              </w:rPr>
              <w:t>特制吊架</w:t>
            </w:r>
            <w:r>
              <w:rPr>
                <w:rFonts w:hint="eastAsia" w:ascii="宋体" w:hAnsi="宋体" w:eastAsia="宋体" w:cs="宋体"/>
                <w:b w:val="0"/>
                <w:bCs/>
                <w:color w:val="auto"/>
                <w:kern w:val="0"/>
                <w:sz w:val="24"/>
                <w:szCs w:val="21"/>
              </w:rPr>
              <w:t>，护轨</w:t>
            </w:r>
          </w:p>
        </w:tc>
        <w:tc>
          <w:tcPr>
            <w:tcW w:w="1530" w:type="dxa"/>
            <w:vAlign w:val="center"/>
          </w:tcPr>
          <w:p w14:paraId="46D667F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GD-600</w:t>
            </w:r>
          </w:p>
        </w:tc>
        <w:tc>
          <w:tcPr>
            <w:tcW w:w="855" w:type="dxa"/>
            <w:vAlign w:val="center"/>
          </w:tcPr>
          <w:p w14:paraId="127E768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16</w:t>
            </w:r>
          </w:p>
        </w:tc>
        <w:tc>
          <w:tcPr>
            <w:tcW w:w="900" w:type="dxa"/>
            <w:vAlign w:val="center"/>
          </w:tcPr>
          <w:p w14:paraId="4241620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7D64C052">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直径60*4mm</w:t>
            </w:r>
            <w:r>
              <w:rPr>
                <w:rFonts w:hint="eastAsia" w:ascii="宋体" w:hAnsi="宋体" w:eastAsia="宋体" w:cs="宋体"/>
                <w:b w:val="0"/>
                <w:bCs/>
                <w:color w:val="auto"/>
                <w:sz w:val="24"/>
                <w:lang w:val="en-US" w:eastAsia="zh-CN"/>
              </w:rPr>
              <w:t xml:space="preserve"> </w:t>
            </w:r>
            <w:r>
              <w:rPr>
                <w:rFonts w:hint="eastAsia" w:ascii="宋体" w:hAnsi="宋体" w:eastAsia="宋体" w:cs="宋体"/>
                <w:b w:val="0"/>
                <w:bCs/>
                <w:color w:val="auto"/>
                <w:sz w:val="24"/>
              </w:rPr>
              <w:t>SUS304不锈钢管轨轨道</w:t>
            </w:r>
            <w:r>
              <w:rPr>
                <w:rFonts w:hint="eastAsia" w:ascii="宋体" w:hAnsi="宋体" w:eastAsia="宋体" w:cs="宋体"/>
                <w:b w:val="0"/>
                <w:bCs/>
                <w:color w:val="auto"/>
                <w:sz w:val="24"/>
                <w:lang w:eastAsia="zh-CN"/>
              </w:rPr>
              <w:t>；</w:t>
            </w:r>
          </w:p>
          <w:p w14:paraId="6DE8C41C">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rPr>
              <w:t>含热镀锌螺栓连接的悬挂材料,热镀锌管轨吊架</w:t>
            </w:r>
            <w:r>
              <w:rPr>
                <w:rFonts w:hint="eastAsia" w:ascii="宋体" w:hAnsi="宋体" w:eastAsia="宋体" w:cs="宋体"/>
                <w:b w:val="0"/>
                <w:bCs/>
                <w:color w:val="auto"/>
                <w:sz w:val="24"/>
                <w:lang w:eastAsia="zh-CN"/>
              </w:rPr>
              <w:t>；</w:t>
            </w:r>
          </w:p>
          <w:p w14:paraId="5B4372D7">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rPr>
              <w:t>热镀锌双10#槽钢，双槽钢轨道梁安装在主梁下</w:t>
            </w:r>
            <w:r>
              <w:rPr>
                <w:rFonts w:hint="eastAsia" w:ascii="宋体" w:hAnsi="宋体" w:eastAsia="宋体" w:cs="宋体"/>
                <w:b w:val="0"/>
                <w:bCs/>
                <w:color w:val="auto"/>
                <w:sz w:val="24"/>
                <w:lang w:eastAsia="zh-CN"/>
              </w:rPr>
              <w:t>；</w:t>
            </w:r>
          </w:p>
          <w:p w14:paraId="63763074">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热镀锌结构配有手动限位开关</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双槽钢对扣，采用螺栓连接,双槽钢对扣内装有超高分子耐磨尼龙轮</w:t>
            </w:r>
            <w:r>
              <w:rPr>
                <w:rFonts w:hint="eastAsia" w:ascii="宋体" w:hAnsi="宋体" w:eastAsia="宋体" w:cs="宋体"/>
                <w:b w:val="0"/>
                <w:bCs/>
                <w:color w:val="auto"/>
                <w:sz w:val="24"/>
                <w:lang w:eastAsia="zh-CN"/>
              </w:rPr>
              <w:t>；</w:t>
            </w:r>
          </w:p>
          <w:p w14:paraId="7F57CB55">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含弯轨、护轨、全套紧固件。</w:t>
            </w:r>
          </w:p>
        </w:tc>
      </w:tr>
      <w:tr w14:paraId="65BBC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35" w:hRule="atLeast"/>
        </w:trPr>
        <w:tc>
          <w:tcPr>
            <w:tcW w:w="728" w:type="dxa"/>
            <w:vAlign w:val="center"/>
          </w:tcPr>
          <w:p w14:paraId="25F9EEA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1.9</w:t>
            </w:r>
          </w:p>
        </w:tc>
        <w:tc>
          <w:tcPr>
            <w:tcW w:w="1642" w:type="dxa"/>
            <w:vAlign w:val="center"/>
          </w:tcPr>
          <w:p w14:paraId="681EB64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L型不锈钢接血槽（L=7米）</w:t>
            </w:r>
          </w:p>
        </w:tc>
        <w:tc>
          <w:tcPr>
            <w:tcW w:w="1530" w:type="dxa"/>
            <w:vAlign w:val="center"/>
          </w:tcPr>
          <w:p w14:paraId="116CD2B3">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L=7M</w:t>
            </w:r>
          </w:p>
        </w:tc>
        <w:tc>
          <w:tcPr>
            <w:tcW w:w="855" w:type="dxa"/>
            <w:vAlign w:val="center"/>
          </w:tcPr>
          <w:p w14:paraId="1A9684D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38DD91C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63856E0F">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完全SUS304不锈钢制作，板厚2mm。安装在混凝土槽内，生产时封闭泄水，清洗时封闭排血口。不含与下水连接。</w:t>
            </w:r>
          </w:p>
          <w:p w14:paraId="6D64F8D3">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槽长约：7000mm</w:t>
            </w:r>
          </w:p>
          <w:p w14:paraId="6ECA3CAD">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槽宽约：1160mm</w:t>
            </w:r>
          </w:p>
          <w:p w14:paraId="2D29FA5E">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槽深：约250/500mm</w:t>
            </w:r>
          </w:p>
        </w:tc>
      </w:tr>
      <w:tr w14:paraId="18AF5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35" w:hRule="atLeast"/>
        </w:trPr>
        <w:tc>
          <w:tcPr>
            <w:tcW w:w="728" w:type="dxa"/>
            <w:vAlign w:val="center"/>
          </w:tcPr>
          <w:p w14:paraId="595EA75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1.10</w:t>
            </w:r>
          </w:p>
        </w:tc>
        <w:tc>
          <w:tcPr>
            <w:tcW w:w="1642" w:type="dxa"/>
            <w:vAlign w:val="center"/>
          </w:tcPr>
          <w:p w14:paraId="51FD300F">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重型牦牛管轨放血吊链</w:t>
            </w:r>
          </w:p>
        </w:tc>
        <w:tc>
          <w:tcPr>
            <w:tcW w:w="1530" w:type="dxa"/>
            <w:vAlign w:val="center"/>
          </w:tcPr>
          <w:p w14:paraId="566B6FA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L =1200</w:t>
            </w:r>
          </w:p>
        </w:tc>
        <w:tc>
          <w:tcPr>
            <w:tcW w:w="855" w:type="dxa"/>
            <w:vAlign w:val="center"/>
          </w:tcPr>
          <w:p w14:paraId="6479E0F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10</w:t>
            </w:r>
          </w:p>
        </w:tc>
        <w:tc>
          <w:tcPr>
            <w:tcW w:w="900" w:type="dxa"/>
            <w:vAlign w:val="center"/>
          </w:tcPr>
          <w:p w14:paraId="27E90C7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件</w:t>
            </w:r>
          </w:p>
        </w:tc>
        <w:tc>
          <w:tcPr>
            <w:tcW w:w="3785" w:type="dxa"/>
            <w:vAlign w:val="center"/>
          </w:tcPr>
          <w:p w14:paraId="738DBBF5">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热镀锌轮架，8#槽钢及Q235钢板制作</w:t>
            </w:r>
            <w:r>
              <w:rPr>
                <w:rFonts w:hint="eastAsia" w:ascii="宋体" w:hAnsi="宋体" w:eastAsia="宋体" w:cs="宋体"/>
                <w:b w:val="0"/>
                <w:bCs/>
                <w:color w:val="auto"/>
                <w:sz w:val="24"/>
                <w:szCs w:val="21"/>
                <w:lang w:eastAsia="zh-CN"/>
              </w:rPr>
              <w:t>；</w:t>
            </w:r>
          </w:p>
          <w:p w14:paraId="49CEE125">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轮毂热镀锌结构，轴承安装在内部45#钢滚轮内</w:t>
            </w:r>
            <w:r>
              <w:rPr>
                <w:rFonts w:hint="eastAsia" w:ascii="宋体" w:hAnsi="宋体" w:eastAsia="宋体" w:cs="宋体"/>
                <w:b w:val="0"/>
                <w:bCs/>
                <w:color w:val="auto"/>
                <w:sz w:val="24"/>
                <w:szCs w:val="21"/>
                <w:lang w:eastAsia="zh-CN"/>
              </w:rPr>
              <w:t>；</w:t>
            </w:r>
          </w:p>
          <w:p w14:paraId="7AB7F7A3">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rPr>
              <w:t>两个装有轴承的不锈钢滚轮,热镀锌环链和挂钩</w:t>
            </w:r>
            <w:r>
              <w:rPr>
                <w:rFonts w:hint="eastAsia" w:ascii="宋体" w:hAnsi="宋体" w:eastAsia="宋体" w:cs="宋体"/>
                <w:b w:val="0"/>
                <w:bCs/>
                <w:color w:val="auto"/>
                <w:sz w:val="24"/>
                <w:lang w:eastAsia="zh-CN"/>
              </w:rPr>
              <w:t>；</w:t>
            </w:r>
          </w:p>
          <w:p w14:paraId="1FE92985">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总长1200mm，特质起吊钩称重2T</w:t>
            </w:r>
            <w:r>
              <w:rPr>
                <w:rFonts w:hint="eastAsia" w:ascii="宋体" w:hAnsi="宋体" w:eastAsia="宋体" w:cs="宋体"/>
                <w:b w:val="0"/>
                <w:bCs/>
                <w:color w:val="auto"/>
                <w:sz w:val="24"/>
                <w:lang w:eastAsia="zh-CN"/>
              </w:rPr>
              <w:t>；</w:t>
            </w:r>
          </w:p>
          <w:p w14:paraId="7A31275C">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val="en-US" w:eastAsia="zh-CN"/>
              </w:rPr>
              <w:t>要求</w:t>
            </w:r>
            <w:r>
              <w:rPr>
                <w:rFonts w:hint="eastAsia" w:ascii="宋体" w:hAnsi="宋体" w:eastAsia="宋体" w:cs="宋体"/>
                <w:b w:val="0"/>
                <w:bCs/>
                <w:color w:val="auto"/>
                <w:sz w:val="24"/>
                <w:lang w:eastAsia="zh-CN"/>
              </w:rPr>
              <w:t>耐磨、防锈、防脱钩。</w:t>
            </w:r>
          </w:p>
        </w:tc>
      </w:tr>
      <w:tr w14:paraId="1F8EF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35" w:hRule="atLeast"/>
        </w:trPr>
        <w:tc>
          <w:tcPr>
            <w:tcW w:w="728" w:type="dxa"/>
            <w:vAlign w:val="center"/>
          </w:tcPr>
          <w:p w14:paraId="4806F68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1.11</w:t>
            </w:r>
          </w:p>
        </w:tc>
        <w:tc>
          <w:tcPr>
            <w:tcW w:w="1642" w:type="dxa"/>
            <w:vAlign w:val="center"/>
          </w:tcPr>
          <w:p w14:paraId="1435F8A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去后肢预剥站台（L=1.8米含爬梯）</w:t>
            </w:r>
          </w:p>
        </w:tc>
        <w:tc>
          <w:tcPr>
            <w:tcW w:w="1530" w:type="dxa"/>
            <w:vAlign w:val="center"/>
          </w:tcPr>
          <w:p w14:paraId="456FFBE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ZT-1800</w:t>
            </w:r>
          </w:p>
        </w:tc>
        <w:tc>
          <w:tcPr>
            <w:tcW w:w="855" w:type="dxa"/>
            <w:vAlign w:val="center"/>
          </w:tcPr>
          <w:p w14:paraId="4A9C097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0DF72C0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30E6AD4F">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固定平台；框架 75×45 不锈钢方管；护栏 38×38 不锈钢圆管；带台阶、扶手、爬梯；台面 38mm 环保无毒塑料格栅；尺寸 1800×1000mm；可装洗手 / 消毒器，含固定件</w:t>
            </w:r>
            <w:r>
              <w:rPr>
                <w:rFonts w:hint="eastAsia" w:ascii="宋体" w:hAnsi="宋体" w:eastAsia="宋体" w:cs="宋体"/>
                <w:b w:val="0"/>
                <w:bCs/>
                <w:color w:val="auto"/>
                <w:sz w:val="24"/>
                <w:lang w:eastAsia="zh-CN"/>
              </w:rPr>
              <w:t>。</w:t>
            </w:r>
          </w:p>
        </w:tc>
      </w:tr>
      <w:tr w14:paraId="15AD1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35" w:hRule="atLeast"/>
        </w:trPr>
        <w:tc>
          <w:tcPr>
            <w:tcW w:w="728" w:type="dxa"/>
            <w:vAlign w:val="center"/>
          </w:tcPr>
          <w:p w14:paraId="71283CC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1.12</w:t>
            </w:r>
          </w:p>
        </w:tc>
        <w:tc>
          <w:tcPr>
            <w:tcW w:w="1642" w:type="dxa"/>
            <w:vAlign w:val="center"/>
          </w:tcPr>
          <w:p w14:paraId="788FE9F5">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换轨转挂操作站台（L=3米）</w:t>
            </w:r>
          </w:p>
        </w:tc>
        <w:tc>
          <w:tcPr>
            <w:tcW w:w="1530" w:type="dxa"/>
            <w:vAlign w:val="center"/>
          </w:tcPr>
          <w:p w14:paraId="60BC628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ZT-3000</w:t>
            </w:r>
          </w:p>
        </w:tc>
        <w:tc>
          <w:tcPr>
            <w:tcW w:w="855" w:type="dxa"/>
            <w:vAlign w:val="center"/>
          </w:tcPr>
          <w:p w14:paraId="4779819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648696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7F3C779A">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固定式平台，主框架75*45不锈钢方管</w:t>
            </w:r>
            <w:r>
              <w:rPr>
                <w:rFonts w:hint="eastAsia" w:ascii="宋体" w:hAnsi="宋体" w:eastAsia="宋体" w:cs="宋体"/>
                <w:b w:val="0"/>
                <w:bCs/>
                <w:color w:val="auto"/>
                <w:sz w:val="24"/>
                <w:lang w:eastAsia="zh-CN"/>
              </w:rPr>
              <w:t>；</w:t>
            </w:r>
          </w:p>
          <w:p w14:paraId="42DC34ED">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护栏不锈钢38*38圆管护栏</w:t>
            </w:r>
            <w:r>
              <w:rPr>
                <w:rFonts w:hint="eastAsia" w:ascii="宋体" w:hAnsi="宋体" w:eastAsia="宋体" w:cs="宋体"/>
                <w:b w:val="0"/>
                <w:bCs/>
                <w:color w:val="auto"/>
                <w:sz w:val="24"/>
                <w:lang w:eastAsia="zh-CN"/>
              </w:rPr>
              <w:t>；</w:t>
            </w:r>
          </w:p>
          <w:p w14:paraId="3E592980">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重型圆柱φ140×3mm热镀锌结构，配有一个不锈钢材质台阶及安全扶手的爬梯</w:t>
            </w:r>
            <w:r>
              <w:rPr>
                <w:rFonts w:hint="eastAsia" w:ascii="宋体" w:hAnsi="宋体" w:eastAsia="宋体" w:cs="宋体"/>
                <w:b w:val="0"/>
                <w:bCs/>
                <w:color w:val="auto"/>
                <w:sz w:val="24"/>
                <w:lang w:eastAsia="zh-CN"/>
              </w:rPr>
              <w:t>；</w:t>
            </w:r>
          </w:p>
          <w:p w14:paraId="5D2198F5">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平台表面采用38厚度绿色环保无毒塑料网格</w:t>
            </w:r>
            <w:r>
              <w:rPr>
                <w:rFonts w:hint="eastAsia" w:ascii="宋体" w:hAnsi="宋体" w:eastAsia="宋体" w:cs="宋体"/>
                <w:b w:val="0"/>
                <w:bCs/>
                <w:color w:val="auto"/>
                <w:sz w:val="24"/>
                <w:lang w:eastAsia="zh-CN"/>
              </w:rPr>
              <w:t>；</w:t>
            </w:r>
          </w:p>
          <w:p w14:paraId="3B462A4F">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尺寸约为：3000*1200*2400mm</w:t>
            </w:r>
          </w:p>
          <w:p w14:paraId="611A7EA1">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含地脚、防腐</w:t>
            </w:r>
            <w:r>
              <w:rPr>
                <w:rFonts w:hint="eastAsia" w:ascii="宋体" w:hAnsi="宋体" w:eastAsia="宋体" w:cs="宋体"/>
                <w:b w:val="0"/>
                <w:bCs/>
                <w:color w:val="auto"/>
                <w:sz w:val="24"/>
                <w:lang w:eastAsia="zh-CN"/>
              </w:rPr>
              <w:t>。</w:t>
            </w:r>
          </w:p>
        </w:tc>
      </w:tr>
      <w:tr w14:paraId="6FF60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35" w:hRule="atLeast"/>
        </w:trPr>
        <w:tc>
          <w:tcPr>
            <w:tcW w:w="728" w:type="dxa"/>
            <w:vAlign w:val="center"/>
          </w:tcPr>
          <w:p w14:paraId="4DAAE17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1.13</w:t>
            </w:r>
          </w:p>
        </w:tc>
        <w:tc>
          <w:tcPr>
            <w:tcW w:w="1642" w:type="dxa"/>
            <w:vAlign w:val="center"/>
          </w:tcPr>
          <w:p w14:paraId="013B604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牦牛换轨提升机(锚链式)</w:t>
            </w:r>
          </w:p>
        </w:tc>
        <w:tc>
          <w:tcPr>
            <w:tcW w:w="1530" w:type="dxa"/>
            <w:vAlign w:val="center"/>
          </w:tcPr>
          <w:p w14:paraId="57F5402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2T </w:t>
            </w:r>
          </w:p>
        </w:tc>
        <w:tc>
          <w:tcPr>
            <w:tcW w:w="855" w:type="dxa"/>
            <w:vAlign w:val="center"/>
          </w:tcPr>
          <w:p w14:paraId="2E39442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35061E1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0F851691">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锚链式单链；额定载重 2T；220V电压，含电控、限位、制动；热镀锌机架，用于牛体提升转挂</w:t>
            </w:r>
            <w:r>
              <w:rPr>
                <w:rFonts w:hint="eastAsia" w:ascii="宋体" w:hAnsi="宋体" w:eastAsia="宋体" w:cs="宋体"/>
                <w:b w:val="0"/>
                <w:bCs/>
                <w:color w:val="auto"/>
                <w:sz w:val="24"/>
                <w:lang w:eastAsia="zh-CN"/>
              </w:rPr>
              <w:t>。</w:t>
            </w:r>
          </w:p>
        </w:tc>
      </w:tr>
      <w:tr w14:paraId="7AD1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E292A9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1.14</w:t>
            </w:r>
          </w:p>
        </w:tc>
        <w:tc>
          <w:tcPr>
            <w:tcW w:w="1642" w:type="dxa"/>
            <w:vAlign w:val="center"/>
          </w:tcPr>
          <w:p w14:paraId="1417DBCF">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管轨滑轮运输车</w:t>
            </w:r>
          </w:p>
        </w:tc>
        <w:tc>
          <w:tcPr>
            <w:tcW w:w="1530" w:type="dxa"/>
            <w:vAlign w:val="center"/>
          </w:tcPr>
          <w:p w14:paraId="23DCD41C">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YSC-1600</w:t>
            </w:r>
          </w:p>
        </w:tc>
        <w:tc>
          <w:tcPr>
            <w:tcW w:w="855" w:type="dxa"/>
            <w:vAlign w:val="center"/>
          </w:tcPr>
          <w:p w14:paraId="05EB17E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w:t>
            </w:r>
          </w:p>
        </w:tc>
        <w:tc>
          <w:tcPr>
            <w:tcW w:w="900" w:type="dxa"/>
            <w:vAlign w:val="center"/>
          </w:tcPr>
          <w:p w14:paraId="083B781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辆</w:t>
            </w:r>
          </w:p>
        </w:tc>
        <w:tc>
          <w:tcPr>
            <w:tcW w:w="3785" w:type="dxa"/>
            <w:vAlign w:val="center"/>
          </w:tcPr>
          <w:p w14:paraId="4050195D">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滑轮运输车用于滑轮钩的运输</w:t>
            </w:r>
          </w:p>
          <w:p w14:paraId="16A5053D">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热镀锌结构，存储能力为120只滑轮</w:t>
            </w:r>
            <w:r>
              <w:rPr>
                <w:rFonts w:hint="eastAsia" w:ascii="宋体" w:hAnsi="宋体" w:eastAsia="宋体" w:cs="宋体"/>
                <w:b w:val="0"/>
                <w:bCs/>
                <w:color w:val="auto"/>
                <w:sz w:val="24"/>
                <w:lang w:eastAsia="zh-CN"/>
              </w:rPr>
              <w:t>；</w:t>
            </w:r>
          </w:p>
          <w:p w14:paraId="61BBC010">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包括：1个架体滑轮，2个固定轮，2个转向轮</w:t>
            </w:r>
            <w:r>
              <w:rPr>
                <w:rFonts w:hint="eastAsia" w:ascii="宋体" w:hAnsi="宋体" w:eastAsia="宋体" w:cs="宋体"/>
                <w:b w:val="0"/>
                <w:bCs/>
                <w:color w:val="auto"/>
                <w:sz w:val="24"/>
                <w:lang w:eastAsia="zh-CN"/>
              </w:rPr>
              <w:t>；</w:t>
            </w:r>
          </w:p>
          <w:p w14:paraId="197195E3">
            <w:pPr>
              <w:spacing w:line="300" w:lineRule="exact"/>
              <w:ind w:leftChars="1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要求耐磨脚轮、推手、加固结构。</w:t>
            </w:r>
          </w:p>
        </w:tc>
      </w:tr>
      <w:tr w14:paraId="1193D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DA9543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1.15</w:t>
            </w:r>
          </w:p>
        </w:tc>
        <w:tc>
          <w:tcPr>
            <w:tcW w:w="1642" w:type="dxa"/>
            <w:vAlign w:val="center"/>
          </w:tcPr>
          <w:p w14:paraId="3C4A6701">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滑轮车提升机</w:t>
            </w:r>
          </w:p>
        </w:tc>
        <w:tc>
          <w:tcPr>
            <w:tcW w:w="1530" w:type="dxa"/>
            <w:vAlign w:val="center"/>
          </w:tcPr>
          <w:p w14:paraId="732EC859">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1T</w:t>
            </w:r>
          </w:p>
        </w:tc>
        <w:tc>
          <w:tcPr>
            <w:tcW w:w="855" w:type="dxa"/>
            <w:vAlign w:val="center"/>
          </w:tcPr>
          <w:p w14:paraId="7162C49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464D2B0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37FFE8A6">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rPr>
              <w:t>配有安全链、低压控制和安装材料</w:t>
            </w:r>
            <w:r>
              <w:rPr>
                <w:rFonts w:hint="eastAsia" w:ascii="宋体" w:hAnsi="宋体" w:eastAsia="宋体" w:cs="宋体"/>
                <w:b w:val="0"/>
                <w:bCs/>
                <w:color w:val="auto"/>
                <w:sz w:val="24"/>
                <w:lang w:eastAsia="zh-CN"/>
              </w:rPr>
              <w:t>；</w:t>
            </w:r>
          </w:p>
          <w:p w14:paraId="4048A709">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提升能力：1000kg装机功率：1.1kw</w:t>
            </w:r>
            <w:r>
              <w:rPr>
                <w:rFonts w:hint="eastAsia" w:ascii="宋体" w:hAnsi="宋体" w:eastAsia="宋体" w:cs="宋体"/>
                <w:b w:val="0"/>
                <w:bCs/>
                <w:color w:val="auto"/>
                <w:sz w:val="24"/>
                <w:lang w:val="en-US" w:eastAsia="zh-CN"/>
              </w:rPr>
              <w:t xml:space="preserve">  </w:t>
            </w:r>
            <w:r>
              <w:rPr>
                <w:rFonts w:hint="eastAsia" w:ascii="宋体" w:hAnsi="宋体" w:eastAsia="宋体" w:cs="宋体"/>
                <w:b w:val="0"/>
                <w:bCs/>
                <w:color w:val="auto"/>
                <w:sz w:val="24"/>
              </w:rPr>
              <w:t>提升高度：4m</w:t>
            </w:r>
            <w:r>
              <w:rPr>
                <w:rFonts w:hint="eastAsia" w:ascii="宋体" w:hAnsi="宋体" w:eastAsia="宋体" w:cs="宋体"/>
                <w:b w:val="0"/>
                <w:bCs/>
                <w:color w:val="auto"/>
                <w:sz w:val="24"/>
                <w:lang w:eastAsia="zh-CN"/>
              </w:rPr>
              <w:t>；</w:t>
            </w:r>
          </w:p>
          <w:p w14:paraId="35FD5A96">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钢部件为热镀锌</w:t>
            </w:r>
            <w:r>
              <w:rPr>
                <w:rFonts w:hint="eastAsia" w:ascii="宋体" w:hAnsi="宋体" w:eastAsia="宋体" w:cs="宋体"/>
                <w:b w:val="0"/>
                <w:bCs/>
                <w:color w:val="auto"/>
                <w:sz w:val="24"/>
                <w:lang w:eastAsia="zh-CN"/>
              </w:rPr>
              <w:t>，带安全链、低压控制、安装材料、限位。</w:t>
            </w:r>
          </w:p>
        </w:tc>
      </w:tr>
      <w:tr w14:paraId="130AF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47E7C5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1.16</w:t>
            </w:r>
          </w:p>
        </w:tc>
        <w:tc>
          <w:tcPr>
            <w:tcW w:w="1642" w:type="dxa"/>
            <w:vAlign w:val="center"/>
          </w:tcPr>
          <w:p w14:paraId="79E2BF99">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管轨放血吊链返回系统L=20米</w:t>
            </w:r>
          </w:p>
          <w:p w14:paraId="09DCFC7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含二次梁,</w:t>
            </w:r>
            <w:r>
              <w:rPr>
                <w:rFonts w:hint="eastAsia" w:ascii="宋体" w:hAnsi="宋体" w:eastAsia="宋体" w:cs="宋体"/>
                <w:b w:val="0"/>
                <w:bCs/>
                <w:color w:val="auto"/>
                <w:kern w:val="0"/>
                <w:sz w:val="24"/>
                <w:szCs w:val="21"/>
                <w:lang w:eastAsia="zh-CN"/>
              </w:rPr>
              <w:t>特制吊架</w:t>
            </w:r>
            <w:r>
              <w:rPr>
                <w:rFonts w:hint="eastAsia" w:ascii="宋体" w:hAnsi="宋体" w:eastAsia="宋体" w:cs="宋体"/>
                <w:b w:val="0"/>
                <w:bCs/>
                <w:color w:val="auto"/>
                <w:kern w:val="0"/>
                <w:sz w:val="24"/>
                <w:szCs w:val="21"/>
              </w:rPr>
              <w:t>，护轨</w:t>
            </w:r>
          </w:p>
        </w:tc>
        <w:tc>
          <w:tcPr>
            <w:tcW w:w="1530" w:type="dxa"/>
            <w:vAlign w:val="center"/>
          </w:tcPr>
          <w:p w14:paraId="57D2A40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GD-800</w:t>
            </w:r>
          </w:p>
        </w:tc>
        <w:tc>
          <w:tcPr>
            <w:tcW w:w="855" w:type="dxa"/>
            <w:vAlign w:val="center"/>
          </w:tcPr>
          <w:p w14:paraId="09BD9AD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1A3CC5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723FBF5A">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10#槽钢二次梁热镀锌结构,包含不锈钢管轨缓冲轨道</w:t>
            </w:r>
            <w:r>
              <w:rPr>
                <w:rFonts w:hint="eastAsia" w:ascii="宋体" w:hAnsi="宋体" w:eastAsia="宋体" w:cs="宋体"/>
                <w:b w:val="0"/>
                <w:bCs/>
                <w:color w:val="auto"/>
                <w:sz w:val="24"/>
                <w:lang w:eastAsia="zh-CN"/>
              </w:rPr>
              <w:t>；</w:t>
            </w:r>
          </w:p>
          <w:p w14:paraId="13577454">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放血吊链自动返回特制不锈钢弯轨、吊架</w:t>
            </w:r>
            <w:r>
              <w:rPr>
                <w:rFonts w:hint="eastAsia" w:ascii="宋体" w:hAnsi="宋体" w:eastAsia="宋体" w:cs="宋体"/>
                <w:b w:val="0"/>
                <w:bCs/>
                <w:color w:val="auto"/>
                <w:sz w:val="24"/>
                <w:lang w:eastAsia="zh-CN"/>
              </w:rPr>
              <w:t>；</w:t>
            </w:r>
          </w:p>
          <w:p w14:paraId="42558CE4">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含热镀锌螺栓连接的悬挂材料，热镀锌护轨装置</w:t>
            </w:r>
            <w:r>
              <w:rPr>
                <w:rFonts w:hint="eastAsia" w:ascii="宋体" w:hAnsi="宋体" w:eastAsia="宋体" w:cs="宋体"/>
                <w:b w:val="0"/>
                <w:bCs/>
                <w:color w:val="auto"/>
                <w:sz w:val="24"/>
                <w:lang w:eastAsia="zh-CN"/>
              </w:rPr>
              <w:t>；</w:t>
            </w:r>
          </w:p>
          <w:p w14:paraId="7A9F78FE">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含全套安装紧固件。</w:t>
            </w:r>
          </w:p>
        </w:tc>
      </w:tr>
      <w:tr w14:paraId="59188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F4E0B3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1.17</w:t>
            </w:r>
          </w:p>
        </w:tc>
        <w:tc>
          <w:tcPr>
            <w:tcW w:w="1642" w:type="dxa"/>
            <w:vAlign w:val="center"/>
          </w:tcPr>
          <w:p w14:paraId="4B51EE0C">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预剥管轨滑行线L=3米</w:t>
            </w:r>
          </w:p>
        </w:tc>
        <w:tc>
          <w:tcPr>
            <w:tcW w:w="1530" w:type="dxa"/>
            <w:vAlign w:val="center"/>
          </w:tcPr>
          <w:p w14:paraId="02C2AC9E">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GD-600</w:t>
            </w:r>
          </w:p>
        </w:tc>
        <w:tc>
          <w:tcPr>
            <w:tcW w:w="855" w:type="dxa"/>
            <w:vAlign w:val="center"/>
          </w:tcPr>
          <w:p w14:paraId="283E2C9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467F984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5CA47A31">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轨道SUS304不锈钢φ60*4mm管轨材质，连接件均为精铸钢材质</w:t>
            </w:r>
            <w:r>
              <w:rPr>
                <w:rFonts w:hint="eastAsia" w:ascii="宋体" w:hAnsi="宋体" w:eastAsia="宋体" w:cs="宋体"/>
                <w:b w:val="0"/>
                <w:bCs/>
                <w:color w:val="auto"/>
                <w:sz w:val="24"/>
                <w:lang w:eastAsia="zh-CN"/>
              </w:rPr>
              <w:t>；</w:t>
            </w:r>
          </w:p>
          <w:p w14:paraId="78A2E31C">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热镀锌工艺10#槽二次梁热镀锌，特质加厚225轨道吊架</w:t>
            </w:r>
            <w:r>
              <w:rPr>
                <w:rFonts w:hint="eastAsia" w:ascii="宋体" w:hAnsi="宋体" w:eastAsia="宋体" w:cs="宋体"/>
                <w:b w:val="0"/>
                <w:bCs/>
                <w:color w:val="auto"/>
                <w:sz w:val="24"/>
                <w:lang w:eastAsia="zh-CN"/>
              </w:rPr>
              <w:t>；</w:t>
            </w:r>
          </w:p>
          <w:p w14:paraId="0E7FF222">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含护轨、限位、紧固件。</w:t>
            </w:r>
          </w:p>
        </w:tc>
      </w:tr>
      <w:tr w14:paraId="528A1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27" w:hRule="atLeast"/>
        </w:trPr>
        <w:tc>
          <w:tcPr>
            <w:tcW w:w="728" w:type="dxa"/>
            <w:vAlign w:val="center"/>
          </w:tcPr>
          <w:p w14:paraId="5576E1C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1.18</w:t>
            </w:r>
          </w:p>
        </w:tc>
        <w:tc>
          <w:tcPr>
            <w:tcW w:w="1642" w:type="dxa"/>
            <w:vAlign w:val="center"/>
          </w:tcPr>
          <w:p w14:paraId="1942708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八工位胴体加工输送机（管轨步进）</w:t>
            </w:r>
          </w:p>
        </w:tc>
        <w:tc>
          <w:tcPr>
            <w:tcW w:w="1530" w:type="dxa"/>
            <w:vAlign w:val="center"/>
          </w:tcPr>
          <w:p w14:paraId="0A4ABA2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GDBJ-600</w:t>
            </w:r>
          </w:p>
        </w:tc>
        <w:tc>
          <w:tcPr>
            <w:tcW w:w="855" w:type="dxa"/>
            <w:vAlign w:val="center"/>
          </w:tcPr>
          <w:p w14:paraId="5D0299D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0B5001C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174C23D0">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步进式输送，输送机为立式结构。输送机总长约22m。热镀锌处理。</w:t>
            </w:r>
          </w:p>
          <w:p w14:paraId="7A7A87F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1套封闭式滚轮轨道，22m长不锈钢管轨轨道，1个气动撑腿装置，1套驱动单元（步进式） ， 1个时间调节器，1套气动张紧装置 、配有高分子耐磨尼龙滚轮、链条总长约40m配有拨叉，牛胴体间距（工位间距）：2400mm</w:t>
            </w:r>
          </w:p>
          <w:p w14:paraId="09840B8B">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带热镀锌轨道吊架，装机功率3KW</w:t>
            </w:r>
            <w:r>
              <w:rPr>
                <w:rFonts w:hint="eastAsia" w:ascii="宋体" w:hAnsi="宋体" w:eastAsia="宋体" w:cs="宋体"/>
                <w:b w:val="0"/>
                <w:bCs/>
                <w:color w:val="auto"/>
                <w:sz w:val="24"/>
                <w:szCs w:val="21"/>
                <w:lang w:eastAsia="zh-CN"/>
              </w:rPr>
              <w:t>；</w:t>
            </w:r>
          </w:p>
          <w:p w14:paraId="0E346BC6">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含轨道吊架、电控、变频。</w:t>
            </w:r>
          </w:p>
        </w:tc>
      </w:tr>
      <w:tr w14:paraId="28623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95E7AF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1.19</w:t>
            </w:r>
          </w:p>
        </w:tc>
        <w:tc>
          <w:tcPr>
            <w:tcW w:w="1642" w:type="dxa"/>
            <w:vAlign w:val="center"/>
          </w:tcPr>
          <w:p w14:paraId="4047C22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一次撑腿、预剥皮双柱升降台</w:t>
            </w:r>
          </w:p>
        </w:tc>
        <w:tc>
          <w:tcPr>
            <w:tcW w:w="1530" w:type="dxa"/>
            <w:vAlign w:val="center"/>
          </w:tcPr>
          <w:p w14:paraId="16577C1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SZSJ-1700</w:t>
            </w:r>
          </w:p>
        </w:tc>
        <w:tc>
          <w:tcPr>
            <w:tcW w:w="855" w:type="dxa"/>
            <w:vAlign w:val="center"/>
          </w:tcPr>
          <w:p w14:paraId="14BA43E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w:t>
            </w:r>
          </w:p>
        </w:tc>
        <w:tc>
          <w:tcPr>
            <w:tcW w:w="900" w:type="dxa"/>
            <w:vAlign w:val="center"/>
          </w:tcPr>
          <w:p w14:paraId="3349191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5B595A10">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1套不锈钢平台和护栏，平台台面采用38mm厚的方空格绿色环保无毒塑料板制作，台架采用不锈钢方管□75*45×3</w:t>
            </w:r>
            <w:r>
              <w:rPr>
                <w:rFonts w:hint="eastAsia" w:ascii="宋体" w:hAnsi="宋体" w:eastAsia="宋体" w:cs="宋体"/>
                <w:b w:val="0"/>
                <w:bCs/>
                <w:color w:val="auto"/>
                <w:sz w:val="24"/>
                <w:lang w:val="en-US" w:eastAsia="zh-CN"/>
              </w:rPr>
              <w:t>mm</w:t>
            </w:r>
            <w:r>
              <w:rPr>
                <w:rFonts w:hint="eastAsia" w:ascii="宋体" w:hAnsi="宋体" w:eastAsia="宋体" w:cs="宋体"/>
                <w:b w:val="0"/>
                <w:bCs/>
                <w:color w:val="auto"/>
                <w:sz w:val="24"/>
              </w:rPr>
              <w:t>和2根不锈钢圆柱φ89×4.制作，平台两侧装有2个气缸和升降台相连，便于上下移动，配有下水柱，和用户的地漏相连，台面尺寸：1650*980 mm（长×宽），提升高度：400mm到2000mm</w:t>
            </w:r>
          </w:p>
        </w:tc>
      </w:tr>
      <w:tr w14:paraId="7E5A4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175B4C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1.20</w:t>
            </w:r>
          </w:p>
        </w:tc>
        <w:tc>
          <w:tcPr>
            <w:tcW w:w="1642" w:type="dxa"/>
            <w:vAlign w:val="center"/>
          </w:tcPr>
          <w:p w14:paraId="2A97E44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牛液压扯皮机</w:t>
            </w:r>
          </w:p>
        </w:tc>
        <w:tc>
          <w:tcPr>
            <w:tcW w:w="1530" w:type="dxa"/>
            <w:vAlign w:val="center"/>
          </w:tcPr>
          <w:p w14:paraId="06E678C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CPJ-2100</w:t>
            </w:r>
          </w:p>
        </w:tc>
        <w:tc>
          <w:tcPr>
            <w:tcW w:w="855" w:type="dxa"/>
            <w:vAlign w:val="center"/>
          </w:tcPr>
          <w:p w14:paraId="47322D3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767E0EE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0F252E50">
            <w:pPr>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用于从上到下剥除牛皮扯皮工作。</w:t>
            </w:r>
          </w:p>
          <w:p w14:paraId="604FDD3F">
            <w:pPr>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1套液压系统 总高度5000mm 装机功率：7.5kw </w:t>
            </w:r>
          </w:p>
          <w:p w14:paraId="57261CA3">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机架、外壳为热镀锌，热镀锌扯皮滚筒，升降液压缸, 不锈钢扯皮链条，自动解扣型</w:t>
            </w:r>
            <w:r>
              <w:rPr>
                <w:rFonts w:hint="eastAsia" w:ascii="宋体" w:hAnsi="宋体" w:eastAsia="宋体" w:cs="宋体"/>
                <w:b w:val="0"/>
                <w:bCs/>
                <w:color w:val="auto"/>
                <w:sz w:val="24"/>
                <w:szCs w:val="21"/>
              </w:rPr>
              <w:t>，</w:t>
            </w:r>
            <w:r>
              <w:rPr>
                <w:rFonts w:hint="eastAsia" w:ascii="宋体" w:hAnsi="宋体" w:eastAsia="宋体" w:cs="宋体"/>
                <w:b w:val="0"/>
                <w:bCs/>
                <w:color w:val="auto"/>
                <w:sz w:val="24"/>
              </w:rPr>
              <w:t>自动和手动程序控制系统。</w:t>
            </w:r>
          </w:p>
        </w:tc>
      </w:tr>
      <w:tr w14:paraId="1F7E0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90" w:hRule="atLeast"/>
        </w:trPr>
        <w:tc>
          <w:tcPr>
            <w:tcW w:w="728" w:type="dxa"/>
            <w:vAlign w:val="center"/>
          </w:tcPr>
          <w:p w14:paraId="7BD6142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1.21</w:t>
            </w:r>
          </w:p>
        </w:tc>
        <w:tc>
          <w:tcPr>
            <w:tcW w:w="1642" w:type="dxa"/>
            <w:vAlign w:val="center"/>
          </w:tcPr>
          <w:p w14:paraId="1FC74B7C">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单柱气动升降台</w:t>
            </w:r>
          </w:p>
        </w:tc>
        <w:tc>
          <w:tcPr>
            <w:tcW w:w="1530" w:type="dxa"/>
            <w:vAlign w:val="center"/>
          </w:tcPr>
          <w:p w14:paraId="615AD62F">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DZSJ-1700</w:t>
            </w:r>
          </w:p>
        </w:tc>
        <w:tc>
          <w:tcPr>
            <w:tcW w:w="855" w:type="dxa"/>
            <w:vAlign w:val="center"/>
          </w:tcPr>
          <w:p w14:paraId="6D92FC9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w:t>
            </w:r>
          </w:p>
        </w:tc>
        <w:tc>
          <w:tcPr>
            <w:tcW w:w="900" w:type="dxa"/>
            <w:vAlign w:val="center"/>
          </w:tcPr>
          <w:p w14:paraId="52947BE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1807C08A">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平台表面采用38</w:t>
            </w:r>
            <w:r>
              <w:rPr>
                <w:rFonts w:hint="eastAsia" w:ascii="宋体" w:hAnsi="宋体" w:eastAsia="宋体" w:cs="宋体"/>
                <w:b w:val="0"/>
                <w:bCs/>
                <w:color w:val="auto"/>
                <w:sz w:val="24"/>
                <w:lang w:val="en-US" w:eastAsia="zh-CN"/>
              </w:rPr>
              <w:t>mm</w:t>
            </w:r>
            <w:r>
              <w:rPr>
                <w:rFonts w:hint="eastAsia" w:ascii="宋体" w:hAnsi="宋体" w:eastAsia="宋体" w:cs="宋体"/>
                <w:b w:val="0"/>
                <w:bCs/>
                <w:color w:val="auto"/>
                <w:sz w:val="24"/>
              </w:rPr>
              <w:t>厚度绿色环保无毒塑料网格。</w:t>
            </w:r>
          </w:p>
          <w:p w14:paraId="2E43A12C">
            <w:pPr>
              <w:spacing w:line="300" w:lineRule="exact"/>
              <w:ind w:leftChars="1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不锈钢框架75*45方管、护栏 φ32 圆管</w:t>
            </w:r>
            <w:r>
              <w:rPr>
                <w:rFonts w:hint="eastAsia" w:ascii="宋体" w:hAnsi="宋体" w:eastAsia="宋体" w:cs="宋体"/>
                <w:b w:val="0"/>
                <w:bCs/>
                <w:color w:val="auto"/>
                <w:sz w:val="24"/>
                <w:lang w:val="en-US" w:eastAsia="zh-CN"/>
              </w:rPr>
              <w:t>;</w:t>
            </w:r>
          </w:p>
          <w:p w14:paraId="0EF17646">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平台尺寸：1000*700mm</w:t>
            </w:r>
          </w:p>
          <w:p w14:paraId="67BA7C33">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提升能力：150Kg</w:t>
            </w:r>
          </w:p>
          <w:p w14:paraId="193DCC4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提升高度：400mm到2000mm</w:t>
            </w:r>
          </w:p>
          <w:p w14:paraId="5617EDF7">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该升降台用于操作剥皮机和剥皮时进行修整</w:t>
            </w:r>
            <w:r>
              <w:rPr>
                <w:rFonts w:hint="eastAsia" w:ascii="宋体" w:hAnsi="宋体" w:eastAsia="宋体" w:cs="宋体"/>
                <w:b w:val="0"/>
                <w:bCs/>
                <w:color w:val="auto"/>
                <w:sz w:val="24"/>
                <w:lang w:eastAsia="zh-CN"/>
              </w:rPr>
              <w:t>。</w:t>
            </w:r>
          </w:p>
        </w:tc>
      </w:tr>
      <w:tr w14:paraId="65D1A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90" w:hRule="atLeast"/>
        </w:trPr>
        <w:tc>
          <w:tcPr>
            <w:tcW w:w="728" w:type="dxa"/>
            <w:vAlign w:val="center"/>
          </w:tcPr>
          <w:p w14:paraId="76C9760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1.22</w:t>
            </w:r>
          </w:p>
        </w:tc>
        <w:tc>
          <w:tcPr>
            <w:tcW w:w="1642" w:type="dxa"/>
            <w:vAlign w:val="center"/>
          </w:tcPr>
          <w:p w14:paraId="31262A1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扯皮前腿固定桩</w:t>
            </w:r>
          </w:p>
        </w:tc>
        <w:tc>
          <w:tcPr>
            <w:tcW w:w="1530" w:type="dxa"/>
            <w:vAlign w:val="center"/>
          </w:tcPr>
          <w:p w14:paraId="4504A31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CPGD</w:t>
            </w:r>
          </w:p>
        </w:tc>
        <w:tc>
          <w:tcPr>
            <w:tcW w:w="855" w:type="dxa"/>
            <w:vAlign w:val="center"/>
          </w:tcPr>
          <w:p w14:paraId="10374ED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12EB51D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3F90CFB5">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用于固定牛的前腿，和扯皮机配套使用</w:t>
            </w:r>
            <w:r>
              <w:rPr>
                <w:rFonts w:hint="eastAsia" w:ascii="宋体" w:hAnsi="宋体" w:eastAsia="宋体" w:cs="宋体"/>
                <w:b w:val="0"/>
                <w:bCs/>
                <w:color w:val="auto"/>
                <w:sz w:val="24"/>
                <w:lang w:eastAsia="zh-CN"/>
              </w:rPr>
              <w:t>；</w:t>
            </w:r>
          </w:p>
          <w:p w14:paraId="070D49C7">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不锈钢固定牛腿链条</w:t>
            </w:r>
            <w:r>
              <w:rPr>
                <w:rFonts w:hint="eastAsia" w:ascii="宋体" w:hAnsi="宋体" w:eastAsia="宋体" w:cs="宋体"/>
                <w:b w:val="0"/>
                <w:bCs/>
                <w:color w:val="auto"/>
                <w:sz w:val="24"/>
                <w:lang w:eastAsia="zh-CN"/>
              </w:rPr>
              <w:t>；</w:t>
            </w:r>
          </w:p>
          <w:p w14:paraId="661544C0">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热镀锌100方管制作，底板12Mm钢板固定</w:t>
            </w:r>
            <w:r>
              <w:rPr>
                <w:rFonts w:hint="eastAsia" w:ascii="宋体" w:hAnsi="宋体" w:eastAsia="宋体" w:cs="宋体"/>
                <w:b w:val="0"/>
                <w:bCs/>
                <w:color w:val="auto"/>
                <w:sz w:val="24"/>
                <w:lang w:eastAsia="zh-CN"/>
              </w:rPr>
              <w:t>；</w:t>
            </w:r>
          </w:p>
        </w:tc>
      </w:tr>
      <w:tr w14:paraId="2F6A1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90" w:hRule="atLeast"/>
        </w:trPr>
        <w:tc>
          <w:tcPr>
            <w:tcW w:w="728" w:type="dxa"/>
            <w:vAlign w:val="center"/>
          </w:tcPr>
          <w:p w14:paraId="3DEEBB4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1.23</w:t>
            </w:r>
          </w:p>
        </w:tc>
        <w:tc>
          <w:tcPr>
            <w:tcW w:w="1642" w:type="dxa"/>
            <w:vAlign w:val="center"/>
          </w:tcPr>
          <w:p w14:paraId="7C69E49C">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开胸操作站台（L=1.8米含爬梯）</w:t>
            </w:r>
          </w:p>
        </w:tc>
        <w:tc>
          <w:tcPr>
            <w:tcW w:w="1530" w:type="dxa"/>
            <w:vAlign w:val="center"/>
          </w:tcPr>
          <w:p w14:paraId="76259825">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 -1800</w:t>
            </w:r>
          </w:p>
        </w:tc>
        <w:tc>
          <w:tcPr>
            <w:tcW w:w="855" w:type="dxa"/>
            <w:vAlign w:val="center"/>
          </w:tcPr>
          <w:p w14:paraId="5245D4F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218D41C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3D69D765">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台面38</w:t>
            </w:r>
            <w:r>
              <w:rPr>
                <w:rFonts w:hint="eastAsia" w:ascii="宋体" w:hAnsi="宋体" w:eastAsia="宋体" w:cs="宋体"/>
                <w:b w:val="0"/>
                <w:bCs/>
                <w:color w:val="auto"/>
                <w:sz w:val="24"/>
                <w:lang w:val="en-US" w:eastAsia="zh-CN"/>
              </w:rPr>
              <w:t>mm</w:t>
            </w:r>
            <w:r>
              <w:rPr>
                <w:rFonts w:hint="eastAsia" w:ascii="宋体" w:hAnsi="宋体" w:eastAsia="宋体" w:cs="宋体"/>
                <w:b w:val="0"/>
                <w:bCs/>
                <w:color w:val="auto"/>
                <w:sz w:val="24"/>
              </w:rPr>
              <w:t>厚度绿色环保无毒塑料网格</w:t>
            </w:r>
            <w:r>
              <w:rPr>
                <w:rFonts w:hint="eastAsia" w:ascii="宋体" w:hAnsi="宋体" w:eastAsia="宋体" w:cs="宋体"/>
                <w:b w:val="0"/>
                <w:bCs/>
                <w:color w:val="auto"/>
                <w:sz w:val="24"/>
                <w:lang w:eastAsia="zh-CN"/>
              </w:rPr>
              <w:t>；</w:t>
            </w:r>
          </w:p>
          <w:p w14:paraId="3E317F69">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主框架不锈钢75*45方管制作,站台尺寸1800*1200*500mm、</w:t>
            </w:r>
          </w:p>
          <w:p w14:paraId="6C40FED9">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底部固定φ140*3mm重型热镀锌圆柱</w:t>
            </w:r>
            <w:r>
              <w:rPr>
                <w:rFonts w:hint="eastAsia" w:ascii="宋体" w:hAnsi="宋体" w:eastAsia="宋体" w:cs="宋体"/>
                <w:b w:val="0"/>
                <w:bCs/>
                <w:color w:val="auto"/>
                <w:sz w:val="24"/>
                <w:lang w:eastAsia="zh-CN"/>
              </w:rPr>
              <w:t>；</w:t>
            </w:r>
          </w:p>
          <w:p w14:paraId="06051988">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含爬梯、扶手、固定件。</w:t>
            </w:r>
          </w:p>
        </w:tc>
      </w:tr>
      <w:tr w14:paraId="1F662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B23F3F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1.24</w:t>
            </w:r>
          </w:p>
        </w:tc>
        <w:tc>
          <w:tcPr>
            <w:tcW w:w="1642" w:type="dxa"/>
            <w:vAlign w:val="center"/>
          </w:tcPr>
          <w:p w14:paraId="4B1700D4">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取白内脏操作站台（L=1.8米含爬梯）</w:t>
            </w:r>
          </w:p>
        </w:tc>
        <w:tc>
          <w:tcPr>
            <w:tcW w:w="1530" w:type="dxa"/>
            <w:vAlign w:val="center"/>
          </w:tcPr>
          <w:p w14:paraId="14CDD79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 -1800</w:t>
            </w:r>
          </w:p>
        </w:tc>
        <w:tc>
          <w:tcPr>
            <w:tcW w:w="855" w:type="dxa"/>
            <w:vAlign w:val="center"/>
          </w:tcPr>
          <w:p w14:paraId="4A013CF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5D4A5AE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52C55F8F">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台面尺寸：1800×120×500mm</w:t>
            </w:r>
          </w:p>
          <w:p w14:paraId="2277E111">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台腿采用φ140×3mm的圆管制作</w:t>
            </w:r>
            <w:r>
              <w:rPr>
                <w:rFonts w:hint="eastAsia" w:ascii="宋体" w:hAnsi="宋体" w:eastAsia="宋体" w:cs="宋体"/>
                <w:b w:val="0"/>
                <w:bCs/>
                <w:color w:val="auto"/>
                <w:sz w:val="24"/>
                <w:lang w:eastAsia="zh-CN"/>
              </w:rPr>
              <w:t>；</w:t>
            </w:r>
          </w:p>
          <w:p w14:paraId="159ABEAB">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主框架不锈钢75*45方管制作,台架不锈钢 ，台面采用38mm厚的绿色环保方空格塑料板制作</w:t>
            </w:r>
            <w:r>
              <w:rPr>
                <w:rFonts w:hint="eastAsia" w:ascii="宋体" w:hAnsi="宋体" w:eastAsia="宋体" w:cs="宋体"/>
                <w:b w:val="0"/>
                <w:bCs/>
                <w:color w:val="auto"/>
                <w:sz w:val="24"/>
                <w:lang w:eastAsia="zh-CN"/>
              </w:rPr>
              <w:t>；</w:t>
            </w:r>
          </w:p>
          <w:p w14:paraId="21526307">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含爬梯、扶手、防滑。</w:t>
            </w:r>
          </w:p>
        </w:tc>
      </w:tr>
      <w:tr w14:paraId="2B854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1CC774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1.25</w:t>
            </w:r>
          </w:p>
        </w:tc>
        <w:tc>
          <w:tcPr>
            <w:tcW w:w="1642" w:type="dxa"/>
            <w:vAlign w:val="center"/>
          </w:tcPr>
          <w:p w14:paraId="10E24E2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取红脏操作站台（L=1.8米含爬梯）</w:t>
            </w:r>
          </w:p>
        </w:tc>
        <w:tc>
          <w:tcPr>
            <w:tcW w:w="1530" w:type="dxa"/>
            <w:vAlign w:val="center"/>
          </w:tcPr>
          <w:p w14:paraId="1FCA114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 -1800</w:t>
            </w:r>
          </w:p>
        </w:tc>
        <w:tc>
          <w:tcPr>
            <w:tcW w:w="855" w:type="dxa"/>
            <w:vAlign w:val="center"/>
          </w:tcPr>
          <w:p w14:paraId="43ACB03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71DBC3C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72CFC494">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台面尺寸：1800×1200×1300mm</w:t>
            </w:r>
          </w:p>
          <w:p w14:paraId="444AE502">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台腿采用∮140×3mm的圆管制作,主框架不锈钢75*45方管制作,台架不锈钢 ，台面采用38mm厚的绿色环保方空格塑料板制作</w:t>
            </w:r>
            <w:r>
              <w:rPr>
                <w:rFonts w:hint="eastAsia" w:ascii="宋体" w:hAnsi="宋体" w:eastAsia="宋体" w:cs="宋体"/>
                <w:b w:val="0"/>
                <w:bCs/>
                <w:color w:val="auto"/>
                <w:sz w:val="24"/>
                <w:lang w:eastAsia="zh-CN"/>
              </w:rPr>
              <w:t>；</w:t>
            </w:r>
          </w:p>
          <w:p w14:paraId="1E1FD118">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含爬梯、扶手、防滑</w:t>
            </w:r>
          </w:p>
        </w:tc>
      </w:tr>
      <w:tr w14:paraId="1BAB5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08A149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1.26</w:t>
            </w:r>
          </w:p>
        </w:tc>
        <w:tc>
          <w:tcPr>
            <w:tcW w:w="1642" w:type="dxa"/>
            <w:vAlign w:val="center"/>
          </w:tcPr>
          <w:p w14:paraId="716036D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白内脏接收滑槽</w:t>
            </w:r>
          </w:p>
        </w:tc>
        <w:tc>
          <w:tcPr>
            <w:tcW w:w="1530" w:type="dxa"/>
            <w:vAlign w:val="center"/>
          </w:tcPr>
          <w:p w14:paraId="07CF9F1B">
            <w:pPr>
              <w:widowControl/>
              <w:spacing w:line="400" w:lineRule="exact"/>
              <w:rPr>
                <w:rFonts w:hint="eastAsia" w:ascii="宋体" w:hAnsi="宋体" w:eastAsia="宋体" w:cs="宋体"/>
                <w:b w:val="0"/>
                <w:bCs/>
                <w:color w:val="auto"/>
                <w:kern w:val="0"/>
                <w:sz w:val="24"/>
                <w:szCs w:val="21"/>
              </w:rPr>
            </w:pPr>
          </w:p>
        </w:tc>
        <w:tc>
          <w:tcPr>
            <w:tcW w:w="855" w:type="dxa"/>
            <w:vAlign w:val="center"/>
          </w:tcPr>
          <w:p w14:paraId="7AEC8DC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3D0D703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561CD08D">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SUS304不锈钢板厚2MM，</w:t>
            </w:r>
          </w:p>
          <w:p w14:paraId="21CB5EC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尺寸</w:t>
            </w:r>
            <w:r>
              <w:rPr>
                <w:rFonts w:hint="eastAsia" w:ascii="宋体" w:hAnsi="宋体" w:eastAsia="宋体" w:cs="宋体"/>
                <w:b w:val="0"/>
                <w:bCs/>
                <w:color w:val="auto"/>
                <w:sz w:val="24"/>
              </w:rPr>
              <w:t>2900*1200*120mm</w:t>
            </w:r>
          </w:p>
          <w:p w14:paraId="25FEE311">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抛光、无死角、带支架</w:t>
            </w:r>
            <w:r>
              <w:rPr>
                <w:rFonts w:hint="eastAsia" w:ascii="宋体" w:hAnsi="宋体" w:eastAsia="宋体" w:cs="宋体"/>
                <w:b w:val="0"/>
                <w:bCs/>
                <w:color w:val="auto"/>
                <w:sz w:val="24"/>
                <w:lang w:eastAsia="zh-CN"/>
              </w:rPr>
              <w:t>。</w:t>
            </w:r>
          </w:p>
        </w:tc>
      </w:tr>
      <w:tr w14:paraId="4AF8A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8EBE09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1.27</w:t>
            </w:r>
          </w:p>
        </w:tc>
        <w:tc>
          <w:tcPr>
            <w:tcW w:w="1642" w:type="dxa"/>
            <w:vAlign w:val="center"/>
          </w:tcPr>
          <w:p w14:paraId="48EDEC0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红内脏接收滑槽</w:t>
            </w:r>
          </w:p>
        </w:tc>
        <w:tc>
          <w:tcPr>
            <w:tcW w:w="1530" w:type="dxa"/>
            <w:vAlign w:val="center"/>
          </w:tcPr>
          <w:p w14:paraId="1FD7E8CB">
            <w:pPr>
              <w:widowControl/>
              <w:spacing w:line="400" w:lineRule="exact"/>
              <w:rPr>
                <w:rFonts w:hint="eastAsia" w:ascii="宋体" w:hAnsi="宋体" w:eastAsia="宋体" w:cs="宋体"/>
                <w:b w:val="0"/>
                <w:bCs/>
                <w:color w:val="auto"/>
                <w:kern w:val="0"/>
                <w:sz w:val="24"/>
                <w:szCs w:val="21"/>
              </w:rPr>
            </w:pPr>
          </w:p>
        </w:tc>
        <w:tc>
          <w:tcPr>
            <w:tcW w:w="855" w:type="dxa"/>
            <w:vAlign w:val="center"/>
          </w:tcPr>
          <w:p w14:paraId="09307F0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536F7A8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4519D87B">
            <w:pPr>
              <w:widowControl/>
              <w:spacing w:line="4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SUS304不锈钢板厚2MM，</w:t>
            </w:r>
          </w:p>
          <w:p w14:paraId="5CFC5CB1">
            <w:pPr>
              <w:widowControl/>
              <w:spacing w:line="4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尺寸</w:t>
            </w:r>
            <w:r>
              <w:rPr>
                <w:rFonts w:hint="eastAsia" w:ascii="宋体" w:hAnsi="宋体" w:eastAsia="宋体" w:cs="宋体"/>
                <w:b w:val="0"/>
                <w:bCs/>
                <w:color w:val="auto"/>
                <w:sz w:val="24"/>
              </w:rPr>
              <w:t>1600*800*120mm</w:t>
            </w:r>
          </w:p>
          <w:p w14:paraId="5B02F3FA">
            <w:pPr>
              <w:widowControl/>
              <w:spacing w:line="4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抛光、无死角、带支架</w:t>
            </w:r>
            <w:r>
              <w:rPr>
                <w:rFonts w:hint="eastAsia" w:ascii="宋体" w:hAnsi="宋体" w:eastAsia="宋体" w:cs="宋体"/>
                <w:b w:val="0"/>
                <w:bCs/>
                <w:color w:val="auto"/>
                <w:sz w:val="24"/>
                <w:lang w:eastAsia="zh-CN"/>
              </w:rPr>
              <w:t>。</w:t>
            </w:r>
          </w:p>
        </w:tc>
      </w:tr>
      <w:tr w14:paraId="364BE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7B9FDEB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1.28</w:t>
            </w:r>
          </w:p>
        </w:tc>
        <w:tc>
          <w:tcPr>
            <w:tcW w:w="1642" w:type="dxa"/>
            <w:vAlign w:val="center"/>
          </w:tcPr>
          <w:p w14:paraId="3590634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劈半双柱气动升降台</w:t>
            </w:r>
          </w:p>
        </w:tc>
        <w:tc>
          <w:tcPr>
            <w:tcW w:w="1530" w:type="dxa"/>
            <w:vAlign w:val="center"/>
          </w:tcPr>
          <w:p w14:paraId="3C4C8BCE">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SZSJ-1700</w:t>
            </w:r>
          </w:p>
        </w:tc>
        <w:tc>
          <w:tcPr>
            <w:tcW w:w="855" w:type="dxa"/>
            <w:vAlign w:val="center"/>
          </w:tcPr>
          <w:p w14:paraId="097CFAF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F23117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6A9B9A93">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套不锈钢平台和护栏，平台台面采用38mm厚的方空格绿色环保无毒塑料板制作，台架采用不锈钢方管□75*45×3和2根不锈钢圆柱φ89×4.制作，平台两侧装有2个气缸和升降台相连，便于上下移动，配有下水柱，和用户的地漏相连，台面尺寸：1650*980 mm（长×宽），提升高度：400mm到2000mm</w:t>
            </w:r>
          </w:p>
        </w:tc>
      </w:tr>
      <w:tr w14:paraId="61AAA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CD9DD7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1.29</w:t>
            </w:r>
          </w:p>
        </w:tc>
        <w:tc>
          <w:tcPr>
            <w:tcW w:w="1642" w:type="dxa"/>
            <w:vAlign w:val="center"/>
          </w:tcPr>
          <w:p w14:paraId="74917D5F">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rPr>
              <w:t>国产3180型牛用</w:t>
            </w:r>
            <w:r>
              <w:rPr>
                <w:rFonts w:hint="eastAsia" w:ascii="宋体" w:hAnsi="宋体" w:eastAsia="宋体" w:cs="宋体"/>
                <w:b w:val="0"/>
                <w:bCs/>
                <w:color w:val="auto"/>
                <w:kern w:val="0"/>
                <w:sz w:val="24"/>
                <w:szCs w:val="21"/>
                <w:lang w:eastAsia="zh-CN"/>
              </w:rPr>
              <w:t>劈半锯</w:t>
            </w:r>
          </w:p>
        </w:tc>
        <w:tc>
          <w:tcPr>
            <w:tcW w:w="1530" w:type="dxa"/>
            <w:vAlign w:val="center"/>
          </w:tcPr>
          <w:p w14:paraId="16BA8284">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PBJ-3180</w:t>
            </w:r>
          </w:p>
        </w:tc>
        <w:tc>
          <w:tcPr>
            <w:tcW w:w="855" w:type="dxa"/>
            <w:vAlign w:val="center"/>
          </w:tcPr>
          <w:p w14:paraId="1033981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4BA294E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729F36F8">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设备型号：PB-3180</w:t>
            </w:r>
          </w:p>
          <w:p w14:paraId="477AC31A">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锯条长：3180mm、宽1.9mm、厚度0.56mm、全长：1455mm</w:t>
            </w:r>
            <w:r>
              <w:rPr>
                <w:rFonts w:hint="eastAsia" w:ascii="宋体" w:hAnsi="宋体" w:eastAsia="宋体" w:cs="宋体"/>
                <w:b w:val="0"/>
                <w:bCs/>
                <w:color w:val="auto"/>
                <w:sz w:val="24"/>
                <w:lang w:eastAsia="zh-CN"/>
              </w:rPr>
              <w:t>；</w:t>
            </w:r>
          </w:p>
          <w:p w14:paraId="03124322">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主电源：380v、控制电源36v、电机2.2kw三相电</w:t>
            </w:r>
            <w:r>
              <w:rPr>
                <w:rFonts w:hint="eastAsia" w:ascii="宋体" w:hAnsi="宋体" w:eastAsia="宋体" w:cs="宋体"/>
                <w:b w:val="0"/>
                <w:bCs/>
                <w:color w:val="auto"/>
                <w:sz w:val="24"/>
                <w:lang w:eastAsia="zh-CN"/>
              </w:rPr>
              <w:t>；</w:t>
            </w:r>
          </w:p>
          <w:p w14:paraId="4336AD9E">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机器总重量：92kg</w:t>
            </w:r>
            <w:r>
              <w:rPr>
                <w:rFonts w:hint="eastAsia" w:ascii="宋体" w:hAnsi="宋体" w:eastAsia="宋体" w:cs="宋体"/>
                <w:b w:val="0"/>
                <w:bCs/>
                <w:color w:val="auto"/>
                <w:sz w:val="24"/>
                <w:lang w:eastAsia="zh-CN"/>
              </w:rPr>
              <w:t>；</w:t>
            </w:r>
          </w:p>
          <w:p w14:paraId="48842733">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前轮：320mm，后轮：340mm.</w:t>
            </w:r>
          </w:p>
          <w:p w14:paraId="6859A0BB">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可通过距离450mm</w:t>
            </w:r>
            <w:r>
              <w:rPr>
                <w:rFonts w:hint="eastAsia" w:ascii="宋体" w:hAnsi="宋体" w:eastAsia="宋体" w:cs="宋体"/>
                <w:b w:val="0"/>
                <w:bCs/>
                <w:color w:val="auto"/>
                <w:sz w:val="24"/>
                <w:lang w:eastAsia="zh-CN"/>
              </w:rPr>
              <w:t>；</w:t>
            </w:r>
          </w:p>
          <w:p w14:paraId="1ED85810">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含锯条、护罩、开关、安装。</w:t>
            </w:r>
          </w:p>
        </w:tc>
      </w:tr>
      <w:tr w14:paraId="1D1D6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7325B6B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1.30</w:t>
            </w:r>
          </w:p>
        </w:tc>
        <w:tc>
          <w:tcPr>
            <w:tcW w:w="1642" w:type="dxa"/>
            <w:vAlign w:val="center"/>
          </w:tcPr>
          <w:p w14:paraId="1F1C6D3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劈半防溅屏</w:t>
            </w:r>
          </w:p>
        </w:tc>
        <w:tc>
          <w:tcPr>
            <w:tcW w:w="1530" w:type="dxa"/>
            <w:vAlign w:val="center"/>
          </w:tcPr>
          <w:p w14:paraId="1433F3C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L=3200</w:t>
            </w:r>
          </w:p>
        </w:tc>
        <w:tc>
          <w:tcPr>
            <w:tcW w:w="855" w:type="dxa"/>
            <w:vAlign w:val="center"/>
          </w:tcPr>
          <w:p w14:paraId="27612AB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0CB19AC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617F93EA">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rPr>
              <w:t>屏面尺寸：3200×1550mm（高×宽）</w:t>
            </w:r>
          </w:p>
          <w:p w14:paraId="39919AE5">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rPr>
              <w:t>屏面有2mm厚的SUS304不锈钢板制作</w:t>
            </w:r>
            <w:r>
              <w:rPr>
                <w:rFonts w:hint="eastAsia" w:ascii="宋体" w:hAnsi="宋体" w:eastAsia="宋体" w:cs="宋体"/>
                <w:b w:val="0"/>
                <w:bCs/>
                <w:color w:val="auto"/>
                <w:sz w:val="24"/>
                <w:lang w:eastAsia="zh-CN"/>
              </w:rPr>
              <w:t>；</w:t>
            </w:r>
          </w:p>
          <w:p w14:paraId="033DBDE0">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框架75*45不锈钢方管制作</w:t>
            </w:r>
            <w:r>
              <w:rPr>
                <w:rFonts w:hint="eastAsia" w:ascii="宋体" w:hAnsi="宋体" w:eastAsia="宋体" w:cs="宋体"/>
                <w:b w:val="0"/>
                <w:bCs/>
                <w:color w:val="auto"/>
                <w:sz w:val="24"/>
                <w:szCs w:val="21"/>
                <w:lang w:eastAsia="zh-CN"/>
              </w:rPr>
              <w:t>；</w:t>
            </w:r>
          </w:p>
          <w:p w14:paraId="780F4DD2">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防血溅、易清洗。</w:t>
            </w:r>
          </w:p>
        </w:tc>
      </w:tr>
      <w:tr w14:paraId="4AA35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3A3416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1.31</w:t>
            </w:r>
          </w:p>
        </w:tc>
        <w:tc>
          <w:tcPr>
            <w:tcW w:w="1642" w:type="dxa"/>
            <w:vAlign w:val="center"/>
          </w:tcPr>
          <w:p w14:paraId="6917A2D1">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牛羊洗肚机</w:t>
            </w:r>
          </w:p>
        </w:tc>
        <w:tc>
          <w:tcPr>
            <w:tcW w:w="1530" w:type="dxa"/>
            <w:vAlign w:val="center"/>
          </w:tcPr>
          <w:p w14:paraId="69B1BCA3">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XDJ-800</w:t>
            </w:r>
          </w:p>
        </w:tc>
        <w:tc>
          <w:tcPr>
            <w:tcW w:w="855" w:type="dxa"/>
            <w:vAlign w:val="center"/>
          </w:tcPr>
          <w:p w14:paraId="663B31C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1BAEA14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12A92144">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不锈钢304材质，板厚4mm</w:t>
            </w:r>
          </w:p>
          <w:p w14:paraId="2BA311EA">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电机功率：4KW</w:t>
            </w:r>
          </w:p>
          <w:p w14:paraId="6C99FC81">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外形尺寸：1400</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950</w:t>
            </w:r>
            <w:r>
              <w:rPr>
                <w:rFonts w:hint="eastAsia" w:ascii="宋体" w:hAnsi="宋体" w:eastAsia="宋体" w:cs="宋体"/>
                <w:b w:val="0"/>
                <w:bCs/>
                <w:color w:val="auto"/>
                <w:sz w:val="24"/>
                <w:lang w:val="en-US" w:eastAsia="zh-CN"/>
              </w:rPr>
              <w:t>*</w:t>
            </w:r>
            <w:r>
              <w:rPr>
                <w:rFonts w:hint="eastAsia" w:ascii="宋体" w:hAnsi="宋体" w:eastAsia="宋体" w:cs="宋体"/>
                <w:b w:val="0"/>
                <w:bCs/>
                <w:color w:val="auto"/>
                <w:sz w:val="24"/>
              </w:rPr>
              <w:t>825mm</w:t>
            </w:r>
          </w:p>
          <w:p w14:paraId="29F983C4">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每次洗肚：8-10个</w:t>
            </w:r>
            <w:r>
              <w:rPr>
                <w:rFonts w:hint="eastAsia" w:ascii="宋体" w:hAnsi="宋体" w:eastAsia="宋体" w:cs="宋体"/>
                <w:b w:val="0"/>
                <w:bCs/>
                <w:color w:val="auto"/>
                <w:sz w:val="24"/>
                <w:lang w:eastAsia="zh-CN"/>
              </w:rPr>
              <w:t>；</w:t>
            </w:r>
          </w:p>
          <w:p w14:paraId="24109B78">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水温要求：48度-52度</w:t>
            </w:r>
            <w:r>
              <w:rPr>
                <w:rFonts w:hint="eastAsia" w:ascii="宋体" w:hAnsi="宋体" w:eastAsia="宋体" w:cs="宋体"/>
                <w:b w:val="0"/>
                <w:bCs/>
                <w:color w:val="auto"/>
                <w:sz w:val="24"/>
                <w:lang w:eastAsia="zh-CN"/>
              </w:rPr>
              <w:t>；</w:t>
            </w:r>
          </w:p>
          <w:p w14:paraId="44955F81">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eastAsia="zh-CN"/>
              </w:rPr>
              <w:t>带进水、排水、温控。</w:t>
            </w:r>
          </w:p>
        </w:tc>
      </w:tr>
      <w:tr w14:paraId="20909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DBB270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1.32</w:t>
            </w:r>
          </w:p>
        </w:tc>
        <w:tc>
          <w:tcPr>
            <w:tcW w:w="1642" w:type="dxa"/>
            <w:vAlign w:val="center"/>
          </w:tcPr>
          <w:p w14:paraId="1F04EE50">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管轨四分体下降机</w:t>
            </w:r>
          </w:p>
        </w:tc>
        <w:tc>
          <w:tcPr>
            <w:tcW w:w="1530" w:type="dxa"/>
            <w:vAlign w:val="center"/>
          </w:tcPr>
          <w:p w14:paraId="3A325885">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SFTJ-100</w:t>
            </w:r>
          </w:p>
        </w:tc>
        <w:tc>
          <w:tcPr>
            <w:tcW w:w="855" w:type="dxa"/>
            <w:vAlign w:val="center"/>
          </w:tcPr>
          <w:p w14:paraId="0F1CD340">
            <w:pPr>
              <w:widowControl/>
              <w:spacing w:line="400" w:lineRule="exact"/>
              <w:ind w:firstLine="480" w:firstLineChars="200"/>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23063847">
            <w:pPr>
              <w:widowControl/>
              <w:spacing w:line="400" w:lineRule="exact"/>
              <w:ind w:firstLine="240" w:firstLineChars="100"/>
              <w:jc w:val="lef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59E3B138">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牛二分体分成四分体后的下降装置</w:t>
            </w:r>
            <w:r>
              <w:rPr>
                <w:rFonts w:hint="eastAsia" w:ascii="宋体" w:hAnsi="宋体" w:eastAsia="宋体" w:cs="宋体"/>
                <w:b w:val="0"/>
                <w:bCs/>
                <w:color w:val="auto"/>
                <w:sz w:val="24"/>
                <w:lang w:eastAsia="zh-CN"/>
              </w:rPr>
              <w:t>；</w:t>
            </w:r>
          </w:p>
          <w:p w14:paraId="35C1D1CC">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含不锈钢管轨轨道，机架，链条和推头</w:t>
            </w:r>
            <w:r>
              <w:rPr>
                <w:rFonts w:hint="eastAsia" w:ascii="宋体" w:hAnsi="宋体" w:eastAsia="宋体" w:cs="宋体"/>
                <w:b w:val="0"/>
                <w:bCs/>
                <w:color w:val="auto"/>
                <w:sz w:val="24"/>
                <w:lang w:eastAsia="zh-CN"/>
              </w:rPr>
              <w:t>；</w:t>
            </w:r>
          </w:p>
          <w:p w14:paraId="3A2933B7">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提升下降高度：1200mm，热镀锌结构，电机功率1.5KW</w:t>
            </w:r>
            <w:r>
              <w:rPr>
                <w:rFonts w:hint="eastAsia" w:ascii="宋体" w:hAnsi="宋体" w:eastAsia="宋体" w:cs="宋体"/>
                <w:b w:val="0"/>
                <w:bCs/>
                <w:color w:val="auto"/>
                <w:sz w:val="24"/>
                <w:lang w:eastAsia="zh-CN"/>
              </w:rPr>
              <w:t>；</w:t>
            </w:r>
          </w:p>
        </w:tc>
      </w:tr>
      <w:tr w14:paraId="2DDE2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6FC14D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1.33</w:t>
            </w:r>
          </w:p>
        </w:tc>
        <w:tc>
          <w:tcPr>
            <w:tcW w:w="1642" w:type="dxa"/>
            <w:vAlign w:val="center"/>
          </w:tcPr>
          <w:p w14:paraId="718DCA29">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四分体提升/下降机 T=0.5T</w:t>
            </w:r>
          </w:p>
        </w:tc>
        <w:tc>
          <w:tcPr>
            <w:tcW w:w="1530" w:type="dxa"/>
            <w:vAlign w:val="center"/>
          </w:tcPr>
          <w:p w14:paraId="63EDE02E">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0.5T</w:t>
            </w:r>
          </w:p>
        </w:tc>
        <w:tc>
          <w:tcPr>
            <w:tcW w:w="855" w:type="dxa"/>
            <w:vAlign w:val="center"/>
          </w:tcPr>
          <w:p w14:paraId="5E90E9EF">
            <w:pPr>
              <w:widowControl/>
              <w:spacing w:line="400" w:lineRule="exact"/>
              <w:ind w:firstLine="480" w:firstLineChars="200"/>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AD35159">
            <w:pPr>
              <w:widowControl/>
              <w:spacing w:line="400" w:lineRule="exact"/>
              <w:ind w:firstLine="240" w:firstLineChars="100"/>
              <w:jc w:val="lef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64FAB7E7">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牛二分体分成四分体后的提升装置。</w:t>
            </w:r>
          </w:p>
          <w:p w14:paraId="42BF181F">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含热镀锌角铁轨道，机架，链条和推头。</w:t>
            </w:r>
          </w:p>
          <w:p w14:paraId="74C154A3">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提升高度：1200mm，热镀锌结构。提升能力0.5T</w:t>
            </w:r>
          </w:p>
        </w:tc>
      </w:tr>
      <w:tr w14:paraId="7A440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F0178C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1.34</w:t>
            </w:r>
          </w:p>
        </w:tc>
        <w:tc>
          <w:tcPr>
            <w:tcW w:w="1642" w:type="dxa"/>
            <w:vAlign w:val="center"/>
          </w:tcPr>
          <w:p w14:paraId="143963FF">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四分体操作站台（L=1.8米）</w:t>
            </w:r>
          </w:p>
        </w:tc>
        <w:tc>
          <w:tcPr>
            <w:tcW w:w="1530" w:type="dxa"/>
            <w:vAlign w:val="center"/>
          </w:tcPr>
          <w:p w14:paraId="2891BACB">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ZT-1800</w:t>
            </w:r>
          </w:p>
        </w:tc>
        <w:tc>
          <w:tcPr>
            <w:tcW w:w="855" w:type="dxa"/>
            <w:vAlign w:val="center"/>
          </w:tcPr>
          <w:p w14:paraId="6FCB03F7">
            <w:pPr>
              <w:widowControl/>
              <w:spacing w:line="400" w:lineRule="exact"/>
              <w:ind w:firstLine="480" w:firstLineChars="200"/>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1545FE8D">
            <w:pPr>
              <w:widowControl/>
              <w:spacing w:line="400" w:lineRule="exact"/>
              <w:ind w:firstLine="240" w:firstLineChars="100"/>
              <w:jc w:val="lef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029E26EE">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台面框架75*45方管制作，不锈钢材质</w:t>
            </w:r>
            <w:r>
              <w:rPr>
                <w:rFonts w:hint="eastAsia" w:ascii="宋体" w:hAnsi="宋体" w:eastAsia="宋体" w:cs="宋体"/>
                <w:b w:val="0"/>
                <w:bCs/>
                <w:color w:val="auto"/>
                <w:sz w:val="24"/>
                <w:lang w:eastAsia="zh-CN"/>
              </w:rPr>
              <w:t>；</w:t>
            </w:r>
          </w:p>
          <w:p w14:paraId="392E3C2F">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台面为38厚度绿色环保无毒塑料格栅</w:t>
            </w:r>
            <w:r>
              <w:rPr>
                <w:rFonts w:hint="eastAsia" w:ascii="宋体" w:hAnsi="宋体" w:eastAsia="宋体" w:cs="宋体"/>
                <w:b w:val="0"/>
                <w:bCs/>
                <w:color w:val="auto"/>
                <w:sz w:val="24"/>
                <w:lang w:eastAsia="zh-CN"/>
              </w:rPr>
              <w:t>；</w:t>
            </w:r>
          </w:p>
          <w:p w14:paraId="7379DF83">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尺寸1800*900*500mm</w:t>
            </w:r>
          </w:p>
          <w:p w14:paraId="66802046">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含固定、防滑</w:t>
            </w:r>
          </w:p>
        </w:tc>
      </w:tr>
      <w:tr w14:paraId="28100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7BB96BF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1.35</w:t>
            </w:r>
          </w:p>
        </w:tc>
        <w:tc>
          <w:tcPr>
            <w:tcW w:w="1642" w:type="dxa"/>
            <w:vAlign w:val="center"/>
          </w:tcPr>
          <w:p w14:paraId="6779C28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双轨电子轨道称</w:t>
            </w:r>
          </w:p>
        </w:tc>
        <w:tc>
          <w:tcPr>
            <w:tcW w:w="1530" w:type="dxa"/>
            <w:vAlign w:val="center"/>
          </w:tcPr>
          <w:p w14:paraId="5DEC8AA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GDC-500KG</w:t>
            </w:r>
          </w:p>
        </w:tc>
        <w:tc>
          <w:tcPr>
            <w:tcW w:w="855" w:type="dxa"/>
            <w:vAlign w:val="center"/>
          </w:tcPr>
          <w:p w14:paraId="3BF393E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43CEBE9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181D4E14">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一套显示屏含打印装置，最大称重范围500kg</w:t>
            </w:r>
          </w:p>
          <w:p w14:paraId="62755D2F">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允许误差＜50kg称重显示屏，2套传感器，1个电池</w:t>
            </w:r>
            <w:r>
              <w:rPr>
                <w:rFonts w:hint="eastAsia" w:ascii="宋体" w:hAnsi="宋体" w:eastAsia="宋体" w:cs="宋体"/>
                <w:b w:val="0"/>
                <w:bCs/>
                <w:color w:val="auto"/>
                <w:sz w:val="24"/>
                <w:szCs w:val="21"/>
                <w:lang w:eastAsia="zh-CN"/>
              </w:rPr>
              <w:t>；</w:t>
            </w:r>
          </w:p>
          <w:p w14:paraId="7427F1C8">
            <w:pPr>
              <w:ind w:leftChars="100"/>
              <w:rPr>
                <w:rFonts w:hint="eastAsia" w:ascii="宋体" w:hAnsi="宋体" w:eastAsia="宋体" w:cs="宋体"/>
                <w:b w:val="0"/>
                <w:bCs/>
                <w:color w:val="auto"/>
                <w:sz w:val="24"/>
                <w:szCs w:val="21"/>
                <w:lang w:val="en-US" w:eastAsia="zh-CN"/>
              </w:rPr>
            </w:pPr>
            <w:r>
              <w:rPr>
                <w:rFonts w:hint="eastAsia" w:ascii="宋体" w:hAnsi="宋体" w:eastAsia="宋体" w:cs="宋体"/>
                <w:b w:val="0"/>
                <w:bCs/>
                <w:color w:val="auto"/>
                <w:sz w:val="24"/>
                <w:szCs w:val="21"/>
                <w:lang w:val="en-US" w:eastAsia="zh-CN"/>
              </w:rPr>
              <w:t>要求轨道安装、标定、调试、质保1年。</w:t>
            </w:r>
          </w:p>
        </w:tc>
      </w:tr>
      <w:tr w14:paraId="273AF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621ADF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1.36</w:t>
            </w:r>
          </w:p>
        </w:tc>
        <w:tc>
          <w:tcPr>
            <w:tcW w:w="1642" w:type="dxa"/>
            <w:vAlign w:val="center"/>
          </w:tcPr>
          <w:p w14:paraId="0219E5F3">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不锈钢管轨滑轮</w:t>
            </w:r>
          </w:p>
        </w:tc>
        <w:tc>
          <w:tcPr>
            <w:tcW w:w="1530" w:type="dxa"/>
            <w:vAlign w:val="center"/>
          </w:tcPr>
          <w:p w14:paraId="26B652A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GGHL-18</w:t>
            </w:r>
          </w:p>
        </w:tc>
        <w:tc>
          <w:tcPr>
            <w:tcW w:w="855" w:type="dxa"/>
            <w:vAlign w:val="center"/>
          </w:tcPr>
          <w:p w14:paraId="2EA6C34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100</w:t>
            </w:r>
          </w:p>
        </w:tc>
        <w:tc>
          <w:tcPr>
            <w:tcW w:w="900" w:type="dxa"/>
            <w:vAlign w:val="center"/>
          </w:tcPr>
          <w:p w14:paraId="413DCAC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42E6B220">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rPr>
              <w:t>滚轮装有2个密封轴承，轴和轮毂。钩子均为不锈钢304制作</w:t>
            </w:r>
          </w:p>
          <w:p w14:paraId="79415C1D">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rPr>
              <w:t>钩架采用SUS304 不锈钢材料制作</w:t>
            </w:r>
            <w:r>
              <w:rPr>
                <w:rFonts w:hint="eastAsia" w:ascii="宋体" w:hAnsi="宋体" w:eastAsia="宋体" w:cs="宋体"/>
                <w:b w:val="0"/>
                <w:bCs/>
                <w:color w:val="auto"/>
                <w:sz w:val="24"/>
                <w:lang w:eastAsia="zh-CN"/>
              </w:rPr>
              <w:t>；</w:t>
            </w:r>
          </w:p>
          <w:p w14:paraId="662AF6A2">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不锈钢钩子304材质，加粗φ18mm</w:t>
            </w:r>
          </w:p>
        </w:tc>
      </w:tr>
      <w:tr w14:paraId="5EB26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2B512E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1.37</w:t>
            </w:r>
          </w:p>
        </w:tc>
        <w:tc>
          <w:tcPr>
            <w:tcW w:w="1642" w:type="dxa"/>
            <w:vAlign w:val="center"/>
          </w:tcPr>
          <w:p w14:paraId="3D0F2AD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牛用双轨滑轮</w:t>
            </w:r>
          </w:p>
        </w:tc>
        <w:tc>
          <w:tcPr>
            <w:tcW w:w="1530" w:type="dxa"/>
            <w:vAlign w:val="center"/>
          </w:tcPr>
          <w:p w14:paraId="431ADC6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GNHL-φ65</w:t>
            </w:r>
          </w:p>
        </w:tc>
        <w:tc>
          <w:tcPr>
            <w:tcW w:w="855" w:type="dxa"/>
            <w:vAlign w:val="center"/>
          </w:tcPr>
          <w:p w14:paraId="59F1A8D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100</w:t>
            </w:r>
          </w:p>
        </w:tc>
        <w:tc>
          <w:tcPr>
            <w:tcW w:w="900" w:type="dxa"/>
            <w:vAlign w:val="center"/>
          </w:tcPr>
          <w:p w14:paraId="05B84AA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件</w:t>
            </w:r>
          </w:p>
        </w:tc>
        <w:tc>
          <w:tcPr>
            <w:tcW w:w="3785" w:type="dxa"/>
            <w:vAlign w:val="center"/>
          </w:tcPr>
          <w:p w14:paraId="26DD8376">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用于牛胴体的悬挂运输，步进机后的双轨轨道</w:t>
            </w:r>
            <w:r>
              <w:rPr>
                <w:rFonts w:hint="eastAsia" w:ascii="宋体" w:hAnsi="宋体" w:eastAsia="宋体" w:cs="宋体"/>
                <w:b w:val="0"/>
                <w:bCs/>
                <w:color w:val="auto"/>
                <w:sz w:val="24"/>
                <w:szCs w:val="21"/>
                <w:lang w:eastAsia="zh-CN"/>
              </w:rPr>
              <w:t>；</w:t>
            </w:r>
          </w:p>
          <w:p w14:paraId="5E0FC24D">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精铸钢材质，轮子φ65mm钩子不锈钢材质</w:t>
            </w:r>
            <w:r>
              <w:rPr>
                <w:rFonts w:hint="eastAsia" w:ascii="宋体" w:hAnsi="宋体" w:eastAsia="宋体" w:cs="宋体"/>
                <w:b w:val="0"/>
                <w:bCs/>
                <w:color w:val="auto"/>
                <w:sz w:val="24"/>
                <w:szCs w:val="21"/>
                <w:lang w:eastAsia="zh-CN"/>
              </w:rPr>
              <w:t>；</w:t>
            </w:r>
          </w:p>
        </w:tc>
      </w:tr>
      <w:tr w14:paraId="44FA2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A16B6C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1.38</w:t>
            </w:r>
          </w:p>
        </w:tc>
        <w:tc>
          <w:tcPr>
            <w:tcW w:w="1642" w:type="dxa"/>
            <w:vAlign w:val="center"/>
          </w:tcPr>
          <w:p w14:paraId="3C8E2AB6">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牛线双轨滑轮回空自动滑行线</w:t>
            </w:r>
          </w:p>
        </w:tc>
        <w:tc>
          <w:tcPr>
            <w:tcW w:w="1530" w:type="dxa"/>
            <w:vAlign w:val="center"/>
          </w:tcPr>
          <w:p w14:paraId="5BD7BE99">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STGD-800</w:t>
            </w:r>
          </w:p>
        </w:tc>
        <w:tc>
          <w:tcPr>
            <w:tcW w:w="855" w:type="dxa"/>
            <w:vAlign w:val="center"/>
          </w:tcPr>
          <w:p w14:paraId="5CA1EE8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w:t>
            </w:r>
          </w:p>
        </w:tc>
        <w:tc>
          <w:tcPr>
            <w:tcW w:w="900" w:type="dxa"/>
            <w:vAlign w:val="center"/>
          </w:tcPr>
          <w:p w14:paraId="6EEF162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04597902">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热镀锌10#工字钢二次钢梁，所需的轨道镀锌紧固件（铸钢吊架、弯轨、铸钢道岔），轨道采用40*40*4热镀锌角铁轨道制作，热镀锌轨道吊架，吊架间距为800mm</w:t>
            </w:r>
          </w:p>
          <w:p w14:paraId="1C5CD84D">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热镀锌连接件，弯轨、轨道及连接件均为普材热镀锌</w:t>
            </w:r>
            <w:r>
              <w:rPr>
                <w:rFonts w:hint="eastAsia" w:ascii="宋体" w:hAnsi="宋体" w:eastAsia="宋体" w:cs="宋体"/>
                <w:b w:val="0"/>
                <w:bCs/>
                <w:color w:val="auto"/>
                <w:sz w:val="24"/>
                <w:szCs w:val="21"/>
                <w:lang w:eastAsia="zh-CN"/>
              </w:rPr>
              <w:t>。</w:t>
            </w:r>
          </w:p>
        </w:tc>
      </w:tr>
      <w:tr w14:paraId="5EE5B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748F830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1.39</w:t>
            </w:r>
          </w:p>
        </w:tc>
        <w:tc>
          <w:tcPr>
            <w:tcW w:w="1642" w:type="dxa"/>
            <w:vAlign w:val="center"/>
          </w:tcPr>
          <w:p w14:paraId="61794D06">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牛、羊内脏工作台</w:t>
            </w:r>
          </w:p>
        </w:tc>
        <w:tc>
          <w:tcPr>
            <w:tcW w:w="1530" w:type="dxa"/>
            <w:vAlign w:val="center"/>
          </w:tcPr>
          <w:p w14:paraId="5E75F586">
            <w:pPr>
              <w:widowControl/>
              <w:tabs>
                <w:tab w:val="left" w:pos="3046"/>
              </w:tabs>
              <w:spacing w:line="400" w:lineRule="exact"/>
              <w:rPr>
                <w:rFonts w:hint="eastAsia" w:ascii="宋体" w:hAnsi="宋体" w:eastAsia="宋体" w:cs="宋体"/>
                <w:b w:val="0"/>
                <w:bCs/>
                <w:color w:val="auto"/>
                <w:kern w:val="0"/>
                <w:sz w:val="24"/>
                <w:szCs w:val="21"/>
              </w:rPr>
            </w:pPr>
          </w:p>
        </w:tc>
        <w:tc>
          <w:tcPr>
            <w:tcW w:w="855" w:type="dxa"/>
            <w:vAlign w:val="center"/>
          </w:tcPr>
          <w:p w14:paraId="7810B67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w:t>
            </w:r>
          </w:p>
        </w:tc>
        <w:tc>
          <w:tcPr>
            <w:tcW w:w="900" w:type="dxa"/>
            <w:vAlign w:val="center"/>
          </w:tcPr>
          <w:p w14:paraId="6DE4079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632AC02C">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szCs w:val="21"/>
              </w:rPr>
              <w:t>材质：食品级304不锈钢（台面1.5～2.0mm，支架38×38×2mm方管</w:t>
            </w:r>
            <w:r>
              <w:rPr>
                <w:rFonts w:hint="eastAsia" w:ascii="宋体" w:hAnsi="宋体" w:eastAsia="宋体" w:cs="宋体"/>
                <w:b w:val="0"/>
                <w:bCs/>
                <w:color w:val="auto"/>
                <w:sz w:val="24"/>
              </w:rPr>
              <w:t>外形尺寸：长×900×800mm（高）</w:t>
            </w:r>
          </w:p>
          <w:p w14:paraId="72CFCCF7">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常规单台：1500/2000/3000×900×800mm</w:t>
            </w:r>
          </w:p>
          <w:p w14:paraId="6613AF2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联台/线体：按工位长度定制（每人≥1.5m）</w:t>
            </w:r>
          </w:p>
          <w:p w14:paraId="0E76229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台面沿高：38mm（防液体外溢）</w:t>
            </w:r>
          </w:p>
          <w:p w14:paraId="6F4D7C24">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支架：38×38×2mm 304不锈钢方管</w:t>
            </w:r>
            <w:r>
              <w:rPr>
                <w:rFonts w:hint="eastAsia" w:ascii="宋体" w:hAnsi="宋体" w:eastAsia="宋体" w:cs="宋体"/>
                <w:b w:val="0"/>
                <w:bCs/>
                <w:color w:val="auto"/>
                <w:sz w:val="24"/>
                <w:lang w:eastAsia="zh-CN"/>
              </w:rPr>
              <w:t>；</w:t>
            </w:r>
          </w:p>
          <w:p w14:paraId="5E322FCF">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排水：带下水口/地漏（Φ108/159），可接排污管</w:t>
            </w:r>
          </w:p>
          <w:p w14:paraId="0F0995B8">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调节脚：底部不锈钢可调脚（±30mm）</w:t>
            </w:r>
          </w:p>
          <w:p w14:paraId="1475A829">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厚度：台面1.5～2.0mm，框架2.0mm</w:t>
            </w:r>
          </w:p>
        </w:tc>
      </w:tr>
      <w:tr w14:paraId="6996F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03ED3F32">
            <w:pPr>
              <w:widowControl/>
              <w:spacing w:line="400" w:lineRule="exact"/>
              <w:ind w:leftChars="100"/>
              <w:rPr>
                <w:rFonts w:hint="eastAsia" w:ascii="宋体" w:hAnsi="宋体" w:eastAsia="宋体" w:cs="宋体"/>
                <w:b w:val="0"/>
                <w:bCs/>
                <w:color w:val="auto"/>
                <w:kern w:val="0"/>
                <w:sz w:val="24"/>
                <w:szCs w:val="21"/>
              </w:rPr>
            </w:pPr>
            <w:r>
              <w:rPr>
                <w:rFonts w:hint="eastAsia" w:ascii="宋体" w:hAnsi="宋体" w:eastAsia="宋体" w:cs="宋体"/>
                <w:b/>
                <w:bCs w:val="0"/>
                <w:color w:val="auto"/>
                <w:kern w:val="0"/>
                <w:sz w:val="24"/>
                <w:szCs w:val="21"/>
              </w:rPr>
              <w:t>二、肉羊屠宰加工区域</w:t>
            </w:r>
          </w:p>
        </w:tc>
      </w:tr>
      <w:tr w14:paraId="27BDF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DB1053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w:t>
            </w:r>
          </w:p>
        </w:tc>
        <w:tc>
          <w:tcPr>
            <w:tcW w:w="1642" w:type="dxa"/>
            <w:vAlign w:val="center"/>
          </w:tcPr>
          <w:p w14:paraId="4C5BF123">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欧式羊仿欧式放血自动线（含挂羊、转挂弯坡）</w:t>
            </w:r>
          </w:p>
        </w:tc>
        <w:tc>
          <w:tcPr>
            <w:tcW w:w="1530" w:type="dxa"/>
            <w:vAlign w:val="center"/>
          </w:tcPr>
          <w:p w14:paraId="5422C483">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FOGD-100</w:t>
            </w:r>
          </w:p>
        </w:tc>
        <w:tc>
          <w:tcPr>
            <w:tcW w:w="855" w:type="dxa"/>
            <w:vAlign w:val="center"/>
          </w:tcPr>
          <w:p w14:paraId="6AC6AE4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48</w:t>
            </w:r>
          </w:p>
        </w:tc>
        <w:tc>
          <w:tcPr>
            <w:tcW w:w="900" w:type="dxa"/>
            <w:vAlign w:val="center"/>
          </w:tcPr>
          <w:p w14:paraId="4C28B76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08367DDC">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热镀锌10#双槽钢对扣轨道,轨道连接板厚度10mm，间距1200mm，轨道线悬吊结构采用40*40*3方管制作，镀锌标准连接件，摆线针轮减速机，电机功率3KW</w:t>
            </w:r>
          </w:p>
          <w:p w14:paraId="181064E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特质轨道线链条，采用方钢万向活动块，厚度5mm锰钢材质链片，精铸钢欧式挂钩，耐磨白色φ76mm尼龙行走轮，特定（提升下降）双槽钢弯道。</w:t>
            </w:r>
            <w:r>
              <w:rPr>
                <w:rFonts w:hint="eastAsia" w:ascii="宋体" w:hAnsi="宋体" w:eastAsia="宋体" w:cs="宋体"/>
                <w:b w:val="0"/>
                <w:bCs/>
                <w:color w:val="auto"/>
                <w:sz w:val="24"/>
                <w:szCs w:val="21"/>
              </w:rPr>
              <w:t>卧式输送结构，采用特质镀锌链条，万向调节，</w:t>
            </w:r>
            <w:r>
              <w:rPr>
                <w:rFonts w:hint="eastAsia" w:ascii="宋体" w:hAnsi="宋体" w:eastAsia="宋体" w:cs="宋体"/>
                <w:b w:val="0"/>
                <w:bCs/>
                <w:color w:val="auto"/>
                <w:sz w:val="24"/>
              </w:rPr>
              <w:t>挂羊间距1200mm</w:t>
            </w:r>
          </w:p>
          <w:p w14:paraId="1C026619">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含弯坡、转挂、张紧</w:t>
            </w:r>
            <w:r>
              <w:rPr>
                <w:rFonts w:hint="eastAsia" w:ascii="宋体" w:hAnsi="宋体" w:eastAsia="宋体" w:cs="宋体"/>
                <w:b w:val="0"/>
                <w:bCs/>
                <w:color w:val="auto"/>
                <w:sz w:val="24"/>
                <w:lang w:eastAsia="zh-CN"/>
              </w:rPr>
              <w:t>。</w:t>
            </w:r>
          </w:p>
        </w:tc>
      </w:tr>
      <w:tr w14:paraId="24142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34C529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2.2</w:t>
            </w:r>
          </w:p>
        </w:tc>
        <w:tc>
          <w:tcPr>
            <w:tcW w:w="1642" w:type="dxa"/>
            <w:vAlign w:val="center"/>
          </w:tcPr>
          <w:p w14:paraId="669B4525">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驱动装置</w:t>
            </w:r>
          </w:p>
        </w:tc>
        <w:tc>
          <w:tcPr>
            <w:tcW w:w="1530" w:type="dxa"/>
            <w:vAlign w:val="center"/>
          </w:tcPr>
          <w:p w14:paraId="7008B7A7">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QD-100</w:t>
            </w:r>
          </w:p>
        </w:tc>
        <w:tc>
          <w:tcPr>
            <w:tcW w:w="855" w:type="dxa"/>
            <w:vAlign w:val="center"/>
          </w:tcPr>
          <w:p w14:paraId="099F812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341167D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08B57B99">
            <w:pPr>
              <w:pStyle w:val="6"/>
              <w:spacing w:line="300" w:lineRule="exact"/>
              <w:ind w:left="210" w:leftChars="100"/>
              <w:rPr>
                <w:rFonts w:hint="eastAsia" w:ascii="宋体" w:hAnsi="宋体" w:eastAsia="宋体" w:cs="宋体"/>
                <w:b w:val="0"/>
                <w:bCs/>
                <w:color w:val="auto"/>
              </w:rPr>
            </w:pPr>
            <w:r>
              <w:rPr>
                <w:rFonts w:hint="eastAsia" w:ascii="宋体" w:hAnsi="宋体" w:eastAsia="宋体" w:cs="宋体"/>
                <w:b w:val="0"/>
                <w:bCs/>
                <w:color w:val="auto"/>
              </w:rPr>
              <w:t>齿盘6齿，盘径约565mm：底座钢板热镀锌材质，厚度10mm，10#槽钢弯轨，电机功率3Kw 电机变频调速</w:t>
            </w:r>
          </w:p>
          <w:p w14:paraId="04A50765">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热镀锌双槽钢钢板安装底座，特质速比摆线针轮减速机</w:t>
            </w:r>
            <w:r>
              <w:rPr>
                <w:rFonts w:hint="eastAsia" w:ascii="宋体" w:hAnsi="宋体" w:eastAsia="宋体" w:cs="宋体"/>
                <w:b w:val="0"/>
                <w:bCs/>
                <w:color w:val="auto"/>
                <w:sz w:val="24"/>
                <w:szCs w:val="21"/>
                <w:lang w:eastAsia="zh-CN"/>
              </w:rPr>
              <w:t>。</w:t>
            </w:r>
          </w:p>
        </w:tc>
      </w:tr>
      <w:tr w14:paraId="62D83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02E216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2.3</w:t>
            </w:r>
          </w:p>
        </w:tc>
        <w:tc>
          <w:tcPr>
            <w:tcW w:w="1642" w:type="dxa"/>
            <w:vAlign w:val="center"/>
          </w:tcPr>
          <w:p w14:paraId="20CF3712">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rPr>
              <w:t>气囊</w:t>
            </w:r>
            <w:r>
              <w:rPr>
                <w:rFonts w:hint="eastAsia" w:ascii="宋体" w:hAnsi="宋体" w:eastAsia="宋体" w:cs="宋体"/>
                <w:b w:val="0"/>
                <w:bCs/>
                <w:color w:val="auto"/>
                <w:kern w:val="0"/>
                <w:sz w:val="24"/>
                <w:szCs w:val="21"/>
                <w:lang w:eastAsia="zh-CN"/>
              </w:rPr>
              <w:t>张紧装置</w:t>
            </w:r>
          </w:p>
        </w:tc>
        <w:tc>
          <w:tcPr>
            <w:tcW w:w="1530" w:type="dxa"/>
            <w:vAlign w:val="center"/>
          </w:tcPr>
          <w:p w14:paraId="6C7198B4">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QNZH -100</w:t>
            </w:r>
          </w:p>
        </w:tc>
        <w:tc>
          <w:tcPr>
            <w:tcW w:w="855" w:type="dxa"/>
            <w:vAlign w:val="center"/>
          </w:tcPr>
          <w:p w14:paraId="26FB1A0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18C8971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76648E8A">
            <w:pPr>
              <w:pStyle w:val="6"/>
              <w:spacing w:line="300" w:lineRule="exact"/>
              <w:ind w:left="210" w:leftChars="100"/>
              <w:rPr>
                <w:rFonts w:hint="eastAsia" w:ascii="宋体" w:hAnsi="宋体" w:eastAsia="宋体" w:cs="宋体"/>
                <w:b w:val="0"/>
                <w:bCs/>
                <w:color w:val="auto"/>
                <w:kern w:val="0"/>
              </w:rPr>
            </w:pPr>
            <w:r>
              <w:rPr>
                <w:rFonts w:hint="eastAsia" w:ascii="宋体" w:hAnsi="宋体" w:eastAsia="宋体" w:cs="宋体"/>
                <w:b w:val="0"/>
                <w:bCs/>
                <w:color w:val="auto"/>
              </w:rPr>
              <w:t>齿盘6齿，盘径约565mm,底座钢板热镀锌材质，厚度10mm,10#槽钢弯轨,热镀锌双槽钢轨道，含钢板安装底座,特质涨紧机架，耐磨尼龙涨紧滑道,</w:t>
            </w:r>
            <w:r>
              <w:rPr>
                <w:rFonts w:hint="eastAsia" w:ascii="宋体" w:hAnsi="宋体" w:eastAsia="宋体" w:cs="宋体"/>
                <w:b w:val="0"/>
                <w:bCs/>
                <w:color w:val="auto"/>
                <w:kern w:val="0"/>
              </w:rPr>
              <w:t>气囊式涨紧，涨紧行程150mm</w:t>
            </w:r>
          </w:p>
        </w:tc>
      </w:tr>
      <w:tr w14:paraId="3D0E4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0490A4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2.4</w:t>
            </w:r>
          </w:p>
        </w:tc>
        <w:tc>
          <w:tcPr>
            <w:tcW w:w="1642" w:type="dxa"/>
            <w:vAlign w:val="center"/>
          </w:tcPr>
          <w:p w14:paraId="610F027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回转装置</w:t>
            </w:r>
          </w:p>
        </w:tc>
        <w:tc>
          <w:tcPr>
            <w:tcW w:w="1530" w:type="dxa"/>
            <w:vAlign w:val="center"/>
          </w:tcPr>
          <w:p w14:paraId="69075647">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HZ-565</w:t>
            </w:r>
          </w:p>
        </w:tc>
        <w:tc>
          <w:tcPr>
            <w:tcW w:w="855" w:type="dxa"/>
            <w:vAlign w:val="center"/>
          </w:tcPr>
          <w:p w14:paraId="332F65F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w:t>
            </w:r>
          </w:p>
        </w:tc>
        <w:tc>
          <w:tcPr>
            <w:tcW w:w="900" w:type="dxa"/>
            <w:vAlign w:val="center"/>
          </w:tcPr>
          <w:p w14:paraId="0A9A747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48911CA5">
            <w:pPr>
              <w:pStyle w:val="6"/>
              <w:spacing w:line="300" w:lineRule="exact"/>
              <w:ind w:left="210" w:leftChars="100"/>
              <w:rPr>
                <w:rFonts w:hint="eastAsia" w:ascii="宋体" w:hAnsi="宋体" w:eastAsia="宋体" w:cs="宋体"/>
                <w:b w:val="0"/>
                <w:bCs/>
                <w:color w:val="auto"/>
                <w:kern w:val="0"/>
                <w:lang w:eastAsia="zh-CN"/>
              </w:rPr>
            </w:pPr>
            <w:r>
              <w:rPr>
                <w:rFonts w:hint="eastAsia" w:ascii="宋体" w:hAnsi="宋体" w:eastAsia="宋体" w:cs="宋体"/>
                <w:b w:val="0"/>
                <w:bCs/>
                <w:color w:val="auto"/>
              </w:rPr>
              <w:t>齿盘6齿，盘径约565mm,底座钢板热镀锌材质，厚度10mm,10#槽钢弯轨热镀锌双槽钢轨道，含钢板安装底座</w:t>
            </w:r>
            <w:r>
              <w:rPr>
                <w:rFonts w:hint="eastAsia" w:ascii="宋体" w:hAnsi="宋体" w:eastAsia="宋体" w:cs="宋体"/>
                <w:b w:val="0"/>
                <w:bCs/>
                <w:color w:val="auto"/>
                <w:lang w:eastAsia="zh-CN"/>
              </w:rPr>
              <w:t>。</w:t>
            </w:r>
          </w:p>
        </w:tc>
      </w:tr>
      <w:tr w14:paraId="18B0F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719958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2.5</w:t>
            </w:r>
          </w:p>
        </w:tc>
        <w:tc>
          <w:tcPr>
            <w:tcW w:w="1642" w:type="dxa"/>
            <w:vAlign w:val="center"/>
          </w:tcPr>
          <w:p w14:paraId="51D0A1D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羊不锈钢沥血池L=14米</w:t>
            </w:r>
          </w:p>
        </w:tc>
        <w:tc>
          <w:tcPr>
            <w:tcW w:w="1530" w:type="dxa"/>
            <w:vAlign w:val="center"/>
          </w:tcPr>
          <w:p w14:paraId="721506A2">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L=14M </w:t>
            </w:r>
          </w:p>
        </w:tc>
        <w:tc>
          <w:tcPr>
            <w:tcW w:w="855" w:type="dxa"/>
            <w:vAlign w:val="center"/>
          </w:tcPr>
          <w:p w14:paraId="1A44441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96C97A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69906D25">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不锈钢收集槽高度：300-500mm,宽度：500</w:t>
            </w:r>
            <w:r>
              <w:rPr>
                <w:rFonts w:hint="eastAsia" w:ascii="宋体" w:hAnsi="宋体" w:eastAsia="宋体" w:cs="宋体"/>
                <w:b w:val="0"/>
                <w:bCs/>
                <w:color w:val="auto"/>
                <w:sz w:val="24"/>
                <w:szCs w:val="21"/>
                <w:lang w:val="en-US" w:eastAsia="zh-CN"/>
              </w:rPr>
              <w:t>m</w:t>
            </w:r>
            <w:r>
              <w:rPr>
                <w:rFonts w:hint="eastAsia" w:ascii="宋体" w:hAnsi="宋体" w:eastAsia="宋体" w:cs="宋体"/>
                <w:b w:val="0"/>
                <w:bCs/>
                <w:color w:val="auto"/>
                <w:sz w:val="24"/>
                <w:szCs w:val="21"/>
              </w:rPr>
              <w:t>m长度约:14000mm血液收集管道接口：89mm</w:t>
            </w:r>
          </w:p>
        </w:tc>
      </w:tr>
      <w:tr w14:paraId="550CF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1D81A3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2.6</w:t>
            </w:r>
          </w:p>
        </w:tc>
        <w:tc>
          <w:tcPr>
            <w:tcW w:w="1642" w:type="dxa"/>
            <w:vAlign w:val="center"/>
          </w:tcPr>
          <w:p w14:paraId="4959E0A1">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羊放血吊链</w:t>
            </w:r>
          </w:p>
        </w:tc>
        <w:tc>
          <w:tcPr>
            <w:tcW w:w="1530" w:type="dxa"/>
            <w:vAlign w:val="center"/>
          </w:tcPr>
          <w:p w14:paraId="3EFF7B85">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KJL-500</w:t>
            </w:r>
          </w:p>
        </w:tc>
        <w:tc>
          <w:tcPr>
            <w:tcW w:w="855" w:type="dxa"/>
            <w:vAlign w:val="center"/>
          </w:tcPr>
          <w:p w14:paraId="2107124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40</w:t>
            </w:r>
          </w:p>
        </w:tc>
        <w:tc>
          <w:tcPr>
            <w:tcW w:w="900" w:type="dxa"/>
            <w:vAlign w:val="center"/>
          </w:tcPr>
          <w:p w14:paraId="50B5E80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件</w:t>
            </w:r>
          </w:p>
        </w:tc>
        <w:tc>
          <w:tcPr>
            <w:tcW w:w="3785" w:type="dxa"/>
            <w:vAlign w:val="center"/>
          </w:tcPr>
          <w:p w14:paraId="51E5BFA4">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采用φ32圆管制作，表面镀锌</w:t>
            </w:r>
          </w:p>
          <w:p w14:paraId="35F73763">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总长约500mm密扣型链条，采用加重G80起重设备专用材质</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8"/>
                <w:szCs w:val="28"/>
              </w:rPr>
              <w:t xml:space="preserve"> </w:t>
            </w:r>
          </w:p>
        </w:tc>
      </w:tr>
      <w:tr w14:paraId="49C83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0BEF4F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2.7</w:t>
            </w:r>
          </w:p>
        </w:tc>
        <w:tc>
          <w:tcPr>
            <w:tcW w:w="1642" w:type="dxa"/>
            <w:vAlign w:val="center"/>
          </w:tcPr>
          <w:p w14:paraId="09EC78B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前肢、胸部、后肢预剥站台（L=1.5米含爬梯）</w:t>
            </w:r>
          </w:p>
        </w:tc>
        <w:tc>
          <w:tcPr>
            <w:tcW w:w="1530" w:type="dxa"/>
            <w:vAlign w:val="center"/>
          </w:tcPr>
          <w:p w14:paraId="7A8246CB">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ZT=1500</w:t>
            </w:r>
          </w:p>
        </w:tc>
        <w:tc>
          <w:tcPr>
            <w:tcW w:w="855" w:type="dxa"/>
            <w:vAlign w:val="center"/>
          </w:tcPr>
          <w:p w14:paraId="7D8D98F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5</w:t>
            </w:r>
          </w:p>
        </w:tc>
        <w:tc>
          <w:tcPr>
            <w:tcW w:w="900" w:type="dxa"/>
            <w:vAlign w:val="center"/>
          </w:tcPr>
          <w:p w14:paraId="4EEA023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56BD95B9">
            <w:pPr>
              <w:pStyle w:val="13"/>
              <w:widowControl w:val="0"/>
              <w:spacing w:before="0" w:beforeAutospacing="0" w:after="0" w:afterAutospacing="0" w:line="300" w:lineRule="exact"/>
              <w:ind w:leftChars="100"/>
              <w:jc w:val="both"/>
              <w:rPr>
                <w:rFonts w:hint="eastAsia" w:ascii="宋体" w:hAnsi="宋体" w:eastAsia="宋体" w:cs="宋体"/>
                <w:b w:val="0"/>
                <w:bCs/>
                <w:color w:val="auto"/>
                <w:szCs w:val="21"/>
                <w:lang w:eastAsia="zh-CN"/>
              </w:rPr>
            </w:pPr>
            <w:r>
              <w:rPr>
                <w:rFonts w:hint="eastAsia" w:ascii="宋体" w:hAnsi="宋体" w:eastAsia="宋体" w:cs="宋体"/>
                <w:b w:val="0"/>
                <w:bCs/>
                <w:color w:val="auto"/>
                <w:kern w:val="2"/>
                <w:szCs w:val="21"/>
                <w:lang w:bidi="ar"/>
              </w:rPr>
              <w:t>不锈钢方管75*45*2</w:t>
            </w:r>
            <w:r>
              <w:rPr>
                <w:rFonts w:hint="eastAsia" w:ascii="宋体" w:hAnsi="宋体" w:eastAsia="宋体" w:cs="宋体"/>
                <w:b w:val="0"/>
                <w:bCs/>
                <w:color w:val="auto"/>
                <w:kern w:val="2"/>
                <w:szCs w:val="21"/>
                <w:lang w:val="en-US" w:eastAsia="zh-CN" w:bidi="ar"/>
              </w:rPr>
              <w:t>mm</w:t>
            </w:r>
            <w:r>
              <w:rPr>
                <w:rFonts w:hint="eastAsia" w:ascii="宋体" w:hAnsi="宋体" w:eastAsia="宋体" w:cs="宋体"/>
                <w:b w:val="0"/>
                <w:bCs/>
                <w:color w:val="auto"/>
                <w:kern w:val="2"/>
                <w:szCs w:val="21"/>
                <w:lang w:bidi="ar"/>
              </w:rPr>
              <w:t>、38*38*2mm制作</w:t>
            </w:r>
            <w:r>
              <w:rPr>
                <w:rFonts w:hint="eastAsia" w:ascii="宋体" w:hAnsi="宋体" w:eastAsia="宋体" w:cs="宋体"/>
                <w:b w:val="0"/>
                <w:bCs/>
                <w:color w:val="auto"/>
                <w:szCs w:val="21"/>
                <w:lang w:bidi="ar"/>
              </w:rPr>
              <w:t>框架不锈钢，尺寸：1500*1000mm，</w:t>
            </w:r>
            <w:r>
              <w:rPr>
                <w:rFonts w:hint="eastAsia" w:ascii="宋体" w:hAnsi="宋体" w:eastAsia="宋体" w:cs="宋体"/>
                <w:b w:val="0"/>
                <w:bCs/>
                <w:color w:val="auto"/>
                <w:lang w:bidi="ar"/>
              </w:rPr>
              <w:t>台面为厚度38mm绿色环保格栅</w:t>
            </w:r>
            <w:r>
              <w:rPr>
                <w:rFonts w:hint="eastAsia" w:ascii="宋体" w:hAnsi="宋体" w:eastAsia="宋体" w:cs="宋体"/>
                <w:b w:val="0"/>
                <w:bCs/>
                <w:color w:val="auto"/>
                <w:lang w:eastAsia="zh-CN" w:bidi="ar"/>
              </w:rPr>
              <w:t>；</w:t>
            </w:r>
          </w:p>
          <w:p w14:paraId="26074C82">
            <w:pPr>
              <w:spacing w:line="300" w:lineRule="exact"/>
              <w:ind w:leftChars="100"/>
              <w:rPr>
                <w:rFonts w:hint="eastAsia" w:ascii="宋体" w:hAnsi="宋体" w:eastAsia="宋体" w:cs="宋体"/>
                <w:b w:val="0"/>
                <w:bCs/>
                <w:color w:val="auto"/>
                <w:kern w:val="0"/>
                <w:sz w:val="24"/>
                <w:lang w:eastAsia="zh-CN" w:bidi="ar"/>
              </w:rPr>
            </w:pPr>
            <w:r>
              <w:rPr>
                <w:rFonts w:hint="eastAsia" w:ascii="宋体" w:hAnsi="宋体" w:eastAsia="宋体" w:cs="宋体"/>
                <w:b w:val="0"/>
                <w:bCs/>
                <w:color w:val="auto"/>
                <w:kern w:val="0"/>
                <w:sz w:val="24"/>
                <w:lang w:bidi="ar"/>
              </w:rPr>
              <w:t>不锈钢φ32*2mm圆管护栏</w:t>
            </w:r>
            <w:r>
              <w:rPr>
                <w:rFonts w:hint="eastAsia" w:ascii="宋体" w:hAnsi="宋体" w:eastAsia="宋体" w:cs="宋体"/>
                <w:b w:val="0"/>
                <w:bCs/>
                <w:color w:val="auto"/>
                <w:kern w:val="0"/>
                <w:sz w:val="24"/>
                <w:lang w:eastAsia="zh-CN" w:bidi="ar"/>
              </w:rPr>
              <w:t>；</w:t>
            </w:r>
          </w:p>
          <w:p w14:paraId="2F7189BE">
            <w:pPr>
              <w:spacing w:line="300" w:lineRule="exact"/>
              <w:ind w:leftChars="100"/>
              <w:rPr>
                <w:rFonts w:hint="eastAsia" w:ascii="宋体" w:hAnsi="宋体" w:eastAsia="宋体" w:cs="宋体"/>
                <w:b w:val="0"/>
                <w:bCs/>
                <w:color w:val="auto"/>
                <w:kern w:val="0"/>
                <w:sz w:val="24"/>
                <w:lang w:eastAsia="zh-CN" w:bidi="ar"/>
              </w:rPr>
            </w:pPr>
            <w:r>
              <w:rPr>
                <w:rFonts w:hint="eastAsia" w:ascii="宋体" w:hAnsi="宋体" w:eastAsia="宋体" w:cs="宋体"/>
                <w:b w:val="0"/>
                <w:bCs/>
                <w:color w:val="auto"/>
                <w:kern w:val="0"/>
                <w:sz w:val="24"/>
                <w:lang w:eastAsia="zh-CN" w:bidi="ar"/>
              </w:rPr>
              <w:t>含爬梯、扶手</w:t>
            </w:r>
          </w:p>
        </w:tc>
      </w:tr>
      <w:tr w14:paraId="59715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B27220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2.8</w:t>
            </w:r>
          </w:p>
        </w:tc>
        <w:tc>
          <w:tcPr>
            <w:tcW w:w="1642" w:type="dxa"/>
            <w:vAlign w:val="center"/>
          </w:tcPr>
          <w:p w14:paraId="1CAFE2B0">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气动落羊器</w:t>
            </w:r>
          </w:p>
        </w:tc>
        <w:tc>
          <w:tcPr>
            <w:tcW w:w="1530" w:type="dxa"/>
            <w:vAlign w:val="center"/>
          </w:tcPr>
          <w:p w14:paraId="103E0F73">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LZQ-300</w:t>
            </w:r>
          </w:p>
        </w:tc>
        <w:tc>
          <w:tcPr>
            <w:tcW w:w="855" w:type="dxa"/>
            <w:vAlign w:val="center"/>
          </w:tcPr>
          <w:p w14:paraId="060EF29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8D7300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020D5B06">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rPr>
              <w:t>直径φ100*4圆管制作。</w:t>
            </w:r>
            <w:r>
              <w:rPr>
                <w:rFonts w:hint="eastAsia" w:ascii="宋体" w:hAnsi="宋体" w:eastAsia="宋体" w:cs="宋体"/>
                <w:b w:val="0"/>
                <w:bCs/>
                <w:color w:val="auto"/>
              </w:rPr>
              <w:t>所有气动元件为标准件。包括：</w:t>
            </w:r>
            <w:r>
              <w:rPr>
                <w:rFonts w:hint="eastAsia" w:ascii="宋体" w:hAnsi="宋体" w:eastAsia="宋体" w:cs="宋体"/>
                <w:b w:val="0"/>
                <w:bCs/>
                <w:color w:val="auto"/>
                <w:sz w:val="24"/>
                <w:szCs w:val="21"/>
              </w:rPr>
              <w:t>热镀锌机架</w:t>
            </w:r>
            <w:r>
              <w:rPr>
                <w:rFonts w:hint="eastAsia" w:ascii="宋体" w:hAnsi="宋体" w:eastAsia="宋体" w:cs="宋体"/>
                <w:b w:val="0"/>
                <w:bCs/>
                <w:color w:val="auto"/>
                <w:sz w:val="24"/>
                <w:szCs w:val="21"/>
                <w:lang w:eastAsia="zh-CN"/>
              </w:rPr>
              <w:t>；</w:t>
            </w:r>
          </w:p>
          <w:p w14:paraId="68809F65">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SC铝合金标准汽缸行程</w:t>
            </w:r>
            <w:r>
              <w:rPr>
                <w:rFonts w:hint="eastAsia" w:ascii="宋体" w:hAnsi="宋体" w:eastAsia="宋体" w:cs="宋体"/>
                <w:b w:val="0"/>
                <w:bCs/>
                <w:color w:val="auto"/>
                <w:sz w:val="24"/>
                <w:szCs w:val="21"/>
                <w:lang w:eastAsia="zh-CN"/>
              </w:rPr>
              <w:t>。</w:t>
            </w:r>
          </w:p>
        </w:tc>
      </w:tr>
      <w:tr w14:paraId="251E1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3274B3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2.9</w:t>
            </w:r>
          </w:p>
        </w:tc>
        <w:tc>
          <w:tcPr>
            <w:tcW w:w="1642" w:type="dxa"/>
            <w:vAlign w:val="center"/>
          </w:tcPr>
          <w:p w14:paraId="73EA02B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不锈钢羊烫毛池</w:t>
            </w:r>
          </w:p>
        </w:tc>
        <w:tc>
          <w:tcPr>
            <w:tcW w:w="1530" w:type="dxa"/>
            <w:vAlign w:val="center"/>
          </w:tcPr>
          <w:p w14:paraId="797A211C">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TC-4000</w:t>
            </w:r>
          </w:p>
        </w:tc>
        <w:tc>
          <w:tcPr>
            <w:tcW w:w="855" w:type="dxa"/>
            <w:vAlign w:val="center"/>
          </w:tcPr>
          <w:p w14:paraId="2833D2F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35BAEB7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594D07C5">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不锈钢结构，双层保温，材质不锈钢304</w:t>
            </w:r>
            <w:r>
              <w:rPr>
                <w:rFonts w:hint="eastAsia" w:ascii="宋体" w:hAnsi="宋体" w:eastAsia="宋体" w:cs="宋体"/>
                <w:b w:val="0"/>
                <w:bCs/>
                <w:color w:val="auto"/>
                <w:sz w:val="24"/>
                <w:szCs w:val="21"/>
                <w:lang w:eastAsia="zh-CN"/>
              </w:rPr>
              <w:t>；</w:t>
            </w:r>
          </w:p>
          <w:p w14:paraId="53B590E7">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内部2.5mm不锈钢板，外部1.0尺寸：4000*1660*700</w:t>
            </w:r>
          </w:p>
          <w:p w14:paraId="63C1A2F1">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排水接口：直径89mm*3不锈钢管</w:t>
            </w:r>
            <w:r>
              <w:rPr>
                <w:rFonts w:hint="eastAsia" w:ascii="宋体" w:hAnsi="宋体" w:eastAsia="宋体" w:cs="宋体"/>
                <w:b w:val="0"/>
                <w:bCs/>
                <w:color w:val="auto"/>
                <w:sz w:val="24"/>
                <w:szCs w:val="21"/>
                <w:lang w:eastAsia="zh-CN"/>
              </w:rPr>
              <w:t>。</w:t>
            </w:r>
          </w:p>
        </w:tc>
      </w:tr>
      <w:tr w14:paraId="1B0CE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EF051D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2.10</w:t>
            </w:r>
          </w:p>
        </w:tc>
        <w:tc>
          <w:tcPr>
            <w:tcW w:w="1642" w:type="dxa"/>
            <w:vAlign w:val="center"/>
          </w:tcPr>
          <w:p w14:paraId="1AC5740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羊液压打毛机</w:t>
            </w:r>
          </w:p>
        </w:tc>
        <w:tc>
          <w:tcPr>
            <w:tcW w:w="1530" w:type="dxa"/>
            <w:vAlign w:val="center"/>
          </w:tcPr>
          <w:p w14:paraId="79154E13">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YBMJ-1</w:t>
            </w:r>
          </w:p>
        </w:tc>
        <w:tc>
          <w:tcPr>
            <w:tcW w:w="855" w:type="dxa"/>
            <w:vAlign w:val="center"/>
          </w:tcPr>
          <w:p w14:paraId="4860857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5E352C6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18D2415D">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szCs w:val="21"/>
              </w:rPr>
              <w:t>机架采用63角钢制作，热镀锌材质</w:t>
            </w:r>
            <w:r>
              <w:rPr>
                <w:rFonts w:hint="eastAsia" w:ascii="宋体" w:hAnsi="宋体" w:eastAsia="宋体" w:cs="宋体"/>
                <w:b w:val="0"/>
                <w:bCs/>
                <w:color w:val="auto"/>
                <w:sz w:val="24"/>
                <w:szCs w:val="21"/>
                <w:lang w:eastAsia="zh-CN"/>
              </w:rPr>
              <w:t>；</w:t>
            </w:r>
          </w:p>
          <w:p w14:paraId="06CE8A20">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szCs w:val="21"/>
              </w:rPr>
              <w:t>外壳不锈钢板1.2Mm,尺寸：2300*1300*1500mm</w:t>
            </w:r>
          </w:p>
          <w:p w14:paraId="1EEBF4F1">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电机功率7.5KW+液压系统4KW</w:t>
            </w:r>
          </w:p>
        </w:tc>
      </w:tr>
      <w:tr w14:paraId="18FB5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A08619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2.11</w:t>
            </w:r>
          </w:p>
        </w:tc>
        <w:tc>
          <w:tcPr>
            <w:tcW w:w="1642" w:type="dxa"/>
            <w:vAlign w:val="center"/>
          </w:tcPr>
          <w:p w14:paraId="1BEB66B1">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不锈钢清水降温池</w:t>
            </w:r>
          </w:p>
        </w:tc>
        <w:tc>
          <w:tcPr>
            <w:tcW w:w="1530" w:type="dxa"/>
            <w:vAlign w:val="center"/>
          </w:tcPr>
          <w:p w14:paraId="46B202B9">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L=5M </w:t>
            </w:r>
          </w:p>
        </w:tc>
        <w:tc>
          <w:tcPr>
            <w:tcW w:w="855" w:type="dxa"/>
            <w:vAlign w:val="center"/>
          </w:tcPr>
          <w:p w14:paraId="592FDE4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0AC85AA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2A0780AB">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主框架采用48*60方管制作</w:t>
            </w:r>
          </w:p>
          <w:p w14:paraId="4E25B8F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szCs w:val="21"/>
              </w:rPr>
              <w:t>内部2.5不锈钢，外部不锈钢板1.0Mpm</w:t>
            </w:r>
          </w:p>
          <w:p w14:paraId="09FF7A68">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尺寸：L=5M,</w:t>
            </w:r>
          </w:p>
          <w:p w14:paraId="60D9368B">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排水接口：直径89mm*3不锈钢管</w:t>
            </w:r>
          </w:p>
        </w:tc>
      </w:tr>
      <w:tr w14:paraId="5D217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A94364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2.12</w:t>
            </w:r>
          </w:p>
        </w:tc>
        <w:tc>
          <w:tcPr>
            <w:tcW w:w="1642" w:type="dxa"/>
            <w:vAlign w:val="center"/>
          </w:tcPr>
          <w:p w14:paraId="131CF7BE">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羊提升机</w:t>
            </w:r>
          </w:p>
        </w:tc>
        <w:tc>
          <w:tcPr>
            <w:tcW w:w="1530" w:type="dxa"/>
            <w:vAlign w:val="center"/>
          </w:tcPr>
          <w:p w14:paraId="4BD57DFC">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TSJ-1200</w:t>
            </w:r>
          </w:p>
        </w:tc>
        <w:tc>
          <w:tcPr>
            <w:tcW w:w="855" w:type="dxa"/>
            <w:vAlign w:val="center"/>
          </w:tcPr>
          <w:p w14:paraId="654DDF5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5A46D00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3C4C4E3A">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 xml:space="preserve">整机热镀锌。装机功率：1.5kw包括：1套驱动装置，含电机皮带皮带轮1套张紧装置，机械式丝杆涨紧 角钢轨道热镀锌40*40*4mm  </w:t>
            </w:r>
          </w:p>
        </w:tc>
      </w:tr>
      <w:tr w14:paraId="4C0C2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8A2203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2.13</w:t>
            </w:r>
          </w:p>
        </w:tc>
        <w:tc>
          <w:tcPr>
            <w:tcW w:w="1642" w:type="dxa"/>
            <w:vAlign w:val="center"/>
          </w:tcPr>
          <w:p w14:paraId="210C3E4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羊换轨转挂操作站台（L=1.5米）</w:t>
            </w:r>
          </w:p>
        </w:tc>
        <w:tc>
          <w:tcPr>
            <w:tcW w:w="1530" w:type="dxa"/>
            <w:vAlign w:val="center"/>
          </w:tcPr>
          <w:p w14:paraId="21E75637">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ZT-1500</w:t>
            </w:r>
          </w:p>
        </w:tc>
        <w:tc>
          <w:tcPr>
            <w:tcW w:w="855" w:type="dxa"/>
            <w:vAlign w:val="center"/>
          </w:tcPr>
          <w:p w14:paraId="2357180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24FA22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5F85FC06">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框架75*45不锈钢方管制作，台面采用绿色环保无毒塑料网格。</w:t>
            </w:r>
          </w:p>
          <w:p w14:paraId="58E8BD32">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站台尺寸1500*900*750mm,台面为厚度38mm绿色环保格栅不锈钢φ32*2mm圆管护栏,含不锈钢爬梯</w:t>
            </w:r>
            <w:r>
              <w:rPr>
                <w:rFonts w:hint="eastAsia" w:ascii="宋体" w:hAnsi="宋体" w:eastAsia="宋体" w:cs="宋体"/>
                <w:b w:val="0"/>
                <w:bCs/>
                <w:color w:val="auto"/>
                <w:sz w:val="24"/>
              </w:rPr>
              <w:t xml:space="preserve"> </w:t>
            </w:r>
            <w:r>
              <w:rPr>
                <w:rFonts w:hint="eastAsia" w:ascii="宋体" w:hAnsi="宋体" w:eastAsia="宋体" w:cs="宋体"/>
                <w:b w:val="0"/>
                <w:bCs/>
                <w:color w:val="auto"/>
                <w:sz w:val="24"/>
                <w:lang w:eastAsia="zh-CN"/>
              </w:rPr>
              <w:t>。</w:t>
            </w:r>
          </w:p>
        </w:tc>
      </w:tr>
      <w:tr w14:paraId="1F1BC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BB5E8F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2.14</w:t>
            </w:r>
          </w:p>
        </w:tc>
        <w:tc>
          <w:tcPr>
            <w:tcW w:w="1642" w:type="dxa"/>
            <w:vAlign w:val="center"/>
          </w:tcPr>
          <w:p w14:paraId="4CBC1A7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羊预剥、去头去蹄、提升后</w:t>
            </w:r>
          </w:p>
          <w:p w14:paraId="547351D0">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双轨手推线</w:t>
            </w:r>
          </w:p>
        </w:tc>
        <w:tc>
          <w:tcPr>
            <w:tcW w:w="1530" w:type="dxa"/>
            <w:vAlign w:val="center"/>
          </w:tcPr>
          <w:p w14:paraId="0F16BDC9">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STGD-600</w:t>
            </w:r>
          </w:p>
        </w:tc>
        <w:tc>
          <w:tcPr>
            <w:tcW w:w="855" w:type="dxa"/>
            <w:vAlign w:val="center"/>
          </w:tcPr>
          <w:p w14:paraId="2EC71A9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55</w:t>
            </w:r>
          </w:p>
        </w:tc>
        <w:tc>
          <w:tcPr>
            <w:tcW w:w="900" w:type="dxa"/>
            <w:vAlign w:val="center"/>
          </w:tcPr>
          <w:p w14:paraId="72CC347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579E41F7">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回空轨道线为40*40*4角铁轨道，精铸钢轨道吊架</w:t>
            </w:r>
            <w:r>
              <w:rPr>
                <w:rFonts w:hint="eastAsia" w:ascii="宋体" w:hAnsi="宋体" w:eastAsia="宋体" w:cs="宋体"/>
                <w:b w:val="0"/>
                <w:bCs/>
                <w:color w:val="auto"/>
                <w:sz w:val="24"/>
                <w:szCs w:val="21"/>
                <w:lang w:eastAsia="zh-CN"/>
              </w:rPr>
              <w:t>；</w:t>
            </w:r>
          </w:p>
          <w:p w14:paraId="2AB5E156">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热镀锌弯轨，精铸钢活动道岔热镀锌10#工字钢二次钢梁</w:t>
            </w:r>
            <w:r>
              <w:rPr>
                <w:rFonts w:hint="eastAsia" w:ascii="宋体" w:hAnsi="宋体" w:eastAsia="宋体" w:cs="宋体"/>
                <w:b w:val="0"/>
                <w:bCs/>
                <w:color w:val="auto"/>
                <w:sz w:val="24"/>
                <w:szCs w:val="21"/>
                <w:lang w:eastAsia="zh-CN"/>
              </w:rPr>
              <w:t>；</w:t>
            </w:r>
          </w:p>
          <w:p w14:paraId="03F00259">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所需的轨道镀锌紧固件（铸钢吊架、弯轨、铸钢道岔）</w:t>
            </w:r>
            <w:r>
              <w:rPr>
                <w:rFonts w:hint="eastAsia" w:ascii="宋体" w:hAnsi="宋体" w:eastAsia="宋体" w:cs="宋体"/>
                <w:b w:val="0"/>
                <w:bCs/>
                <w:color w:val="auto"/>
                <w:sz w:val="24"/>
                <w:szCs w:val="21"/>
                <w:lang w:eastAsia="zh-CN"/>
              </w:rPr>
              <w:t>；</w:t>
            </w:r>
          </w:p>
          <w:p w14:paraId="0DDF7750">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热镀锌轨道吊架，吊架间距为600-800mm</w:t>
            </w:r>
            <w:r>
              <w:rPr>
                <w:rFonts w:hint="eastAsia" w:ascii="宋体" w:hAnsi="宋体" w:eastAsia="宋体" w:cs="宋体"/>
                <w:b w:val="0"/>
                <w:bCs/>
                <w:color w:val="auto"/>
                <w:sz w:val="24"/>
                <w:szCs w:val="21"/>
                <w:lang w:eastAsia="zh-CN"/>
              </w:rPr>
              <w:t>。</w:t>
            </w:r>
          </w:p>
        </w:tc>
      </w:tr>
      <w:tr w14:paraId="0BDBC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5372CF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2.15</w:t>
            </w:r>
          </w:p>
        </w:tc>
        <w:tc>
          <w:tcPr>
            <w:tcW w:w="1642" w:type="dxa"/>
            <w:vAlign w:val="center"/>
          </w:tcPr>
          <w:p w14:paraId="425F77C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仿欧式羊胴体加工自动线</w:t>
            </w:r>
          </w:p>
        </w:tc>
        <w:tc>
          <w:tcPr>
            <w:tcW w:w="1530" w:type="dxa"/>
            <w:vAlign w:val="center"/>
          </w:tcPr>
          <w:p w14:paraId="4460C1BC">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FOGD-80</w:t>
            </w:r>
          </w:p>
        </w:tc>
        <w:tc>
          <w:tcPr>
            <w:tcW w:w="855" w:type="dxa"/>
            <w:vAlign w:val="center"/>
          </w:tcPr>
          <w:p w14:paraId="54B6E11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35</w:t>
            </w:r>
          </w:p>
        </w:tc>
        <w:tc>
          <w:tcPr>
            <w:tcW w:w="900" w:type="dxa"/>
            <w:vAlign w:val="center"/>
          </w:tcPr>
          <w:p w14:paraId="240BBC1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0916180E">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rPr>
              <w:t>输送轨道采用8#双槽钢制作,</w:t>
            </w:r>
            <w:r>
              <w:rPr>
                <w:rFonts w:hint="eastAsia" w:ascii="宋体" w:hAnsi="宋体" w:eastAsia="宋体" w:cs="宋体"/>
                <w:b w:val="0"/>
                <w:bCs/>
                <w:color w:val="auto"/>
                <w:sz w:val="24"/>
                <w:szCs w:val="21"/>
              </w:rPr>
              <w:t>采用特质镀锌链条，万向调节,1套驱动装置；</w:t>
            </w:r>
          </w:p>
          <w:p w14:paraId="11155A93">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变频调速，热镀锌框架,1套气囊张紧，即气囊自动张紧,35米输送链条，高分子MC耐磨行走轮，方钢活动连接块，锰钢材质链片，特质推板推头,热镀锌紧固材料连接件,挂羊间距：1000mm气动元件为标准件装机功率：3kw</w:t>
            </w:r>
          </w:p>
        </w:tc>
      </w:tr>
      <w:tr w14:paraId="0F64A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1BAA26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2.16</w:t>
            </w:r>
          </w:p>
        </w:tc>
        <w:tc>
          <w:tcPr>
            <w:tcW w:w="1642" w:type="dxa"/>
            <w:vAlign w:val="center"/>
          </w:tcPr>
          <w:p w14:paraId="217D7189">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驱动装置</w:t>
            </w:r>
          </w:p>
        </w:tc>
        <w:tc>
          <w:tcPr>
            <w:tcW w:w="1530" w:type="dxa"/>
            <w:vAlign w:val="center"/>
          </w:tcPr>
          <w:p w14:paraId="100C50A2">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QD-80 </w:t>
            </w:r>
          </w:p>
        </w:tc>
        <w:tc>
          <w:tcPr>
            <w:tcW w:w="855" w:type="dxa"/>
            <w:vAlign w:val="center"/>
          </w:tcPr>
          <w:p w14:paraId="4215A63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4A72765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11B85558">
            <w:pPr>
              <w:pStyle w:val="6"/>
              <w:spacing w:line="300" w:lineRule="exact"/>
              <w:ind w:left="210" w:leftChars="100"/>
              <w:rPr>
                <w:rFonts w:hint="eastAsia" w:ascii="宋体" w:hAnsi="宋体" w:eastAsia="宋体" w:cs="宋体"/>
                <w:b w:val="0"/>
                <w:bCs/>
                <w:color w:val="auto"/>
                <w:lang w:eastAsia="zh-CN"/>
              </w:rPr>
            </w:pPr>
            <w:r>
              <w:rPr>
                <w:rFonts w:hint="eastAsia" w:ascii="宋体" w:hAnsi="宋体" w:eastAsia="宋体" w:cs="宋体"/>
                <w:b w:val="0"/>
                <w:bCs/>
                <w:color w:val="auto"/>
              </w:rPr>
              <w:t>齿盘8齿，盘径约φ642mm</w:t>
            </w:r>
            <w:r>
              <w:rPr>
                <w:rFonts w:hint="eastAsia" w:ascii="宋体" w:hAnsi="宋体" w:eastAsia="宋体" w:cs="宋体"/>
                <w:b w:val="0"/>
                <w:bCs/>
                <w:color w:val="auto"/>
                <w:lang w:eastAsia="zh-CN"/>
              </w:rPr>
              <w:t>；</w:t>
            </w:r>
          </w:p>
          <w:p w14:paraId="4B03CE60">
            <w:pPr>
              <w:pStyle w:val="6"/>
              <w:spacing w:line="300" w:lineRule="exact"/>
              <w:ind w:left="210" w:leftChars="100"/>
              <w:rPr>
                <w:rFonts w:hint="eastAsia" w:ascii="宋体" w:hAnsi="宋体" w:eastAsia="宋体" w:cs="宋体"/>
                <w:b w:val="0"/>
                <w:bCs/>
                <w:color w:val="auto"/>
                <w:lang w:eastAsia="zh-CN"/>
              </w:rPr>
            </w:pPr>
            <w:r>
              <w:rPr>
                <w:rFonts w:hint="eastAsia" w:ascii="宋体" w:hAnsi="宋体" w:eastAsia="宋体" w:cs="宋体"/>
                <w:b w:val="0"/>
                <w:bCs/>
                <w:color w:val="auto"/>
              </w:rPr>
              <w:t>底座钢板热镀锌材质，厚度10mm，8#槽钢弯轨</w:t>
            </w:r>
            <w:r>
              <w:rPr>
                <w:rFonts w:hint="eastAsia" w:ascii="宋体" w:hAnsi="宋体" w:eastAsia="宋体" w:cs="宋体"/>
                <w:b w:val="0"/>
                <w:bCs/>
                <w:color w:val="auto"/>
                <w:lang w:eastAsia="zh-CN"/>
              </w:rPr>
              <w:t>；</w:t>
            </w:r>
          </w:p>
          <w:p w14:paraId="2AFA50A4">
            <w:pPr>
              <w:pStyle w:val="6"/>
              <w:spacing w:line="300" w:lineRule="exact"/>
              <w:ind w:left="210" w:leftChars="100"/>
              <w:rPr>
                <w:rFonts w:hint="eastAsia" w:ascii="宋体" w:hAnsi="宋体" w:eastAsia="宋体" w:cs="宋体"/>
                <w:b w:val="0"/>
                <w:bCs/>
                <w:color w:val="auto"/>
                <w:lang w:eastAsia="zh-CN"/>
              </w:rPr>
            </w:pPr>
            <w:r>
              <w:rPr>
                <w:rFonts w:hint="eastAsia" w:ascii="宋体" w:hAnsi="宋体" w:eastAsia="宋体" w:cs="宋体"/>
                <w:b w:val="0"/>
                <w:bCs/>
                <w:color w:val="auto"/>
              </w:rPr>
              <w:t>电机功率3Kw，热镀锌双槽钢钢板安装底座</w:t>
            </w:r>
            <w:r>
              <w:rPr>
                <w:rFonts w:hint="eastAsia" w:ascii="宋体" w:hAnsi="宋体" w:eastAsia="宋体" w:cs="宋体"/>
                <w:b w:val="0"/>
                <w:bCs/>
                <w:color w:val="auto"/>
                <w:lang w:eastAsia="zh-CN"/>
              </w:rPr>
              <w:t>；</w:t>
            </w:r>
          </w:p>
          <w:p w14:paraId="0C128B4C">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特质速比摆线针轮减速机</w:t>
            </w:r>
            <w:r>
              <w:rPr>
                <w:rFonts w:hint="eastAsia" w:ascii="宋体" w:hAnsi="宋体" w:eastAsia="宋体" w:cs="宋体"/>
                <w:b w:val="0"/>
                <w:bCs/>
                <w:color w:val="auto"/>
                <w:sz w:val="24"/>
                <w:szCs w:val="21"/>
                <w:lang w:eastAsia="zh-CN"/>
              </w:rPr>
              <w:t>。</w:t>
            </w:r>
          </w:p>
        </w:tc>
      </w:tr>
      <w:tr w14:paraId="244FB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2D180CF">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2.17</w:t>
            </w:r>
          </w:p>
        </w:tc>
        <w:tc>
          <w:tcPr>
            <w:tcW w:w="1642" w:type="dxa"/>
            <w:vAlign w:val="center"/>
          </w:tcPr>
          <w:p w14:paraId="3ED873D9">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rPr>
              <w:t>气囊</w:t>
            </w:r>
            <w:r>
              <w:rPr>
                <w:rFonts w:hint="eastAsia" w:ascii="宋体" w:hAnsi="宋体" w:eastAsia="宋体" w:cs="宋体"/>
                <w:b w:val="0"/>
                <w:bCs/>
                <w:color w:val="auto"/>
                <w:kern w:val="0"/>
                <w:sz w:val="24"/>
                <w:szCs w:val="21"/>
                <w:lang w:eastAsia="zh-CN"/>
              </w:rPr>
              <w:t>张紧装置</w:t>
            </w:r>
          </w:p>
        </w:tc>
        <w:tc>
          <w:tcPr>
            <w:tcW w:w="1530" w:type="dxa"/>
            <w:vAlign w:val="center"/>
          </w:tcPr>
          <w:p w14:paraId="4F608DC5">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QNZH -80</w:t>
            </w:r>
          </w:p>
        </w:tc>
        <w:tc>
          <w:tcPr>
            <w:tcW w:w="855" w:type="dxa"/>
            <w:vAlign w:val="center"/>
          </w:tcPr>
          <w:p w14:paraId="4274C15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4E71BE6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211BD130">
            <w:pPr>
              <w:pStyle w:val="6"/>
              <w:spacing w:line="300" w:lineRule="exact"/>
              <w:ind w:left="210" w:leftChars="100"/>
              <w:rPr>
                <w:rFonts w:hint="eastAsia" w:ascii="宋体" w:hAnsi="宋体" w:eastAsia="宋体" w:cs="宋体"/>
                <w:b w:val="0"/>
                <w:bCs/>
                <w:color w:val="auto"/>
                <w:lang w:eastAsia="zh-CN"/>
              </w:rPr>
            </w:pPr>
            <w:r>
              <w:rPr>
                <w:rFonts w:hint="eastAsia" w:ascii="宋体" w:hAnsi="宋体" w:eastAsia="宋体" w:cs="宋体"/>
                <w:b w:val="0"/>
                <w:bCs/>
                <w:color w:val="auto"/>
              </w:rPr>
              <w:t>齿盘8齿，盘径约φ642mm</w:t>
            </w:r>
            <w:r>
              <w:rPr>
                <w:rFonts w:hint="eastAsia" w:ascii="宋体" w:hAnsi="宋体" w:eastAsia="宋体" w:cs="宋体"/>
                <w:b w:val="0"/>
                <w:bCs/>
                <w:color w:val="auto"/>
                <w:lang w:eastAsia="zh-CN"/>
              </w:rPr>
              <w:t>；</w:t>
            </w:r>
          </w:p>
          <w:p w14:paraId="692A2549">
            <w:pPr>
              <w:pStyle w:val="6"/>
              <w:spacing w:line="300" w:lineRule="exact"/>
              <w:ind w:left="210" w:leftChars="100"/>
              <w:rPr>
                <w:rFonts w:hint="eastAsia" w:ascii="宋体" w:hAnsi="宋体" w:eastAsia="宋体" w:cs="宋体"/>
                <w:b w:val="0"/>
                <w:bCs/>
                <w:color w:val="auto"/>
                <w:lang w:eastAsia="zh-CN"/>
              </w:rPr>
            </w:pPr>
            <w:r>
              <w:rPr>
                <w:rFonts w:hint="eastAsia" w:ascii="宋体" w:hAnsi="宋体" w:eastAsia="宋体" w:cs="宋体"/>
                <w:b w:val="0"/>
                <w:bCs/>
                <w:color w:val="auto"/>
              </w:rPr>
              <w:t>底座钢板热镀锌材质，厚度10mm,8#槽钢弯轨</w:t>
            </w:r>
            <w:r>
              <w:rPr>
                <w:rFonts w:hint="eastAsia" w:ascii="宋体" w:hAnsi="宋体" w:eastAsia="宋体" w:cs="宋体"/>
                <w:b w:val="0"/>
                <w:bCs/>
                <w:color w:val="auto"/>
                <w:lang w:eastAsia="zh-CN"/>
              </w:rPr>
              <w:t>；</w:t>
            </w:r>
          </w:p>
          <w:p w14:paraId="69F14704">
            <w:pPr>
              <w:pStyle w:val="6"/>
              <w:spacing w:line="300" w:lineRule="exact"/>
              <w:ind w:left="210" w:leftChars="100"/>
              <w:rPr>
                <w:rFonts w:hint="eastAsia" w:ascii="宋体" w:hAnsi="宋体" w:eastAsia="宋体" w:cs="宋体"/>
                <w:b w:val="0"/>
                <w:bCs/>
                <w:color w:val="auto"/>
                <w:kern w:val="0"/>
                <w:lang w:eastAsia="zh-CN"/>
              </w:rPr>
            </w:pPr>
            <w:r>
              <w:rPr>
                <w:rFonts w:hint="eastAsia" w:ascii="宋体" w:hAnsi="宋体" w:eastAsia="宋体" w:cs="宋体"/>
                <w:b w:val="0"/>
                <w:bCs/>
                <w:color w:val="auto"/>
              </w:rPr>
              <w:t>热镀锌双槽钢轨道，含钢板安装底座</w:t>
            </w:r>
            <w:r>
              <w:rPr>
                <w:rFonts w:hint="eastAsia" w:ascii="宋体" w:hAnsi="宋体" w:eastAsia="宋体" w:cs="宋体"/>
                <w:b w:val="0"/>
                <w:bCs/>
                <w:color w:val="auto"/>
                <w:lang w:eastAsia="zh-CN"/>
              </w:rPr>
              <w:t>；</w:t>
            </w:r>
          </w:p>
          <w:p w14:paraId="7EB6AB97">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特质涨紧机架，耐磨尼龙涨紧滑道</w:t>
            </w:r>
            <w:r>
              <w:rPr>
                <w:rFonts w:hint="eastAsia" w:ascii="宋体" w:hAnsi="宋体" w:eastAsia="宋体" w:cs="宋体"/>
                <w:b w:val="0"/>
                <w:bCs/>
                <w:color w:val="auto"/>
                <w:kern w:val="0"/>
                <w:sz w:val="24"/>
              </w:rPr>
              <w:t>气囊式涨紧，涨紧行程150mm</w:t>
            </w:r>
          </w:p>
        </w:tc>
      </w:tr>
      <w:tr w14:paraId="410F2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E7C1C3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2.18</w:t>
            </w:r>
          </w:p>
        </w:tc>
        <w:tc>
          <w:tcPr>
            <w:tcW w:w="1642" w:type="dxa"/>
            <w:vAlign w:val="center"/>
          </w:tcPr>
          <w:p w14:paraId="1ECD899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羊液压扯皮机</w:t>
            </w:r>
          </w:p>
        </w:tc>
        <w:tc>
          <w:tcPr>
            <w:tcW w:w="1530" w:type="dxa"/>
            <w:vAlign w:val="center"/>
          </w:tcPr>
          <w:p w14:paraId="3AFB2849">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YCPJ-1200</w:t>
            </w:r>
          </w:p>
        </w:tc>
        <w:tc>
          <w:tcPr>
            <w:tcW w:w="855" w:type="dxa"/>
            <w:vAlign w:val="center"/>
          </w:tcPr>
          <w:p w14:paraId="51F8076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0A56186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41EF159B">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全不锈钢制作，主框架采用不锈钢方管制作</w:t>
            </w:r>
            <w:r>
              <w:rPr>
                <w:rFonts w:hint="eastAsia" w:ascii="宋体" w:hAnsi="宋体" w:eastAsia="宋体" w:cs="宋体"/>
                <w:b w:val="0"/>
                <w:bCs/>
                <w:color w:val="auto"/>
                <w:sz w:val="24"/>
                <w:szCs w:val="21"/>
                <w:lang w:eastAsia="zh-CN"/>
              </w:rPr>
              <w:t>；</w:t>
            </w:r>
          </w:p>
          <w:p w14:paraId="0B86811B">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升降采用不锈钢圆管制作，倾斜式扯皮装置，配合胴体自动线使用扯皮滚筒不锈钢，扯皮棒采用全不锈钢光圆制作</w:t>
            </w:r>
            <w:r>
              <w:rPr>
                <w:rFonts w:hint="eastAsia" w:ascii="宋体" w:hAnsi="宋体" w:eastAsia="宋体" w:cs="宋体"/>
                <w:b w:val="0"/>
                <w:bCs/>
                <w:color w:val="auto"/>
                <w:sz w:val="24"/>
                <w:szCs w:val="21"/>
                <w:lang w:eastAsia="zh-CN"/>
              </w:rPr>
              <w:t>；</w:t>
            </w:r>
          </w:p>
          <w:p w14:paraId="6C1AAE97">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电机功率2.2KW，含气缸</w:t>
            </w:r>
            <w:r>
              <w:rPr>
                <w:rFonts w:hint="eastAsia" w:ascii="宋体" w:hAnsi="宋体" w:eastAsia="宋体" w:cs="宋体"/>
                <w:b w:val="0"/>
                <w:bCs/>
                <w:color w:val="auto"/>
                <w:sz w:val="24"/>
                <w:szCs w:val="21"/>
                <w:lang w:eastAsia="zh-CN"/>
              </w:rPr>
              <w:t>。</w:t>
            </w:r>
          </w:p>
        </w:tc>
      </w:tr>
      <w:tr w14:paraId="4D4A4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93CAE9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2.19</w:t>
            </w:r>
          </w:p>
        </w:tc>
        <w:tc>
          <w:tcPr>
            <w:tcW w:w="1642" w:type="dxa"/>
            <w:vAlign w:val="center"/>
          </w:tcPr>
          <w:p w14:paraId="51B71B67">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羊胴体加工操作站台（L=1.5米）</w:t>
            </w:r>
          </w:p>
        </w:tc>
        <w:tc>
          <w:tcPr>
            <w:tcW w:w="1530" w:type="dxa"/>
            <w:vAlign w:val="center"/>
          </w:tcPr>
          <w:p w14:paraId="654F6365">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ZT-1500</w:t>
            </w:r>
          </w:p>
        </w:tc>
        <w:tc>
          <w:tcPr>
            <w:tcW w:w="855" w:type="dxa"/>
            <w:vAlign w:val="center"/>
          </w:tcPr>
          <w:p w14:paraId="1F333FB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8</w:t>
            </w:r>
          </w:p>
        </w:tc>
        <w:tc>
          <w:tcPr>
            <w:tcW w:w="900" w:type="dxa"/>
            <w:vAlign w:val="center"/>
          </w:tcPr>
          <w:p w14:paraId="1C7CBC3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0EDE90E0">
            <w:pPr>
              <w:pStyle w:val="6"/>
              <w:spacing w:line="300" w:lineRule="exact"/>
              <w:ind w:left="210" w:leftChars="100"/>
              <w:rPr>
                <w:rFonts w:hint="eastAsia" w:ascii="宋体" w:hAnsi="宋体" w:eastAsia="宋体" w:cs="宋体"/>
                <w:b w:val="0"/>
                <w:bCs/>
                <w:color w:val="auto"/>
              </w:rPr>
            </w:pPr>
            <w:r>
              <w:rPr>
                <w:rFonts w:hint="eastAsia" w:ascii="宋体" w:hAnsi="宋体" w:eastAsia="宋体" w:cs="宋体"/>
                <w:b w:val="0"/>
                <w:bCs/>
                <w:color w:val="auto"/>
              </w:rPr>
              <w:t>羊胴体加工自动线，开胸、去内脏、检疫修整等工位。</w:t>
            </w:r>
          </w:p>
          <w:p w14:paraId="65A54605">
            <w:pPr>
              <w:pStyle w:val="6"/>
              <w:spacing w:line="300" w:lineRule="exact"/>
              <w:ind w:left="210" w:leftChars="100"/>
              <w:rPr>
                <w:rFonts w:hint="eastAsia" w:ascii="宋体" w:hAnsi="宋体" w:eastAsia="宋体" w:cs="宋体"/>
                <w:b w:val="0"/>
                <w:bCs/>
                <w:color w:val="auto"/>
                <w:lang w:eastAsia="zh-CN"/>
              </w:rPr>
            </w:pPr>
            <w:r>
              <w:rPr>
                <w:rFonts w:hint="eastAsia" w:ascii="宋体" w:hAnsi="宋体" w:eastAsia="宋体" w:cs="宋体"/>
                <w:b w:val="0"/>
                <w:bCs/>
                <w:color w:val="auto"/>
              </w:rPr>
              <w:t>不锈钢方管75*45*2，38*38*2mm制作</w:t>
            </w:r>
            <w:r>
              <w:rPr>
                <w:rFonts w:hint="eastAsia" w:ascii="宋体" w:hAnsi="宋体" w:eastAsia="宋体" w:cs="宋体"/>
                <w:b w:val="0"/>
                <w:bCs/>
                <w:color w:val="auto"/>
                <w:lang w:eastAsia="zh-CN"/>
              </w:rPr>
              <w:t>；</w:t>
            </w:r>
          </w:p>
          <w:p w14:paraId="69E96F4B">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框架不锈钢，尺寸：1500*1000mm</w:t>
            </w:r>
            <w:r>
              <w:rPr>
                <w:rFonts w:hint="eastAsia" w:ascii="宋体" w:hAnsi="宋体" w:eastAsia="宋体" w:cs="宋体"/>
                <w:b w:val="0"/>
                <w:bCs/>
                <w:color w:val="auto"/>
                <w:kern w:val="0"/>
                <w:sz w:val="24"/>
              </w:rPr>
              <w:t>不锈钢φ32*2mm圆管护栏，台面为厚度38mm绿色环保格栅</w:t>
            </w:r>
            <w:r>
              <w:rPr>
                <w:rFonts w:hint="eastAsia" w:ascii="宋体" w:hAnsi="宋体" w:eastAsia="宋体" w:cs="宋体"/>
                <w:b w:val="0"/>
                <w:bCs/>
                <w:color w:val="auto"/>
                <w:kern w:val="0"/>
                <w:sz w:val="24"/>
                <w:lang w:eastAsia="zh-CN"/>
              </w:rPr>
              <w:t>。</w:t>
            </w:r>
          </w:p>
        </w:tc>
      </w:tr>
      <w:tr w14:paraId="46AC0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8ABAB0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2.20</w:t>
            </w:r>
          </w:p>
        </w:tc>
        <w:tc>
          <w:tcPr>
            <w:tcW w:w="1642" w:type="dxa"/>
            <w:vAlign w:val="center"/>
          </w:tcPr>
          <w:p w14:paraId="1793A8CB">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羊内脏同步检疫输送机18盘式</w:t>
            </w:r>
          </w:p>
        </w:tc>
        <w:tc>
          <w:tcPr>
            <w:tcW w:w="1530" w:type="dxa"/>
            <w:vAlign w:val="center"/>
          </w:tcPr>
          <w:p w14:paraId="5F0E1E35">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TBSJ-100</w:t>
            </w:r>
          </w:p>
        </w:tc>
        <w:tc>
          <w:tcPr>
            <w:tcW w:w="855" w:type="dxa"/>
            <w:vAlign w:val="center"/>
          </w:tcPr>
          <w:p w14:paraId="16C5613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08202BA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6B8976C5">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驱动、张紧装置，轨道、链条、滑架均为普材热镀锌</w:t>
            </w:r>
            <w:r>
              <w:rPr>
                <w:rFonts w:hint="eastAsia" w:ascii="宋体" w:hAnsi="宋体" w:eastAsia="宋体" w:cs="宋体"/>
                <w:b w:val="0"/>
                <w:bCs/>
                <w:color w:val="auto"/>
                <w:sz w:val="24"/>
                <w:szCs w:val="21"/>
                <w:lang w:eastAsia="zh-CN"/>
              </w:rPr>
              <w:t>；</w:t>
            </w:r>
          </w:p>
          <w:p w14:paraId="28C3AF70">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卫检盘及挂钩均为不锈钢。带红内脏自动脱钩和白内脏自动翻盘装置</w:t>
            </w:r>
            <w:r>
              <w:rPr>
                <w:rFonts w:hint="eastAsia" w:ascii="宋体" w:hAnsi="宋体" w:eastAsia="宋体" w:cs="宋体"/>
                <w:b w:val="0"/>
                <w:bCs/>
                <w:color w:val="auto"/>
                <w:sz w:val="24"/>
                <w:szCs w:val="21"/>
                <w:lang w:eastAsia="zh-CN"/>
              </w:rPr>
              <w:t>；</w:t>
            </w:r>
          </w:p>
          <w:p w14:paraId="073AF025">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18盘式，盘距：1000mm</w:t>
            </w:r>
            <w:r>
              <w:rPr>
                <w:rFonts w:hint="eastAsia" w:ascii="宋体" w:hAnsi="宋体" w:eastAsia="宋体" w:cs="宋体"/>
                <w:b w:val="0"/>
                <w:bCs/>
                <w:color w:val="auto"/>
                <w:sz w:val="24"/>
                <w:szCs w:val="21"/>
                <w:lang w:eastAsia="zh-CN"/>
              </w:rPr>
              <w:t>；</w:t>
            </w:r>
          </w:p>
          <w:p w14:paraId="32D54849">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装机功率：3kw 变频调速</w:t>
            </w:r>
            <w:r>
              <w:rPr>
                <w:rFonts w:hint="eastAsia" w:ascii="宋体" w:hAnsi="宋体" w:eastAsia="宋体" w:cs="宋体"/>
                <w:b w:val="0"/>
                <w:bCs/>
                <w:color w:val="auto"/>
                <w:sz w:val="24"/>
                <w:szCs w:val="21"/>
                <w:lang w:eastAsia="zh-CN"/>
              </w:rPr>
              <w:t>。</w:t>
            </w:r>
          </w:p>
        </w:tc>
      </w:tr>
      <w:tr w14:paraId="10467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443A66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2.21</w:t>
            </w:r>
          </w:p>
        </w:tc>
        <w:tc>
          <w:tcPr>
            <w:tcW w:w="1642" w:type="dxa"/>
            <w:vAlign w:val="center"/>
          </w:tcPr>
          <w:p w14:paraId="49A03550">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羊红白内脏滑槽含支架</w:t>
            </w:r>
          </w:p>
        </w:tc>
        <w:tc>
          <w:tcPr>
            <w:tcW w:w="1530" w:type="dxa"/>
            <w:vAlign w:val="center"/>
          </w:tcPr>
          <w:p w14:paraId="181C7263">
            <w:pPr>
              <w:widowControl/>
              <w:tabs>
                <w:tab w:val="left" w:pos="3046"/>
              </w:tabs>
              <w:spacing w:line="400" w:lineRule="exact"/>
              <w:rPr>
                <w:rFonts w:hint="eastAsia" w:ascii="宋体" w:hAnsi="宋体" w:eastAsia="宋体" w:cs="宋体"/>
                <w:b w:val="0"/>
                <w:bCs/>
                <w:color w:val="auto"/>
                <w:kern w:val="0"/>
                <w:sz w:val="24"/>
                <w:szCs w:val="21"/>
              </w:rPr>
            </w:pPr>
          </w:p>
        </w:tc>
        <w:tc>
          <w:tcPr>
            <w:tcW w:w="855" w:type="dxa"/>
            <w:vAlign w:val="center"/>
          </w:tcPr>
          <w:p w14:paraId="20E6689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w:t>
            </w:r>
          </w:p>
        </w:tc>
        <w:tc>
          <w:tcPr>
            <w:tcW w:w="900" w:type="dxa"/>
            <w:vAlign w:val="center"/>
          </w:tcPr>
          <w:p w14:paraId="0930550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1C71C797">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不锈钢SUS304制作滑槽，板材厚1.5mm</w:t>
            </w:r>
            <w:r>
              <w:rPr>
                <w:rFonts w:hint="eastAsia" w:ascii="宋体" w:hAnsi="宋体" w:eastAsia="宋体" w:cs="宋体"/>
                <w:b w:val="0"/>
                <w:bCs/>
                <w:color w:val="auto"/>
                <w:sz w:val="24"/>
                <w:lang w:eastAsia="zh-CN"/>
              </w:rPr>
              <w:t>；</w:t>
            </w:r>
          </w:p>
          <w:p w14:paraId="372CA4E1">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不锈钢38*38方管支架</w:t>
            </w:r>
            <w:r>
              <w:rPr>
                <w:rFonts w:hint="eastAsia" w:ascii="宋体" w:hAnsi="宋体" w:eastAsia="宋体" w:cs="宋体"/>
                <w:b w:val="0"/>
                <w:bCs/>
                <w:color w:val="auto"/>
                <w:sz w:val="24"/>
                <w:lang w:eastAsia="zh-CN"/>
              </w:rPr>
              <w:t>；</w:t>
            </w:r>
          </w:p>
          <w:p w14:paraId="7EC51338">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滑槽：</w:t>
            </w:r>
            <w:r>
              <w:rPr>
                <w:rFonts w:hint="eastAsia" w:ascii="宋体" w:hAnsi="宋体" w:eastAsia="宋体" w:cs="宋体"/>
                <w:b w:val="0"/>
                <w:bCs/>
                <w:color w:val="auto"/>
                <w:sz w:val="24"/>
              </w:rPr>
              <w:t>1600×600mm（长×宽）</w:t>
            </w:r>
          </w:p>
        </w:tc>
      </w:tr>
      <w:tr w14:paraId="4AC21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8590C5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2.22</w:t>
            </w:r>
          </w:p>
        </w:tc>
        <w:tc>
          <w:tcPr>
            <w:tcW w:w="1642" w:type="dxa"/>
            <w:vAlign w:val="center"/>
          </w:tcPr>
          <w:p w14:paraId="69FAD659">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双轨电子轨道称</w:t>
            </w:r>
          </w:p>
        </w:tc>
        <w:tc>
          <w:tcPr>
            <w:tcW w:w="1530" w:type="dxa"/>
            <w:vAlign w:val="center"/>
          </w:tcPr>
          <w:p w14:paraId="0F61E78C">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GDC-500</w:t>
            </w:r>
          </w:p>
        </w:tc>
        <w:tc>
          <w:tcPr>
            <w:tcW w:w="855" w:type="dxa"/>
            <w:vAlign w:val="center"/>
          </w:tcPr>
          <w:p w14:paraId="134236B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0496A38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7D241157">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一套显示屏含打印装置，最大称重范围500kg允许误差＜50kg称重显示屏2套传感器，1个电池</w:t>
            </w:r>
            <w:r>
              <w:rPr>
                <w:rFonts w:hint="eastAsia" w:ascii="宋体" w:hAnsi="宋体" w:eastAsia="宋体" w:cs="宋体"/>
                <w:b w:val="0"/>
                <w:bCs/>
                <w:color w:val="auto"/>
                <w:sz w:val="24"/>
                <w:szCs w:val="21"/>
                <w:lang w:eastAsia="zh-CN"/>
              </w:rPr>
              <w:t>。</w:t>
            </w:r>
          </w:p>
        </w:tc>
      </w:tr>
      <w:tr w14:paraId="04137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D05224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2.23</w:t>
            </w:r>
          </w:p>
        </w:tc>
        <w:tc>
          <w:tcPr>
            <w:tcW w:w="1642" w:type="dxa"/>
            <w:vAlign w:val="center"/>
          </w:tcPr>
          <w:p w14:paraId="79F23492">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羊用双轨滑轮含W钩</w:t>
            </w:r>
            <w:r>
              <w:rPr>
                <w:rFonts w:hint="eastAsia" w:ascii="宋体" w:hAnsi="宋体" w:eastAsia="宋体" w:cs="宋体"/>
                <w:b w:val="0"/>
                <w:bCs/>
                <w:color w:val="auto"/>
                <w:kern w:val="0"/>
                <w:sz w:val="24"/>
                <w:szCs w:val="21"/>
              </w:rPr>
              <w:tab/>
            </w:r>
          </w:p>
        </w:tc>
        <w:tc>
          <w:tcPr>
            <w:tcW w:w="1530" w:type="dxa"/>
            <w:vAlign w:val="center"/>
          </w:tcPr>
          <w:p w14:paraId="0E9F128C">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GJ-W</w:t>
            </w:r>
          </w:p>
        </w:tc>
        <w:tc>
          <w:tcPr>
            <w:tcW w:w="855" w:type="dxa"/>
            <w:vAlign w:val="center"/>
          </w:tcPr>
          <w:p w14:paraId="3CF3667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500</w:t>
            </w:r>
          </w:p>
        </w:tc>
        <w:tc>
          <w:tcPr>
            <w:tcW w:w="900" w:type="dxa"/>
            <w:vAlign w:val="center"/>
          </w:tcPr>
          <w:p w14:paraId="38CC36C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50E58594">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钩子不锈钢304材质，φ10mm精铸钢滑轮，含滚轮轴承高度260</w:t>
            </w:r>
            <w:r>
              <w:rPr>
                <w:rFonts w:hint="eastAsia" w:ascii="宋体" w:hAnsi="宋体" w:eastAsia="宋体" w:cs="宋体"/>
                <w:b w:val="0"/>
                <w:bCs/>
                <w:color w:val="auto"/>
                <w:sz w:val="24"/>
                <w:szCs w:val="21"/>
                <w:lang w:val="en-US" w:eastAsia="zh-CN"/>
              </w:rPr>
              <w:t>mm</w:t>
            </w:r>
            <w:r>
              <w:rPr>
                <w:rFonts w:hint="eastAsia" w:ascii="宋体" w:hAnsi="宋体" w:eastAsia="宋体" w:cs="宋体"/>
                <w:b w:val="0"/>
                <w:bCs/>
                <w:color w:val="auto"/>
                <w:sz w:val="24"/>
                <w:szCs w:val="21"/>
              </w:rPr>
              <w:t>,宽度260mm</w:t>
            </w:r>
          </w:p>
        </w:tc>
      </w:tr>
      <w:tr w14:paraId="17933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00E97F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2.24</w:t>
            </w:r>
          </w:p>
        </w:tc>
        <w:tc>
          <w:tcPr>
            <w:tcW w:w="1642" w:type="dxa"/>
            <w:vAlign w:val="center"/>
          </w:tcPr>
          <w:p w14:paraId="4921D829">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羊线双轨滑轮回空自动滑行线</w:t>
            </w:r>
          </w:p>
        </w:tc>
        <w:tc>
          <w:tcPr>
            <w:tcW w:w="1530" w:type="dxa"/>
            <w:vAlign w:val="center"/>
          </w:tcPr>
          <w:p w14:paraId="080FA652">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STGD-800</w:t>
            </w:r>
          </w:p>
        </w:tc>
        <w:tc>
          <w:tcPr>
            <w:tcW w:w="855" w:type="dxa"/>
            <w:vAlign w:val="center"/>
          </w:tcPr>
          <w:p w14:paraId="78B4213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35</w:t>
            </w:r>
          </w:p>
        </w:tc>
        <w:tc>
          <w:tcPr>
            <w:tcW w:w="900" w:type="dxa"/>
            <w:vAlign w:val="center"/>
          </w:tcPr>
          <w:p w14:paraId="13C50C1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1495AB78">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热镀锌10#工字钢二次钢梁,所需的轨道镀锌紧固件（铸钢吊架、弯轨、铸钢道岔）</w:t>
            </w:r>
            <w:r>
              <w:rPr>
                <w:rFonts w:hint="eastAsia" w:ascii="宋体" w:hAnsi="宋体" w:eastAsia="宋体" w:cs="宋体"/>
                <w:b w:val="0"/>
                <w:bCs/>
                <w:color w:val="auto"/>
                <w:sz w:val="24"/>
                <w:szCs w:val="21"/>
                <w:lang w:eastAsia="zh-CN"/>
              </w:rPr>
              <w:t>；</w:t>
            </w:r>
          </w:p>
          <w:p w14:paraId="4161819A">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轨道采用40*40*4#热镀锌角铁轨道制作,热镀锌轨道吊架，吊架间距为800mm</w:t>
            </w:r>
            <w:r>
              <w:rPr>
                <w:rFonts w:hint="eastAsia" w:ascii="宋体" w:hAnsi="宋体" w:eastAsia="宋体" w:cs="宋体"/>
                <w:b w:val="0"/>
                <w:bCs/>
                <w:color w:val="auto"/>
                <w:sz w:val="24"/>
                <w:szCs w:val="21"/>
                <w:lang w:eastAsia="zh-CN"/>
              </w:rPr>
              <w:t>；</w:t>
            </w:r>
          </w:p>
          <w:p w14:paraId="2A008BCD">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热镀锌连接件，弯轨、轨道及连接件均为普材热镀锌</w:t>
            </w:r>
            <w:r>
              <w:rPr>
                <w:rFonts w:hint="eastAsia" w:ascii="宋体" w:hAnsi="宋体" w:eastAsia="宋体" w:cs="宋体"/>
                <w:b w:val="0"/>
                <w:bCs/>
                <w:color w:val="auto"/>
                <w:sz w:val="24"/>
                <w:szCs w:val="21"/>
                <w:lang w:eastAsia="zh-CN"/>
              </w:rPr>
              <w:t>。</w:t>
            </w:r>
          </w:p>
        </w:tc>
      </w:tr>
      <w:tr w14:paraId="7DD1E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1BC27AFF">
            <w:pPr>
              <w:widowControl/>
              <w:tabs>
                <w:tab w:val="left" w:pos="2316"/>
              </w:tabs>
              <w:spacing w:line="400" w:lineRule="exact"/>
              <w:ind w:leftChars="100"/>
              <w:jc w:val="left"/>
              <w:rPr>
                <w:rFonts w:hint="eastAsia" w:ascii="宋体" w:hAnsi="宋体" w:eastAsia="宋体" w:cs="宋体"/>
                <w:b w:val="0"/>
                <w:bCs/>
                <w:color w:val="auto"/>
                <w:kern w:val="0"/>
                <w:sz w:val="24"/>
                <w:szCs w:val="21"/>
              </w:rPr>
            </w:pPr>
            <w:r>
              <w:rPr>
                <w:rFonts w:hint="eastAsia" w:ascii="宋体" w:hAnsi="宋体" w:eastAsia="宋体" w:cs="宋体"/>
                <w:b/>
                <w:bCs w:val="0"/>
                <w:color w:val="auto"/>
                <w:kern w:val="0"/>
                <w:sz w:val="24"/>
                <w:szCs w:val="21"/>
              </w:rPr>
              <w:t>三、牛羊共用屠宰轨道及分割加工区域、辅助设备</w:t>
            </w:r>
          </w:p>
        </w:tc>
      </w:tr>
      <w:tr w14:paraId="2B474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3509B3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3.1</w:t>
            </w:r>
          </w:p>
        </w:tc>
        <w:tc>
          <w:tcPr>
            <w:tcW w:w="1642" w:type="dxa"/>
            <w:vAlign w:val="center"/>
          </w:tcPr>
          <w:p w14:paraId="6584C24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胴体加工后进鲜销排酸前</w:t>
            </w:r>
          </w:p>
          <w:p w14:paraId="17DD811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双轨手推线</w:t>
            </w:r>
          </w:p>
        </w:tc>
        <w:tc>
          <w:tcPr>
            <w:tcW w:w="1530" w:type="dxa"/>
            <w:vAlign w:val="center"/>
          </w:tcPr>
          <w:p w14:paraId="74E9ABEA">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STGD-600</w:t>
            </w:r>
          </w:p>
        </w:tc>
        <w:tc>
          <w:tcPr>
            <w:tcW w:w="855" w:type="dxa"/>
            <w:vAlign w:val="center"/>
          </w:tcPr>
          <w:p w14:paraId="01E7C50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85</w:t>
            </w:r>
          </w:p>
        </w:tc>
        <w:tc>
          <w:tcPr>
            <w:tcW w:w="900" w:type="dxa"/>
            <w:vAlign w:val="center"/>
          </w:tcPr>
          <w:p w14:paraId="1C292A8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62CF05D7">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热镀锌10#工字钢二次钢梁,所需的轨道镀锌紧固件（铸钢吊架、弯轨、铸钢道岔）</w:t>
            </w:r>
            <w:r>
              <w:rPr>
                <w:rFonts w:hint="eastAsia" w:ascii="宋体" w:hAnsi="宋体" w:eastAsia="宋体" w:cs="宋体"/>
                <w:b w:val="0"/>
                <w:bCs/>
                <w:color w:val="auto"/>
                <w:sz w:val="24"/>
                <w:szCs w:val="21"/>
                <w:lang w:eastAsia="zh-CN"/>
              </w:rPr>
              <w:t>；</w:t>
            </w:r>
          </w:p>
          <w:p w14:paraId="25B7BA9B">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轨道采用40*40*4#热镀锌角铁轨道制作,热镀锌轨道吊架，吊架间距为600mm,热镀锌连接件，弯轨、轨道及连接件均为普材热镀锌</w:t>
            </w:r>
            <w:r>
              <w:rPr>
                <w:rFonts w:hint="eastAsia" w:ascii="宋体" w:hAnsi="宋体" w:eastAsia="宋体" w:cs="宋体"/>
                <w:b w:val="0"/>
                <w:bCs/>
                <w:color w:val="auto"/>
                <w:sz w:val="24"/>
                <w:szCs w:val="21"/>
                <w:lang w:eastAsia="zh-CN"/>
              </w:rPr>
              <w:t>。</w:t>
            </w:r>
          </w:p>
        </w:tc>
      </w:tr>
      <w:tr w14:paraId="66DDD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8E6254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3.2</w:t>
            </w:r>
          </w:p>
        </w:tc>
        <w:tc>
          <w:tcPr>
            <w:tcW w:w="1642" w:type="dxa"/>
            <w:vAlign w:val="center"/>
          </w:tcPr>
          <w:p w14:paraId="2E0D7B5B">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鲜销大厅双轨手推线</w:t>
            </w:r>
          </w:p>
        </w:tc>
        <w:tc>
          <w:tcPr>
            <w:tcW w:w="1530" w:type="dxa"/>
            <w:vAlign w:val="center"/>
          </w:tcPr>
          <w:p w14:paraId="75135066">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STGD-600</w:t>
            </w:r>
          </w:p>
        </w:tc>
        <w:tc>
          <w:tcPr>
            <w:tcW w:w="855" w:type="dxa"/>
            <w:vAlign w:val="center"/>
          </w:tcPr>
          <w:p w14:paraId="7CD0D08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112</w:t>
            </w:r>
          </w:p>
        </w:tc>
        <w:tc>
          <w:tcPr>
            <w:tcW w:w="900" w:type="dxa"/>
            <w:vAlign w:val="center"/>
          </w:tcPr>
          <w:p w14:paraId="502CF55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2303F53A">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热镀锌10#工字钢二次钢梁,所需的轨道镀锌紧固件（铸钢吊架、弯轨、铸钢道岔）</w:t>
            </w:r>
            <w:r>
              <w:rPr>
                <w:rFonts w:hint="eastAsia" w:ascii="宋体" w:hAnsi="宋体" w:eastAsia="宋体" w:cs="宋体"/>
                <w:b w:val="0"/>
                <w:bCs/>
                <w:color w:val="auto"/>
                <w:sz w:val="24"/>
                <w:szCs w:val="21"/>
                <w:lang w:eastAsia="zh-CN"/>
              </w:rPr>
              <w:t>；</w:t>
            </w:r>
          </w:p>
          <w:p w14:paraId="01DE2384">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轨道采用40*40*4#热镀锌角铁轨道制作,热镀锌轨道吊架，吊架间距为600mm,热镀锌连接件，弯轨、轨道及连接件均为普材热镀锌</w:t>
            </w:r>
            <w:r>
              <w:rPr>
                <w:rFonts w:hint="eastAsia" w:ascii="宋体" w:hAnsi="宋体" w:eastAsia="宋体" w:cs="宋体"/>
                <w:b w:val="0"/>
                <w:bCs/>
                <w:color w:val="auto"/>
                <w:sz w:val="24"/>
                <w:szCs w:val="21"/>
                <w:lang w:eastAsia="zh-CN"/>
              </w:rPr>
              <w:t>。</w:t>
            </w:r>
          </w:p>
        </w:tc>
      </w:tr>
      <w:tr w14:paraId="46F61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76A207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3.3</w:t>
            </w:r>
          </w:p>
        </w:tc>
        <w:tc>
          <w:tcPr>
            <w:tcW w:w="1642" w:type="dxa"/>
            <w:vAlign w:val="center"/>
          </w:tcPr>
          <w:p w14:paraId="5D106003">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牛羊排酸间双轨手推线</w:t>
            </w:r>
          </w:p>
        </w:tc>
        <w:tc>
          <w:tcPr>
            <w:tcW w:w="1530" w:type="dxa"/>
            <w:vAlign w:val="center"/>
          </w:tcPr>
          <w:p w14:paraId="6D5845F6">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STGD-600</w:t>
            </w:r>
          </w:p>
        </w:tc>
        <w:tc>
          <w:tcPr>
            <w:tcW w:w="855" w:type="dxa"/>
            <w:vAlign w:val="center"/>
          </w:tcPr>
          <w:p w14:paraId="456B105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330</w:t>
            </w:r>
          </w:p>
        </w:tc>
        <w:tc>
          <w:tcPr>
            <w:tcW w:w="900" w:type="dxa"/>
            <w:vAlign w:val="center"/>
          </w:tcPr>
          <w:p w14:paraId="7FA3FF2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米</w:t>
            </w:r>
          </w:p>
        </w:tc>
        <w:tc>
          <w:tcPr>
            <w:tcW w:w="3785" w:type="dxa"/>
            <w:vAlign w:val="center"/>
          </w:tcPr>
          <w:p w14:paraId="37CB7659">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热镀锌10#工字钢二次钢梁,所需的轨道镀锌紧固件（铸钢吊架、弯轨、铸钢道岔）</w:t>
            </w:r>
            <w:r>
              <w:rPr>
                <w:rFonts w:hint="eastAsia" w:ascii="宋体" w:hAnsi="宋体" w:eastAsia="宋体" w:cs="宋体"/>
                <w:b w:val="0"/>
                <w:bCs/>
                <w:color w:val="auto"/>
                <w:sz w:val="24"/>
                <w:szCs w:val="21"/>
                <w:lang w:eastAsia="zh-CN"/>
              </w:rPr>
              <w:t>；</w:t>
            </w:r>
          </w:p>
          <w:p w14:paraId="2206F344">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轨道采用40*40*4#热镀锌角铁轨道制作,热镀锌轨道吊架，吊架间距为600mm,热镀锌连接件，弯轨、轨道及连接件均为普材热镀锌</w:t>
            </w:r>
            <w:r>
              <w:rPr>
                <w:rFonts w:hint="eastAsia" w:ascii="宋体" w:hAnsi="宋体" w:eastAsia="宋体" w:cs="宋体"/>
                <w:b w:val="0"/>
                <w:bCs/>
                <w:color w:val="auto"/>
                <w:sz w:val="24"/>
                <w:szCs w:val="21"/>
                <w:lang w:eastAsia="zh-CN"/>
              </w:rPr>
              <w:t>。</w:t>
            </w:r>
          </w:p>
        </w:tc>
      </w:tr>
      <w:tr w14:paraId="3FA3A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CF8B36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3.4</w:t>
            </w:r>
          </w:p>
        </w:tc>
        <w:tc>
          <w:tcPr>
            <w:tcW w:w="1642" w:type="dxa"/>
            <w:vAlign w:val="center"/>
          </w:tcPr>
          <w:p w14:paraId="31095AA5">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鲜销大厅双轨电子轨道称</w:t>
            </w:r>
          </w:p>
        </w:tc>
        <w:tc>
          <w:tcPr>
            <w:tcW w:w="1530" w:type="dxa"/>
            <w:vAlign w:val="center"/>
          </w:tcPr>
          <w:p w14:paraId="2F7CFBB5">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GDC-500</w:t>
            </w:r>
          </w:p>
        </w:tc>
        <w:tc>
          <w:tcPr>
            <w:tcW w:w="855" w:type="dxa"/>
            <w:vAlign w:val="center"/>
          </w:tcPr>
          <w:p w14:paraId="0482288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w:t>
            </w:r>
          </w:p>
        </w:tc>
        <w:tc>
          <w:tcPr>
            <w:tcW w:w="900" w:type="dxa"/>
            <w:vAlign w:val="center"/>
          </w:tcPr>
          <w:p w14:paraId="3468F961">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1A344955">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一套显示屏含打印装置，最大称重范围500kg</w:t>
            </w:r>
          </w:p>
          <w:p w14:paraId="40989114">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允许误差＜50kg</w:t>
            </w:r>
          </w:p>
          <w:p w14:paraId="7018D68B">
            <w:pPr>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rPr>
              <w:t>称重显示屏2套传感器，1个电池</w:t>
            </w:r>
            <w:r>
              <w:rPr>
                <w:rFonts w:hint="eastAsia" w:ascii="宋体" w:hAnsi="宋体" w:eastAsia="宋体" w:cs="宋体"/>
                <w:b w:val="0"/>
                <w:bCs/>
                <w:color w:val="auto"/>
                <w:sz w:val="24"/>
                <w:szCs w:val="21"/>
                <w:lang w:eastAsia="zh-CN"/>
              </w:rPr>
              <w:t>。</w:t>
            </w:r>
          </w:p>
        </w:tc>
      </w:tr>
      <w:tr w14:paraId="56D70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7A4500C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3.5</w:t>
            </w:r>
          </w:p>
        </w:tc>
        <w:tc>
          <w:tcPr>
            <w:tcW w:w="1642" w:type="dxa"/>
            <w:vAlign w:val="center"/>
          </w:tcPr>
          <w:p w14:paraId="33C48336">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牛羊分割车间及穿廊双轨手推线</w:t>
            </w:r>
          </w:p>
        </w:tc>
        <w:tc>
          <w:tcPr>
            <w:tcW w:w="1530" w:type="dxa"/>
            <w:vAlign w:val="center"/>
          </w:tcPr>
          <w:p w14:paraId="233FECD2">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STGD-600</w:t>
            </w:r>
          </w:p>
        </w:tc>
        <w:tc>
          <w:tcPr>
            <w:tcW w:w="855" w:type="dxa"/>
            <w:vAlign w:val="center"/>
          </w:tcPr>
          <w:p w14:paraId="204DC2F7">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55</w:t>
            </w:r>
          </w:p>
        </w:tc>
        <w:tc>
          <w:tcPr>
            <w:tcW w:w="900" w:type="dxa"/>
            <w:vAlign w:val="center"/>
          </w:tcPr>
          <w:p w14:paraId="6DD2E9E2">
            <w:pPr>
              <w:ind w:firstLine="240" w:firstLine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米</w:t>
            </w:r>
          </w:p>
        </w:tc>
        <w:tc>
          <w:tcPr>
            <w:tcW w:w="3785" w:type="dxa"/>
            <w:vAlign w:val="center"/>
          </w:tcPr>
          <w:p w14:paraId="7DEC9D3D">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热镀锌10#工字钢二次钢梁,所需的轨道镀锌紧固件（铸钢吊架、弯轨、铸钢道岔）</w:t>
            </w:r>
            <w:r>
              <w:rPr>
                <w:rFonts w:hint="eastAsia" w:ascii="宋体" w:hAnsi="宋体" w:eastAsia="宋体" w:cs="宋体"/>
                <w:b w:val="0"/>
                <w:bCs/>
                <w:color w:val="auto"/>
                <w:sz w:val="24"/>
                <w:szCs w:val="21"/>
                <w:lang w:eastAsia="zh-CN"/>
              </w:rPr>
              <w:t>；</w:t>
            </w:r>
          </w:p>
          <w:p w14:paraId="3AAEC654">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轨道采用40*40*4#热镀锌角铁轨道制作,热镀锌轨道吊架，吊架间距为600mm,热镀锌连接件，弯轨、轨道及连接件均为普材热镀锌</w:t>
            </w:r>
            <w:r>
              <w:rPr>
                <w:rFonts w:hint="eastAsia" w:ascii="宋体" w:hAnsi="宋体" w:eastAsia="宋体" w:cs="宋体"/>
                <w:b w:val="0"/>
                <w:bCs/>
                <w:color w:val="auto"/>
                <w:sz w:val="24"/>
                <w:szCs w:val="21"/>
                <w:lang w:eastAsia="zh-CN"/>
              </w:rPr>
              <w:t>。</w:t>
            </w:r>
          </w:p>
        </w:tc>
      </w:tr>
      <w:tr w14:paraId="5ED47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C9B767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3.6</w:t>
            </w:r>
          </w:p>
        </w:tc>
        <w:tc>
          <w:tcPr>
            <w:tcW w:w="1642" w:type="dxa"/>
            <w:vAlign w:val="center"/>
          </w:tcPr>
          <w:p w14:paraId="14C2C67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分割输送机L=12米含分割工作案板</w:t>
            </w:r>
          </w:p>
        </w:tc>
        <w:tc>
          <w:tcPr>
            <w:tcW w:w="1530" w:type="dxa"/>
            <w:vAlign w:val="center"/>
          </w:tcPr>
          <w:p w14:paraId="6385A304">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FGSJ-606</w:t>
            </w:r>
          </w:p>
        </w:tc>
        <w:tc>
          <w:tcPr>
            <w:tcW w:w="855" w:type="dxa"/>
            <w:vAlign w:val="center"/>
          </w:tcPr>
          <w:p w14:paraId="2BC1C2B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w:t>
            </w:r>
          </w:p>
        </w:tc>
        <w:tc>
          <w:tcPr>
            <w:tcW w:w="900" w:type="dxa"/>
            <w:vAlign w:val="center"/>
          </w:tcPr>
          <w:p w14:paraId="4DB557E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3416929B">
            <w:pPr>
              <w:widowControl/>
              <w:ind w:leftChars="100"/>
              <w:jc w:val="left"/>
              <w:rPr>
                <w:rFonts w:hint="eastAsia" w:ascii="宋体" w:hAnsi="宋体" w:eastAsia="宋体" w:cs="宋体"/>
                <w:b w:val="0"/>
                <w:bCs/>
                <w:color w:val="auto"/>
                <w:kern w:val="0"/>
                <w:sz w:val="24"/>
                <w:lang w:eastAsia="zh-CN" w:bidi="ar"/>
              </w:rPr>
            </w:pPr>
            <w:r>
              <w:rPr>
                <w:rFonts w:hint="eastAsia" w:ascii="宋体" w:hAnsi="宋体" w:eastAsia="宋体" w:cs="宋体"/>
                <w:b w:val="0"/>
                <w:bCs/>
                <w:color w:val="auto"/>
                <w:kern w:val="0"/>
                <w:sz w:val="24"/>
                <w:lang w:bidi="ar"/>
              </w:rPr>
              <w:t>机架采用75x45x2不锈钢方管。支撑38x38x2不锈钢方管</w:t>
            </w:r>
            <w:r>
              <w:rPr>
                <w:rFonts w:hint="eastAsia" w:ascii="宋体" w:hAnsi="宋体" w:eastAsia="宋体" w:cs="宋体"/>
                <w:b w:val="0"/>
                <w:bCs/>
                <w:color w:val="auto"/>
                <w:kern w:val="0"/>
                <w:sz w:val="24"/>
                <w:lang w:eastAsia="zh-CN" w:bidi="ar"/>
              </w:rPr>
              <w:t>；</w:t>
            </w:r>
          </w:p>
          <w:p w14:paraId="1C21A106">
            <w:pPr>
              <w:widowControl/>
              <w:ind w:leftChars="100"/>
              <w:jc w:val="left"/>
              <w:rPr>
                <w:rFonts w:hint="eastAsia" w:ascii="宋体" w:hAnsi="宋体" w:eastAsia="宋体" w:cs="宋体"/>
                <w:b w:val="0"/>
                <w:bCs/>
                <w:color w:val="auto"/>
                <w:kern w:val="0"/>
                <w:sz w:val="24"/>
                <w:lang w:bidi="ar"/>
              </w:rPr>
            </w:pPr>
            <w:r>
              <w:rPr>
                <w:rFonts w:hint="eastAsia" w:ascii="宋体" w:hAnsi="宋体" w:eastAsia="宋体" w:cs="宋体"/>
                <w:b w:val="0"/>
                <w:bCs/>
                <w:color w:val="auto"/>
                <w:kern w:val="0"/>
                <w:sz w:val="24"/>
                <w:lang w:bidi="ar"/>
              </w:rPr>
              <w:t>皮带为网链式可拆卸白色食品带 4mm，带宽 606mm ，L=12M</w:t>
            </w:r>
          </w:p>
          <w:p w14:paraId="3B72798A">
            <w:pPr>
              <w:widowControl/>
              <w:ind w:leftChars="100"/>
              <w:jc w:val="left"/>
              <w:rPr>
                <w:rFonts w:hint="eastAsia" w:ascii="宋体" w:hAnsi="宋体" w:eastAsia="宋体" w:cs="宋体"/>
                <w:b w:val="0"/>
                <w:bCs/>
                <w:color w:val="auto"/>
                <w:kern w:val="0"/>
                <w:sz w:val="24"/>
                <w:lang w:bidi="ar"/>
              </w:rPr>
            </w:pPr>
            <w:r>
              <w:rPr>
                <w:rFonts w:hint="eastAsia" w:ascii="宋体" w:hAnsi="宋体" w:eastAsia="宋体" w:cs="宋体"/>
                <w:b w:val="0"/>
                <w:bCs/>
                <w:color w:val="auto"/>
                <w:kern w:val="0"/>
                <w:sz w:val="24"/>
                <w:lang w:bidi="ar"/>
              </w:rPr>
              <w:t>机架，托辊，均为不锈钢，分割板采用食品级白色PE板</w:t>
            </w:r>
          </w:p>
          <w:p w14:paraId="599AF918">
            <w:pPr>
              <w:widowControl/>
              <w:ind w:leftChars="100"/>
              <w:jc w:val="lef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lang w:bidi="ar"/>
              </w:rPr>
              <w:t>电机功率：1.5KW</w:t>
            </w:r>
          </w:p>
        </w:tc>
      </w:tr>
      <w:tr w14:paraId="1DD45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F74AC04">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3.7</w:t>
            </w:r>
          </w:p>
        </w:tc>
        <w:tc>
          <w:tcPr>
            <w:tcW w:w="1642" w:type="dxa"/>
            <w:vAlign w:val="center"/>
          </w:tcPr>
          <w:p w14:paraId="0823E7AB">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包装工作台</w:t>
            </w:r>
          </w:p>
        </w:tc>
        <w:tc>
          <w:tcPr>
            <w:tcW w:w="1530" w:type="dxa"/>
            <w:vAlign w:val="center"/>
          </w:tcPr>
          <w:p w14:paraId="31173726">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BZT-1800</w:t>
            </w:r>
          </w:p>
        </w:tc>
        <w:tc>
          <w:tcPr>
            <w:tcW w:w="855" w:type="dxa"/>
            <w:vAlign w:val="center"/>
          </w:tcPr>
          <w:p w14:paraId="0C23B74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8</w:t>
            </w:r>
          </w:p>
        </w:tc>
        <w:tc>
          <w:tcPr>
            <w:tcW w:w="900" w:type="dxa"/>
            <w:vAlign w:val="center"/>
          </w:tcPr>
          <w:p w14:paraId="1A108EEE">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张</w:t>
            </w:r>
          </w:p>
        </w:tc>
        <w:tc>
          <w:tcPr>
            <w:tcW w:w="3785" w:type="dxa"/>
            <w:vAlign w:val="center"/>
          </w:tcPr>
          <w:p w14:paraId="54A21A87">
            <w:pPr>
              <w:widowControl/>
              <w:ind w:leftChars="100"/>
              <w:jc w:val="left"/>
              <w:rPr>
                <w:rFonts w:hint="eastAsia" w:ascii="宋体" w:hAnsi="宋体" w:eastAsia="宋体" w:cs="宋体"/>
                <w:b w:val="0"/>
                <w:bCs/>
                <w:color w:val="auto"/>
                <w:kern w:val="0"/>
                <w:sz w:val="24"/>
                <w:lang w:bidi="ar"/>
              </w:rPr>
            </w:pPr>
            <w:r>
              <w:rPr>
                <w:rFonts w:hint="eastAsia" w:ascii="宋体" w:hAnsi="宋体" w:eastAsia="宋体" w:cs="宋体"/>
                <w:b w:val="0"/>
                <w:bCs/>
                <w:color w:val="auto"/>
                <w:kern w:val="0"/>
                <w:sz w:val="24"/>
                <w:lang w:bidi="ar"/>
              </w:rPr>
              <w:t>外形尺寸 1800*900*800，台面厚度 2MM 不锈钢板，</w:t>
            </w:r>
          </w:p>
          <w:p w14:paraId="26239FC8">
            <w:pPr>
              <w:widowControl/>
              <w:ind w:leftChars="100"/>
              <w:jc w:val="lef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lang w:bidi="ar"/>
              </w:rPr>
              <w:t>全不锈钢制作,支撑腿采用38*38*2不锈钢方管制作</w:t>
            </w:r>
            <w:r>
              <w:rPr>
                <w:rFonts w:hint="eastAsia" w:ascii="宋体" w:hAnsi="宋体" w:eastAsia="宋体" w:cs="宋体"/>
                <w:b w:val="0"/>
                <w:bCs/>
                <w:color w:val="auto"/>
                <w:kern w:val="0"/>
                <w:sz w:val="24"/>
                <w:lang w:eastAsia="zh-CN" w:bidi="ar"/>
              </w:rPr>
              <w:t>。</w:t>
            </w:r>
          </w:p>
        </w:tc>
      </w:tr>
      <w:tr w14:paraId="6E947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1C0EE79">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3.8</w:t>
            </w:r>
          </w:p>
        </w:tc>
        <w:tc>
          <w:tcPr>
            <w:tcW w:w="1642" w:type="dxa"/>
            <w:vAlign w:val="center"/>
          </w:tcPr>
          <w:p w14:paraId="61FFF754">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电加热刀具消毒器</w:t>
            </w:r>
          </w:p>
        </w:tc>
        <w:tc>
          <w:tcPr>
            <w:tcW w:w="1530" w:type="dxa"/>
            <w:vAlign w:val="center"/>
          </w:tcPr>
          <w:p w14:paraId="080DE5EF">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DJXD-1</w:t>
            </w:r>
          </w:p>
        </w:tc>
        <w:tc>
          <w:tcPr>
            <w:tcW w:w="855" w:type="dxa"/>
            <w:vAlign w:val="center"/>
          </w:tcPr>
          <w:p w14:paraId="1E34322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16</w:t>
            </w:r>
          </w:p>
        </w:tc>
        <w:tc>
          <w:tcPr>
            <w:tcW w:w="900" w:type="dxa"/>
            <w:vAlign w:val="center"/>
          </w:tcPr>
          <w:p w14:paraId="5577FC9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台</w:t>
            </w:r>
          </w:p>
        </w:tc>
        <w:tc>
          <w:tcPr>
            <w:tcW w:w="3785" w:type="dxa"/>
            <w:vAlign w:val="center"/>
          </w:tcPr>
          <w:p w14:paraId="6AC7FC84">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热水进口手动阀门，即热式塑料刀架、溢水管，脚踏阀</w:t>
            </w:r>
          </w:p>
          <w:p w14:paraId="3710A917">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全不锈钢材质，可加热80℃,电压220V</w:t>
            </w:r>
          </w:p>
        </w:tc>
      </w:tr>
      <w:tr w14:paraId="792AC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5E1EFD0">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3.9</w:t>
            </w:r>
          </w:p>
        </w:tc>
        <w:tc>
          <w:tcPr>
            <w:tcW w:w="1642" w:type="dxa"/>
            <w:vAlign w:val="center"/>
          </w:tcPr>
          <w:p w14:paraId="677D429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小桶车</w:t>
            </w:r>
          </w:p>
        </w:tc>
        <w:tc>
          <w:tcPr>
            <w:tcW w:w="1530" w:type="dxa"/>
            <w:vAlign w:val="center"/>
          </w:tcPr>
          <w:p w14:paraId="4EDA16F9">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200L </w:t>
            </w:r>
          </w:p>
        </w:tc>
        <w:tc>
          <w:tcPr>
            <w:tcW w:w="855" w:type="dxa"/>
            <w:vAlign w:val="center"/>
          </w:tcPr>
          <w:p w14:paraId="501FFD06">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8</w:t>
            </w:r>
          </w:p>
        </w:tc>
        <w:tc>
          <w:tcPr>
            <w:tcW w:w="900" w:type="dxa"/>
            <w:vAlign w:val="center"/>
          </w:tcPr>
          <w:p w14:paraId="002588DA">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辆</w:t>
            </w:r>
          </w:p>
        </w:tc>
        <w:tc>
          <w:tcPr>
            <w:tcW w:w="3785" w:type="dxa"/>
            <w:vAlign w:val="center"/>
          </w:tcPr>
          <w:p w14:paraId="6C39BFA2">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不锈钢材质制作，板厚2mm,底部安装有耐磨尼龙脚轮，四个定向轮</w:t>
            </w:r>
            <w:r>
              <w:rPr>
                <w:rFonts w:hint="eastAsia" w:ascii="宋体" w:hAnsi="宋体" w:eastAsia="宋体" w:cs="宋体"/>
                <w:b w:val="0"/>
                <w:bCs/>
                <w:color w:val="auto"/>
                <w:sz w:val="24"/>
                <w:szCs w:val="21"/>
                <w:lang w:eastAsia="zh-CN"/>
              </w:rPr>
              <w:t>；</w:t>
            </w:r>
          </w:p>
          <w:p w14:paraId="6FE1F251">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 xml:space="preserve">容量：200L </w:t>
            </w:r>
          </w:p>
          <w:p w14:paraId="1D836D5E">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尺寸：600*600*600mm</w:t>
            </w:r>
          </w:p>
          <w:p w14:paraId="60D7A5F4">
            <w:pPr>
              <w:ind w:leftChars="100"/>
              <w:rPr>
                <w:rFonts w:hint="eastAsia" w:ascii="宋体" w:hAnsi="宋体" w:eastAsia="宋体" w:cs="宋体"/>
                <w:b w:val="0"/>
                <w:bCs/>
                <w:color w:val="auto"/>
                <w:sz w:val="24"/>
                <w:szCs w:val="21"/>
                <w:lang w:val="en-US" w:eastAsia="zh-CN"/>
              </w:rPr>
            </w:pPr>
            <w:r>
              <w:rPr>
                <w:rFonts w:hint="eastAsia" w:ascii="宋体" w:hAnsi="宋体" w:eastAsia="宋体" w:cs="宋体"/>
                <w:b w:val="0"/>
                <w:bCs/>
                <w:color w:val="auto"/>
                <w:sz w:val="24"/>
                <w:szCs w:val="21"/>
                <w:lang w:val="en-US" w:eastAsia="zh-CN"/>
              </w:rPr>
              <w:t>要求耐腐蚀、易推。</w:t>
            </w:r>
          </w:p>
        </w:tc>
      </w:tr>
      <w:tr w14:paraId="23734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6D5CC3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3.10</w:t>
            </w:r>
          </w:p>
        </w:tc>
        <w:tc>
          <w:tcPr>
            <w:tcW w:w="1642" w:type="dxa"/>
            <w:vAlign w:val="center"/>
          </w:tcPr>
          <w:p w14:paraId="434EA59A">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进口螺杆空压机及储气罐</w:t>
            </w:r>
          </w:p>
        </w:tc>
        <w:tc>
          <w:tcPr>
            <w:tcW w:w="1530" w:type="dxa"/>
            <w:vAlign w:val="center"/>
          </w:tcPr>
          <w:p w14:paraId="44A89695">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0.8L</w:t>
            </w:r>
          </w:p>
        </w:tc>
        <w:tc>
          <w:tcPr>
            <w:tcW w:w="855" w:type="dxa"/>
            <w:vAlign w:val="center"/>
          </w:tcPr>
          <w:p w14:paraId="436179A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w:t>
            </w:r>
          </w:p>
        </w:tc>
        <w:tc>
          <w:tcPr>
            <w:tcW w:w="900" w:type="dxa"/>
            <w:vAlign w:val="center"/>
          </w:tcPr>
          <w:p w14:paraId="6FB9456D">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6870328A">
            <w:pPr>
              <w:spacing w:line="300" w:lineRule="exact"/>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rPr>
              <w:t>螺杆式额定排气压力：0.8Mpa,</w:t>
            </w:r>
            <w:r>
              <w:rPr>
                <w:rFonts w:hint="eastAsia" w:ascii="宋体" w:hAnsi="宋体" w:eastAsia="宋体" w:cs="宋体"/>
                <w:b w:val="0"/>
                <w:bCs/>
                <w:color w:val="auto"/>
                <w:sz w:val="24"/>
                <w:lang w:eastAsia="zh-CN"/>
              </w:rPr>
              <w:t>容积</w:t>
            </w:r>
            <w:r>
              <w:rPr>
                <w:rFonts w:hint="eastAsia" w:ascii="宋体" w:hAnsi="宋体" w:eastAsia="宋体" w:cs="宋体"/>
                <w:b w:val="0"/>
                <w:bCs/>
                <w:color w:val="auto"/>
                <w:sz w:val="24"/>
              </w:rPr>
              <w:t>流量：1立方米/分钟，</w:t>
            </w:r>
          </w:p>
          <w:p w14:paraId="35F428B3">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容积流量：3立方米/分钟的1台装机功率：7.5KW,配有1个0.8立方米储气罐</w:t>
            </w:r>
            <w:r>
              <w:rPr>
                <w:rFonts w:hint="eastAsia" w:ascii="宋体" w:hAnsi="宋体" w:eastAsia="宋体" w:cs="宋体"/>
                <w:b w:val="0"/>
                <w:bCs/>
                <w:color w:val="auto"/>
                <w:sz w:val="24"/>
                <w:lang w:eastAsia="zh-CN"/>
              </w:rPr>
              <w:t>。</w:t>
            </w:r>
          </w:p>
        </w:tc>
      </w:tr>
      <w:tr w14:paraId="0CB91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41526A8">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3.11</w:t>
            </w:r>
          </w:p>
        </w:tc>
        <w:tc>
          <w:tcPr>
            <w:tcW w:w="1642" w:type="dxa"/>
            <w:vAlign w:val="center"/>
          </w:tcPr>
          <w:p w14:paraId="3E30AD74">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牛线、羊线电气控制系统</w:t>
            </w:r>
          </w:p>
        </w:tc>
        <w:tc>
          <w:tcPr>
            <w:tcW w:w="1530" w:type="dxa"/>
            <w:vAlign w:val="center"/>
          </w:tcPr>
          <w:p w14:paraId="621C6716">
            <w:pPr>
              <w:widowControl/>
              <w:tabs>
                <w:tab w:val="left" w:pos="3046"/>
              </w:tabs>
              <w:spacing w:line="400" w:lineRule="exact"/>
              <w:rPr>
                <w:rFonts w:hint="eastAsia" w:ascii="宋体" w:hAnsi="宋体" w:eastAsia="宋体" w:cs="宋体"/>
                <w:b w:val="0"/>
                <w:bCs/>
                <w:color w:val="auto"/>
                <w:kern w:val="0"/>
                <w:sz w:val="24"/>
                <w:szCs w:val="21"/>
              </w:rPr>
            </w:pPr>
          </w:p>
        </w:tc>
        <w:tc>
          <w:tcPr>
            <w:tcW w:w="855" w:type="dxa"/>
            <w:vAlign w:val="center"/>
          </w:tcPr>
          <w:p w14:paraId="0E66F6FB">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2</w:t>
            </w:r>
          </w:p>
        </w:tc>
        <w:tc>
          <w:tcPr>
            <w:tcW w:w="900" w:type="dxa"/>
            <w:vAlign w:val="center"/>
          </w:tcPr>
          <w:p w14:paraId="4DA4D992">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套</w:t>
            </w:r>
          </w:p>
        </w:tc>
        <w:tc>
          <w:tcPr>
            <w:tcW w:w="3785" w:type="dxa"/>
            <w:vAlign w:val="center"/>
          </w:tcPr>
          <w:p w14:paraId="629F6079">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集中控制，含整套电控系统主开关；</w:t>
            </w:r>
          </w:p>
          <w:p w14:paraId="12596C24">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采用电机启动装置控制按钮；</w:t>
            </w:r>
          </w:p>
          <w:p w14:paraId="53A9F594">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变频控制；岗位操作按纽；</w:t>
            </w:r>
          </w:p>
        </w:tc>
      </w:tr>
      <w:tr w14:paraId="456AC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543BA8A5">
            <w:pPr>
              <w:widowControl/>
              <w:spacing w:line="400" w:lineRule="exact"/>
              <w:ind w:leftChars="100"/>
              <w:rPr>
                <w:rFonts w:hint="eastAsia" w:ascii="宋体" w:hAnsi="宋体" w:eastAsia="宋体" w:cs="宋体"/>
                <w:b w:val="0"/>
                <w:bCs/>
                <w:color w:val="auto"/>
                <w:kern w:val="0"/>
                <w:sz w:val="24"/>
                <w:szCs w:val="21"/>
              </w:rPr>
            </w:pPr>
            <w:r>
              <w:rPr>
                <w:rFonts w:hint="eastAsia" w:ascii="宋体" w:hAnsi="宋体" w:eastAsia="宋体" w:cs="宋体"/>
                <w:b/>
                <w:bCs w:val="0"/>
                <w:color w:val="auto"/>
                <w:kern w:val="0"/>
                <w:sz w:val="24"/>
                <w:szCs w:val="21"/>
              </w:rPr>
              <w:t>四、</w:t>
            </w:r>
            <w:r>
              <w:rPr>
                <w:rFonts w:hint="eastAsia" w:ascii="宋体" w:hAnsi="宋体" w:eastAsia="宋体" w:cs="宋体"/>
                <w:b/>
                <w:bCs w:val="0"/>
                <w:color w:val="auto"/>
                <w:kern w:val="0"/>
                <w:sz w:val="24"/>
                <w:szCs w:val="21"/>
                <w:lang w:val="en-US" w:eastAsia="zh-CN"/>
              </w:rPr>
              <w:t>屠宰区</w:t>
            </w:r>
            <w:r>
              <w:rPr>
                <w:rFonts w:hint="eastAsia" w:ascii="宋体" w:hAnsi="宋体" w:eastAsia="宋体" w:cs="宋体"/>
                <w:b/>
                <w:bCs w:val="0"/>
                <w:color w:val="auto"/>
                <w:kern w:val="0"/>
                <w:sz w:val="24"/>
                <w:szCs w:val="21"/>
              </w:rPr>
              <w:t>配套设备</w:t>
            </w:r>
          </w:p>
        </w:tc>
      </w:tr>
      <w:tr w14:paraId="4F714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3BAEA0C">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4．1</w:t>
            </w:r>
          </w:p>
        </w:tc>
        <w:tc>
          <w:tcPr>
            <w:tcW w:w="1642" w:type="dxa"/>
            <w:vAlign w:val="center"/>
          </w:tcPr>
          <w:p w14:paraId="599AFC38">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后肢液压剪</w:t>
            </w:r>
          </w:p>
        </w:tc>
        <w:tc>
          <w:tcPr>
            <w:tcW w:w="1530" w:type="dxa"/>
            <w:vAlign w:val="center"/>
          </w:tcPr>
          <w:p w14:paraId="6227145F">
            <w:pPr>
              <w:spacing w:line="3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ZY-S15</w:t>
            </w:r>
          </w:p>
        </w:tc>
        <w:tc>
          <w:tcPr>
            <w:tcW w:w="855" w:type="dxa"/>
            <w:vAlign w:val="center"/>
          </w:tcPr>
          <w:p w14:paraId="50BA1D8D">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1E3F1FE2">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47009D4C">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剪口开口：150mm</w:t>
            </w:r>
          </w:p>
          <w:p w14:paraId="72AFD953">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剪体重量：21–25kg（常见21kg）</w:t>
            </w:r>
          </w:p>
          <w:p w14:paraId="3F1178D3">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运行压力：220bar</w:t>
            </w:r>
          </w:p>
          <w:p w14:paraId="403CEAFB">
            <w:pPr>
              <w:spacing w:line="300" w:lineRule="exact"/>
              <w:ind w:leftChars="100"/>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控制方式：双重板柄/气动双手柄</w:t>
            </w:r>
            <w:r>
              <w:rPr>
                <w:rFonts w:hint="eastAsia" w:ascii="宋体" w:hAnsi="宋体" w:eastAsia="宋体" w:cs="宋体"/>
                <w:b w:val="0"/>
                <w:bCs/>
                <w:color w:val="auto"/>
                <w:sz w:val="24"/>
                <w:lang w:eastAsia="zh-CN"/>
              </w:rPr>
              <w:t>；</w:t>
            </w:r>
          </w:p>
          <w:p w14:paraId="436447B7">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开合速度：负载下 3–7秒/次</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液压站重量：130kg</w:t>
            </w:r>
          </w:p>
          <w:p w14:paraId="48BE558C">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电机功率：4kW，3×400V</w:t>
            </w:r>
          </w:p>
          <w:p w14:paraId="5D2C793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流量：9L/mi，</w:t>
            </w:r>
          </w:p>
          <w:p w14:paraId="6BB3ED8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油箱容量：27L</w:t>
            </w:r>
          </w:p>
          <w:p w14:paraId="5FB138AA">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压缩空气：≥6bar，</w:t>
            </w:r>
          </w:p>
          <w:p w14:paraId="45D426DA">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标配：平衡器、液压站、连接管线</w:t>
            </w:r>
          </w:p>
        </w:tc>
      </w:tr>
      <w:tr w14:paraId="08C52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4B9C55B">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4．2</w:t>
            </w:r>
          </w:p>
        </w:tc>
        <w:tc>
          <w:tcPr>
            <w:tcW w:w="1642" w:type="dxa"/>
            <w:vAlign w:val="center"/>
          </w:tcPr>
          <w:p w14:paraId="6D48F91A">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前肢、角液压剪</w:t>
            </w:r>
          </w:p>
        </w:tc>
        <w:tc>
          <w:tcPr>
            <w:tcW w:w="1530" w:type="dxa"/>
            <w:vAlign w:val="center"/>
          </w:tcPr>
          <w:p w14:paraId="131348A0">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ZY-HS12</w:t>
            </w:r>
          </w:p>
        </w:tc>
        <w:tc>
          <w:tcPr>
            <w:tcW w:w="855" w:type="dxa"/>
            <w:vAlign w:val="center"/>
          </w:tcPr>
          <w:p w14:paraId="0D192C04">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7E452A4B">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710CB43A">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剪口开口：120mm</w:t>
            </w:r>
          </w:p>
          <w:p w14:paraId="4D15BBC0">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整机重量：27kg</w:t>
            </w:r>
          </w:p>
          <w:p w14:paraId="4E52D62E">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工作压力：220bar</w:t>
            </w:r>
          </w:p>
          <w:p w14:paraId="28F8131D">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负载开合速度：3秒/次</w:t>
            </w:r>
          </w:p>
          <w:p w14:paraId="09FDC4DF">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配套液压站：EHA16铝合金泵站，7.5kW，3×400V；</w:t>
            </w:r>
          </w:p>
          <w:p w14:paraId="2D23F4F9">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标配：平衡器、液压站、高压连接管线、安装附件</w:t>
            </w:r>
            <w:r>
              <w:rPr>
                <w:rFonts w:hint="eastAsia" w:ascii="宋体" w:hAnsi="宋体" w:eastAsia="宋体" w:cs="宋体"/>
                <w:b w:val="0"/>
                <w:bCs/>
                <w:color w:val="auto"/>
                <w:sz w:val="24"/>
                <w:lang w:eastAsia="zh-CN"/>
              </w:rPr>
              <w:t>。</w:t>
            </w:r>
          </w:p>
        </w:tc>
      </w:tr>
      <w:tr w14:paraId="6466B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25080FF">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4．3</w:t>
            </w:r>
          </w:p>
        </w:tc>
        <w:tc>
          <w:tcPr>
            <w:tcW w:w="1642" w:type="dxa"/>
            <w:vAlign w:val="center"/>
          </w:tcPr>
          <w:p w14:paraId="0698085F">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击晕枪</w:t>
            </w:r>
          </w:p>
        </w:tc>
        <w:tc>
          <w:tcPr>
            <w:tcW w:w="1530" w:type="dxa"/>
            <w:vAlign w:val="center"/>
          </w:tcPr>
          <w:p w14:paraId="12F3E550">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BK -014</w:t>
            </w:r>
          </w:p>
        </w:tc>
        <w:tc>
          <w:tcPr>
            <w:tcW w:w="855" w:type="dxa"/>
            <w:vAlign w:val="center"/>
          </w:tcPr>
          <w:p w14:paraId="6598DA4D">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4C6D96C5">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5CA4A5BF">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口径：9×17 mm</w:t>
            </w:r>
          </w:p>
          <w:p w14:paraId="203FC568">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击晕能量：185–323 J（按弹药颜色分级）</w:t>
            </w:r>
          </w:p>
          <w:p w14:paraId="42816E44">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伸出长度：≈82 mm直径：22 mm（蘑菇头）</w:t>
            </w:r>
          </w:p>
          <w:p w14:paraId="7FD2435D">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整机重量：≈3.0 kg，长度：330 mm</w:t>
            </w:r>
          </w:p>
          <w:p w14:paraId="5926C524">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安全：标准安全锁、自动回栓、CE认证</w:t>
            </w:r>
          </w:p>
        </w:tc>
      </w:tr>
      <w:tr w14:paraId="4E125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97EAC80">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4．4</w:t>
            </w:r>
          </w:p>
        </w:tc>
        <w:tc>
          <w:tcPr>
            <w:tcW w:w="1642" w:type="dxa"/>
            <w:vAlign w:val="center"/>
          </w:tcPr>
          <w:p w14:paraId="50FAA3FC">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电动剥皮刀</w:t>
            </w:r>
          </w:p>
        </w:tc>
        <w:tc>
          <w:tcPr>
            <w:tcW w:w="1530" w:type="dxa"/>
            <w:vAlign w:val="center"/>
          </w:tcPr>
          <w:p w14:paraId="7E06AB98">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HSK8-P3</w:t>
            </w:r>
          </w:p>
        </w:tc>
        <w:tc>
          <w:tcPr>
            <w:tcW w:w="855" w:type="dxa"/>
            <w:vAlign w:val="center"/>
          </w:tcPr>
          <w:p w14:paraId="63C5E24E">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2</w:t>
            </w:r>
          </w:p>
        </w:tc>
        <w:tc>
          <w:tcPr>
            <w:tcW w:w="900" w:type="dxa"/>
            <w:vAlign w:val="center"/>
          </w:tcPr>
          <w:p w14:paraId="15CE25B4">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56ADC6EC">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可配F4-2.5平衡器；</w:t>
            </w:r>
          </w:p>
          <w:p w14:paraId="2662FACA">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静音气动马达，排气导出作业区手持重量：1.6 kg（不含管线）；尺寸：宽112mm × 长250mm；</w:t>
            </w:r>
          </w:p>
          <w:p w14:paraId="4FFBDCE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动力：压缩空气；</w:t>
            </w:r>
          </w:p>
          <w:p w14:paraId="3EF7C8A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推荐工作压力 6–7 bar；</w:t>
            </w:r>
          </w:p>
          <w:p w14:paraId="396A8988">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适配：P3_evo2/P5气动马达，可快速切换；</w:t>
            </w:r>
          </w:p>
          <w:p w14:paraId="32BA9115">
            <w:pPr>
              <w:spacing w:line="300" w:lineRule="exact"/>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合规：符合欧盟EC 1099/2009、食品卫生与电气安全标准</w:t>
            </w:r>
          </w:p>
        </w:tc>
      </w:tr>
      <w:tr w14:paraId="0E0B3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D8BCA9A">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4．5</w:t>
            </w:r>
          </w:p>
        </w:tc>
        <w:tc>
          <w:tcPr>
            <w:tcW w:w="1642" w:type="dxa"/>
            <w:vAlign w:val="center"/>
          </w:tcPr>
          <w:p w14:paraId="6C2CD2E2">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封肛器</w:t>
            </w:r>
          </w:p>
        </w:tc>
        <w:tc>
          <w:tcPr>
            <w:tcW w:w="1530" w:type="dxa"/>
            <w:vAlign w:val="center"/>
          </w:tcPr>
          <w:p w14:paraId="3E829776">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EDF64</w:t>
            </w:r>
          </w:p>
        </w:tc>
        <w:tc>
          <w:tcPr>
            <w:tcW w:w="855" w:type="dxa"/>
            <w:vAlign w:val="center"/>
          </w:tcPr>
          <w:p w14:paraId="1DA0324A">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7B663235">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151F5AF0">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钳口直径：≥φ64 mm（适配牛羊大口径直肠）</w:t>
            </w:r>
          </w:p>
          <w:p w14:paraId="5ACA47FA">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工作压力：6–7 bar（与SD11一致）</w:t>
            </w:r>
          </w:p>
          <w:p w14:paraId="6B2255FD">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手持重量：约2.8 kg（不含管线）</w:t>
            </w:r>
          </w:p>
          <w:p w14:paraId="02B18921">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标配：主机、平衡器、5m高压软管、气源三联件、结扎环</w:t>
            </w:r>
          </w:p>
          <w:p w14:paraId="5DE50630">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耗材：专用食品级结扎环（可单独采购）</w:t>
            </w:r>
          </w:p>
          <w:p w14:paraId="3F09ABA0">
            <w:pPr>
              <w:widowControl/>
              <w:spacing w:line="400" w:lineRule="exact"/>
              <w:ind w:leftChars="100"/>
              <w:jc w:val="center"/>
              <w:rPr>
                <w:rFonts w:hint="eastAsia" w:ascii="宋体" w:hAnsi="宋体" w:eastAsia="宋体" w:cs="宋体"/>
                <w:b w:val="0"/>
                <w:bCs/>
                <w:color w:val="auto"/>
                <w:kern w:val="0"/>
                <w:sz w:val="24"/>
                <w:szCs w:val="21"/>
              </w:rPr>
            </w:pPr>
          </w:p>
        </w:tc>
      </w:tr>
      <w:tr w14:paraId="6D7D1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299AF374">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4. 6</w:t>
            </w:r>
          </w:p>
        </w:tc>
        <w:tc>
          <w:tcPr>
            <w:tcW w:w="1642" w:type="dxa"/>
            <w:vAlign w:val="center"/>
          </w:tcPr>
          <w:p w14:paraId="2BB97897">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开胸锯</w:t>
            </w:r>
          </w:p>
        </w:tc>
        <w:tc>
          <w:tcPr>
            <w:tcW w:w="1530" w:type="dxa"/>
            <w:vAlign w:val="center"/>
          </w:tcPr>
          <w:p w14:paraId="0E7390D9">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BBH30-03</w:t>
            </w:r>
          </w:p>
        </w:tc>
        <w:tc>
          <w:tcPr>
            <w:tcW w:w="855" w:type="dxa"/>
            <w:vAlign w:val="center"/>
          </w:tcPr>
          <w:p w14:paraId="0527B807">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3917BF87">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68EC7BAA">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锯条/切割深度：300 mm；</w:t>
            </w:r>
          </w:p>
          <w:p w14:paraId="6A35CDD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长度820 mm；</w:t>
            </w:r>
          </w:p>
          <w:p w14:paraId="4D319937">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功率1300 W，400/42 V三相，50/60 Hz；</w:t>
            </w:r>
          </w:p>
          <w:p w14:paraId="15E92422">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重量18.5 kg；防护IP65</w:t>
            </w:r>
          </w:p>
          <w:p w14:paraId="7D356181">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标配：主机、平衡器、高压软管、三联件、变压器</w:t>
            </w:r>
            <w:r>
              <w:rPr>
                <w:rFonts w:hint="eastAsia" w:ascii="宋体" w:hAnsi="宋体" w:eastAsia="宋体" w:cs="宋体"/>
                <w:b w:val="0"/>
                <w:bCs/>
                <w:color w:val="auto"/>
                <w:sz w:val="24"/>
                <w:lang w:eastAsia="zh-CN"/>
              </w:rPr>
              <w:t>。</w:t>
            </w:r>
          </w:p>
        </w:tc>
      </w:tr>
      <w:tr w14:paraId="38117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4D37107">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4．7</w:t>
            </w:r>
          </w:p>
        </w:tc>
        <w:tc>
          <w:tcPr>
            <w:tcW w:w="1642" w:type="dxa"/>
            <w:vAlign w:val="center"/>
          </w:tcPr>
          <w:p w14:paraId="2DDABD15">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带式劈半锯</w:t>
            </w:r>
          </w:p>
        </w:tc>
        <w:tc>
          <w:tcPr>
            <w:tcW w:w="1530" w:type="dxa"/>
            <w:vAlign w:val="center"/>
          </w:tcPr>
          <w:p w14:paraId="3F245C88">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SB 50-08</w:t>
            </w:r>
          </w:p>
        </w:tc>
        <w:tc>
          <w:tcPr>
            <w:tcW w:w="855" w:type="dxa"/>
            <w:vAlign w:val="center"/>
          </w:tcPr>
          <w:p w14:paraId="7166404B">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05A53ECF">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22905868">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切割深度：500 mm；整机长度1550 mm；</w:t>
            </w:r>
          </w:p>
          <w:p w14:paraId="13249EE5">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锯条长度3248 mm；功率2300 W；</w:t>
            </w:r>
          </w:p>
          <w:p w14:paraId="521ECF61">
            <w:pPr>
              <w:spacing w:line="300" w:lineRule="exact"/>
              <w:ind w:leftChars="100"/>
              <w:rPr>
                <w:rFonts w:hint="eastAsia" w:ascii="宋体" w:hAnsi="宋体" w:eastAsia="宋体" w:cs="宋体"/>
                <w:b w:val="0"/>
                <w:bCs/>
                <w:color w:val="auto"/>
                <w:sz w:val="24"/>
              </w:rPr>
            </w:pPr>
            <w:r>
              <w:rPr>
                <w:rFonts w:hint="eastAsia" w:ascii="宋体" w:hAnsi="宋体" w:eastAsia="宋体" w:cs="宋体"/>
                <w:b w:val="0"/>
                <w:bCs/>
                <w:color w:val="auto"/>
                <w:sz w:val="24"/>
              </w:rPr>
              <w:t>电压400/42 V三相50 Hz；重量约68 kg；IP65防护</w:t>
            </w:r>
          </w:p>
          <w:p w14:paraId="7BC80305">
            <w:pPr>
              <w:widowControl/>
              <w:spacing w:line="400" w:lineRule="exact"/>
              <w:ind w:leftChars="100"/>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标配：主机、弹簧平衡器、高压水管+电磁阀、变压器、锯条</w:t>
            </w:r>
          </w:p>
        </w:tc>
      </w:tr>
      <w:tr w14:paraId="37EE8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1EBEC68">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4. 8</w:t>
            </w:r>
          </w:p>
        </w:tc>
        <w:tc>
          <w:tcPr>
            <w:tcW w:w="1642" w:type="dxa"/>
            <w:vAlign w:val="center"/>
          </w:tcPr>
          <w:p w14:paraId="0576B10E">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各种刀具</w:t>
            </w:r>
          </w:p>
        </w:tc>
        <w:tc>
          <w:tcPr>
            <w:tcW w:w="1530" w:type="dxa"/>
            <w:vAlign w:val="center"/>
          </w:tcPr>
          <w:p w14:paraId="2978A730">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3105/3165/2405/4005/2015/3005/3008</w:t>
            </w:r>
          </w:p>
        </w:tc>
        <w:tc>
          <w:tcPr>
            <w:tcW w:w="855" w:type="dxa"/>
            <w:vAlign w:val="center"/>
          </w:tcPr>
          <w:p w14:paraId="5CE3C1F5">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100</w:t>
            </w:r>
          </w:p>
        </w:tc>
        <w:tc>
          <w:tcPr>
            <w:tcW w:w="900" w:type="dxa"/>
            <w:vAlign w:val="center"/>
          </w:tcPr>
          <w:p w14:paraId="1DF65DB4">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套</w:t>
            </w:r>
          </w:p>
        </w:tc>
        <w:tc>
          <w:tcPr>
            <w:tcW w:w="3785" w:type="dxa"/>
            <w:vAlign w:val="center"/>
          </w:tcPr>
          <w:p w14:paraId="2CCF0370">
            <w:pPr>
              <w:spacing w:line="300" w:lineRule="exact"/>
              <w:ind w:leftChars="100"/>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rPr>
              <w:t>屠宰专用食品级刀具；防锈、锋利、符合检疫</w:t>
            </w:r>
            <w:r>
              <w:rPr>
                <w:rFonts w:hint="eastAsia" w:ascii="宋体" w:hAnsi="宋体" w:eastAsia="宋体" w:cs="宋体"/>
                <w:b w:val="0"/>
                <w:bCs/>
                <w:color w:val="auto"/>
                <w:sz w:val="24"/>
                <w:lang w:eastAsia="zh-CN"/>
              </w:rPr>
              <w:t>。</w:t>
            </w:r>
          </w:p>
        </w:tc>
      </w:tr>
      <w:tr w14:paraId="09BEA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284D0D6">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4. 9</w:t>
            </w:r>
          </w:p>
        </w:tc>
        <w:tc>
          <w:tcPr>
            <w:tcW w:w="1642" w:type="dxa"/>
            <w:vAlign w:val="center"/>
          </w:tcPr>
          <w:p w14:paraId="324443DE">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牦牛称重地磅（30T）</w:t>
            </w:r>
          </w:p>
        </w:tc>
        <w:tc>
          <w:tcPr>
            <w:tcW w:w="1530" w:type="dxa"/>
            <w:vAlign w:val="center"/>
          </w:tcPr>
          <w:p w14:paraId="22B43C73">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30T </w:t>
            </w:r>
          </w:p>
        </w:tc>
        <w:tc>
          <w:tcPr>
            <w:tcW w:w="855" w:type="dxa"/>
            <w:vAlign w:val="center"/>
          </w:tcPr>
          <w:p w14:paraId="373F8D6B">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7FCCE35B">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73051EC6">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额定称量：30t（30000kg）分度值：10kg</w:t>
            </w:r>
          </w:p>
          <w:p w14:paraId="3A7A1DD9">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标准台面尺寸：3.0m × 12.0m（可完整容纳半挂车）</w:t>
            </w:r>
          </w:p>
          <w:p w14:paraId="79795B3D">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秤体结构：U型主梁结构，防滑花纹钢板，面板厚6～8mm，整体焊接加固,传感器：数字式防水传感器，IP68防护，抗干扰、防雷击,称重仪表：高亮LED大屏显示，支持去皮、累计、打印、数据存储整机防护：防水、防锈、防腐蚀，适合长期露天日晒雨淋,工作温度：-35℃～+70℃，适应高原及户外环境</w:t>
            </w:r>
          </w:p>
          <w:p w14:paraId="592720B2">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过载能力：安全过载120%FS，极限过载150%FS</w:t>
            </w:r>
          </w:p>
          <w:p w14:paraId="76231A20">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供电方式：AC220V，配蓄电池</w:t>
            </w:r>
          </w:p>
          <w:p w14:paraId="02D6118E">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含基础、调试</w:t>
            </w:r>
            <w:r>
              <w:rPr>
                <w:rFonts w:hint="eastAsia" w:ascii="宋体" w:hAnsi="宋体" w:eastAsia="宋体" w:cs="宋体"/>
                <w:b w:val="0"/>
                <w:bCs/>
                <w:color w:val="auto"/>
                <w:sz w:val="24"/>
                <w:szCs w:val="21"/>
                <w:lang w:eastAsia="zh-CN"/>
              </w:rPr>
              <w:t>。</w:t>
            </w:r>
          </w:p>
        </w:tc>
      </w:tr>
      <w:tr w14:paraId="1B2B7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098F83E">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4.10</w:t>
            </w:r>
          </w:p>
        </w:tc>
        <w:tc>
          <w:tcPr>
            <w:tcW w:w="1642" w:type="dxa"/>
            <w:vAlign w:val="center"/>
          </w:tcPr>
          <w:p w14:paraId="4B4EE2BF">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产品出货地磅（60T）</w:t>
            </w:r>
          </w:p>
        </w:tc>
        <w:tc>
          <w:tcPr>
            <w:tcW w:w="1530" w:type="dxa"/>
            <w:vAlign w:val="center"/>
          </w:tcPr>
          <w:p w14:paraId="5EA1DACD">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60T</w:t>
            </w:r>
          </w:p>
        </w:tc>
        <w:tc>
          <w:tcPr>
            <w:tcW w:w="855" w:type="dxa"/>
            <w:vAlign w:val="center"/>
          </w:tcPr>
          <w:p w14:paraId="79915F50">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w:t>
            </w:r>
          </w:p>
        </w:tc>
        <w:tc>
          <w:tcPr>
            <w:tcW w:w="900" w:type="dxa"/>
            <w:vAlign w:val="center"/>
          </w:tcPr>
          <w:p w14:paraId="2119F1F3">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6377BCF7">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额定称量：60t（60000kg）分度值：20kg</w:t>
            </w:r>
          </w:p>
          <w:p w14:paraId="1B39950E">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标准台面尺寸：3.0m ×18m（可完整停靠半挂车）</w:t>
            </w:r>
          </w:p>
          <w:p w14:paraId="1DC8A0FF">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秤体结构：U型主梁加固结构，防滑花纹面板，厚度8～10mm，整体满焊,传感器：数字式防水传感器，IP68防护，防雷、抗干扰,称重仪表：高亮LED显示，支持称重、累计、打印、数据存储、电脑联网,整机防护：防水、防锈、耐腐蚀，适合长期露天日晒雨淋工作温度：-30℃～+70℃ 安全过载：125%F.S，极限过载150%F.S,供电：AC220V 50Hz</w:t>
            </w:r>
          </w:p>
          <w:p w14:paraId="0BC5E5A1">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含基础、调试</w:t>
            </w:r>
          </w:p>
        </w:tc>
      </w:tr>
      <w:tr w14:paraId="7C65A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20D7393">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4.11</w:t>
            </w:r>
          </w:p>
        </w:tc>
        <w:tc>
          <w:tcPr>
            <w:tcW w:w="1642" w:type="dxa"/>
            <w:vAlign w:val="center"/>
          </w:tcPr>
          <w:p w14:paraId="7B1550BD">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5</w:t>
            </w:r>
            <w:r>
              <w:rPr>
                <w:rFonts w:hint="eastAsia" w:ascii="宋体" w:hAnsi="宋体" w:eastAsia="宋体" w:cs="宋体"/>
                <w:b w:val="0"/>
                <w:bCs/>
                <w:color w:val="auto"/>
                <w:sz w:val="24"/>
                <w:lang w:val="en-US" w:eastAsia="zh-CN"/>
              </w:rPr>
              <w:t>kg</w:t>
            </w:r>
            <w:r>
              <w:rPr>
                <w:rFonts w:hint="eastAsia" w:ascii="宋体" w:hAnsi="宋体" w:eastAsia="宋体" w:cs="宋体"/>
                <w:b w:val="0"/>
                <w:bCs/>
                <w:color w:val="auto"/>
                <w:sz w:val="24"/>
              </w:rPr>
              <w:t>冷冻盘</w:t>
            </w:r>
          </w:p>
        </w:tc>
        <w:tc>
          <w:tcPr>
            <w:tcW w:w="1530" w:type="dxa"/>
            <w:vAlign w:val="center"/>
          </w:tcPr>
          <w:p w14:paraId="5521A65D">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5KG </w:t>
            </w:r>
          </w:p>
        </w:tc>
        <w:tc>
          <w:tcPr>
            <w:tcW w:w="855" w:type="dxa"/>
            <w:vAlign w:val="center"/>
          </w:tcPr>
          <w:p w14:paraId="0E422023">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200</w:t>
            </w:r>
          </w:p>
        </w:tc>
        <w:tc>
          <w:tcPr>
            <w:tcW w:w="900" w:type="dxa"/>
            <w:vAlign w:val="center"/>
          </w:tcPr>
          <w:p w14:paraId="569709C5">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个</w:t>
            </w:r>
          </w:p>
        </w:tc>
        <w:tc>
          <w:tcPr>
            <w:tcW w:w="3785" w:type="dxa"/>
            <w:vAlign w:val="center"/>
          </w:tcPr>
          <w:p w14:paraId="597E51DD">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材质：SUS304不锈钢，板厚0.4~0.6mm</w:t>
            </w:r>
          </w:p>
          <w:p w14:paraId="0FBDC3FF">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外径：约 360×260×65mm</w:t>
            </w:r>
          </w:p>
          <w:p w14:paraId="291DC819">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内径：约 330×230×60mm</w:t>
            </w:r>
          </w:p>
          <w:p w14:paraId="780B1511">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承重：5kg左右</w:t>
            </w:r>
          </w:p>
        </w:tc>
      </w:tr>
      <w:tr w14:paraId="21431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2A37AE8">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4.12</w:t>
            </w:r>
          </w:p>
        </w:tc>
        <w:tc>
          <w:tcPr>
            <w:tcW w:w="1642" w:type="dxa"/>
            <w:vAlign w:val="center"/>
          </w:tcPr>
          <w:p w14:paraId="64DAC7CE">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10</w:t>
            </w:r>
            <w:r>
              <w:rPr>
                <w:rFonts w:hint="eastAsia" w:ascii="宋体" w:hAnsi="宋体" w:eastAsia="宋体" w:cs="宋体"/>
                <w:b w:val="0"/>
                <w:bCs/>
                <w:color w:val="auto"/>
                <w:sz w:val="24"/>
                <w:lang w:val="en-US" w:eastAsia="zh-CN"/>
              </w:rPr>
              <w:t>kg</w:t>
            </w:r>
            <w:r>
              <w:rPr>
                <w:rFonts w:hint="eastAsia" w:ascii="宋体" w:hAnsi="宋体" w:eastAsia="宋体" w:cs="宋体"/>
                <w:b w:val="0"/>
                <w:bCs/>
                <w:color w:val="auto"/>
                <w:sz w:val="24"/>
              </w:rPr>
              <w:t>冷冻盘</w:t>
            </w:r>
          </w:p>
        </w:tc>
        <w:tc>
          <w:tcPr>
            <w:tcW w:w="1530" w:type="dxa"/>
            <w:vAlign w:val="center"/>
          </w:tcPr>
          <w:p w14:paraId="40922314">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10KG </w:t>
            </w:r>
          </w:p>
        </w:tc>
        <w:tc>
          <w:tcPr>
            <w:tcW w:w="855" w:type="dxa"/>
            <w:vAlign w:val="center"/>
          </w:tcPr>
          <w:p w14:paraId="5C07C572">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200</w:t>
            </w:r>
          </w:p>
        </w:tc>
        <w:tc>
          <w:tcPr>
            <w:tcW w:w="900" w:type="dxa"/>
            <w:vAlign w:val="center"/>
          </w:tcPr>
          <w:p w14:paraId="7E6228CF">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个</w:t>
            </w:r>
          </w:p>
        </w:tc>
        <w:tc>
          <w:tcPr>
            <w:tcW w:w="3785" w:type="dxa"/>
            <w:vAlign w:val="center"/>
          </w:tcPr>
          <w:p w14:paraId="3CA2EC07">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材质：SUS304不锈钢，板厚0.5~0.7mm</w:t>
            </w:r>
          </w:p>
          <w:p w14:paraId="047E5B07">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外径：约 460×320×75mm</w:t>
            </w:r>
          </w:p>
          <w:p w14:paraId="281581DC">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内径：约 430×290×70mm</w:t>
            </w:r>
          </w:p>
          <w:p w14:paraId="77D44AFA">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承重：10kg左右</w:t>
            </w:r>
          </w:p>
        </w:tc>
      </w:tr>
      <w:tr w14:paraId="07E64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FCA4BD7">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4.13</w:t>
            </w:r>
          </w:p>
        </w:tc>
        <w:tc>
          <w:tcPr>
            <w:tcW w:w="1642" w:type="dxa"/>
            <w:vAlign w:val="center"/>
          </w:tcPr>
          <w:p w14:paraId="47E857A6">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25</w:t>
            </w:r>
            <w:r>
              <w:rPr>
                <w:rFonts w:hint="eastAsia" w:ascii="宋体" w:hAnsi="宋体" w:eastAsia="宋体" w:cs="宋体"/>
                <w:b w:val="0"/>
                <w:bCs/>
                <w:color w:val="auto"/>
                <w:sz w:val="24"/>
                <w:lang w:val="en-US" w:eastAsia="zh-CN"/>
              </w:rPr>
              <w:t>kg</w:t>
            </w:r>
            <w:r>
              <w:rPr>
                <w:rFonts w:hint="eastAsia" w:ascii="宋体" w:hAnsi="宋体" w:eastAsia="宋体" w:cs="宋体"/>
                <w:b w:val="0"/>
                <w:bCs/>
                <w:color w:val="auto"/>
                <w:sz w:val="24"/>
              </w:rPr>
              <w:t>冷冻盘</w:t>
            </w:r>
          </w:p>
        </w:tc>
        <w:tc>
          <w:tcPr>
            <w:tcW w:w="1530" w:type="dxa"/>
            <w:vAlign w:val="center"/>
          </w:tcPr>
          <w:p w14:paraId="0C634A11">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 xml:space="preserve">25KG </w:t>
            </w:r>
          </w:p>
        </w:tc>
        <w:tc>
          <w:tcPr>
            <w:tcW w:w="855" w:type="dxa"/>
            <w:vAlign w:val="center"/>
          </w:tcPr>
          <w:p w14:paraId="071A5FCE">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500</w:t>
            </w:r>
          </w:p>
        </w:tc>
        <w:tc>
          <w:tcPr>
            <w:tcW w:w="900" w:type="dxa"/>
            <w:vAlign w:val="center"/>
          </w:tcPr>
          <w:p w14:paraId="5A25EC89">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个</w:t>
            </w:r>
          </w:p>
        </w:tc>
        <w:tc>
          <w:tcPr>
            <w:tcW w:w="3785" w:type="dxa"/>
            <w:vAlign w:val="center"/>
          </w:tcPr>
          <w:p w14:paraId="4AFDAD11">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材质：SUS304不锈钢，板厚0.7~1.0mm</w:t>
            </w:r>
          </w:p>
          <w:p w14:paraId="5E50E887">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外径：约 630×420×100mm</w:t>
            </w:r>
          </w:p>
          <w:p w14:paraId="75474F06">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内径：约 590×380×90mm</w:t>
            </w:r>
          </w:p>
          <w:p w14:paraId="429F73C8">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承重：25kg左右</w:t>
            </w:r>
          </w:p>
        </w:tc>
      </w:tr>
      <w:tr w14:paraId="5E775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5CB7AEE9">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4.14</w:t>
            </w:r>
          </w:p>
        </w:tc>
        <w:tc>
          <w:tcPr>
            <w:tcW w:w="1642" w:type="dxa"/>
            <w:vAlign w:val="center"/>
          </w:tcPr>
          <w:p w14:paraId="7B095102">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双室真空包装机</w:t>
            </w:r>
          </w:p>
        </w:tc>
        <w:tc>
          <w:tcPr>
            <w:tcW w:w="1530" w:type="dxa"/>
            <w:vAlign w:val="center"/>
          </w:tcPr>
          <w:p w14:paraId="72D1AB93">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DZ-600/2S</w:t>
            </w:r>
          </w:p>
        </w:tc>
        <w:tc>
          <w:tcPr>
            <w:tcW w:w="855" w:type="dxa"/>
            <w:vAlign w:val="center"/>
          </w:tcPr>
          <w:p w14:paraId="2C5D6B7C">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2</w:t>
            </w:r>
          </w:p>
        </w:tc>
        <w:tc>
          <w:tcPr>
            <w:tcW w:w="900" w:type="dxa"/>
            <w:vAlign w:val="center"/>
          </w:tcPr>
          <w:p w14:paraId="07AE1EE0">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7BD7E62E">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SUS304不锈钢机身、双真空室、大功率真空泵、加热封条、微电脑面板</w:t>
            </w:r>
            <w:r>
              <w:rPr>
                <w:rFonts w:hint="eastAsia" w:ascii="宋体" w:hAnsi="宋体" w:eastAsia="宋体" w:cs="宋体"/>
                <w:b w:val="0"/>
                <w:bCs/>
                <w:color w:val="auto"/>
                <w:sz w:val="24"/>
                <w:szCs w:val="21"/>
                <w:lang w:eastAsia="zh-CN"/>
              </w:rPr>
              <w:t>；</w:t>
            </w:r>
          </w:p>
          <w:p w14:paraId="4D3B060C">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外形尺寸：约 1450–1515×700–750×940–1090 mm真空室尺寸：约 600–760×550–620×100–160 mm</w:t>
            </w:r>
          </w:p>
          <w:p w14:paraId="0CE16C5D">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封口：600 mm×2条/室,重量：≈280–360 kg,功率3KW</w:t>
            </w:r>
          </w:p>
        </w:tc>
      </w:tr>
      <w:tr w14:paraId="25F11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CB2F34F">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4.15</w:t>
            </w:r>
          </w:p>
        </w:tc>
        <w:tc>
          <w:tcPr>
            <w:tcW w:w="1642" w:type="dxa"/>
            <w:vAlign w:val="center"/>
          </w:tcPr>
          <w:p w14:paraId="036F109B">
            <w:pPr>
              <w:widowControl/>
              <w:jc w:val="left"/>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打包机</w:t>
            </w:r>
          </w:p>
        </w:tc>
        <w:tc>
          <w:tcPr>
            <w:tcW w:w="1530" w:type="dxa"/>
            <w:vAlign w:val="center"/>
          </w:tcPr>
          <w:p w14:paraId="3F101EF5">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 xml:space="preserve"> MH-101A/CY-BL10A </w:t>
            </w:r>
          </w:p>
        </w:tc>
        <w:tc>
          <w:tcPr>
            <w:tcW w:w="855" w:type="dxa"/>
            <w:vAlign w:val="center"/>
          </w:tcPr>
          <w:p w14:paraId="47850596">
            <w:pPr>
              <w:widowControl/>
              <w:jc w:val="center"/>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2</w:t>
            </w:r>
          </w:p>
        </w:tc>
        <w:tc>
          <w:tcPr>
            <w:tcW w:w="900" w:type="dxa"/>
            <w:vAlign w:val="center"/>
          </w:tcPr>
          <w:p w14:paraId="25784EF1">
            <w:pPr>
              <w:widowControl/>
              <w:ind w:firstLine="240" w:firstLineChars="100"/>
              <w:textAlignment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rPr>
              <w:t>台</w:t>
            </w:r>
          </w:p>
        </w:tc>
        <w:tc>
          <w:tcPr>
            <w:tcW w:w="3785" w:type="dxa"/>
            <w:vAlign w:val="center"/>
          </w:tcPr>
          <w:p w14:paraId="7C21176D">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机身不锈钢，外形尺寸：约 1410–1450 × 600 × 1520–1540 mm台面高度：750 mm（标准高台，适配流水线）弓架（框架）尺寸：标准 800 mm（宽）× 600 mm（高）（可定制 500–2200 mm）,适用包件：最小 80×60 mm，最大 ≤800×600 mm,</w:t>
            </w:r>
          </w:p>
          <w:p w14:paraId="4FAE4326">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机器重量：210–250 kg,</w:t>
            </w:r>
          </w:p>
          <w:p w14:paraId="052BF317">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电压380V，功率1.0KW</w:t>
            </w:r>
          </w:p>
          <w:p w14:paraId="77F64B1C">
            <w:pPr>
              <w:ind w:leftChars="100"/>
              <w:rPr>
                <w:rFonts w:hint="eastAsia" w:ascii="宋体" w:hAnsi="宋体" w:eastAsia="宋体" w:cs="宋体"/>
                <w:b w:val="0"/>
                <w:bCs/>
                <w:color w:val="auto"/>
                <w:kern w:val="0"/>
                <w:sz w:val="24"/>
                <w:szCs w:val="21"/>
              </w:rPr>
            </w:pPr>
            <w:r>
              <w:rPr>
                <w:rFonts w:hint="eastAsia" w:ascii="宋体" w:hAnsi="宋体" w:eastAsia="宋体" w:cs="宋体"/>
                <w:b w:val="0"/>
                <w:bCs/>
                <w:color w:val="auto"/>
                <w:sz w:val="24"/>
                <w:szCs w:val="21"/>
              </w:rPr>
              <w:t>适用打包带材质：PP 聚丙烯宽度：9、12、15、19 mm（常用 12 mm），厚度：0.55–1.2 mm</w:t>
            </w:r>
          </w:p>
        </w:tc>
      </w:tr>
      <w:tr w14:paraId="47B84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51E4261C">
            <w:pPr>
              <w:widowControl/>
              <w:spacing w:line="400" w:lineRule="exact"/>
              <w:ind w:leftChars="100"/>
              <w:rPr>
                <w:rFonts w:hint="eastAsia" w:ascii="宋体" w:hAnsi="宋体" w:eastAsia="宋体" w:cs="宋体"/>
                <w:b w:val="0"/>
                <w:bCs/>
                <w:color w:val="auto"/>
                <w:kern w:val="0"/>
                <w:sz w:val="24"/>
                <w:szCs w:val="21"/>
              </w:rPr>
            </w:pPr>
            <w:r>
              <w:rPr>
                <w:rFonts w:hint="eastAsia" w:ascii="宋体" w:hAnsi="宋体" w:eastAsia="宋体" w:cs="宋体"/>
                <w:b/>
                <w:bCs w:val="0"/>
                <w:color w:val="auto"/>
                <w:kern w:val="0"/>
                <w:sz w:val="24"/>
                <w:szCs w:val="21"/>
              </w:rPr>
              <w:t>五、</w:t>
            </w:r>
            <w:r>
              <w:rPr>
                <w:rFonts w:hint="eastAsia" w:ascii="宋体" w:hAnsi="宋体" w:eastAsia="宋体" w:cs="宋体"/>
                <w:b/>
                <w:bCs w:val="0"/>
                <w:color w:val="auto"/>
                <w:kern w:val="0"/>
                <w:sz w:val="24"/>
                <w:szCs w:val="21"/>
                <w:lang w:val="en-US" w:eastAsia="zh-CN"/>
              </w:rPr>
              <w:t>屠宰区</w:t>
            </w:r>
            <w:r>
              <w:rPr>
                <w:rFonts w:hint="eastAsia" w:ascii="宋体" w:hAnsi="宋体" w:eastAsia="宋体" w:cs="宋体"/>
                <w:b/>
                <w:bCs w:val="0"/>
                <w:color w:val="auto"/>
                <w:kern w:val="0"/>
                <w:sz w:val="24"/>
                <w:szCs w:val="21"/>
              </w:rPr>
              <w:t>安装部分</w:t>
            </w:r>
          </w:p>
        </w:tc>
      </w:tr>
      <w:tr w14:paraId="301E7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FCD5F63">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5.1</w:t>
            </w:r>
          </w:p>
        </w:tc>
        <w:tc>
          <w:tcPr>
            <w:tcW w:w="1642" w:type="dxa"/>
            <w:vAlign w:val="center"/>
          </w:tcPr>
          <w:p w14:paraId="1887A4CE">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工艺钢梁及悬挂结构</w:t>
            </w:r>
          </w:p>
        </w:tc>
        <w:tc>
          <w:tcPr>
            <w:tcW w:w="1530" w:type="dxa"/>
            <w:vAlign w:val="center"/>
          </w:tcPr>
          <w:p w14:paraId="27940552">
            <w:pPr>
              <w:widowControl/>
              <w:tabs>
                <w:tab w:val="left" w:pos="3046"/>
              </w:tabs>
              <w:spacing w:line="400" w:lineRule="exact"/>
              <w:rPr>
                <w:rFonts w:hint="eastAsia" w:ascii="宋体" w:hAnsi="宋体" w:eastAsia="宋体" w:cs="宋体"/>
                <w:b w:val="0"/>
                <w:bCs/>
                <w:color w:val="auto"/>
                <w:kern w:val="0"/>
                <w:sz w:val="24"/>
                <w:szCs w:val="21"/>
              </w:rPr>
            </w:pPr>
          </w:p>
        </w:tc>
        <w:tc>
          <w:tcPr>
            <w:tcW w:w="855" w:type="dxa"/>
            <w:vAlign w:val="center"/>
          </w:tcPr>
          <w:p w14:paraId="4EB42DEC">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42</w:t>
            </w:r>
          </w:p>
        </w:tc>
        <w:tc>
          <w:tcPr>
            <w:tcW w:w="900" w:type="dxa"/>
            <w:vAlign w:val="center"/>
          </w:tcPr>
          <w:p w14:paraId="1A37BBE5">
            <w:pPr>
              <w:widowControl/>
              <w:spacing w:line="400" w:lineRule="exact"/>
              <w:jc w:val="center"/>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吨</w:t>
            </w:r>
          </w:p>
        </w:tc>
        <w:tc>
          <w:tcPr>
            <w:tcW w:w="3785" w:type="dxa"/>
            <w:vAlign w:val="center"/>
          </w:tcPr>
          <w:p w14:paraId="787F3A01">
            <w:pPr>
              <w:spacing w:line="300" w:lineRule="exact"/>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主钢梁采用国标热镀锌25# 20#16#工字钢，热镀锌φ140*3mm立柱,含悬吊结构采用热镀锌8#-10#槽钢制作，方管制作</w:t>
            </w:r>
            <w:r>
              <w:rPr>
                <w:rFonts w:hint="eastAsia" w:ascii="宋体" w:hAnsi="宋体" w:eastAsia="宋体" w:cs="宋体"/>
                <w:b w:val="0"/>
                <w:bCs/>
                <w:color w:val="auto"/>
                <w:sz w:val="24"/>
                <w:szCs w:val="21"/>
                <w:lang w:eastAsia="zh-CN"/>
              </w:rPr>
              <w:t>；</w:t>
            </w:r>
          </w:p>
          <w:p w14:paraId="3BF936ED">
            <w:pPr>
              <w:ind w:leftChars="100"/>
              <w:rPr>
                <w:rFonts w:hint="eastAsia" w:ascii="宋体" w:hAnsi="宋体" w:eastAsia="宋体" w:cs="宋体"/>
                <w:b w:val="0"/>
                <w:bCs/>
                <w:color w:val="auto"/>
                <w:sz w:val="24"/>
                <w:szCs w:val="21"/>
              </w:rPr>
            </w:pPr>
            <w:r>
              <w:rPr>
                <w:rFonts w:hint="eastAsia" w:ascii="宋体" w:hAnsi="宋体" w:eastAsia="宋体" w:cs="宋体"/>
                <w:b w:val="0"/>
                <w:bCs/>
                <w:color w:val="auto"/>
                <w:sz w:val="24"/>
                <w:szCs w:val="21"/>
              </w:rPr>
              <w:t>悬吊结构，吊点采用镀锌螺栓连接,连接标准件为国标镀锌</w:t>
            </w:r>
          </w:p>
          <w:p w14:paraId="33684A98">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rPr>
              <w:t>钢牛腿12mm厚度镀锌钢板制作,立柱顶底板10mm钢板制作</w:t>
            </w:r>
            <w:r>
              <w:rPr>
                <w:rFonts w:hint="eastAsia" w:ascii="宋体" w:hAnsi="宋体" w:eastAsia="宋体" w:cs="宋体"/>
                <w:b w:val="0"/>
                <w:bCs/>
                <w:color w:val="auto"/>
                <w:sz w:val="24"/>
                <w:szCs w:val="21"/>
                <w:lang w:eastAsia="zh-CN"/>
              </w:rPr>
              <w:t>；</w:t>
            </w:r>
          </w:p>
          <w:p w14:paraId="21672A30">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含设计、制作、安装、防腐、检测。</w:t>
            </w:r>
          </w:p>
        </w:tc>
      </w:tr>
      <w:tr w14:paraId="1344D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51285687">
            <w:pPr>
              <w:ind w:leftChars="100"/>
              <w:rPr>
                <w:rFonts w:hint="eastAsia" w:ascii="宋体" w:hAnsi="宋体" w:eastAsia="宋体" w:cs="宋体"/>
                <w:b w:val="0"/>
                <w:bCs/>
                <w:color w:val="auto"/>
                <w:sz w:val="24"/>
                <w:szCs w:val="21"/>
                <w:lang w:eastAsia="zh-CN"/>
              </w:rPr>
            </w:pPr>
            <w:r>
              <w:rPr>
                <w:rFonts w:hint="eastAsia" w:ascii="宋体" w:hAnsi="宋体" w:eastAsia="宋体" w:cs="宋体"/>
                <w:b/>
                <w:bCs w:val="0"/>
                <w:color w:val="auto"/>
                <w:kern w:val="0"/>
                <w:sz w:val="24"/>
                <w:szCs w:val="21"/>
                <w:lang w:val="en-US" w:eastAsia="zh-CN"/>
              </w:rPr>
              <w:t>六、排酸库设备</w:t>
            </w:r>
          </w:p>
        </w:tc>
      </w:tr>
      <w:tr w14:paraId="57BF3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75471411">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6.1</w:t>
            </w:r>
          </w:p>
        </w:tc>
        <w:tc>
          <w:tcPr>
            <w:tcW w:w="1642" w:type="dxa"/>
            <w:vAlign w:val="center"/>
          </w:tcPr>
          <w:p w14:paraId="695C34AF">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制冷机组</w:t>
            </w:r>
          </w:p>
        </w:tc>
        <w:tc>
          <w:tcPr>
            <w:tcW w:w="1530" w:type="dxa"/>
            <w:vAlign w:val="center"/>
          </w:tcPr>
          <w:p w14:paraId="5E2A550A">
            <w:pPr>
              <w:widowControl/>
              <w:spacing w:line="400" w:lineRule="exact"/>
              <w:rPr>
                <w:rFonts w:hint="eastAsia" w:ascii="宋体" w:hAnsi="宋体" w:eastAsia="宋体" w:cs="宋体"/>
                <w:b w:val="0"/>
                <w:bCs/>
                <w:color w:val="auto"/>
                <w:kern w:val="0"/>
                <w:sz w:val="24"/>
                <w:szCs w:val="21"/>
                <w:lang w:val="en-US" w:eastAsia="en-US"/>
              </w:rPr>
            </w:pPr>
            <w:r>
              <w:rPr>
                <w:rFonts w:hint="eastAsia" w:ascii="宋体" w:hAnsi="宋体" w:eastAsia="宋体" w:cs="宋体"/>
                <w:b w:val="0"/>
                <w:bCs/>
                <w:color w:val="auto"/>
                <w:kern w:val="0"/>
                <w:sz w:val="24"/>
                <w:szCs w:val="21"/>
                <w:lang w:val="en-US" w:eastAsia="en-US"/>
              </w:rPr>
              <w:t>12P智能热氟除霜制冷机组</w:t>
            </w:r>
          </w:p>
        </w:tc>
        <w:tc>
          <w:tcPr>
            <w:tcW w:w="855" w:type="dxa"/>
            <w:vAlign w:val="center"/>
          </w:tcPr>
          <w:p w14:paraId="7216F4C9">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15</w:t>
            </w:r>
          </w:p>
        </w:tc>
        <w:tc>
          <w:tcPr>
            <w:tcW w:w="900" w:type="dxa"/>
            <w:vAlign w:val="center"/>
          </w:tcPr>
          <w:p w14:paraId="65D3D912">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套</w:t>
            </w:r>
          </w:p>
        </w:tc>
        <w:tc>
          <w:tcPr>
            <w:tcW w:w="3785" w:type="dxa"/>
            <w:vAlign w:val="center"/>
          </w:tcPr>
          <w:p w14:paraId="5F6F60DC">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 xml:space="preserve"> 1、高效节能，比普通活塞式制冷设备节能50%；</w:t>
            </w:r>
          </w:p>
          <w:p w14:paraId="2E127003">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 xml:space="preserve"> 2、主机采用变频涡旋低噪音压缩机；</w:t>
            </w:r>
          </w:p>
          <w:p w14:paraId="1489DC28">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 xml:space="preserve"> 3、热氟融霜系统控制技术，有霜化霜，无霜不化，霜尽退出；</w:t>
            </w:r>
          </w:p>
          <w:p w14:paraId="0D491F26">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 xml:space="preserve"> 4、全域温度检测技术，温度精准控制；</w:t>
            </w:r>
          </w:p>
          <w:p w14:paraId="50D09E36">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 xml:space="preserve">  5、OTA智能物联远系统管理技术操控、调试，升级轻松解决；</w:t>
            </w:r>
          </w:p>
          <w:p w14:paraId="2F2797F3">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 xml:space="preserve">  6、冷媒流量分配技术，精准分配冷媒，提高运行效率。</w:t>
            </w:r>
          </w:p>
          <w:p w14:paraId="6E3CF270">
            <w:pPr>
              <w:ind w:leftChars="100"/>
              <w:rPr>
                <w:rFonts w:hint="eastAsia" w:ascii="宋体" w:hAnsi="宋体" w:eastAsia="宋体" w:cs="宋体"/>
                <w:b w:val="0"/>
                <w:bCs/>
                <w:color w:val="auto"/>
                <w:sz w:val="24"/>
                <w:szCs w:val="21"/>
                <w:lang w:val="en-US" w:eastAsia="zh-CN"/>
              </w:rPr>
            </w:pPr>
            <w:r>
              <w:rPr>
                <w:rFonts w:hint="eastAsia" w:ascii="宋体" w:hAnsi="宋体" w:eastAsia="宋体" w:cs="宋体"/>
                <w:b w:val="0"/>
                <w:bCs/>
                <w:color w:val="auto"/>
                <w:sz w:val="24"/>
                <w:szCs w:val="21"/>
                <w:lang w:val="en-US" w:eastAsia="zh-CN"/>
              </w:rPr>
              <w:t xml:space="preserve">  7、保鲜库0—4℃ 尺寸10M×4.5M×5M×1间；</w:t>
            </w:r>
          </w:p>
          <w:p w14:paraId="79BF0154">
            <w:pPr>
              <w:ind w:leftChars="100"/>
              <w:rPr>
                <w:rFonts w:hint="default" w:ascii="宋体" w:hAnsi="宋体" w:eastAsia="宋体" w:cs="宋体"/>
                <w:b w:val="0"/>
                <w:bCs/>
                <w:color w:val="auto"/>
                <w:sz w:val="24"/>
                <w:szCs w:val="21"/>
                <w:lang w:val="en-US" w:eastAsia="zh-CN"/>
              </w:rPr>
            </w:pPr>
            <w:r>
              <w:rPr>
                <w:rFonts w:hint="eastAsia" w:ascii="宋体" w:hAnsi="宋体" w:eastAsia="宋体" w:cs="宋体"/>
                <w:b w:val="0"/>
                <w:bCs/>
                <w:color w:val="auto"/>
                <w:sz w:val="24"/>
                <w:szCs w:val="21"/>
                <w:lang w:val="en-US" w:eastAsia="zh-CN"/>
              </w:rPr>
              <w:t>分割车间12℃，尺寸21M×12M×1间。</w:t>
            </w:r>
          </w:p>
          <w:p w14:paraId="43DD455E">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val="en-US" w:eastAsia="zh-CN"/>
              </w:rPr>
              <w:t xml:space="preserve">  8、含相关配件、辅材、安装、调试、运输等费用。</w:t>
            </w:r>
          </w:p>
        </w:tc>
      </w:tr>
      <w:tr w14:paraId="61AC6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BF04235">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6.2</w:t>
            </w:r>
          </w:p>
        </w:tc>
        <w:tc>
          <w:tcPr>
            <w:tcW w:w="1642" w:type="dxa"/>
            <w:vAlign w:val="center"/>
          </w:tcPr>
          <w:p w14:paraId="6A983993">
            <w:pPr>
              <w:widowControl/>
              <w:spacing w:line="400" w:lineRule="exact"/>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冷库板</w:t>
            </w:r>
          </w:p>
        </w:tc>
        <w:tc>
          <w:tcPr>
            <w:tcW w:w="1530" w:type="dxa"/>
            <w:vAlign w:val="center"/>
          </w:tcPr>
          <w:p w14:paraId="228C70BC">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6</w:t>
            </w:r>
            <w:r>
              <w:rPr>
                <w:rFonts w:hint="eastAsia" w:ascii="宋体" w:hAnsi="宋体" w:eastAsia="宋体" w:cs="宋体"/>
                <w:b w:val="0"/>
                <w:bCs/>
                <w:color w:val="auto"/>
                <w:kern w:val="0"/>
                <w:sz w:val="24"/>
                <w:szCs w:val="21"/>
                <w:lang w:val="en-US" w:eastAsia="zh-CN"/>
              </w:rPr>
              <w:t>m宽</w:t>
            </w:r>
            <w:r>
              <w:rPr>
                <w:rFonts w:hint="eastAsia" w:ascii="宋体" w:hAnsi="宋体" w:eastAsia="宋体" w:cs="宋体"/>
                <w:b w:val="0"/>
                <w:bCs/>
                <w:color w:val="auto"/>
                <w:kern w:val="0"/>
                <w:sz w:val="24"/>
                <w:szCs w:val="21"/>
              </w:rPr>
              <w:t>*12.5</w:t>
            </w:r>
            <w:r>
              <w:rPr>
                <w:rFonts w:hint="eastAsia" w:ascii="宋体" w:hAnsi="宋体" w:eastAsia="宋体" w:cs="宋体"/>
                <w:b w:val="0"/>
                <w:bCs/>
                <w:color w:val="auto"/>
                <w:kern w:val="0"/>
                <w:sz w:val="24"/>
                <w:szCs w:val="21"/>
                <w:lang w:val="en-US" w:eastAsia="zh-CN"/>
              </w:rPr>
              <w:t>m长</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4.5m高</w:t>
            </w:r>
            <w:r>
              <w:rPr>
                <w:rFonts w:hint="eastAsia" w:ascii="宋体" w:hAnsi="宋体" w:eastAsia="宋体" w:cs="宋体"/>
                <w:b w:val="0"/>
                <w:bCs/>
                <w:color w:val="auto"/>
                <w:kern w:val="0"/>
                <w:sz w:val="24"/>
                <w:szCs w:val="21"/>
              </w:rPr>
              <w:t xml:space="preserve"> 三间</w:t>
            </w:r>
          </w:p>
        </w:tc>
        <w:tc>
          <w:tcPr>
            <w:tcW w:w="855" w:type="dxa"/>
            <w:vAlign w:val="center"/>
          </w:tcPr>
          <w:p w14:paraId="133F9AB2">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612</w:t>
            </w:r>
          </w:p>
        </w:tc>
        <w:tc>
          <w:tcPr>
            <w:tcW w:w="900" w:type="dxa"/>
            <w:vAlign w:val="center"/>
          </w:tcPr>
          <w:p w14:paraId="7AB2CC81">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平方</w:t>
            </w:r>
          </w:p>
        </w:tc>
        <w:tc>
          <w:tcPr>
            <w:tcW w:w="3785" w:type="dxa"/>
            <w:vAlign w:val="center"/>
          </w:tcPr>
          <w:p w14:paraId="5BA5C401">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100mm厚双面彩钢聚氨酯保温板，容重35kg/m³</w:t>
            </w:r>
          </w:p>
          <w:p w14:paraId="1FAD6F8F">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val="en-US" w:eastAsia="zh-CN"/>
              </w:rPr>
              <w:t>含相关配件、辅材、安装、运输等费用。</w:t>
            </w:r>
          </w:p>
        </w:tc>
      </w:tr>
      <w:tr w14:paraId="20D04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5FC742A">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6.3</w:t>
            </w:r>
          </w:p>
        </w:tc>
        <w:tc>
          <w:tcPr>
            <w:tcW w:w="1642" w:type="dxa"/>
            <w:vAlign w:val="center"/>
          </w:tcPr>
          <w:p w14:paraId="2F05A1D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冷库门</w:t>
            </w:r>
          </w:p>
        </w:tc>
        <w:tc>
          <w:tcPr>
            <w:tcW w:w="1530" w:type="dxa"/>
            <w:vAlign w:val="center"/>
          </w:tcPr>
          <w:p w14:paraId="2EA61AFE">
            <w:pPr>
              <w:widowControl/>
              <w:tabs>
                <w:tab w:val="left" w:pos="3046"/>
              </w:tabs>
              <w:spacing w:line="400" w:lineRule="exact"/>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rPr>
              <w:t>1.5</w:t>
            </w:r>
            <w:r>
              <w:rPr>
                <w:rFonts w:hint="eastAsia" w:ascii="宋体" w:hAnsi="宋体" w:eastAsia="宋体" w:cs="宋体"/>
                <w:b w:val="0"/>
                <w:bCs/>
                <w:color w:val="auto"/>
                <w:kern w:val="0"/>
                <w:sz w:val="24"/>
                <w:szCs w:val="21"/>
                <w:lang w:val="en-US" w:eastAsia="zh-CN"/>
              </w:rPr>
              <w:t>m宽</w:t>
            </w:r>
            <w:r>
              <w:rPr>
                <w:rFonts w:hint="eastAsia" w:ascii="宋体" w:hAnsi="宋体" w:eastAsia="宋体" w:cs="宋体"/>
                <w:b w:val="0"/>
                <w:bCs/>
                <w:color w:val="auto"/>
                <w:kern w:val="0"/>
                <w:sz w:val="24"/>
                <w:szCs w:val="21"/>
              </w:rPr>
              <w:t>*2.7</w:t>
            </w:r>
            <w:r>
              <w:rPr>
                <w:rFonts w:hint="eastAsia" w:ascii="宋体" w:hAnsi="宋体" w:eastAsia="宋体" w:cs="宋体"/>
                <w:b w:val="0"/>
                <w:bCs/>
                <w:color w:val="auto"/>
                <w:kern w:val="0"/>
                <w:sz w:val="24"/>
                <w:szCs w:val="21"/>
                <w:lang w:val="en-US" w:eastAsia="zh-CN"/>
              </w:rPr>
              <w:t>m高</w:t>
            </w:r>
            <w:r>
              <w:rPr>
                <w:rFonts w:hint="eastAsia" w:ascii="宋体" w:hAnsi="宋体" w:eastAsia="宋体" w:cs="宋体"/>
                <w:b w:val="0"/>
                <w:bCs/>
                <w:color w:val="auto"/>
                <w:kern w:val="0"/>
                <w:sz w:val="24"/>
                <w:szCs w:val="21"/>
              </w:rPr>
              <w:t>*1</w:t>
            </w:r>
            <w:r>
              <w:rPr>
                <w:rFonts w:hint="eastAsia" w:ascii="宋体" w:hAnsi="宋体" w:eastAsia="宋体" w:cs="宋体"/>
                <w:b w:val="0"/>
                <w:bCs/>
                <w:color w:val="auto"/>
                <w:kern w:val="0"/>
                <w:sz w:val="24"/>
                <w:szCs w:val="21"/>
                <w:lang w:val="en-US" w:eastAsia="zh-CN"/>
              </w:rPr>
              <w:t>00mm厚</w:t>
            </w:r>
          </w:p>
        </w:tc>
        <w:tc>
          <w:tcPr>
            <w:tcW w:w="855" w:type="dxa"/>
            <w:vAlign w:val="center"/>
          </w:tcPr>
          <w:p w14:paraId="7A4D7DEB">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6</w:t>
            </w:r>
          </w:p>
        </w:tc>
        <w:tc>
          <w:tcPr>
            <w:tcW w:w="900" w:type="dxa"/>
            <w:vAlign w:val="center"/>
          </w:tcPr>
          <w:p w14:paraId="79956942">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扇</w:t>
            </w:r>
          </w:p>
        </w:tc>
        <w:tc>
          <w:tcPr>
            <w:tcW w:w="3785" w:type="dxa"/>
            <w:vAlign w:val="center"/>
          </w:tcPr>
          <w:p w14:paraId="69ACAC81">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不锈钢面板手动平移冷库门</w:t>
            </w:r>
          </w:p>
          <w:p w14:paraId="1C1C7852">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val="en-US" w:eastAsia="zh-CN"/>
              </w:rPr>
              <w:t>含相关配件、辅材、安装、运输等费用。</w:t>
            </w:r>
          </w:p>
        </w:tc>
      </w:tr>
      <w:tr w14:paraId="6EB78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69CC65C0">
            <w:pPr>
              <w:ind w:leftChars="100"/>
              <w:rPr>
                <w:rFonts w:hint="default" w:ascii="宋体" w:hAnsi="宋体" w:eastAsia="宋体" w:cs="宋体"/>
                <w:b w:val="0"/>
                <w:bCs/>
                <w:color w:val="auto"/>
                <w:sz w:val="24"/>
                <w:szCs w:val="21"/>
                <w:lang w:val="en-US" w:eastAsia="zh-CN"/>
              </w:rPr>
            </w:pPr>
            <w:r>
              <w:rPr>
                <w:rFonts w:hint="eastAsia" w:ascii="宋体" w:hAnsi="宋体" w:eastAsia="宋体" w:cs="宋体"/>
                <w:b/>
                <w:bCs w:val="0"/>
                <w:color w:val="auto"/>
                <w:sz w:val="24"/>
                <w:szCs w:val="21"/>
                <w:lang w:val="en-US" w:eastAsia="zh-CN"/>
              </w:rPr>
              <w:t>七、速冻库设备</w:t>
            </w:r>
          </w:p>
        </w:tc>
      </w:tr>
      <w:tr w14:paraId="356E9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023B598">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7.1</w:t>
            </w:r>
          </w:p>
        </w:tc>
        <w:tc>
          <w:tcPr>
            <w:tcW w:w="1642" w:type="dxa"/>
            <w:vAlign w:val="center"/>
          </w:tcPr>
          <w:p w14:paraId="4E5279E8">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制冷机组</w:t>
            </w:r>
          </w:p>
        </w:tc>
        <w:tc>
          <w:tcPr>
            <w:tcW w:w="1530" w:type="dxa"/>
            <w:vAlign w:val="center"/>
          </w:tcPr>
          <w:p w14:paraId="1CF64FCC">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40P活塞式低温制冷机组</w:t>
            </w:r>
          </w:p>
        </w:tc>
        <w:tc>
          <w:tcPr>
            <w:tcW w:w="855" w:type="dxa"/>
            <w:vAlign w:val="center"/>
          </w:tcPr>
          <w:p w14:paraId="1A4D3445">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1</w:t>
            </w:r>
          </w:p>
        </w:tc>
        <w:tc>
          <w:tcPr>
            <w:tcW w:w="900" w:type="dxa"/>
            <w:vAlign w:val="center"/>
          </w:tcPr>
          <w:p w14:paraId="1F0FE931">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台</w:t>
            </w:r>
          </w:p>
        </w:tc>
        <w:tc>
          <w:tcPr>
            <w:tcW w:w="3785" w:type="dxa"/>
            <w:vAlign w:val="center"/>
          </w:tcPr>
          <w:p w14:paraId="41BC917E">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lang w:eastAsia="zh-CN"/>
              </w:rPr>
              <w:t>速冻库-35℃  9×4.5×5（米）×</w:t>
            </w:r>
            <w:r>
              <w:rPr>
                <w:rFonts w:hint="eastAsia" w:ascii="宋体" w:hAnsi="宋体" w:eastAsia="宋体" w:cs="宋体"/>
                <w:b w:val="0"/>
                <w:bCs/>
                <w:color w:val="auto"/>
                <w:kern w:val="0"/>
                <w:sz w:val="24"/>
                <w:szCs w:val="21"/>
                <w:lang w:val="en-US" w:eastAsia="zh-CN"/>
              </w:rPr>
              <w:t>1</w:t>
            </w:r>
            <w:r>
              <w:rPr>
                <w:rFonts w:hint="eastAsia" w:ascii="宋体" w:hAnsi="宋体" w:eastAsia="宋体" w:cs="宋体"/>
                <w:b w:val="0"/>
                <w:bCs/>
                <w:color w:val="auto"/>
                <w:kern w:val="0"/>
                <w:sz w:val="24"/>
                <w:szCs w:val="21"/>
                <w:lang w:eastAsia="zh-CN"/>
              </w:rPr>
              <w:t>间，每间速冻能力3-5吨；</w:t>
            </w:r>
          </w:p>
          <w:p w14:paraId="5A6FE0F1">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lang w:eastAsia="zh-CN"/>
              </w:rPr>
              <w:t>1间采用速冻架加轴流风机；</w:t>
            </w:r>
          </w:p>
          <w:p w14:paraId="1304721E">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lang w:val="en-US" w:eastAsia="zh-CN"/>
              </w:rPr>
              <w:t>含相关配件、辅材、安装、调试、运输等费用。</w:t>
            </w:r>
          </w:p>
        </w:tc>
      </w:tr>
      <w:tr w14:paraId="105E8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119AE712">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7.2</w:t>
            </w:r>
          </w:p>
        </w:tc>
        <w:tc>
          <w:tcPr>
            <w:tcW w:w="1642" w:type="dxa"/>
            <w:vAlign w:val="center"/>
          </w:tcPr>
          <w:p w14:paraId="17D5CBCB">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制冷机组</w:t>
            </w:r>
          </w:p>
        </w:tc>
        <w:tc>
          <w:tcPr>
            <w:tcW w:w="1530" w:type="dxa"/>
            <w:vAlign w:val="center"/>
          </w:tcPr>
          <w:p w14:paraId="5DC97E05">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40P两并联活塞式低温制冷机组</w:t>
            </w:r>
          </w:p>
        </w:tc>
        <w:tc>
          <w:tcPr>
            <w:tcW w:w="855" w:type="dxa"/>
            <w:vAlign w:val="center"/>
          </w:tcPr>
          <w:p w14:paraId="76CF91EC">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1</w:t>
            </w:r>
          </w:p>
        </w:tc>
        <w:tc>
          <w:tcPr>
            <w:tcW w:w="900" w:type="dxa"/>
            <w:vAlign w:val="center"/>
          </w:tcPr>
          <w:p w14:paraId="4101B970">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台</w:t>
            </w:r>
          </w:p>
        </w:tc>
        <w:tc>
          <w:tcPr>
            <w:tcW w:w="3785" w:type="dxa"/>
            <w:vAlign w:val="center"/>
          </w:tcPr>
          <w:p w14:paraId="0A708601">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lang w:eastAsia="zh-CN"/>
              </w:rPr>
              <w:t>速冻库-35℃  9×4.5×5（米）×</w:t>
            </w:r>
            <w:r>
              <w:rPr>
                <w:rFonts w:hint="eastAsia" w:ascii="宋体" w:hAnsi="宋体" w:eastAsia="宋体" w:cs="宋体"/>
                <w:b w:val="0"/>
                <w:bCs/>
                <w:color w:val="auto"/>
                <w:kern w:val="0"/>
                <w:sz w:val="24"/>
                <w:szCs w:val="21"/>
                <w:lang w:val="en-US" w:eastAsia="zh-CN"/>
              </w:rPr>
              <w:t>2</w:t>
            </w:r>
            <w:r>
              <w:rPr>
                <w:rFonts w:hint="eastAsia" w:ascii="宋体" w:hAnsi="宋体" w:eastAsia="宋体" w:cs="宋体"/>
                <w:b w:val="0"/>
                <w:bCs/>
                <w:color w:val="auto"/>
                <w:kern w:val="0"/>
                <w:sz w:val="24"/>
                <w:szCs w:val="21"/>
                <w:lang w:eastAsia="zh-CN"/>
              </w:rPr>
              <w:t>间，每间速冻能力3-5吨；</w:t>
            </w:r>
          </w:p>
          <w:p w14:paraId="40DB5A2A">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lang w:eastAsia="zh-CN"/>
              </w:rPr>
              <w:t>2间采用冷风机；</w:t>
            </w:r>
          </w:p>
          <w:p w14:paraId="3B0A248B">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lang w:val="en-US" w:eastAsia="zh-CN"/>
              </w:rPr>
              <w:t>含相关配件、辅材、安装、调试、运输等费用。</w:t>
            </w:r>
          </w:p>
        </w:tc>
      </w:tr>
      <w:tr w14:paraId="33B3A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740FA84">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7.3</w:t>
            </w:r>
          </w:p>
        </w:tc>
        <w:tc>
          <w:tcPr>
            <w:tcW w:w="1642" w:type="dxa"/>
            <w:vAlign w:val="center"/>
          </w:tcPr>
          <w:p w14:paraId="194828C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lang w:val="en-US" w:eastAsia="zh-CN"/>
              </w:rPr>
              <w:t>制冷</w:t>
            </w:r>
            <w:r>
              <w:rPr>
                <w:rFonts w:hint="eastAsia" w:ascii="宋体" w:hAnsi="宋体" w:eastAsia="宋体" w:cs="宋体"/>
                <w:b w:val="0"/>
                <w:bCs/>
                <w:color w:val="auto"/>
                <w:kern w:val="0"/>
                <w:sz w:val="24"/>
                <w:szCs w:val="21"/>
              </w:rPr>
              <w:t>机组</w:t>
            </w:r>
          </w:p>
        </w:tc>
        <w:tc>
          <w:tcPr>
            <w:tcW w:w="1530" w:type="dxa"/>
            <w:vAlign w:val="center"/>
          </w:tcPr>
          <w:p w14:paraId="7F4DFEB7">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12P成套机组</w:t>
            </w:r>
          </w:p>
        </w:tc>
        <w:tc>
          <w:tcPr>
            <w:tcW w:w="855" w:type="dxa"/>
            <w:vAlign w:val="center"/>
          </w:tcPr>
          <w:p w14:paraId="1D9E3FFC">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3</w:t>
            </w:r>
          </w:p>
        </w:tc>
        <w:tc>
          <w:tcPr>
            <w:tcW w:w="900" w:type="dxa"/>
            <w:vAlign w:val="center"/>
          </w:tcPr>
          <w:p w14:paraId="271A40C9">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套</w:t>
            </w:r>
          </w:p>
        </w:tc>
        <w:tc>
          <w:tcPr>
            <w:tcW w:w="3785" w:type="dxa"/>
            <w:vAlign w:val="center"/>
          </w:tcPr>
          <w:p w14:paraId="64EA2CF0">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lang w:eastAsia="zh-CN"/>
              </w:rPr>
              <w:t>变频智能热氟除霜机组；</w:t>
            </w:r>
          </w:p>
          <w:p w14:paraId="3B04CE32">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lang w:eastAsia="zh-CN"/>
              </w:rPr>
              <w:t>保鲜库0—4℃</w:t>
            </w:r>
            <w:r>
              <w:rPr>
                <w:rFonts w:hint="eastAsia" w:ascii="宋体" w:hAnsi="宋体" w:eastAsia="宋体" w:cs="宋体"/>
                <w:b w:val="0"/>
                <w:bCs/>
                <w:color w:val="auto"/>
                <w:kern w:val="0"/>
                <w:sz w:val="24"/>
                <w:szCs w:val="21"/>
                <w:lang w:val="en-US" w:eastAsia="zh-CN"/>
              </w:rPr>
              <w:t xml:space="preserve">  尺寸</w:t>
            </w:r>
            <w:r>
              <w:rPr>
                <w:rFonts w:hint="eastAsia" w:ascii="宋体" w:hAnsi="宋体" w:eastAsia="宋体" w:cs="宋体"/>
                <w:b w:val="0"/>
                <w:bCs/>
                <w:color w:val="auto"/>
                <w:kern w:val="0"/>
                <w:sz w:val="24"/>
                <w:szCs w:val="21"/>
                <w:lang w:eastAsia="zh-CN"/>
              </w:rPr>
              <w:t>10×4.5×5（米）×1间×1套机组；</w:t>
            </w:r>
          </w:p>
          <w:p w14:paraId="4AF0EE59">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kern w:val="0"/>
                <w:sz w:val="24"/>
                <w:szCs w:val="21"/>
                <w:lang w:eastAsia="zh-CN"/>
              </w:rPr>
              <w:t>分割车间12℃，</w:t>
            </w:r>
            <w:r>
              <w:rPr>
                <w:rFonts w:hint="eastAsia" w:ascii="宋体" w:hAnsi="宋体" w:eastAsia="宋体" w:cs="宋体"/>
                <w:b w:val="0"/>
                <w:bCs/>
                <w:color w:val="auto"/>
                <w:kern w:val="0"/>
                <w:sz w:val="24"/>
                <w:szCs w:val="21"/>
                <w:lang w:val="en-US" w:eastAsia="zh-CN"/>
              </w:rPr>
              <w:t>尺寸</w:t>
            </w:r>
            <w:r>
              <w:rPr>
                <w:rFonts w:hint="eastAsia" w:ascii="宋体" w:hAnsi="宋体" w:eastAsia="宋体" w:cs="宋体"/>
                <w:b w:val="0"/>
                <w:bCs/>
                <w:color w:val="auto"/>
                <w:kern w:val="0"/>
                <w:sz w:val="24"/>
                <w:szCs w:val="21"/>
                <w:lang w:eastAsia="zh-CN"/>
              </w:rPr>
              <w:t>21米×12米×1间×2套机组；</w:t>
            </w:r>
          </w:p>
          <w:p w14:paraId="1575AED5">
            <w:pPr>
              <w:widowControl/>
              <w:spacing w:line="400" w:lineRule="exact"/>
              <w:rPr>
                <w:rFonts w:hint="eastAsia" w:ascii="宋体" w:hAnsi="宋体" w:eastAsia="宋体" w:cs="宋体"/>
                <w:b w:val="0"/>
                <w:bCs/>
                <w:color w:val="auto"/>
                <w:kern w:val="0"/>
                <w:sz w:val="24"/>
                <w:szCs w:val="21"/>
                <w:lang w:eastAsia="zh-CN"/>
              </w:rPr>
            </w:pPr>
            <w:r>
              <w:rPr>
                <w:rFonts w:hint="eastAsia" w:ascii="宋体" w:hAnsi="宋体" w:eastAsia="宋体" w:cs="宋体"/>
                <w:b w:val="0"/>
                <w:bCs/>
                <w:color w:val="auto"/>
                <w:sz w:val="24"/>
                <w:szCs w:val="21"/>
                <w:lang w:val="en-US" w:eastAsia="zh-CN"/>
              </w:rPr>
              <w:t>含相关配件、辅材、安装、调试、运输等费用。</w:t>
            </w:r>
          </w:p>
        </w:tc>
      </w:tr>
      <w:tr w14:paraId="41E2A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E6189D6">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7.4</w:t>
            </w:r>
          </w:p>
        </w:tc>
        <w:tc>
          <w:tcPr>
            <w:tcW w:w="1642" w:type="dxa"/>
            <w:vAlign w:val="center"/>
          </w:tcPr>
          <w:p w14:paraId="2024CD95">
            <w:pPr>
              <w:widowControl/>
              <w:spacing w:line="400" w:lineRule="exact"/>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速冻库冷库板</w:t>
            </w:r>
          </w:p>
        </w:tc>
        <w:tc>
          <w:tcPr>
            <w:tcW w:w="1530" w:type="dxa"/>
            <w:shd w:val="clear" w:color="auto" w:fill="auto"/>
            <w:vAlign w:val="center"/>
          </w:tcPr>
          <w:p w14:paraId="4633FF2F">
            <w:pPr>
              <w:widowControl/>
              <w:tabs>
                <w:tab w:val="left" w:pos="3046"/>
              </w:tabs>
              <w:spacing w:line="400" w:lineRule="exact"/>
              <w:rPr>
                <w:rFonts w:hint="eastAsia" w:ascii="宋体" w:hAnsi="宋体" w:eastAsia="宋体" w:cs="宋体"/>
                <w:b w:val="0"/>
                <w:bCs/>
                <w:snapToGrid w:val="0"/>
                <w:color w:val="auto"/>
                <w:kern w:val="0"/>
                <w:sz w:val="24"/>
                <w:szCs w:val="21"/>
                <w:lang w:val="en-US" w:eastAsia="en-US" w:bidi="ar-SA"/>
              </w:rPr>
            </w:pPr>
            <w:r>
              <w:rPr>
                <w:rFonts w:hint="eastAsia" w:ascii="宋体" w:hAnsi="宋体" w:eastAsia="宋体" w:cs="宋体"/>
                <w:b w:val="0"/>
                <w:bCs/>
                <w:color w:val="auto"/>
                <w:kern w:val="0"/>
                <w:sz w:val="24"/>
                <w:szCs w:val="21"/>
                <w:lang w:val="en-US" w:eastAsia="zh-CN"/>
              </w:rPr>
              <w:t>4.5m宽</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9m长</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5m高</w:t>
            </w:r>
            <w:r>
              <w:rPr>
                <w:rFonts w:hint="eastAsia" w:ascii="宋体" w:hAnsi="宋体" w:eastAsia="宋体" w:cs="宋体"/>
                <w:b w:val="0"/>
                <w:bCs/>
                <w:color w:val="auto"/>
                <w:kern w:val="0"/>
                <w:sz w:val="24"/>
                <w:szCs w:val="21"/>
              </w:rPr>
              <w:t xml:space="preserve"> 三间</w:t>
            </w:r>
          </w:p>
        </w:tc>
        <w:tc>
          <w:tcPr>
            <w:tcW w:w="855" w:type="dxa"/>
            <w:shd w:val="clear" w:color="auto" w:fill="auto"/>
            <w:vAlign w:val="center"/>
          </w:tcPr>
          <w:p w14:paraId="236CCB57">
            <w:pPr>
              <w:widowControl/>
              <w:spacing w:line="400" w:lineRule="exact"/>
              <w:jc w:val="center"/>
              <w:rPr>
                <w:rFonts w:hint="default"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435</w:t>
            </w:r>
          </w:p>
        </w:tc>
        <w:tc>
          <w:tcPr>
            <w:tcW w:w="900" w:type="dxa"/>
            <w:shd w:val="clear" w:color="auto" w:fill="auto"/>
            <w:vAlign w:val="center"/>
          </w:tcPr>
          <w:p w14:paraId="169EECE5">
            <w:pPr>
              <w:widowControl/>
              <w:spacing w:line="400" w:lineRule="exact"/>
              <w:jc w:val="center"/>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平方</w:t>
            </w:r>
          </w:p>
        </w:tc>
        <w:tc>
          <w:tcPr>
            <w:tcW w:w="3785" w:type="dxa"/>
            <w:shd w:val="clear" w:color="auto" w:fill="auto"/>
            <w:vAlign w:val="center"/>
          </w:tcPr>
          <w:p w14:paraId="79D50758">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val="en-US" w:eastAsia="zh-CN"/>
              </w:rPr>
              <w:t>2</w:t>
            </w:r>
            <w:r>
              <w:rPr>
                <w:rFonts w:hint="eastAsia" w:ascii="宋体" w:hAnsi="宋体" w:eastAsia="宋体" w:cs="宋体"/>
                <w:b w:val="0"/>
                <w:bCs/>
                <w:color w:val="auto"/>
                <w:sz w:val="24"/>
                <w:szCs w:val="21"/>
                <w:lang w:eastAsia="zh-CN"/>
              </w:rPr>
              <w:t>00mm厚双面彩钢聚氨酯保温板，容重</w:t>
            </w:r>
            <w:r>
              <w:rPr>
                <w:rFonts w:hint="eastAsia" w:ascii="宋体" w:hAnsi="宋体" w:eastAsia="宋体" w:cs="宋体"/>
                <w:b w:val="0"/>
                <w:bCs/>
                <w:color w:val="auto"/>
                <w:sz w:val="24"/>
                <w:szCs w:val="21"/>
                <w:lang w:val="en-US" w:eastAsia="zh-CN"/>
              </w:rPr>
              <w:t>40</w:t>
            </w:r>
            <w:r>
              <w:rPr>
                <w:rFonts w:hint="eastAsia" w:ascii="宋体" w:hAnsi="宋体" w:eastAsia="宋体" w:cs="宋体"/>
                <w:b w:val="0"/>
                <w:bCs/>
                <w:color w:val="auto"/>
                <w:sz w:val="24"/>
                <w:szCs w:val="21"/>
                <w:lang w:eastAsia="zh-CN"/>
              </w:rPr>
              <w:t>kg/m³</w:t>
            </w:r>
          </w:p>
          <w:p w14:paraId="64F7C4A2">
            <w:pPr>
              <w:ind w:left="210" w:leftChars="100"/>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sz w:val="24"/>
                <w:szCs w:val="21"/>
                <w:lang w:val="en-US" w:eastAsia="zh-CN"/>
              </w:rPr>
              <w:t>含相关配件、辅材、安装、运输等费用。</w:t>
            </w:r>
          </w:p>
        </w:tc>
      </w:tr>
      <w:tr w14:paraId="163CD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471DE25D">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7.5</w:t>
            </w:r>
          </w:p>
        </w:tc>
        <w:tc>
          <w:tcPr>
            <w:tcW w:w="1642" w:type="dxa"/>
            <w:vAlign w:val="center"/>
          </w:tcPr>
          <w:p w14:paraId="1166F390">
            <w:pPr>
              <w:widowControl/>
              <w:spacing w:line="400" w:lineRule="exact"/>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保鲜库冷库板</w:t>
            </w:r>
          </w:p>
        </w:tc>
        <w:tc>
          <w:tcPr>
            <w:tcW w:w="1530" w:type="dxa"/>
            <w:shd w:val="clear" w:color="auto" w:fill="auto"/>
            <w:vAlign w:val="center"/>
          </w:tcPr>
          <w:p w14:paraId="78AD0B27">
            <w:pPr>
              <w:widowControl/>
              <w:tabs>
                <w:tab w:val="left" w:pos="3046"/>
              </w:tabs>
              <w:spacing w:line="400" w:lineRule="exact"/>
              <w:rPr>
                <w:rFonts w:hint="eastAsia" w:ascii="宋体" w:hAnsi="宋体" w:eastAsia="宋体" w:cs="宋体"/>
                <w:b w:val="0"/>
                <w:bCs/>
                <w:snapToGrid w:val="0"/>
                <w:color w:val="auto"/>
                <w:kern w:val="0"/>
                <w:sz w:val="24"/>
                <w:szCs w:val="21"/>
                <w:lang w:val="en-US" w:eastAsia="en-US" w:bidi="ar-SA"/>
              </w:rPr>
            </w:pPr>
            <w:r>
              <w:rPr>
                <w:rFonts w:hint="eastAsia" w:ascii="宋体" w:hAnsi="宋体" w:eastAsia="宋体" w:cs="宋体"/>
                <w:b w:val="0"/>
                <w:bCs/>
                <w:color w:val="auto"/>
                <w:kern w:val="0"/>
                <w:sz w:val="24"/>
                <w:szCs w:val="21"/>
                <w:lang w:val="en-US" w:eastAsia="zh-CN"/>
              </w:rPr>
              <w:t>4.5m宽</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9m长</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5m高</w:t>
            </w:r>
            <w:r>
              <w:rPr>
                <w:rFonts w:hint="eastAsia" w:ascii="宋体" w:hAnsi="宋体" w:eastAsia="宋体" w:cs="宋体"/>
                <w:b w:val="0"/>
                <w:bCs/>
                <w:color w:val="auto"/>
                <w:kern w:val="0"/>
                <w:sz w:val="24"/>
                <w:szCs w:val="21"/>
              </w:rPr>
              <w:t xml:space="preserve"> </w:t>
            </w:r>
            <w:r>
              <w:rPr>
                <w:rFonts w:hint="eastAsia" w:ascii="宋体" w:hAnsi="宋体" w:eastAsia="宋体" w:cs="宋体"/>
                <w:b w:val="0"/>
                <w:bCs/>
                <w:color w:val="auto"/>
                <w:kern w:val="0"/>
                <w:sz w:val="24"/>
                <w:szCs w:val="21"/>
                <w:lang w:val="en-US" w:eastAsia="zh-CN"/>
              </w:rPr>
              <w:t>1</w:t>
            </w:r>
            <w:r>
              <w:rPr>
                <w:rFonts w:hint="eastAsia" w:ascii="宋体" w:hAnsi="宋体" w:eastAsia="宋体" w:cs="宋体"/>
                <w:b w:val="0"/>
                <w:bCs/>
                <w:color w:val="auto"/>
                <w:kern w:val="0"/>
                <w:sz w:val="24"/>
                <w:szCs w:val="21"/>
              </w:rPr>
              <w:t>间</w:t>
            </w:r>
          </w:p>
        </w:tc>
        <w:tc>
          <w:tcPr>
            <w:tcW w:w="855" w:type="dxa"/>
            <w:shd w:val="clear" w:color="auto" w:fill="auto"/>
            <w:vAlign w:val="center"/>
          </w:tcPr>
          <w:p w14:paraId="1CC5F188">
            <w:pPr>
              <w:widowControl/>
              <w:spacing w:line="400" w:lineRule="exact"/>
              <w:jc w:val="center"/>
              <w:rPr>
                <w:rFonts w:hint="default"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190</w:t>
            </w:r>
          </w:p>
        </w:tc>
        <w:tc>
          <w:tcPr>
            <w:tcW w:w="900" w:type="dxa"/>
            <w:shd w:val="clear" w:color="auto" w:fill="auto"/>
            <w:vAlign w:val="center"/>
          </w:tcPr>
          <w:p w14:paraId="1C833B08">
            <w:pPr>
              <w:widowControl/>
              <w:spacing w:line="400" w:lineRule="exact"/>
              <w:jc w:val="center"/>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平方</w:t>
            </w:r>
          </w:p>
        </w:tc>
        <w:tc>
          <w:tcPr>
            <w:tcW w:w="3785" w:type="dxa"/>
            <w:shd w:val="clear" w:color="auto" w:fill="auto"/>
            <w:vAlign w:val="center"/>
          </w:tcPr>
          <w:p w14:paraId="247823E2">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val="en-US" w:eastAsia="zh-CN"/>
              </w:rPr>
              <w:t>1</w:t>
            </w:r>
            <w:r>
              <w:rPr>
                <w:rFonts w:hint="eastAsia" w:ascii="宋体" w:hAnsi="宋体" w:eastAsia="宋体" w:cs="宋体"/>
                <w:b w:val="0"/>
                <w:bCs/>
                <w:color w:val="auto"/>
                <w:sz w:val="24"/>
                <w:szCs w:val="21"/>
                <w:lang w:eastAsia="zh-CN"/>
              </w:rPr>
              <w:t>00mm厚双面彩钢聚氨酯保温板，容重</w:t>
            </w:r>
            <w:r>
              <w:rPr>
                <w:rFonts w:hint="eastAsia" w:ascii="宋体" w:hAnsi="宋体" w:eastAsia="宋体" w:cs="宋体"/>
                <w:b w:val="0"/>
                <w:bCs/>
                <w:color w:val="auto"/>
                <w:sz w:val="24"/>
                <w:szCs w:val="21"/>
                <w:lang w:val="en-US" w:eastAsia="zh-CN"/>
              </w:rPr>
              <w:t>35</w:t>
            </w:r>
            <w:r>
              <w:rPr>
                <w:rFonts w:hint="eastAsia" w:ascii="宋体" w:hAnsi="宋体" w:eastAsia="宋体" w:cs="宋体"/>
                <w:b w:val="0"/>
                <w:bCs/>
                <w:color w:val="auto"/>
                <w:sz w:val="24"/>
                <w:szCs w:val="21"/>
                <w:lang w:eastAsia="zh-CN"/>
              </w:rPr>
              <w:t>kg/m³</w:t>
            </w:r>
          </w:p>
          <w:p w14:paraId="6DBF6AF4">
            <w:pPr>
              <w:ind w:left="210" w:leftChars="100"/>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sz w:val="24"/>
                <w:szCs w:val="21"/>
                <w:lang w:val="en-US" w:eastAsia="zh-CN"/>
              </w:rPr>
              <w:t>含相关配件、辅材、安装、运输等费用。</w:t>
            </w:r>
          </w:p>
        </w:tc>
      </w:tr>
      <w:tr w14:paraId="71554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61A49865">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7.6</w:t>
            </w:r>
          </w:p>
        </w:tc>
        <w:tc>
          <w:tcPr>
            <w:tcW w:w="1642" w:type="dxa"/>
            <w:shd w:val="clear" w:color="auto" w:fill="auto"/>
            <w:vAlign w:val="center"/>
          </w:tcPr>
          <w:p w14:paraId="1FEBE4D4">
            <w:pPr>
              <w:widowControl/>
              <w:spacing w:line="400" w:lineRule="exact"/>
              <w:rPr>
                <w:rFonts w:hint="eastAsia" w:ascii="宋体" w:hAnsi="宋体" w:eastAsia="宋体" w:cs="宋体"/>
                <w:b w:val="0"/>
                <w:bCs/>
                <w:snapToGrid w:val="0"/>
                <w:color w:val="auto"/>
                <w:kern w:val="0"/>
                <w:sz w:val="24"/>
                <w:szCs w:val="21"/>
                <w:lang w:val="en-US" w:eastAsia="en-US" w:bidi="ar-SA"/>
              </w:rPr>
            </w:pPr>
            <w:r>
              <w:rPr>
                <w:rFonts w:hint="eastAsia" w:ascii="宋体" w:hAnsi="宋体" w:eastAsia="宋体" w:cs="宋体"/>
                <w:b w:val="0"/>
                <w:bCs/>
                <w:color w:val="auto"/>
                <w:kern w:val="0"/>
                <w:sz w:val="24"/>
                <w:szCs w:val="21"/>
              </w:rPr>
              <w:t>冷库门</w:t>
            </w:r>
          </w:p>
        </w:tc>
        <w:tc>
          <w:tcPr>
            <w:tcW w:w="1530" w:type="dxa"/>
            <w:shd w:val="clear" w:color="auto" w:fill="auto"/>
            <w:vAlign w:val="center"/>
          </w:tcPr>
          <w:p w14:paraId="519E3CE8">
            <w:pPr>
              <w:widowControl/>
              <w:tabs>
                <w:tab w:val="left" w:pos="3046"/>
              </w:tabs>
              <w:spacing w:line="400" w:lineRule="exact"/>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2.1m宽</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1.5m高</w:t>
            </w:r>
            <w:r>
              <w:rPr>
                <w:rFonts w:hint="eastAsia" w:ascii="宋体" w:hAnsi="宋体" w:eastAsia="宋体" w:cs="宋体"/>
                <w:b w:val="0"/>
                <w:bCs/>
                <w:color w:val="auto"/>
                <w:kern w:val="0"/>
                <w:sz w:val="24"/>
                <w:szCs w:val="21"/>
              </w:rPr>
              <w:t>*1</w:t>
            </w:r>
            <w:r>
              <w:rPr>
                <w:rFonts w:hint="eastAsia" w:ascii="宋体" w:hAnsi="宋体" w:eastAsia="宋体" w:cs="宋体"/>
                <w:b w:val="0"/>
                <w:bCs/>
                <w:color w:val="auto"/>
                <w:kern w:val="0"/>
                <w:sz w:val="24"/>
                <w:szCs w:val="21"/>
                <w:lang w:val="en-US" w:eastAsia="zh-CN"/>
              </w:rPr>
              <w:t>50mm厚</w:t>
            </w:r>
          </w:p>
        </w:tc>
        <w:tc>
          <w:tcPr>
            <w:tcW w:w="855" w:type="dxa"/>
            <w:shd w:val="clear" w:color="auto" w:fill="auto"/>
            <w:vAlign w:val="center"/>
          </w:tcPr>
          <w:p w14:paraId="1C2580EA">
            <w:pPr>
              <w:widowControl/>
              <w:spacing w:line="400" w:lineRule="exact"/>
              <w:jc w:val="center"/>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8</w:t>
            </w:r>
          </w:p>
        </w:tc>
        <w:tc>
          <w:tcPr>
            <w:tcW w:w="900" w:type="dxa"/>
            <w:shd w:val="clear" w:color="auto" w:fill="auto"/>
            <w:vAlign w:val="center"/>
          </w:tcPr>
          <w:p w14:paraId="3D46184D">
            <w:pPr>
              <w:widowControl/>
              <w:spacing w:line="400" w:lineRule="exact"/>
              <w:jc w:val="center"/>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扇</w:t>
            </w:r>
          </w:p>
        </w:tc>
        <w:tc>
          <w:tcPr>
            <w:tcW w:w="3785" w:type="dxa"/>
            <w:shd w:val="clear" w:color="auto" w:fill="auto"/>
            <w:vAlign w:val="center"/>
          </w:tcPr>
          <w:p w14:paraId="76081A1F">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sz w:val="24"/>
                <w:szCs w:val="21"/>
                <w:lang w:eastAsia="zh-CN"/>
              </w:rPr>
              <w:t>不锈钢面板手动平移冷库门</w:t>
            </w:r>
          </w:p>
          <w:p w14:paraId="09BC1BE2">
            <w:pPr>
              <w:ind w:left="210" w:leftChars="100"/>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sz w:val="24"/>
                <w:szCs w:val="21"/>
                <w:lang w:val="en-US" w:eastAsia="zh-CN"/>
              </w:rPr>
              <w:t>含相关配件、辅材、安装、运输等费用。</w:t>
            </w:r>
          </w:p>
        </w:tc>
      </w:tr>
      <w:tr w14:paraId="1BBF9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DFDC5CF">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7.7</w:t>
            </w:r>
          </w:p>
        </w:tc>
        <w:tc>
          <w:tcPr>
            <w:tcW w:w="1642" w:type="dxa"/>
            <w:shd w:val="clear" w:color="auto" w:fill="auto"/>
            <w:vAlign w:val="center"/>
          </w:tcPr>
          <w:p w14:paraId="2DF67BDE">
            <w:pPr>
              <w:widowControl/>
              <w:spacing w:line="400" w:lineRule="exact"/>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风幕机</w:t>
            </w:r>
          </w:p>
        </w:tc>
        <w:tc>
          <w:tcPr>
            <w:tcW w:w="1530" w:type="dxa"/>
            <w:shd w:val="clear" w:color="auto" w:fill="auto"/>
            <w:vAlign w:val="center"/>
          </w:tcPr>
          <w:p w14:paraId="5BFE6FB2">
            <w:pPr>
              <w:widowControl/>
              <w:tabs>
                <w:tab w:val="left" w:pos="3046"/>
              </w:tabs>
              <w:spacing w:line="400" w:lineRule="exact"/>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1.5千瓦</w:t>
            </w:r>
          </w:p>
        </w:tc>
        <w:tc>
          <w:tcPr>
            <w:tcW w:w="855" w:type="dxa"/>
            <w:shd w:val="clear" w:color="auto" w:fill="auto"/>
            <w:vAlign w:val="center"/>
          </w:tcPr>
          <w:p w14:paraId="37178783">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8</w:t>
            </w:r>
          </w:p>
        </w:tc>
        <w:tc>
          <w:tcPr>
            <w:tcW w:w="900" w:type="dxa"/>
            <w:shd w:val="clear" w:color="auto" w:fill="auto"/>
            <w:vAlign w:val="center"/>
          </w:tcPr>
          <w:p w14:paraId="3D641C83">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台</w:t>
            </w:r>
          </w:p>
        </w:tc>
        <w:tc>
          <w:tcPr>
            <w:tcW w:w="3785" w:type="dxa"/>
            <w:shd w:val="clear" w:color="auto" w:fill="auto"/>
            <w:vAlign w:val="center"/>
          </w:tcPr>
          <w:p w14:paraId="2D29957F">
            <w:pPr>
              <w:ind w:left="210" w:leftChars="100"/>
              <w:rPr>
                <w:rFonts w:hint="default" w:ascii="宋体" w:hAnsi="宋体" w:eastAsia="宋体" w:cs="宋体"/>
                <w:b w:val="0"/>
                <w:bCs/>
                <w:color w:val="auto"/>
                <w:sz w:val="24"/>
                <w:szCs w:val="21"/>
                <w:lang w:val="en-US" w:eastAsia="zh-CN"/>
              </w:rPr>
            </w:pPr>
            <w:r>
              <w:rPr>
                <w:rFonts w:hint="eastAsia" w:ascii="宋体" w:hAnsi="宋体" w:eastAsia="宋体" w:cs="宋体"/>
                <w:b w:val="0"/>
                <w:bCs/>
                <w:color w:val="auto"/>
                <w:sz w:val="24"/>
                <w:szCs w:val="21"/>
                <w:lang w:val="en-US" w:eastAsia="zh-CN"/>
              </w:rPr>
              <w:t>功率：1.5千瓦</w:t>
            </w:r>
          </w:p>
        </w:tc>
      </w:tr>
      <w:tr w14:paraId="01570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30EE96FB">
            <w:pPr>
              <w:ind w:leftChars="100"/>
              <w:rPr>
                <w:rFonts w:hint="default" w:ascii="宋体" w:hAnsi="宋体" w:eastAsia="宋体" w:cs="宋体"/>
                <w:b w:val="0"/>
                <w:bCs/>
                <w:color w:val="auto"/>
                <w:sz w:val="24"/>
                <w:szCs w:val="21"/>
                <w:lang w:val="en-US" w:eastAsia="zh-CN"/>
              </w:rPr>
            </w:pPr>
            <w:r>
              <w:rPr>
                <w:rFonts w:hint="eastAsia" w:ascii="宋体" w:hAnsi="宋体" w:eastAsia="宋体" w:cs="宋体"/>
                <w:b/>
                <w:bCs w:val="0"/>
                <w:color w:val="auto"/>
                <w:sz w:val="24"/>
                <w:szCs w:val="21"/>
                <w:lang w:val="en-US" w:eastAsia="zh-CN"/>
              </w:rPr>
              <w:t>八、入场消毒区域</w:t>
            </w:r>
          </w:p>
        </w:tc>
      </w:tr>
      <w:tr w14:paraId="01B91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shd w:val="clear" w:color="auto" w:fill="auto"/>
            <w:vAlign w:val="center"/>
          </w:tcPr>
          <w:p w14:paraId="7345FCD3">
            <w:pPr>
              <w:widowControl/>
              <w:spacing w:line="400" w:lineRule="exact"/>
              <w:jc w:val="center"/>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8.1</w:t>
            </w:r>
          </w:p>
        </w:tc>
        <w:tc>
          <w:tcPr>
            <w:tcW w:w="1642" w:type="dxa"/>
            <w:shd w:val="clear" w:color="auto" w:fill="auto"/>
            <w:vAlign w:val="center"/>
          </w:tcPr>
          <w:p w14:paraId="7F23F7AF">
            <w:pPr>
              <w:widowControl/>
              <w:spacing w:line="400" w:lineRule="exact"/>
              <w:rPr>
                <w:rFonts w:hint="eastAsia"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color w:val="auto"/>
                <w:kern w:val="0"/>
                <w:sz w:val="24"/>
                <w:szCs w:val="21"/>
                <w:lang w:val="en-US" w:eastAsia="zh-CN"/>
              </w:rPr>
              <w:t>入场消毒</w:t>
            </w:r>
          </w:p>
        </w:tc>
        <w:tc>
          <w:tcPr>
            <w:tcW w:w="1530" w:type="dxa"/>
            <w:shd w:val="clear" w:color="auto" w:fill="auto"/>
            <w:vAlign w:val="center"/>
          </w:tcPr>
          <w:p w14:paraId="1D45A549">
            <w:pPr>
              <w:widowControl/>
              <w:spacing w:line="400" w:lineRule="exact"/>
              <w:rPr>
                <w:rFonts w:hint="eastAsia" w:ascii="宋体" w:hAnsi="宋体" w:eastAsia="宋体" w:cs="宋体"/>
                <w:b w:val="0"/>
                <w:bCs/>
                <w:snapToGrid w:val="0"/>
                <w:color w:val="auto"/>
                <w:kern w:val="0"/>
                <w:sz w:val="24"/>
                <w:szCs w:val="21"/>
                <w:lang w:val="en-US" w:eastAsia="en-US" w:bidi="ar-SA"/>
              </w:rPr>
            </w:pPr>
            <w:r>
              <w:rPr>
                <w:rFonts w:hint="eastAsia" w:ascii="宋体" w:hAnsi="宋体" w:eastAsia="宋体" w:cs="宋体"/>
                <w:b w:val="0"/>
                <w:bCs/>
                <w:color w:val="auto"/>
                <w:kern w:val="0"/>
                <w:sz w:val="24"/>
                <w:szCs w:val="21"/>
                <w:lang w:val="en-US" w:eastAsia="zh-CN"/>
              </w:rPr>
              <w:t>整体做全自动车辆洗消通道 + 人员消毒岗 + 废液处理、防冻、智能监控全套</w:t>
            </w:r>
          </w:p>
        </w:tc>
        <w:tc>
          <w:tcPr>
            <w:tcW w:w="855" w:type="dxa"/>
            <w:shd w:val="clear" w:color="auto" w:fill="auto"/>
            <w:vAlign w:val="center"/>
          </w:tcPr>
          <w:p w14:paraId="546BDD24">
            <w:pPr>
              <w:widowControl/>
              <w:spacing w:line="400" w:lineRule="exact"/>
              <w:jc w:val="center"/>
              <w:rPr>
                <w:rFonts w:hint="default"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snapToGrid w:val="0"/>
                <w:color w:val="auto"/>
                <w:kern w:val="0"/>
                <w:sz w:val="24"/>
                <w:szCs w:val="21"/>
                <w:lang w:val="en-US" w:eastAsia="zh-CN" w:bidi="ar-SA"/>
              </w:rPr>
              <w:t>项</w:t>
            </w:r>
          </w:p>
        </w:tc>
        <w:tc>
          <w:tcPr>
            <w:tcW w:w="900" w:type="dxa"/>
            <w:shd w:val="clear" w:color="auto" w:fill="auto"/>
            <w:vAlign w:val="center"/>
          </w:tcPr>
          <w:p w14:paraId="7BA199B2">
            <w:pPr>
              <w:widowControl/>
              <w:spacing w:line="400" w:lineRule="exact"/>
              <w:jc w:val="center"/>
              <w:rPr>
                <w:rFonts w:hint="default" w:ascii="宋体" w:hAnsi="宋体" w:eastAsia="宋体" w:cs="宋体"/>
                <w:b w:val="0"/>
                <w:bCs/>
                <w:snapToGrid w:val="0"/>
                <w:color w:val="auto"/>
                <w:kern w:val="0"/>
                <w:sz w:val="24"/>
                <w:szCs w:val="21"/>
                <w:lang w:val="en-US" w:eastAsia="zh-CN" w:bidi="ar-SA"/>
              </w:rPr>
            </w:pPr>
            <w:r>
              <w:rPr>
                <w:rFonts w:hint="eastAsia" w:ascii="宋体" w:hAnsi="宋体" w:eastAsia="宋体" w:cs="宋体"/>
                <w:b w:val="0"/>
                <w:bCs/>
                <w:snapToGrid w:val="0"/>
                <w:color w:val="auto"/>
                <w:kern w:val="0"/>
                <w:sz w:val="24"/>
                <w:szCs w:val="21"/>
                <w:lang w:val="en-US" w:eastAsia="zh-CN" w:bidi="ar-SA"/>
              </w:rPr>
              <w:t>1</w:t>
            </w:r>
          </w:p>
        </w:tc>
        <w:tc>
          <w:tcPr>
            <w:tcW w:w="3785" w:type="dxa"/>
            <w:shd w:val="clear" w:color="auto" w:fill="auto"/>
            <w:vAlign w:val="center"/>
          </w:tcPr>
          <w:p w14:paraId="7403E782">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主体钢结构房：净宽≥4m、净高≥4m、纵深≥12m；304 不锈钢 / 镀锌方管 + 彩钢保温板，防冻保温。</w:t>
            </w:r>
          </w:p>
          <w:p w14:paraId="503BF3C3">
            <w:pPr>
              <w:widowControl/>
              <w:spacing w:line="400" w:lineRule="exact"/>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具体内容详见本章四总体要求3.1条的内容</w:t>
            </w:r>
          </w:p>
        </w:tc>
      </w:tr>
      <w:tr w14:paraId="18A6A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609BCA81">
            <w:pPr>
              <w:ind w:leftChars="100"/>
              <w:rPr>
                <w:rFonts w:hint="default" w:ascii="宋体" w:hAnsi="宋体" w:eastAsia="宋体" w:cs="宋体"/>
                <w:b w:val="0"/>
                <w:bCs/>
                <w:color w:val="auto"/>
                <w:sz w:val="24"/>
                <w:szCs w:val="21"/>
                <w:lang w:val="en-US" w:eastAsia="zh-CN"/>
              </w:rPr>
            </w:pPr>
            <w:r>
              <w:rPr>
                <w:rFonts w:hint="eastAsia" w:ascii="宋体" w:hAnsi="宋体" w:eastAsia="宋体" w:cs="宋体"/>
                <w:b/>
                <w:bCs w:val="0"/>
                <w:color w:val="auto"/>
                <w:sz w:val="24"/>
                <w:szCs w:val="21"/>
                <w:lang w:val="en-US" w:eastAsia="zh-CN"/>
              </w:rPr>
              <w:t>九、车间净化设备</w:t>
            </w:r>
          </w:p>
        </w:tc>
      </w:tr>
      <w:tr w14:paraId="48CAD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3201A47">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9.1</w:t>
            </w:r>
          </w:p>
        </w:tc>
        <w:tc>
          <w:tcPr>
            <w:tcW w:w="1642" w:type="dxa"/>
            <w:vAlign w:val="center"/>
          </w:tcPr>
          <w:p w14:paraId="4BBD3396">
            <w:pPr>
              <w:widowControl/>
              <w:spacing w:line="400" w:lineRule="exact"/>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车间净化设备</w:t>
            </w:r>
          </w:p>
        </w:tc>
        <w:tc>
          <w:tcPr>
            <w:tcW w:w="1530" w:type="dxa"/>
            <w:vAlign w:val="center"/>
          </w:tcPr>
          <w:p w14:paraId="1F9631D8">
            <w:pPr>
              <w:widowControl/>
              <w:tabs>
                <w:tab w:val="left" w:pos="3046"/>
              </w:tabs>
              <w:spacing w:line="400" w:lineRule="exact"/>
              <w:rPr>
                <w:rFonts w:hint="eastAsia" w:ascii="宋体" w:hAnsi="宋体" w:eastAsia="宋体" w:cs="宋体"/>
                <w:b w:val="0"/>
                <w:bCs/>
                <w:color w:val="auto"/>
                <w:kern w:val="0"/>
                <w:sz w:val="24"/>
                <w:szCs w:val="21"/>
              </w:rPr>
            </w:pPr>
          </w:p>
        </w:tc>
        <w:tc>
          <w:tcPr>
            <w:tcW w:w="855" w:type="dxa"/>
            <w:vAlign w:val="center"/>
          </w:tcPr>
          <w:p w14:paraId="0DBAC5B7">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snapToGrid w:val="0"/>
                <w:color w:val="auto"/>
                <w:kern w:val="0"/>
                <w:sz w:val="24"/>
                <w:szCs w:val="21"/>
                <w:lang w:val="en-US" w:eastAsia="zh-CN" w:bidi="ar-SA"/>
              </w:rPr>
              <w:t>项</w:t>
            </w:r>
          </w:p>
        </w:tc>
        <w:tc>
          <w:tcPr>
            <w:tcW w:w="900" w:type="dxa"/>
            <w:vAlign w:val="center"/>
          </w:tcPr>
          <w:p w14:paraId="3774952D">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snapToGrid w:val="0"/>
                <w:color w:val="auto"/>
                <w:kern w:val="0"/>
                <w:sz w:val="24"/>
                <w:szCs w:val="21"/>
                <w:lang w:val="en-US" w:eastAsia="zh-CN" w:bidi="ar-SA"/>
              </w:rPr>
              <w:t>1</w:t>
            </w:r>
          </w:p>
        </w:tc>
        <w:tc>
          <w:tcPr>
            <w:tcW w:w="3785" w:type="dxa"/>
            <w:vAlign w:val="center"/>
          </w:tcPr>
          <w:p w14:paraId="031F8354">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kern w:val="0"/>
                <w:sz w:val="24"/>
                <w:szCs w:val="21"/>
                <w:lang w:val="en-US" w:eastAsia="zh-CN"/>
              </w:rPr>
              <w:t>具体内容详见本章四总体要求3.2条的内容</w:t>
            </w:r>
          </w:p>
        </w:tc>
      </w:tr>
      <w:tr w14:paraId="05191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28851840">
            <w:pPr>
              <w:ind w:leftChars="100"/>
              <w:rPr>
                <w:rFonts w:hint="default" w:ascii="宋体" w:hAnsi="宋体" w:eastAsia="宋体" w:cs="宋体"/>
                <w:b w:val="0"/>
                <w:bCs/>
                <w:color w:val="auto"/>
                <w:sz w:val="24"/>
                <w:szCs w:val="21"/>
                <w:lang w:val="en-US" w:eastAsia="zh-CN"/>
              </w:rPr>
            </w:pPr>
            <w:r>
              <w:rPr>
                <w:rFonts w:hint="eastAsia" w:ascii="宋体" w:hAnsi="宋体" w:eastAsia="宋体" w:cs="宋体"/>
                <w:b/>
                <w:bCs w:val="0"/>
                <w:color w:val="auto"/>
                <w:sz w:val="24"/>
                <w:szCs w:val="21"/>
                <w:lang w:val="en-US" w:eastAsia="zh-CN"/>
              </w:rPr>
              <w:t>十、待宰区</w:t>
            </w:r>
          </w:p>
        </w:tc>
      </w:tr>
      <w:tr w14:paraId="1C30E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3B38F779">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10.1</w:t>
            </w:r>
          </w:p>
        </w:tc>
        <w:tc>
          <w:tcPr>
            <w:tcW w:w="1642" w:type="dxa"/>
            <w:vAlign w:val="center"/>
          </w:tcPr>
          <w:p w14:paraId="0125C8AB">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lang w:val="en-US" w:eastAsia="zh-CN"/>
              </w:rPr>
              <w:t>待宰区</w:t>
            </w:r>
          </w:p>
        </w:tc>
        <w:tc>
          <w:tcPr>
            <w:tcW w:w="1530" w:type="dxa"/>
            <w:vAlign w:val="center"/>
          </w:tcPr>
          <w:p w14:paraId="662B2650">
            <w:pPr>
              <w:widowControl/>
              <w:tabs>
                <w:tab w:val="left" w:pos="3046"/>
              </w:tabs>
              <w:spacing w:line="400" w:lineRule="exact"/>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12 间独立待宰圈</w:t>
            </w:r>
          </w:p>
        </w:tc>
        <w:tc>
          <w:tcPr>
            <w:tcW w:w="855" w:type="dxa"/>
            <w:vAlign w:val="center"/>
          </w:tcPr>
          <w:p w14:paraId="51FFB414">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snapToGrid w:val="0"/>
                <w:color w:val="auto"/>
                <w:kern w:val="0"/>
                <w:sz w:val="24"/>
                <w:szCs w:val="21"/>
                <w:lang w:val="en-US" w:eastAsia="zh-CN" w:bidi="ar-SA"/>
              </w:rPr>
              <w:t>项</w:t>
            </w:r>
          </w:p>
        </w:tc>
        <w:tc>
          <w:tcPr>
            <w:tcW w:w="900" w:type="dxa"/>
            <w:vAlign w:val="center"/>
          </w:tcPr>
          <w:p w14:paraId="7DC4522F">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snapToGrid w:val="0"/>
                <w:color w:val="auto"/>
                <w:kern w:val="0"/>
                <w:sz w:val="24"/>
                <w:szCs w:val="21"/>
                <w:lang w:val="en-US" w:eastAsia="zh-CN" w:bidi="ar-SA"/>
              </w:rPr>
              <w:t>1</w:t>
            </w:r>
          </w:p>
        </w:tc>
        <w:tc>
          <w:tcPr>
            <w:tcW w:w="3785" w:type="dxa"/>
            <w:vAlign w:val="center"/>
          </w:tcPr>
          <w:p w14:paraId="31CF718C">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kern w:val="0"/>
                <w:sz w:val="24"/>
                <w:szCs w:val="21"/>
                <w:lang w:val="en-US" w:eastAsia="zh-CN"/>
              </w:rPr>
              <w:t>具体内容详见本章四总体要求3.3条的内容</w:t>
            </w:r>
          </w:p>
        </w:tc>
      </w:tr>
      <w:tr w14:paraId="7A907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9440" w:type="dxa"/>
            <w:gridSpan w:val="6"/>
            <w:vAlign w:val="center"/>
          </w:tcPr>
          <w:p w14:paraId="3E942AA9">
            <w:pPr>
              <w:ind w:leftChars="100"/>
              <w:rPr>
                <w:rFonts w:hint="default" w:ascii="宋体" w:hAnsi="宋体" w:eastAsia="宋体" w:cs="宋体"/>
                <w:b w:val="0"/>
                <w:bCs/>
                <w:color w:val="auto"/>
                <w:sz w:val="24"/>
                <w:szCs w:val="21"/>
                <w:lang w:val="en-US" w:eastAsia="zh-CN"/>
              </w:rPr>
            </w:pPr>
            <w:r>
              <w:rPr>
                <w:rFonts w:hint="eastAsia" w:ascii="宋体" w:hAnsi="宋体" w:eastAsia="宋体" w:cs="宋体"/>
                <w:b/>
                <w:bCs w:val="0"/>
                <w:color w:val="auto"/>
                <w:sz w:val="24"/>
                <w:szCs w:val="21"/>
                <w:lang w:val="en-US" w:eastAsia="zh-CN"/>
              </w:rPr>
              <w:t>十一、脏净区隔离区</w:t>
            </w:r>
          </w:p>
        </w:tc>
      </w:tr>
      <w:tr w14:paraId="1ECBE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405" w:hRule="atLeast"/>
        </w:trPr>
        <w:tc>
          <w:tcPr>
            <w:tcW w:w="728" w:type="dxa"/>
            <w:vAlign w:val="center"/>
          </w:tcPr>
          <w:p w14:paraId="0FA9B7EF">
            <w:pPr>
              <w:widowControl/>
              <w:spacing w:line="400" w:lineRule="exact"/>
              <w:jc w:val="center"/>
              <w:rPr>
                <w:rFonts w:hint="default" w:ascii="宋体" w:hAnsi="宋体" w:eastAsia="宋体" w:cs="宋体"/>
                <w:b w:val="0"/>
                <w:bCs/>
                <w:color w:val="auto"/>
                <w:kern w:val="0"/>
                <w:sz w:val="24"/>
                <w:szCs w:val="21"/>
                <w:lang w:val="en-US" w:eastAsia="zh-CN"/>
              </w:rPr>
            </w:pPr>
            <w:r>
              <w:rPr>
                <w:rFonts w:hint="eastAsia" w:ascii="宋体" w:hAnsi="宋体" w:eastAsia="宋体" w:cs="宋体"/>
                <w:b w:val="0"/>
                <w:bCs/>
                <w:color w:val="auto"/>
                <w:kern w:val="0"/>
                <w:sz w:val="24"/>
                <w:szCs w:val="21"/>
                <w:lang w:val="en-US" w:eastAsia="zh-CN"/>
              </w:rPr>
              <w:t>11.1</w:t>
            </w:r>
          </w:p>
        </w:tc>
        <w:tc>
          <w:tcPr>
            <w:tcW w:w="1642" w:type="dxa"/>
            <w:vAlign w:val="center"/>
          </w:tcPr>
          <w:p w14:paraId="429CA28D">
            <w:pPr>
              <w:widowControl/>
              <w:spacing w:line="400" w:lineRule="exact"/>
              <w:rPr>
                <w:rFonts w:hint="eastAsia" w:ascii="宋体" w:hAnsi="宋体" w:eastAsia="宋体" w:cs="宋体"/>
                <w:b w:val="0"/>
                <w:bCs/>
                <w:color w:val="auto"/>
                <w:kern w:val="0"/>
                <w:sz w:val="24"/>
                <w:szCs w:val="21"/>
              </w:rPr>
            </w:pPr>
            <w:r>
              <w:rPr>
                <w:rFonts w:hint="eastAsia" w:ascii="宋体" w:hAnsi="宋体" w:eastAsia="宋体" w:cs="宋体"/>
                <w:color w:val="auto"/>
                <w:spacing w:val="3"/>
                <w:sz w:val="24"/>
                <w:szCs w:val="24"/>
                <w:highlight w:val="none"/>
                <w:lang w:val="en-US" w:eastAsia="zh-CN"/>
              </w:rPr>
              <w:t>脏净区隔离区</w:t>
            </w:r>
          </w:p>
        </w:tc>
        <w:tc>
          <w:tcPr>
            <w:tcW w:w="1530" w:type="dxa"/>
            <w:vAlign w:val="center"/>
          </w:tcPr>
          <w:p w14:paraId="1FADE1FC">
            <w:pPr>
              <w:widowControl/>
              <w:tabs>
                <w:tab w:val="left" w:pos="3046"/>
              </w:tabs>
              <w:spacing w:line="400" w:lineRule="exact"/>
              <w:rPr>
                <w:rFonts w:hint="eastAsia" w:ascii="宋体" w:hAnsi="宋体" w:eastAsia="宋体" w:cs="宋体"/>
                <w:b w:val="0"/>
                <w:bCs/>
                <w:color w:val="auto"/>
                <w:kern w:val="0"/>
                <w:sz w:val="24"/>
                <w:szCs w:val="21"/>
              </w:rPr>
            </w:pPr>
          </w:p>
        </w:tc>
        <w:tc>
          <w:tcPr>
            <w:tcW w:w="855" w:type="dxa"/>
            <w:vAlign w:val="center"/>
          </w:tcPr>
          <w:p w14:paraId="0A279DC3">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snapToGrid w:val="0"/>
                <w:color w:val="auto"/>
                <w:kern w:val="0"/>
                <w:sz w:val="24"/>
                <w:szCs w:val="21"/>
                <w:lang w:val="en-US" w:eastAsia="zh-CN" w:bidi="ar-SA"/>
              </w:rPr>
              <w:t>项</w:t>
            </w:r>
          </w:p>
        </w:tc>
        <w:tc>
          <w:tcPr>
            <w:tcW w:w="900" w:type="dxa"/>
            <w:vAlign w:val="center"/>
          </w:tcPr>
          <w:p w14:paraId="575863BA">
            <w:pPr>
              <w:widowControl/>
              <w:spacing w:line="400" w:lineRule="exact"/>
              <w:jc w:val="center"/>
              <w:rPr>
                <w:rFonts w:hint="eastAsia" w:ascii="宋体" w:hAnsi="宋体" w:eastAsia="宋体" w:cs="宋体"/>
                <w:b w:val="0"/>
                <w:bCs/>
                <w:color w:val="auto"/>
                <w:kern w:val="0"/>
                <w:sz w:val="24"/>
                <w:szCs w:val="21"/>
                <w:lang w:val="en-US" w:eastAsia="zh-CN"/>
              </w:rPr>
            </w:pPr>
            <w:r>
              <w:rPr>
                <w:rFonts w:hint="eastAsia" w:ascii="宋体" w:hAnsi="宋体" w:eastAsia="宋体" w:cs="宋体"/>
                <w:b w:val="0"/>
                <w:bCs/>
                <w:snapToGrid w:val="0"/>
                <w:color w:val="auto"/>
                <w:kern w:val="0"/>
                <w:sz w:val="24"/>
                <w:szCs w:val="21"/>
                <w:lang w:val="en-US" w:eastAsia="zh-CN" w:bidi="ar-SA"/>
              </w:rPr>
              <w:t>1</w:t>
            </w:r>
          </w:p>
        </w:tc>
        <w:tc>
          <w:tcPr>
            <w:tcW w:w="3785" w:type="dxa"/>
            <w:vAlign w:val="center"/>
          </w:tcPr>
          <w:p w14:paraId="4D73C17A">
            <w:pPr>
              <w:ind w:leftChars="100"/>
              <w:rPr>
                <w:rFonts w:hint="eastAsia" w:ascii="宋体" w:hAnsi="宋体" w:eastAsia="宋体" w:cs="宋体"/>
                <w:b w:val="0"/>
                <w:bCs/>
                <w:color w:val="auto"/>
                <w:sz w:val="24"/>
                <w:szCs w:val="21"/>
                <w:lang w:eastAsia="zh-CN"/>
              </w:rPr>
            </w:pPr>
            <w:r>
              <w:rPr>
                <w:rFonts w:hint="eastAsia" w:ascii="宋体" w:hAnsi="宋体" w:eastAsia="宋体" w:cs="宋体"/>
                <w:b w:val="0"/>
                <w:bCs/>
                <w:color w:val="auto"/>
                <w:kern w:val="0"/>
                <w:sz w:val="24"/>
                <w:szCs w:val="21"/>
                <w:lang w:val="en-US" w:eastAsia="zh-CN"/>
              </w:rPr>
              <w:t>具体内容详见本章四总体要求3.4条的内容</w:t>
            </w:r>
          </w:p>
        </w:tc>
      </w:tr>
    </w:tbl>
    <w:p w14:paraId="58734740">
      <w:pPr>
        <w:spacing w:line="134" w:lineRule="exact"/>
        <w:rPr>
          <w:rFonts w:hint="eastAsia" w:ascii="宋体" w:hAnsi="宋体" w:eastAsia="宋体" w:cs="宋体"/>
          <w:color w:val="auto"/>
          <w:sz w:val="24"/>
          <w:szCs w:val="24"/>
          <w:highlight w:val="none"/>
        </w:rPr>
      </w:pPr>
    </w:p>
    <w:p w14:paraId="0EA14319">
      <w:pPr>
        <w:spacing w:line="134" w:lineRule="exact"/>
        <w:rPr>
          <w:rFonts w:hint="eastAsia" w:ascii="宋体" w:hAnsi="宋体" w:eastAsia="宋体" w:cs="宋体"/>
          <w:color w:val="auto"/>
          <w:sz w:val="24"/>
          <w:szCs w:val="24"/>
          <w:highlight w:val="none"/>
        </w:rPr>
      </w:pPr>
    </w:p>
    <w:p w14:paraId="1D2EEE9F">
      <w:pPr>
        <w:pStyle w:val="14"/>
        <w:rPr>
          <w:rFonts w:hint="eastAsia" w:ascii="宋体" w:hAnsi="宋体" w:eastAsia="宋体" w:cs="宋体"/>
          <w:b w:val="0"/>
          <w:bCs w:val="0"/>
          <w:color w:val="auto"/>
          <w:spacing w:val="-1"/>
          <w:sz w:val="22"/>
          <w:szCs w:val="22"/>
          <w:highlight w:val="none"/>
          <w:lang w:val="en-US" w:eastAsia="zh-CN"/>
        </w:rPr>
      </w:pPr>
    </w:p>
    <w:p w14:paraId="2F60934D">
      <w:pPr>
        <w:pStyle w:val="14"/>
        <w:rPr>
          <w:rFonts w:hint="eastAsia" w:ascii="宋体" w:hAnsi="宋体" w:eastAsia="宋体" w:cs="宋体"/>
          <w:b w:val="0"/>
          <w:bCs w:val="0"/>
          <w:color w:val="auto"/>
          <w:spacing w:val="-1"/>
          <w:sz w:val="22"/>
          <w:szCs w:val="22"/>
          <w:highlight w:val="none"/>
          <w:lang w:val="en-US" w:eastAsia="zh-CN"/>
        </w:rPr>
      </w:pPr>
    </w:p>
    <w:p w14:paraId="473BAF93">
      <w:pPr>
        <w:pStyle w:val="14"/>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注：1、所有设备材质、功率、尺寸、电压、防护等级按本表执行。</w:t>
      </w:r>
    </w:p>
    <w:p w14:paraId="64E9BB6E">
      <w:pPr>
        <w:pStyle w:val="14"/>
        <w:ind w:firstLine="654" w:firstLineChars="300"/>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2、不锈钢统一为食品级304;碳钢/型钢统一热镀锌。</w:t>
      </w:r>
    </w:p>
    <w:p w14:paraId="007B85EA">
      <w:pPr>
        <w:pStyle w:val="14"/>
        <w:ind w:firstLine="654" w:firstLineChars="300"/>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3、设备含:主机、标准附件、安装连接件、随机工具、说明书、合格证。</w:t>
      </w:r>
    </w:p>
    <w:p w14:paraId="656AD674">
      <w:pPr>
        <w:pStyle w:val="14"/>
        <w:ind w:firstLine="654" w:firstLineChars="300"/>
        <w:rPr>
          <w:rFonts w:hint="eastAsia" w:ascii="宋体" w:hAnsi="宋体" w:eastAsia="宋体" w:cs="宋体"/>
          <w:b w:val="0"/>
          <w:bCs w:val="0"/>
          <w:color w:val="auto"/>
          <w:spacing w:val="-1"/>
          <w:sz w:val="22"/>
          <w:szCs w:val="22"/>
          <w:highlight w:val="none"/>
          <w:lang w:val="en-US" w:eastAsia="zh-CN"/>
        </w:rPr>
      </w:pPr>
      <w:r>
        <w:rPr>
          <w:rFonts w:hint="eastAsia" w:ascii="宋体" w:hAnsi="宋体" w:eastAsia="宋体" w:cs="宋体"/>
          <w:b w:val="0"/>
          <w:bCs w:val="0"/>
          <w:color w:val="auto"/>
          <w:spacing w:val="-1"/>
          <w:sz w:val="22"/>
          <w:szCs w:val="22"/>
          <w:highlight w:val="none"/>
          <w:lang w:val="en-US" w:eastAsia="zh-CN"/>
        </w:rPr>
        <w:t>4、报价需含:设备的供货、运输、储藏、保险、安装调试、 检测、验收、运行试车、技术培训、售后服务、税金、利润及其他伴随服务等一切费用。</w:t>
      </w:r>
    </w:p>
    <w:p w14:paraId="7C56C3E3">
      <w:pPr>
        <w:pStyle w:val="14"/>
        <w:rPr>
          <w:rFonts w:hint="eastAsia" w:ascii="宋体" w:hAnsi="宋体" w:eastAsia="宋体" w:cs="宋体"/>
          <w:b/>
          <w:bCs/>
          <w:color w:val="auto"/>
          <w:spacing w:val="-1"/>
          <w:sz w:val="22"/>
          <w:szCs w:val="22"/>
          <w:highlight w:val="none"/>
          <w:lang w:val="en-US" w:eastAsia="zh-CN"/>
        </w:rPr>
      </w:pPr>
    </w:p>
    <w:p w14:paraId="6885DB1A">
      <w:pPr>
        <w:rPr>
          <w:rFonts w:hint="eastAsia"/>
          <w:color w:val="auto"/>
          <w:highlight w:val="none"/>
        </w:rPr>
      </w:pPr>
    </w:p>
    <w:p w14:paraId="797422B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四、总体要求 </w:t>
      </w:r>
    </w:p>
    <w:p w14:paraId="239898E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1.货物要求</w:t>
      </w:r>
    </w:p>
    <w:p w14:paraId="642CB26C">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1.1.本技术规范要求提出的是最低限度的基本技术要求，并未对所有技术细节作出规定，投标人应提供符合本技术要求和国家标准、行业标准的优质产品。 </w:t>
      </w:r>
    </w:p>
    <w:p w14:paraId="31A7AFFC">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1.2.投标人产品与本技术要求不一致时，投标人应在投标文件中予以说明，并由评标委员会鉴定投标人产品能否达到要求。如投标人没有在投标文件中提出异议，则视为投标人提供的产品完全按照本招标文件要求。 </w:t>
      </w:r>
    </w:p>
    <w:p w14:paraId="6F28B876">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1.3.技术要求及标准的执行投标人提供的产品应标明所执行的质量标准，若同一标准已颁发新标准，则按最新标准执行。若同一产品同时有几个标准（国际标准、国家标准、行业标准、企业标准等），则按最高层次的标准执行。</w:t>
      </w:r>
    </w:p>
    <w:p w14:paraId="15A19141">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1.4.投标人须按国家有关规定及标准完成本次采购产品的供货、运输、装卸、就位、安装、调试、技术培训、检验、通过有关部门验收、质保期服务、产品终身维修等各项工作，并保证投标产品使用的安全性能与检测结果的可靠性。如中标，投标人及制造商对中标产品使用的安全性能与可靠性负全部责任。 </w:t>
      </w:r>
    </w:p>
    <w:p w14:paraId="3D55D9F7">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1.5.本次项目采购的货物如涉及国家规定强制认证的，均视为投标人所投产品符合了工业品生产许可证，3C 认证，环保产品认证等强制认证规定，但投标人须在招标人对所有货物验收时提供相关证书证明资料，否则按验收不能通过处理。 </w:t>
      </w:r>
    </w:p>
    <w:p w14:paraId="07B4DDDB">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1.6.本章涉及的技术指标参数要求均为项目的参考指标。投标人在投标中可以选用替代指标，但这些替代技术指标要实质上相当于或优于招标文件中的要求，并提供相关证明材料供评审专家评审。</w:t>
      </w:r>
    </w:p>
    <w:p w14:paraId="15A154C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firstLine="241" w:firstLineChars="100"/>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2.配送要求</w:t>
      </w:r>
    </w:p>
    <w:p w14:paraId="1072873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 xml:space="preserve">  </w:t>
      </w:r>
      <w:r>
        <w:rPr>
          <w:rFonts w:hint="eastAsia" w:ascii="宋体" w:hAnsi="宋体" w:eastAsia="宋体" w:cs="宋体"/>
          <w:b w:val="0"/>
          <w:bCs w:val="0"/>
          <w:snapToGrid w:val="0"/>
          <w:color w:val="auto"/>
          <w:kern w:val="0"/>
          <w:sz w:val="24"/>
          <w:szCs w:val="24"/>
          <w:highlight w:val="none"/>
          <w:lang w:val="en-US" w:eastAsia="zh-CN" w:bidi="ar"/>
        </w:rPr>
        <w:t>2.1.</w:t>
      </w:r>
      <w:r>
        <w:rPr>
          <w:rFonts w:hint="eastAsia" w:ascii="宋体" w:hAnsi="宋体" w:eastAsia="宋体" w:cs="宋体"/>
          <w:b w:val="0"/>
          <w:bCs w:val="0"/>
          <w:color w:val="auto"/>
          <w:spacing w:val="3"/>
          <w:sz w:val="24"/>
          <w:szCs w:val="24"/>
          <w:highlight w:val="none"/>
          <w:lang w:val="en-US" w:eastAsia="zh-CN"/>
        </w:rPr>
        <w:t>配送</w:t>
      </w:r>
      <w:r>
        <w:rPr>
          <w:rFonts w:hint="eastAsia" w:ascii="宋体" w:hAnsi="宋体" w:eastAsia="宋体" w:cs="宋体"/>
          <w:color w:val="auto"/>
          <w:spacing w:val="3"/>
          <w:sz w:val="24"/>
          <w:szCs w:val="24"/>
          <w:highlight w:val="none"/>
          <w:lang w:val="en-US" w:eastAsia="zh-CN"/>
        </w:rPr>
        <w:t>地址：采购人指定地点。</w:t>
      </w:r>
    </w:p>
    <w:p w14:paraId="4E07299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b/>
          <w:bCs/>
          <w:color w:val="auto"/>
          <w:spacing w:val="3"/>
          <w:sz w:val="24"/>
          <w:szCs w:val="24"/>
          <w:highlight w:val="none"/>
          <w:lang w:val="en-US" w:eastAsia="zh-CN"/>
        </w:rPr>
        <w:t xml:space="preserve"> 3.参数配置补充要求</w:t>
      </w:r>
    </w:p>
    <w:p w14:paraId="0417A17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default" w:ascii="宋体" w:hAnsi="宋体" w:eastAsia="宋体" w:cs="宋体"/>
          <w:b/>
          <w:bCs/>
          <w:color w:val="0000FF"/>
          <w:spacing w:val="3"/>
          <w:sz w:val="24"/>
          <w:szCs w:val="24"/>
          <w:highlight w:val="none"/>
          <w:lang w:val="en-US" w:eastAsia="zh-CN"/>
        </w:rPr>
      </w:pPr>
      <w:r>
        <w:rPr>
          <w:rFonts w:hint="eastAsia" w:ascii="宋体" w:hAnsi="宋体" w:eastAsia="宋体" w:cs="宋体"/>
          <w:b/>
          <w:bCs/>
          <w:color w:val="0000FF"/>
          <w:spacing w:val="3"/>
          <w:sz w:val="24"/>
          <w:szCs w:val="24"/>
          <w:highlight w:val="none"/>
          <w:lang w:val="en-US" w:eastAsia="zh-CN"/>
        </w:rPr>
        <w:t>3.1 入场消毒区</w:t>
      </w:r>
    </w:p>
    <w:p w14:paraId="434CEDA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47" w:name="heading_1"/>
      <w:r>
        <w:rPr>
          <w:rFonts w:hint="eastAsia" w:ascii="宋体" w:hAnsi="宋体" w:eastAsia="宋体" w:cs="宋体"/>
          <w:color w:val="auto"/>
          <w:spacing w:val="3"/>
          <w:sz w:val="24"/>
          <w:szCs w:val="24"/>
          <w:highlight w:val="none"/>
          <w:lang w:val="en-US" w:eastAsia="zh-CN"/>
        </w:rPr>
        <w:t>1、车辆消毒通道</w:t>
      </w:r>
      <w:bookmarkEnd w:id="47"/>
    </w:p>
    <w:p w14:paraId="1308F7F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主体钢结构房：净宽≥4m、净高≥4m、纵深≥12m；304 不锈钢 / 镀锌方管 + 彩钢保温板，防冻保温。</w:t>
      </w:r>
    </w:p>
    <w:p w14:paraId="3C2904C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高压喷雾系统（六面无死角）</w:t>
      </w:r>
    </w:p>
    <w:p w14:paraId="7B30243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立杆：4 根 ×4.5m，304 不锈钢，每杆 6–8 个防堵喷头。</w:t>
      </w:r>
    </w:p>
    <w:p w14:paraId="67F6D9A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顶喷：2 道弧形管，全覆盖车顶。</w:t>
      </w:r>
    </w:p>
    <w:p w14:paraId="1A46771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底喷：3 道地埋高压喷头，底盘全覆盖。</w:t>
      </w:r>
    </w:p>
    <w:p w14:paraId="4075A18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雾粒：30–120μm，压力 2.5–3.5MPa。</w:t>
      </w:r>
    </w:p>
    <w:p w14:paraId="3BCBAD3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动力主机（防冻款）</w:t>
      </w:r>
    </w:p>
    <w:p w14:paraId="28975D7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380V/5.5–7.5kW 纯铜电机，高压陶瓷柱塞泵。</w:t>
      </w:r>
    </w:p>
    <w:p w14:paraId="484C950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60–100L 不锈钢药箱，自动加水 + 比例加药（0.1%–1% 可调）。</w:t>
      </w:r>
    </w:p>
    <w:p w14:paraId="46439EA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冬季伴热带防冻 + 温控加热（-30℃可用）。</w:t>
      </w:r>
    </w:p>
    <w:p w14:paraId="5ECD6E3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智能控制</w:t>
      </w:r>
    </w:p>
    <w:p w14:paraId="1E1D950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地感线圈 + 红外感应：车到自动启动，车离延时关闭。</w:t>
      </w:r>
    </w:p>
    <w:p w14:paraId="2F64D91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人机识别：只认车辆，不误触发行人。</w:t>
      </w:r>
    </w:p>
    <w:p w14:paraId="52C8C74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PLC + 触摸屏：时长、浓度、压力可调，带运行记录。</w:t>
      </w:r>
    </w:p>
    <w:p w14:paraId="423821C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远程告警：缺水、缺药、高压异常报警。</w:t>
      </w:r>
    </w:p>
    <w:p w14:paraId="50676D3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48" w:name="heading_2"/>
      <w:r>
        <w:rPr>
          <w:rFonts w:hint="eastAsia" w:ascii="宋体" w:hAnsi="宋体" w:eastAsia="宋体" w:cs="宋体"/>
          <w:color w:val="auto"/>
          <w:spacing w:val="3"/>
          <w:sz w:val="24"/>
          <w:szCs w:val="24"/>
          <w:highlight w:val="none"/>
          <w:lang w:val="en-US" w:eastAsia="zh-CN"/>
        </w:rPr>
        <w:t>2、车辆消毒池</w:t>
      </w:r>
      <w:bookmarkEnd w:id="48"/>
    </w:p>
    <w:p w14:paraId="22D860E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一、入场消毒核心配置</w:t>
      </w:r>
    </w:p>
    <w:p w14:paraId="3177081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尺寸：与门同宽、长≥4m、深≥0.3m，C30 防渗混凝土 + 环氧树脂防腐。</w:t>
      </w:r>
    </w:p>
    <w:p w14:paraId="23F66B3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配置：自动加药 + 液位自控，常用 2%–3% 火碱或次氯酸钠溶液。</w:t>
      </w:r>
    </w:p>
    <w:p w14:paraId="3482DFD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排水：3% 坡度→三级沉淀池→废液处理，严禁直排。</w:t>
      </w:r>
    </w:p>
    <w:p w14:paraId="61D2444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49" w:name="heading_3"/>
      <w:r>
        <w:rPr>
          <w:rFonts w:hint="eastAsia" w:ascii="宋体" w:hAnsi="宋体" w:eastAsia="宋体" w:cs="宋体"/>
          <w:color w:val="auto"/>
          <w:spacing w:val="3"/>
          <w:sz w:val="24"/>
          <w:szCs w:val="24"/>
          <w:highlight w:val="none"/>
          <w:lang w:val="en-US" w:eastAsia="zh-CN"/>
        </w:rPr>
        <w:t>3、人员消毒通道 + 更衣室</w:t>
      </w:r>
      <w:bookmarkEnd w:id="49"/>
    </w:p>
    <w:p w14:paraId="53230E8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人员喷淋门：红外感应，雾化全身消毒。</w:t>
      </w:r>
    </w:p>
    <w:p w14:paraId="14DAC88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鞋靴消毒池：长≥2m、深≥0.15m，防滑格栅。</w:t>
      </w:r>
    </w:p>
    <w:p w14:paraId="415B6A7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洗手 / 干手 / 更衣：非接触洗手池、干手器、紫外线更衣灯。</w:t>
      </w:r>
    </w:p>
    <w:p w14:paraId="74A7B55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4、废液处理 + 给排水</w:t>
      </w:r>
    </w:p>
    <w:p w14:paraId="6698016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三级沉淀池（隔渣→沉淀→中和）。</w:t>
      </w:r>
    </w:p>
    <w:p w14:paraId="2A233E5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简易加药中和池（pH 达标排放）。</w:t>
      </w:r>
    </w:p>
    <w:p w14:paraId="610A482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防水地坪、地沟、截水沟、防渗处理。</w:t>
      </w:r>
    </w:p>
    <w:p w14:paraId="1DD0A95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5、电气 + 安防</w:t>
      </w:r>
    </w:p>
    <w:p w14:paraId="5B99EC3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防水配电箱、电缆、穿线管、接地保护。</w:t>
      </w:r>
    </w:p>
    <w:p w14:paraId="0C50D8D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监控摄像头（通道内外）、声光报警、警示牌。</w:t>
      </w:r>
    </w:p>
    <w:p w14:paraId="7871196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二、标准工艺流程（污→净单向，不交叉）</w:t>
      </w:r>
    </w:p>
    <w:p w14:paraId="3F1504A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车辆减速→消毒池（车轮 / 底盘预消）：车速≤5km/h，浸泡≥5 秒。</w:t>
      </w:r>
    </w:p>
    <w:p w14:paraId="480BAF8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地感触发→全自动六面喷雾消毒（15–30 秒）：车顶、两侧、前后、底盘全覆盖。</w:t>
      </w:r>
    </w:p>
    <w:p w14:paraId="74FB8AF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沥干 / 烘干（可选，预算内可加暖风）：减少带药出场。</w:t>
      </w:r>
    </w:p>
    <w:p w14:paraId="581CD9F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人员入场→更衣→鞋靴消毒→全身雾化→洗手→进场。</w:t>
      </w:r>
    </w:p>
    <w:p w14:paraId="48359FC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废液→三级沉淀→中和→达标排放。</w:t>
      </w:r>
    </w:p>
    <w:p w14:paraId="2473374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0" w:name="heading_7"/>
      <w:r>
        <w:rPr>
          <w:rFonts w:hint="eastAsia" w:ascii="宋体" w:hAnsi="宋体" w:eastAsia="宋体" w:cs="宋体"/>
          <w:color w:val="auto"/>
          <w:spacing w:val="3"/>
          <w:sz w:val="24"/>
          <w:szCs w:val="24"/>
          <w:highlight w:val="none"/>
          <w:lang w:val="en-US" w:eastAsia="zh-CN"/>
        </w:rPr>
        <w:t>三、消毒剂选型（合规 + 常用）</w:t>
      </w:r>
      <w:bookmarkEnd w:id="50"/>
    </w:p>
    <w:p w14:paraId="68DF10D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车辆 / 环境：2%–3% 氢氧化钠（火碱） 或 0.2% 次氯酸钠，每日更换。</w:t>
      </w:r>
    </w:p>
    <w:p w14:paraId="4A219FB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人员：0.05%–0.1% 过氧乙酸或季铵盐类，温和无刺激。</w:t>
      </w:r>
    </w:p>
    <w:p w14:paraId="4E9F400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1" w:name="heading_9"/>
      <w:r>
        <w:rPr>
          <w:rFonts w:hint="eastAsia" w:ascii="宋体" w:hAnsi="宋体" w:eastAsia="宋体" w:cs="宋体"/>
          <w:color w:val="auto"/>
          <w:spacing w:val="3"/>
          <w:sz w:val="24"/>
          <w:szCs w:val="24"/>
          <w:highlight w:val="none"/>
          <w:lang w:val="en-US" w:eastAsia="zh-CN"/>
        </w:rPr>
        <w:t>四、验收</w:t>
      </w:r>
      <w:bookmarkEnd w:id="51"/>
      <w:r>
        <w:rPr>
          <w:rFonts w:hint="eastAsia" w:ascii="宋体" w:hAnsi="宋体" w:eastAsia="宋体" w:cs="宋体"/>
          <w:color w:val="auto"/>
          <w:spacing w:val="3"/>
          <w:sz w:val="24"/>
          <w:szCs w:val="24"/>
          <w:highlight w:val="none"/>
          <w:lang w:val="en-US" w:eastAsia="zh-CN"/>
        </w:rPr>
        <w:t>要求</w:t>
      </w:r>
    </w:p>
    <w:p w14:paraId="6F0E464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通道尺寸：≥4m×4m×12m，消毒池≥4m×0.3m。</w:t>
      </w:r>
    </w:p>
    <w:p w14:paraId="566033F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六面消毒：顶 / 侧 / 前 / 后 / 底盘无死角。</w:t>
      </w:r>
    </w:p>
    <w:p w14:paraId="68DF72A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自动配比 + 防冻 + 记录：可追溯、冬季可用。</w:t>
      </w:r>
    </w:p>
    <w:p w14:paraId="7F371F8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废液处理：三级沉淀 + 中和，不外排。</w:t>
      </w:r>
    </w:p>
    <w:p w14:paraId="134A090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b/>
          <w:bCs/>
          <w:color w:val="0000FF"/>
          <w:spacing w:val="3"/>
          <w:sz w:val="24"/>
          <w:szCs w:val="24"/>
          <w:highlight w:val="none"/>
          <w:lang w:val="en-US" w:eastAsia="zh-CN"/>
        </w:rPr>
        <w:t>3.2 车间净化设备</w:t>
      </w:r>
    </w:p>
    <w:p w14:paraId="0D90B71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一、车间分区与净化等级</w:t>
      </w:r>
    </w:p>
    <w:p w14:paraId="68D3018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屠宰区）—— 一般作业区</w:t>
      </w:r>
    </w:p>
    <w:p w14:paraId="3287057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等级：通风排污区，不做洁净室</w:t>
      </w:r>
    </w:p>
    <w:p w14:paraId="361FAB7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重点：强排风 + 除臭 + 防交叉污染</w:t>
      </w:r>
    </w:p>
    <w:p w14:paraId="2F201C7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换气：≥15 次 / 小时，负压防气味外溢</w:t>
      </w:r>
    </w:p>
    <w:p w14:paraId="33BE32B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分割 / 修整区—— 准清洁区（十万级）</w:t>
      </w:r>
    </w:p>
    <w:p w14:paraId="0872D89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等级：ISO 7 级（十万级）</w:t>
      </w:r>
    </w:p>
    <w:p w14:paraId="0A30B82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指标：≥0.5μm 微粒 ≤352 万个 /m³，沉降菌 ≤10 CFU / 皿</w:t>
      </w:r>
    </w:p>
    <w:p w14:paraId="2C871FF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换气：20–25 次 / 小时，初效 + 中效过滤</w:t>
      </w:r>
    </w:p>
    <w:p w14:paraId="6F8B2FB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包装 / 暂存区（约 400㎡）—— 清洁区（万级，局部）</w:t>
      </w:r>
    </w:p>
    <w:p w14:paraId="43ADF66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等级：ISO 6 级（万级）局部，只在包装台上方做 FFU 或局部净化单元</w:t>
      </w:r>
    </w:p>
    <w:p w14:paraId="303228C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浮游菌 ≤100 CFU/m³</w:t>
      </w:r>
    </w:p>
    <w:p w14:paraId="608ABAC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二、设备清单（全套，含安装）</w:t>
      </w:r>
    </w:p>
    <w:p w14:paraId="707BCCD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1、通风 + 净化主机系统</w:t>
      </w:r>
    </w:p>
    <w:p w14:paraId="3E28B63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屠宰区排风风机 4 台（7.5kW / 台，防爆 + 防腐）</w:t>
      </w:r>
    </w:p>
    <w:p w14:paraId="37D453E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分割区净化空调机组 2 台（组合式，G4+F7 过滤）</w:t>
      </w:r>
    </w:p>
    <w:p w14:paraId="5E4A672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包装区 FFU 风机过滤单元 12 台（H13 高效）</w:t>
      </w:r>
    </w:p>
    <w:p w14:paraId="2C7D027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2、风管 + 风口 + 保温</w:t>
      </w:r>
    </w:p>
    <w:p w14:paraId="1F9D0FD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镀锌风管 + 橡塑保温 + 防火阀：</w:t>
      </w:r>
    </w:p>
    <w:p w14:paraId="2F29DEC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不锈钢散流风口、排风罩、风阀：</w:t>
      </w:r>
    </w:p>
    <w:p w14:paraId="1D679D5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3、臭氧 / 消毒 + 除臭</w:t>
      </w:r>
    </w:p>
    <w:p w14:paraId="795A8F9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车间臭氧发生器 3 台（10g/h，分区定时消毒）：</w:t>
      </w:r>
    </w:p>
    <w:p w14:paraId="7D8D783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除臭光氧 / 活性炭一体机 2 套（屠宰区除味）</w:t>
      </w:r>
    </w:p>
    <w:p w14:paraId="668D320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4、电气 + 控制 + 安装调试</w:t>
      </w:r>
    </w:p>
    <w:p w14:paraId="12C5009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防水电控箱、PLC 简易控制、线缆桥架</w:t>
      </w:r>
    </w:p>
    <w:p w14:paraId="55C3BA6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安装费、辅材、调试、培训：</w:t>
      </w:r>
      <w:bookmarkStart w:id="52" w:name="heading_8"/>
    </w:p>
    <w:p w14:paraId="010088A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四、工艺流程与控制要点</w:t>
      </w:r>
      <w:bookmarkEnd w:id="52"/>
    </w:p>
    <w:p w14:paraId="6CB6558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屠宰区：</w:t>
      </w:r>
    </w:p>
    <w:p w14:paraId="34B0CDA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每小时 ≥15 次排风，负压运行，防止气味串到分割区</w:t>
      </w:r>
    </w:p>
    <w:p w14:paraId="1E24D03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每日臭氧消毒 2 次（每次 60 分钟）</w:t>
      </w:r>
    </w:p>
    <w:p w14:paraId="10F0B3C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地面 3% 坡度，排水畅通，无积水血污</w:t>
      </w:r>
    </w:p>
    <w:p w14:paraId="6344C9B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分割区（十万级）：</w:t>
      </w:r>
    </w:p>
    <w:p w14:paraId="4A2C0A3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风：顶送侧回，G4 初效 + F7 中效，无高效（省钱但达标）</w:t>
      </w:r>
    </w:p>
    <w:p w14:paraId="35A8F6F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温度：12–18℃，相对湿度 50%–65%</w:t>
      </w:r>
    </w:p>
    <w:p w14:paraId="6E35E8E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台面、工具：每 4 小时消毒一次</w:t>
      </w:r>
    </w:p>
    <w:p w14:paraId="2D1B7B0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包装区（局部万级）：</w:t>
      </w:r>
    </w:p>
    <w:p w14:paraId="5E6896D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包装台上方 FFU 单向流，局部高洁净</w:t>
      </w:r>
    </w:p>
    <w:p w14:paraId="1442462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入口设更衣 + 鞋靴消毒 + 洗手消毒</w:t>
      </w:r>
    </w:p>
    <w:p w14:paraId="26C1E02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3" w:name="heading_10"/>
      <w:r>
        <w:rPr>
          <w:rFonts w:hint="eastAsia" w:ascii="宋体" w:hAnsi="宋体" w:eastAsia="宋体" w:cs="宋体"/>
          <w:color w:val="auto"/>
          <w:spacing w:val="3"/>
          <w:sz w:val="24"/>
          <w:szCs w:val="24"/>
          <w:highlight w:val="none"/>
          <w:lang w:val="en-US" w:eastAsia="zh-CN"/>
        </w:rPr>
        <w:t>六、验收标准</w:t>
      </w:r>
      <w:bookmarkEnd w:id="53"/>
    </w:p>
    <w:p w14:paraId="0539633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分割区：沉降菌 ≤10 CFU / 皿，浮游菌 ≤200 CFU/m³</w:t>
      </w:r>
    </w:p>
    <w:p w14:paraId="20E313A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包装区：浮游菌 ≤100 CFU/m³</w:t>
      </w:r>
    </w:p>
    <w:p w14:paraId="5123AA9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车间无明显异味，空气流通，无霉点、无积尘</w:t>
      </w:r>
    </w:p>
    <w:p w14:paraId="7685711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设备运行正常，有消毒 / 通风运行记录</w:t>
      </w:r>
    </w:p>
    <w:p w14:paraId="208734D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default" w:ascii="宋体" w:hAnsi="宋体" w:eastAsia="宋体" w:cs="宋体"/>
          <w:b/>
          <w:bCs/>
          <w:color w:val="0000FF"/>
          <w:spacing w:val="3"/>
          <w:sz w:val="24"/>
          <w:szCs w:val="24"/>
          <w:highlight w:val="none"/>
          <w:lang w:val="en-US" w:eastAsia="zh-CN"/>
        </w:rPr>
      </w:pPr>
      <w:r>
        <w:rPr>
          <w:rFonts w:hint="eastAsia" w:ascii="宋体" w:hAnsi="宋体" w:eastAsia="宋体" w:cs="宋体"/>
          <w:b/>
          <w:bCs/>
          <w:color w:val="0000FF"/>
          <w:spacing w:val="3"/>
          <w:sz w:val="24"/>
          <w:szCs w:val="24"/>
          <w:highlight w:val="none"/>
          <w:lang w:val="en-US" w:eastAsia="zh-CN"/>
        </w:rPr>
        <w:t>3.3 待宰区</w:t>
      </w:r>
    </w:p>
    <w:p w14:paraId="32A6A1F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一、项目概况</w:t>
      </w:r>
    </w:p>
    <w:p w14:paraId="7BAE85D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本项目为牛羊屠宰场标准化待宰区升级建设工程，总占地面积 1000㎡。</w:t>
      </w:r>
    </w:p>
    <w:p w14:paraId="1477B24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建设内容包含：12 座独立彩钢结构待宰圈、地磅称重区、独立急宰间、活体检验检疫间、计量值班室。</w:t>
      </w:r>
    </w:p>
    <w:p w14:paraId="1F7888F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整体工艺采用：混凝土地面硬化 + 彩钢板围挡隔离 + 彩钢板屋面封顶，完全符合《GB 12694-2016 畜禽屠宰加工卫生规范》《畜禽场防疫建设规范》，适配牛羊进场静养、检疫、称重、应急处置全流程。</w:t>
      </w:r>
    </w:p>
    <w:p w14:paraId="65297AC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二、整体功能分区规划</w:t>
      </w:r>
    </w:p>
    <w:p w14:paraId="52051BD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标准化待宰圈区域800㎡（12 间独立待宰圈）</w:t>
      </w:r>
    </w:p>
    <w:p w14:paraId="3E90630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地磅称重作业区：80㎡</w:t>
      </w:r>
    </w:p>
    <w:p w14:paraId="7820AF1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急宰处置间：30㎡*2间</w:t>
      </w:r>
    </w:p>
    <w:p w14:paraId="318BA5A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活体隔离间：25㎡*2间</w:t>
      </w:r>
    </w:p>
    <w:p w14:paraId="47099C1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5.活体检疫检验间：20㎡</w:t>
      </w:r>
    </w:p>
    <w:p w14:paraId="62CFAC7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6.计量值班控制室：20㎡</w:t>
      </w:r>
    </w:p>
    <w:p w14:paraId="4E2E7BE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整体布局：净污分离、人畜分流、独立排水、独立通风、分区隔离，满足农业农村局屠宰场常态化检查标准。</w:t>
      </w:r>
    </w:p>
    <w:p w14:paraId="18C16D0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三、整体建设工艺标准（统一施工标准）</w:t>
      </w:r>
    </w:p>
    <w:p w14:paraId="15BCA1B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4" w:name="heading_4"/>
      <w:r>
        <w:rPr>
          <w:rFonts w:hint="eastAsia" w:ascii="宋体" w:hAnsi="宋体" w:eastAsia="宋体" w:cs="宋体"/>
          <w:color w:val="auto"/>
          <w:spacing w:val="3"/>
          <w:sz w:val="24"/>
          <w:szCs w:val="24"/>
          <w:highlight w:val="none"/>
          <w:lang w:val="en-US" w:eastAsia="zh-CN"/>
        </w:rPr>
        <w:t>1、地面工程（全场统一标准）</w:t>
      </w:r>
      <w:bookmarkEnd w:id="54"/>
    </w:p>
    <w:p w14:paraId="20D51B2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全场C25/C30 商品混凝土硬化，厚度 12cm</w:t>
      </w:r>
    </w:p>
    <w:p w14:paraId="685D45E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双层钢筋网片加固，防沉降、防开裂、耐车辆碾压</w:t>
      </w:r>
    </w:p>
    <w:p w14:paraId="68293A1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全场做3% 排水坡度，全部向排水沟倾斜</w:t>
      </w:r>
    </w:p>
    <w:p w14:paraId="3F0B582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地面收光防滑、防渗处理，耐冲洗、耐粪污腐蚀</w:t>
      </w:r>
    </w:p>
    <w:p w14:paraId="1BA02FB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全域修建封闭式排水沟、沉渣井，不积水、无异味</w:t>
      </w:r>
    </w:p>
    <w:p w14:paraId="4E4E0E9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5" w:name="heading_5"/>
      <w:r>
        <w:rPr>
          <w:rFonts w:hint="eastAsia" w:ascii="宋体" w:hAnsi="宋体" w:eastAsia="宋体" w:cs="宋体"/>
          <w:color w:val="auto"/>
          <w:spacing w:val="3"/>
          <w:sz w:val="24"/>
          <w:szCs w:val="24"/>
          <w:highlight w:val="none"/>
          <w:lang w:val="en-US" w:eastAsia="zh-CN"/>
        </w:rPr>
        <w:t>2、围挡隔断工程（待宰圈全部彩钢板）</w:t>
      </w:r>
      <w:bookmarkEnd w:id="55"/>
    </w:p>
    <w:p w14:paraId="6E39C53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待宰圈隔墙：50mm 厚岩棉彩钢板围挡，高度 1.8m</w:t>
      </w:r>
    </w:p>
    <w:p w14:paraId="11A1CBD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防锈方管框架焊接加固，抗牛羊撞击</w:t>
      </w:r>
    </w:p>
    <w:p w14:paraId="068CB68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每间独立隔断、独立门、独立排水，互不串圈</w:t>
      </w:r>
    </w:p>
    <w:p w14:paraId="0EDFF22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防腐蚀、易冲洗、易消杀、不破皮、不变形</w:t>
      </w:r>
    </w:p>
    <w:p w14:paraId="3C3921B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6" w:name="heading_6"/>
      <w:r>
        <w:rPr>
          <w:rFonts w:hint="eastAsia" w:ascii="宋体" w:hAnsi="宋体" w:eastAsia="宋体" w:cs="宋体"/>
          <w:color w:val="auto"/>
          <w:spacing w:val="3"/>
          <w:sz w:val="24"/>
          <w:szCs w:val="24"/>
          <w:highlight w:val="none"/>
          <w:lang w:val="en-US" w:eastAsia="zh-CN"/>
        </w:rPr>
        <w:t>3、屋面顶盖工程（全场彩钢顶）</w:t>
      </w:r>
      <w:bookmarkEnd w:id="56"/>
    </w:p>
    <w:p w14:paraId="12EC6A0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全场搭建钢结构桁架 + 彩钢压型板屋面</w:t>
      </w:r>
    </w:p>
    <w:p w14:paraId="599D8C7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加厚彩钢瓦，防水、防晒、抗风、防雨</w:t>
      </w:r>
    </w:p>
    <w:p w14:paraId="4A56148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预留自然通风口、采光带，圈舍通风干燥</w:t>
      </w:r>
    </w:p>
    <w:p w14:paraId="7D148F5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整体钢结构除锈、防腐、刷漆处理</w:t>
      </w:r>
    </w:p>
    <w:p w14:paraId="7CE8C18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四、各区域详细建设方案</w:t>
      </w:r>
    </w:p>
    <w:p w14:paraId="265A4CE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（一）12 座标准化牛羊待宰圈</w:t>
      </w:r>
    </w:p>
    <w:p w14:paraId="517E5EA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数量规格：共计 12 间独立待宰圈，均分布局，满足牛羊分批次静养、隔离、待宰。</w:t>
      </w:r>
    </w:p>
    <w:p w14:paraId="3426538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结构形式：钢结构框架 + 彩钢板隔断 + 全彩钢屋面。</w:t>
      </w:r>
    </w:p>
    <w:p w14:paraId="31FC1BC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配套功能</w:t>
      </w:r>
    </w:p>
    <w:p w14:paraId="285867E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每间独立大门，方便牛羊赶进赶出</w:t>
      </w:r>
    </w:p>
    <w:p w14:paraId="28E3394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每间独立地漏 + 独立排污口，防止交叉污染</w:t>
      </w:r>
    </w:p>
    <w:p w14:paraId="564874D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地面超高防渗处理，可高压水枪全天候冲洗</w:t>
      </w:r>
    </w:p>
    <w:p w14:paraId="731B281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圈舍高位通风，防潮、防霉变、降异味</w:t>
      </w:r>
    </w:p>
    <w:p w14:paraId="0EA5FE4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预留饮水点位、日常消毒点位</w:t>
      </w:r>
    </w:p>
    <w:p w14:paraId="7ED0334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合规亮点</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分区隔离饲养，杜绝病健混养，完全符合屠宰场防疫检疫要求。</w:t>
      </w:r>
    </w:p>
    <w:p w14:paraId="005403E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（二）地磅称重区</w:t>
      </w:r>
    </w:p>
    <w:p w14:paraId="5BD19BD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整体混凝土加厚硬化承重基础，抗车辆重压、防沉降</w:t>
      </w:r>
    </w:p>
    <w:p w14:paraId="370A7EC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四周简易防护围挡、车辆限位、导向标线</w:t>
      </w:r>
    </w:p>
    <w:p w14:paraId="39F6A80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独立排水，避免雨水浸泡地磅基础</w:t>
      </w:r>
    </w:p>
    <w:p w14:paraId="7908412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预留地磅设备安装位、穿线管、防水接线位</w:t>
      </w:r>
    </w:p>
    <w:p w14:paraId="6D84B16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开阔通透，满足大型牛羊转运车辆整车称重作业</w:t>
      </w:r>
    </w:p>
    <w:p w14:paraId="43E2EAB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（三）独立急宰间</w:t>
      </w:r>
    </w:p>
    <w:p w14:paraId="305FB84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全封闭彩钢围护结构、独立屋面</w:t>
      </w:r>
    </w:p>
    <w:p w14:paraId="52F744C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地面加厚防渗、耐腐蚀、耐冲洗</w:t>
      </w:r>
    </w:p>
    <w:p w14:paraId="22FB44C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独立排污管道，与待宰圈管网完全分流</w:t>
      </w:r>
    </w:p>
    <w:p w14:paraId="4A6664F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密闭空间、可定时消杀、独立通风</w:t>
      </w:r>
    </w:p>
    <w:p w14:paraId="246FFB9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专门用于病弱、伤残、检疫异常牛羊应急无害化处置</w:t>
      </w:r>
    </w:p>
    <w:p w14:paraId="4AA58EF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7" w:name="heading_11"/>
      <w:r>
        <w:rPr>
          <w:rFonts w:hint="eastAsia" w:ascii="宋体" w:hAnsi="宋体" w:eastAsia="宋体" w:cs="宋体"/>
          <w:color w:val="auto"/>
          <w:spacing w:val="3"/>
          <w:sz w:val="24"/>
          <w:szCs w:val="24"/>
          <w:highlight w:val="none"/>
          <w:lang w:val="en-US" w:eastAsia="zh-CN"/>
        </w:rPr>
        <w:t>（四）活体检验检疫间</w:t>
      </w:r>
      <w:bookmarkEnd w:id="57"/>
    </w:p>
    <w:p w14:paraId="0317031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独立封闭洁净房间</w:t>
      </w:r>
    </w:p>
    <w:p w14:paraId="0C81291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墙面平整无缝、防水防霉，无卫生死角</w:t>
      </w:r>
    </w:p>
    <w:p w14:paraId="7E903FE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防滑防渗地面，可随时冲洗消毒</w:t>
      </w:r>
    </w:p>
    <w:p w14:paraId="04AFDA5C">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预留操作台点位、照明、通风、消杀设备位</w:t>
      </w:r>
    </w:p>
    <w:p w14:paraId="638BF84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用于牛羊进场活体检查、感官检疫、问题排查</w:t>
      </w:r>
    </w:p>
    <w:p w14:paraId="7DCC227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8" w:name="heading_12"/>
      <w:r>
        <w:rPr>
          <w:rFonts w:hint="eastAsia" w:ascii="宋体" w:hAnsi="宋体" w:eastAsia="宋体" w:cs="宋体"/>
          <w:color w:val="auto"/>
          <w:spacing w:val="3"/>
          <w:sz w:val="24"/>
          <w:szCs w:val="24"/>
          <w:highlight w:val="none"/>
          <w:lang w:val="en-US" w:eastAsia="zh-CN"/>
        </w:rPr>
        <w:t>（五）计量值班室</w:t>
      </w:r>
      <w:bookmarkEnd w:id="58"/>
    </w:p>
    <w:p w14:paraId="1751C74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封闭式值班办公房间</w:t>
      </w:r>
    </w:p>
    <w:p w14:paraId="57F8AB5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彩钢围护 + 吊顶、干净整洁</w:t>
      </w:r>
    </w:p>
    <w:p w14:paraId="5C02940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预留电表、监控、网络、照明系统</w:t>
      </w:r>
    </w:p>
    <w:p w14:paraId="46CB674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用于称重记录、台账整理、现场值守、设备管控</w:t>
      </w:r>
    </w:p>
    <w:p w14:paraId="1CBFACC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59" w:name="heading_14"/>
      <w:r>
        <w:rPr>
          <w:rFonts w:hint="eastAsia" w:ascii="宋体" w:hAnsi="宋体" w:eastAsia="宋体" w:cs="宋体"/>
          <w:color w:val="auto"/>
          <w:spacing w:val="3"/>
          <w:sz w:val="24"/>
          <w:szCs w:val="24"/>
          <w:highlight w:val="none"/>
          <w:lang w:val="en-US" w:eastAsia="zh-CN"/>
        </w:rPr>
        <w:t>五、工程不含项（透明无争议）</w:t>
      </w:r>
      <w:bookmarkEnd w:id="59"/>
    </w:p>
    <w:p w14:paraId="59CA3B2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不含地磅称重仪器主机设备</w:t>
      </w:r>
    </w:p>
    <w:p w14:paraId="12F7D5C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不含专业检疫检测仪器</w:t>
      </w:r>
    </w:p>
    <w:p w14:paraId="7BE1136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不含场外大型污水处理主设备</w:t>
      </w:r>
    </w:p>
    <w:p w14:paraId="43F6FD5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不含后期运营消杀药品、耗材</w:t>
      </w:r>
    </w:p>
    <w:p w14:paraId="21B2CAC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60" w:name="heading_15"/>
      <w:r>
        <w:rPr>
          <w:rFonts w:hint="eastAsia" w:ascii="宋体" w:hAnsi="宋体" w:eastAsia="宋体" w:cs="宋体"/>
          <w:color w:val="auto"/>
          <w:spacing w:val="3"/>
          <w:sz w:val="24"/>
          <w:szCs w:val="24"/>
          <w:highlight w:val="none"/>
          <w:lang w:val="en-US" w:eastAsia="zh-CN"/>
        </w:rPr>
        <w:t>六、验收标准</w:t>
      </w:r>
      <w:bookmarkEnd w:id="60"/>
    </w:p>
    <w:p w14:paraId="7DD1C95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12 个待宰圈分区明确、隔离到位、无混流、无交叉污染</w:t>
      </w:r>
    </w:p>
    <w:p w14:paraId="55A5947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全场地面硬化平整、无起砂、无积水、排水通畅</w:t>
      </w:r>
    </w:p>
    <w:p w14:paraId="63AD319D">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彩钢围挡稳固抗撞、屋面防水不漏雨、通风良好</w:t>
      </w:r>
    </w:p>
    <w:p w14:paraId="14123ED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急宰间、检疫间独立封闭、污净分流，符合防疫规范</w:t>
      </w:r>
    </w:p>
    <w:p w14:paraId="28430BC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整体布局完全符合牛羊屠宰场现场核查、年审、复检标准</w:t>
      </w:r>
    </w:p>
    <w:p w14:paraId="31DC99C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default" w:ascii="宋体" w:hAnsi="宋体" w:eastAsia="宋体" w:cs="宋体"/>
          <w:b/>
          <w:bCs/>
          <w:color w:val="0000FF"/>
          <w:spacing w:val="3"/>
          <w:sz w:val="24"/>
          <w:szCs w:val="24"/>
          <w:highlight w:val="none"/>
          <w:lang w:val="en-US" w:eastAsia="zh-CN"/>
        </w:rPr>
      </w:pPr>
      <w:r>
        <w:rPr>
          <w:rFonts w:hint="eastAsia" w:ascii="宋体" w:hAnsi="宋体" w:eastAsia="宋体" w:cs="宋体"/>
          <w:b/>
          <w:bCs/>
          <w:color w:val="0000FF"/>
          <w:spacing w:val="3"/>
          <w:sz w:val="24"/>
          <w:szCs w:val="24"/>
          <w:highlight w:val="none"/>
          <w:lang w:val="en-US" w:eastAsia="zh-CN"/>
        </w:rPr>
        <w:t>3.4 脏净区隔离区</w:t>
      </w:r>
    </w:p>
    <w:p w14:paraId="0621BA2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bookmarkStart w:id="61" w:name="heading_0"/>
      <w:r>
        <w:rPr>
          <w:rFonts w:hint="eastAsia" w:ascii="宋体" w:hAnsi="宋体" w:eastAsia="宋体" w:cs="宋体"/>
          <w:color w:val="auto"/>
          <w:spacing w:val="3"/>
          <w:sz w:val="24"/>
          <w:szCs w:val="24"/>
          <w:highlight w:val="none"/>
          <w:lang w:val="en-US" w:eastAsia="zh-CN"/>
        </w:rPr>
        <w:t>一、项目概况</w:t>
      </w:r>
      <w:bookmarkEnd w:id="61"/>
    </w:p>
    <w:p w14:paraId="4A348C3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针对牛羊屠宰车间实施脏区、净区物理隔离改造，严格实行人流、物流、污料分流，阻断交叉污染，符合《畜禽屠宰加工卫生规范》验收标准。整体采用彩钢洁净板隔断 + 专用缓冲通道 + 消毒设施 + 门窗密闭全套施工，</w:t>
      </w:r>
    </w:p>
    <w:p w14:paraId="103CC1C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二、改造核心目的</w:t>
      </w:r>
    </w:p>
    <w:p w14:paraId="46F9C85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严格划分屠宰脏区（宰杀、脱毛、开膛、去杂区）与净区（分割、修整、包装、成品暂存区）</w:t>
      </w:r>
    </w:p>
    <w:p w14:paraId="6D699B3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设立专用人员进出消毒通道、物料转运专用传递口</w:t>
      </w:r>
    </w:p>
    <w:p w14:paraId="7A6DE22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实现空气单向流通，净区正压、脏区负压，杜绝异味、血水、病菌串流</w:t>
      </w:r>
    </w:p>
    <w:p w14:paraId="63227CD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满足农业农村部门日常检查、年审、食品安全核查标准</w:t>
      </w:r>
    </w:p>
    <w:p w14:paraId="373FA977">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三、施工建设标准</w:t>
      </w:r>
    </w:p>
    <w:p w14:paraId="6907413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隔墙材质：50mm 厚阻燃岩棉洁净彩钢板，防水防霉、易冲洗、耐腐蚀</w:t>
      </w:r>
    </w:p>
    <w:p w14:paraId="6AFF3ED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门框门窗：食品级密闭洁净门，可视观察窗，密封胶条严实不漏风</w:t>
      </w:r>
    </w:p>
    <w:p w14:paraId="25706D54">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地面收口：隔墙底部做圆弧防水收边，无缝无死角，方便冲洗消杀</w:t>
      </w:r>
    </w:p>
    <w:p w14:paraId="1C26A4C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通道设置：单独设立人员缓冲消毒间、物料专用传递窗</w:t>
      </w:r>
    </w:p>
    <w:p w14:paraId="6CF148EA">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通风分流：加装单向排风、送风设施，实现两区气流不互通</w:t>
      </w:r>
    </w:p>
    <w:p w14:paraId="6E5B079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四、主要施工内容</w:t>
      </w:r>
    </w:p>
    <w:p w14:paraId="618E84E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脏净区分区隔断墙体</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全场主隔离隔墙搭建，封堵原有互通洞口，划分清晰功能边界，杜绝人员随意穿行。</w:t>
      </w:r>
    </w:p>
    <w:p w14:paraId="734BD38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人员专用进出缓冲消毒间</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设置两区互通唯一人员通道，配备洗手池、靴鞋消毒池、更衣缓冲区，进出强制消杀。</w:t>
      </w:r>
    </w:p>
    <w:p w14:paraId="59027EB2">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物料传递密闭窗口</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加装食品级密闭传递口，生熟物料、半成品单向流转，不互通、不交叉。</w:t>
      </w:r>
    </w:p>
    <w:p w14:paraId="5C2B2B0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洁净密闭门窗安装</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更换隔离区专用密闭门、防虫防尘门窗，加装防撞防护，坚固耐用。</w:t>
      </w:r>
    </w:p>
    <w:p w14:paraId="0A78E365">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地面圆弧收边 + 防水防渗处理</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墙体与地面交接做圆弧处理，无卫生死角，耐高压水枪冲洗。</w:t>
      </w:r>
    </w:p>
    <w:p w14:paraId="1CF5C54E">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简易通风分流系统</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加装负压排风、新风导流装置，控制两区空气流向，净区保持洁净干爽。</w:t>
      </w:r>
    </w:p>
    <w:p w14:paraId="2F694903">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配套水电改造、消毒点位布设</w:t>
      </w:r>
      <w:r>
        <w:rPr>
          <w:rFonts w:hint="eastAsia" w:ascii="宋体" w:hAnsi="宋体" w:eastAsia="宋体" w:cs="宋体"/>
          <w:color w:val="auto"/>
          <w:spacing w:val="3"/>
          <w:sz w:val="24"/>
          <w:szCs w:val="24"/>
          <w:highlight w:val="none"/>
          <w:lang w:val="en-US" w:eastAsia="zh-CN"/>
        </w:rPr>
        <w:br w:type="textWrapping"/>
      </w:r>
      <w:r>
        <w:rPr>
          <w:rFonts w:hint="eastAsia" w:ascii="宋体" w:hAnsi="宋体" w:eastAsia="宋体" w:cs="宋体"/>
          <w:color w:val="auto"/>
          <w:spacing w:val="3"/>
          <w:sz w:val="24"/>
          <w:szCs w:val="24"/>
          <w:highlight w:val="none"/>
          <w:lang w:val="en-US" w:eastAsia="zh-CN"/>
        </w:rPr>
        <w:t>预留紫外线消毒、臭氧消毒、清洗用水点位。</w:t>
      </w:r>
    </w:p>
    <w:p w14:paraId="6D1F641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五、工程不含项目</w:t>
      </w:r>
    </w:p>
    <w:p w14:paraId="4031B9F9">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不含大型中央空调、全套净化机组</w:t>
      </w:r>
    </w:p>
    <w:p w14:paraId="153B4C0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不含车间整体环氧地坪翻新</w:t>
      </w:r>
    </w:p>
    <w:p w14:paraId="683E626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不含全自动智能消杀成套设备</w:t>
      </w:r>
    </w:p>
    <w:p w14:paraId="5B321E00">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不含车间原有设备移位拆装</w:t>
      </w:r>
    </w:p>
    <w:p w14:paraId="7CBE161F">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六、验收标准</w:t>
      </w:r>
    </w:p>
    <w:p w14:paraId="32C9167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脏区、净区物理隔离完整，无违规互通通道</w:t>
      </w:r>
    </w:p>
    <w:p w14:paraId="3E0BBB2B">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人员、物料分流流程规范，进出消杀设施齐全</w:t>
      </w:r>
    </w:p>
    <w:p w14:paraId="38203BF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隔墙防水防霉，无卫生死角，符合食品车间卫生标准</w:t>
      </w:r>
    </w:p>
    <w:p w14:paraId="1BD09308">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两区气流独立，无血水异味、粉尘互通现象</w:t>
      </w:r>
    </w:p>
    <w:p w14:paraId="36DE911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整体布局合规，顺利通过屠宰场卫生防疫验收</w:t>
      </w:r>
    </w:p>
    <w:p w14:paraId="77563B41">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default" w:ascii="宋体" w:hAnsi="宋体" w:eastAsia="宋体" w:cs="宋体"/>
          <w:color w:val="auto"/>
          <w:spacing w:val="3"/>
          <w:sz w:val="24"/>
          <w:szCs w:val="24"/>
          <w:highlight w:val="none"/>
          <w:lang w:val="en-US" w:eastAsia="zh-CN"/>
        </w:rPr>
      </w:pPr>
    </w:p>
    <w:p w14:paraId="199E3786">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ind w:left="0" w:leftChars="0" w:firstLine="0" w:firstLineChars="0"/>
        <w:jc w:val="left"/>
        <w:textAlignment w:val="baseline"/>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lang w:val="en-US" w:eastAsia="zh-CN"/>
        </w:rPr>
        <w:t>五、</w:t>
      </w:r>
      <w:r>
        <w:rPr>
          <w:rFonts w:hint="eastAsia" w:ascii="新宋体" w:hAnsi="新宋体" w:eastAsia="新宋体" w:cs="新宋体"/>
          <w:b/>
          <w:bCs/>
          <w:color w:val="000000"/>
          <w:sz w:val="24"/>
          <w:szCs w:val="24"/>
        </w:rPr>
        <w:t>设备的防护、包装及运输工作</w:t>
      </w:r>
    </w:p>
    <w:p w14:paraId="5A22DFB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bCs/>
          <w:color w:val="000000"/>
          <w:sz w:val="24"/>
          <w:szCs w:val="24"/>
        </w:rPr>
        <w:t xml:space="preserve"> </w:t>
      </w: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 xml:space="preserve"> 设备的防护设备内、外表面应洁净。投标人在投标时须提供所供设备的具体防护措施供甲方认可，并对此工作负责。 </w:t>
      </w:r>
    </w:p>
    <w:p w14:paraId="0D802C7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所有设备应合理、有效地包装，以使其有效防止各种损坏，如受潮、 受热、剥落、腐蚀、变形等。 </w:t>
      </w:r>
    </w:p>
    <w:p w14:paraId="612985C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3、</w:t>
      </w:r>
      <w:r>
        <w:rPr>
          <w:rFonts w:hint="eastAsia" w:ascii="新宋体" w:hAnsi="新宋体" w:eastAsia="新宋体" w:cs="新宋体"/>
          <w:b w:val="0"/>
          <w:bCs w:val="0"/>
          <w:color w:val="000000"/>
          <w:sz w:val="24"/>
          <w:szCs w:val="24"/>
        </w:rPr>
        <w:t xml:space="preserve"> 不油漆且易磨蚀的零部件应涂上高熔点或防酸或其它保护功能的油脂以得到保护，并妥善包装后固定。设备所有开口处应封闭保护起来，以防止在运输及搬运过程中异物进入。电动机、控制器等均应加保护罩。 </w:t>
      </w:r>
    </w:p>
    <w:p w14:paraId="51CF046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4、</w:t>
      </w:r>
      <w:r>
        <w:rPr>
          <w:rFonts w:hint="eastAsia" w:ascii="新宋体" w:hAnsi="新宋体" w:eastAsia="新宋体" w:cs="新宋体"/>
          <w:b w:val="0"/>
          <w:bCs w:val="0"/>
          <w:color w:val="000000"/>
          <w:sz w:val="24"/>
          <w:szCs w:val="24"/>
        </w:rPr>
        <w:t xml:space="preserve"> 备品备件、易损件、检测维修工具等应与设备分开包装。这些箱盒应适合于储存，储存年限应在包装上予以说明。</w:t>
      </w:r>
    </w:p>
    <w:p w14:paraId="75018B5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5、</w:t>
      </w:r>
      <w:r>
        <w:rPr>
          <w:rFonts w:hint="eastAsia" w:ascii="新宋体" w:hAnsi="新宋体" w:eastAsia="新宋体" w:cs="新宋体"/>
          <w:b w:val="0"/>
          <w:bCs w:val="0"/>
          <w:color w:val="000000"/>
          <w:sz w:val="24"/>
          <w:szCs w:val="24"/>
        </w:rPr>
        <w:t xml:space="preserve"> 设备的包装费应包括在合同总价中，这些包装材料应属于甲方所有。</w:t>
      </w:r>
    </w:p>
    <w:p w14:paraId="6942BE0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6、</w:t>
      </w:r>
      <w:r>
        <w:rPr>
          <w:rFonts w:hint="eastAsia" w:ascii="新宋体" w:hAnsi="新宋体" w:eastAsia="新宋体" w:cs="新宋体"/>
          <w:b w:val="0"/>
          <w:bCs w:val="0"/>
          <w:color w:val="000000"/>
          <w:sz w:val="24"/>
          <w:szCs w:val="24"/>
        </w:rPr>
        <w:t xml:space="preserve"> 在包装箱中，应附有产品合格证书（包括机组合格证、部件合格证、材料合格证等）、产品说明书、装箱单、易损件备件及专用工具清单，一套完整的经批准的图纸及有关的技术文件资料。包装箱外面应注明数量、设备名称、编号及起吊位置、警示标记、外形尺寸、毛重等。所有文字应为中文或中、英文两种，以中文为准。 </w:t>
      </w:r>
    </w:p>
    <w:p w14:paraId="12C63A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7、</w:t>
      </w:r>
      <w:r>
        <w:rPr>
          <w:rFonts w:hint="eastAsia" w:ascii="新宋体" w:hAnsi="新宋体" w:eastAsia="新宋体" w:cs="新宋体"/>
          <w:b w:val="0"/>
          <w:bCs w:val="0"/>
          <w:color w:val="000000"/>
          <w:sz w:val="24"/>
          <w:szCs w:val="24"/>
        </w:rPr>
        <w:t xml:space="preserve"> 随包装箱带的文件、资料应防潮密封，并放置在包装箱内明显的地方。 </w:t>
      </w:r>
    </w:p>
    <w:p w14:paraId="3A46EB6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8、</w:t>
      </w:r>
      <w:r>
        <w:rPr>
          <w:rFonts w:hint="eastAsia" w:ascii="新宋体" w:hAnsi="新宋体" w:eastAsia="新宋体" w:cs="新宋体"/>
          <w:b w:val="0"/>
          <w:bCs w:val="0"/>
          <w:color w:val="000000"/>
          <w:sz w:val="24"/>
          <w:szCs w:val="24"/>
        </w:rPr>
        <w:t xml:space="preserve"> 乙方应对设备的整个交货过程负责，包括运输、装卸及安全措施。 </w:t>
      </w:r>
    </w:p>
    <w:p w14:paraId="0925713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9、</w:t>
      </w:r>
      <w:r>
        <w:rPr>
          <w:rFonts w:hint="eastAsia" w:ascii="新宋体" w:hAnsi="新宋体" w:eastAsia="新宋体" w:cs="新宋体"/>
          <w:b w:val="0"/>
          <w:bCs w:val="0"/>
          <w:color w:val="000000"/>
          <w:sz w:val="24"/>
          <w:szCs w:val="24"/>
        </w:rPr>
        <w:t xml:space="preserve"> 到货验收：乙方应派员在所供设备到工地时进行到货验收。若发现任何损坏及质量问题，乙方应负责更换设备，并妥善处理直至甲方满意。此工作所发生费用应由乙方自行承担。在项目工地的存放仓库由甲方负责协助解决，但乙方应预先提出设备存放保管要求。</w:t>
      </w:r>
    </w:p>
    <w:p w14:paraId="7A535D4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bCs/>
          <w:color w:val="000000"/>
          <w:sz w:val="24"/>
          <w:szCs w:val="24"/>
        </w:rPr>
        <w:t>六</w:t>
      </w: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rPr>
        <w:t xml:space="preserve">技术培训工作 </w:t>
      </w:r>
    </w:p>
    <w:p w14:paraId="2E62629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right="2" w:rightChars="0" w:firstLine="240" w:firstLineChars="10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乙方负责免费对甲方操作、维修人员和相关的技术人员进行实际操作培训、维修培训、设备保养等培训</w:t>
      </w:r>
      <w:r>
        <w:rPr>
          <w:rFonts w:hint="eastAsia" w:ascii="新宋体" w:hAnsi="新宋体" w:eastAsia="新宋体" w:cs="新宋体"/>
          <w:b w:val="0"/>
          <w:bCs w:val="0"/>
          <w:color w:val="000000"/>
          <w:sz w:val="24"/>
          <w:szCs w:val="24"/>
          <w:lang w:eastAsia="zh-CN"/>
        </w:rPr>
        <w:t>。</w:t>
      </w:r>
      <w:r>
        <w:rPr>
          <w:rFonts w:hint="eastAsia" w:ascii="新宋体" w:hAnsi="新宋体" w:eastAsia="新宋体" w:cs="新宋体"/>
          <w:b w:val="0"/>
          <w:bCs w:val="0"/>
          <w:color w:val="000000"/>
          <w:sz w:val="24"/>
          <w:szCs w:val="24"/>
        </w:rPr>
        <w:t xml:space="preserve">以便使甲方人员掌握全部使用技术，能独立正常地使用、维修和保养设备。 </w:t>
      </w:r>
    </w:p>
    <w:p w14:paraId="496BA86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lang w:val="en-US" w:eastAsia="zh-CN"/>
        </w:rPr>
        <w:t>七、</w:t>
      </w:r>
      <w:r>
        <w:rPr>
          <w:rFonts w:hint="eastAsia" w:ascii="新宋体" w:hAnsi="新宋体" w:eastAsia="新宋体" w:cs="新宋体"/>
          <w:b/>
          <w:bCs/>
          <w:color w:val="000000"/>
          <w:sz w:val="24"/>
          <w:szCs w:val="24"/>
        </w:rPr>
        <w:t xml:space="preserve">安装工作 </w:t>
      </w:r>
    </w:p>
    <w:p w14:paraId="29BDCC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 xml:space="preserve"> 具备安装条件后，乙方须派有丰富安装经验的人员进场安装，直至拿到有关管理部门的检验合格证书。</w:t>
      </w:r>
    </w:p>
    <w:p w14:paraId="075CE61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安装是指</w:t>
      </w:r>
      <w:r>
        <w:rPr>
          <w:rFonts w:hint="eastAsia" w:ascii="新宋体" w:hAnsi="新宋体" w:eastAsia="新宋体" w:cs="新宋体"/>
          <w:b w:val="0"/>
          <w:bCs w:val="0"/>
          <w:color w:val="000000"/>
          <w:sz w:val="24"/>
          <w:szCs w:val="24"/>
          <w:lang w:val="en-US" w:eastAsia="zh-CN"/>
        </w:rPr>
        <w:t>牛羊</w:t>
      </w:r>
      <w:r>
        <w:rPr>
          <w:rFonts w:hint="eastAsia" w:ascii="新宋体" w:hAnsi="新宋体" w:eastAsia="新宋体" w:cs="新宋体"/>
          <w:b w:val="0"/>
          <w:bCs w:val="0"/>
          <w:color w:val="000000"/>
          <w:sz w:val="24"/>
          <w:szCs w:val="24"/>
        </w:rPr>
        <w:t xml:space="preserve">屠宰的制造与安装，按甲方认可的工艺图及要求进行施工安装。设备的就位、固定及系统之间的连接工作。在设备安装之前，乙方应对设备安装处的土建、结构基础进行检查。由于乙方设备变动安装条件而引起的费用由乙方承担。在整个安装过程中，乙方应派有从事同类工作实践经验的工程技术人员对设备的正确位置、及系统之间的连接在现场作指导。乙方应与甲方一起检查安装工作，在取得验收证书后，乙方将准备下一步的调试及试运行工作。 </w:t>
      </w:r>
    </w:p>
    <w:p w14:paraId="2E8B320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3、</w:t>
      </w:r>
      <w:r>
        <w:rPr>
          <w:rFonts w:hint="eastAsia" w:ascii="新宋体" w:hAnsi="新宋体" w:eastAsia="新宋体" w:cs="新宋体"/>
          <w:b w:val="0"/>
          <w:bCs w:val="0"/>
          <w:color w:val="000000"/>
          <w:sz w:val="24"/>
          <w:szCs w:val="24"/>
        </w:rPr>
        <w:t>设备电路由乙方按要求负责安装， 甲方必须将外部电缆线接进生产车间主控制柜内。</w:t>
      </w:r>
    </w:p>
    <w:p w14:paraId="629A01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bCs/>
          <w:color w:val="000000"/>
          <w:sz w:val="24"/>
          <w:szCs w:val="24"/>
        </w:rPr>
        <w:t>八</w:t>
      </w: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rPr>
        <w:t>调试及试运行工作</w:t>
      </w:r>
    </w:p>
    <w:p w14:paraId="4853657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FF"/>
          <w:sz w:val="24"/>
          <w:szCs w:val="24"/>
        </w:rPr>
      </w:pP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设备安装一结束且工作情况良好，在甲方同意后，将执行调试和试运行工作。</w:t>
      </w:r>
      <w:r>
        <w:rPr>
          <w:rFonts w:hint="eastAsia" w:ascii="新宋体" w:hAnsi="新宋体" w:eastAsia="新宋体" w:cs="新宋体"/>
          <w:b w:val="0"/>
          <w:bCs w:val="0"/>
          <w:color w:val="0000FF"/>
          <w:sz w:val="24"/>
          <w:szCs w:val="24"/>
        </w:rPr>
        <w:t>设备试运行时间</w:t>
      </w:r>
      <w:r>
        <w:rPr>
          <w:rFonts w:hint="eastAsia" w:ascii="新宋体" w:hAnsi="新宋体" w:eastAsia="新宋体" w:cs="新宋体"/>
          <w:b w:val="0"/>
          <w:bCs w:val="0"/>
          <w:color w:val="0000FF"/>
          <w:sz w:val="24"/>
          <w:szCs w:val="24"/>
          <w:lang w:val="en-US" w:eastAsia="zh-CN"/>
        </w:rPr>
        <w:t>3</w:t>
      </w:r>
      <w:r>
        <w:rPr>
          <w:rFonts w:hint="eastAsia" w:ascii="新宋体" w:hAnsi="新宋体" w:eastAsia="新宋体" w:cs="新宋体"/>
          <w:b w:val="0"/>
          <w:bCs w:val="0"/>
          <w:color w:val="0000FF"/>
          <w:sz w:val="24"/>
          <w:szCs w:val="24"/>
        </w:rPr>
        <w:t>个月。</w:t>
      </w:r>
    </w:p>
    <w:p w14:paraId="77AE9BB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乙方应派遣有从事同类工作实践经验的工程师或技术人员与甲方一起进行设备的调试及试运行工作。如在此阶段，因设备自身质量问题或安装出现差错，乙方应全权负责消除差错直到甲方满意，并应按合同条款中之规定执行。</w:t>
      </w:r>
    </w:p>
    <w:p w14:paraId="7FAB8CA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3、</w:t>
      </w:r>
      <w:r>
        <w:rPr>
          <w:rFonts w:hint="eastAsia" w:ascii="新宋体" w:hAnsi="新宋体" w:eastAsia="新宋体" w:cs="新宋体"/>
          <w:b w:val="0"/>
          <w:bCs w:val="0"/>
          <w:color w:val="000000"/>
          <w:sz w:val="24"/>
          <w:szCs w:val="24"/>
        </w:rPr>
        <w:t xml:space="preserve"> 在调试期间乙方应在现场负责测试和调试，以检测其设计、制造、运行效果等。并提供所有测试和调试所需的工具、材料、仪器和劳务人员，一切费用由乙方负责。所用仪器、仪表应经检定合格并在有效期内，乙方须提供有关证明文件给甲方。乙方须将测试和调试方法及记录表在安装结束前 4 个星期提交给甲方，请甲方认可后方可执行。部分或全部测试需根据实际情况在安装期内或后进行。 </w:t>
      </w:r>
    </w:p>
    <w:p w14:paraId="1E94D34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4、</w:t>
      </w:r>
      <w:r>
        <w:rPr>
          <w:rFonts w:hint="eastAsia" w:ascii="新宋体" w:hAnsi="新宋体" w:eastAsia="新宋体" w:cs="新宋体"/>
          <w:b w:val="0"/>
          <w:bCs w:val="0"/>
          <w:color w:val="000000"/>
          <w:sz w:val="24"/>
          <w:szCs w:val="24"/>
        </w:rPr>
        <w:t xml:space="preserve"> 设备试运行需在和本项目有关的部门及甲方的工程技术人员的监督下进行。 </w:t>
      </w:r>
    </w:p>
    <w:p w14:paraId="67A8E58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rPr>
        <w:t>九</w:t>
      </w: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rPr>
        <w:t xml:space="preserve">验收工作 </w:t>
      </w:r>
    </w:p>
    <w:p w14:paraId="281F760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 xml:space="preserve"> 产品保护</w:t>
      </w:r>
      <w:r>
        <w:rPr>
          <w:rFonts w:hint="eastAsia" w:ascii="新宋体" w:hAnsi="新宋体" w:eastAsia="新宋体" w:cs="新宋体"/>
          <w:b w:val="0"/>
          <w:bCs w:val="0"/>
          <w:color w:val="000000"/>
          <w:sz w:val="24"/>
          <w:szCs w:val="24"/>
          <w:lang w:eastAsia="zh-CN"/>
        </w:rPr>
        <w:t>：</w:t>
      </w:r>
      <w:r>
        <w:rPr>
          <w:rFonts w:hint="eastAsia" w:ascii="新宋体" w:hAnsi="新宋体" w:eastAsia="新宋体" w:cs="新宋体"/>
          <w:b w:val="0"/>
          <w:bCs w:val="0"/>
          <w:color w:val="000000"/>
          <w:sz w:val="24"/>
          <w:szCs w:val="24"/>
        </w:rPr>
        <w:t xml:space="preserve">乙方在工程验收合格并正常运行两周内有责任对设备的维护和清洗负责。 </w:t>
      </w: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质量保证</w:t>
      </w:r>
      <w:r>
        <w:rPr>
          <w:rFonts w:hint="eastAsia" w:ascii="新宋体" w:hAnsi="新宋体" w:eastAsia="新宋体" w:cs="新宋体"/>
          <w:b w:val="0"/>
          <w:bCs w:val="0"/>
          <w:color w:val="000000"/>
          <w:sz w:val="24"/>
          <w:szCs w:val="24"/>
          <w:lang w:eastAsia="zh-CN"/>
        </w:rPr>
        <w:t>：</w:t>
      </w:r>
      <w:r>
        <w:rPr>
          <w:rFonts w:hint="eastAsia" w:ascii="新宋体" w:hAnsi="新宋体" w:eastAsia="新宋体" w:cs="新宋体"/>
          <w:b w:val="0"/>
          <w:bCs w:val="0"/>
          <w:color w:val="000000"/>
          <w:sz w:val="24"/>
          <w:szCs w:val="24"/>
        </w:rPr>
        <w:t xml:space="preserve"> 在甲方正式接受后，乙方保证设备在保证期内正常运行，并负责设备维修及在保证期的最后一个月中做日常保养。乙方应承担所有设备维修费及乙方的工程技术人员的费用。 </w:t>
      </w:r>
    </w:p>
    <w:p w14:paraId="37FA0A7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3、</w:t>
      </w:r>
      <w:r>
        <w:rPr>
          <w:rFonts w:hint="eastAsia" w:ascii="新宋体" w:hAnsi="新宋体" w:eastAsia="新宋体" w:cs="新宋体"/>
          <w:b w:val="0"/>
          <w:bCs w:val="0"/>
          <w:color w:val="000000"/>
          <w:sz w:val="24"/>
          <w:szCs w:val="24"/>
        </w:rPr>
        <w:t xml:space="preserve"> 验收合格条件</w:t>
      </w:r>
      <w:r>
        <w:rPr>
          <w:rFonts w:hint="eastAsia" w:ascii="新宋体" w:hAnsi="新宋体" w:eastAsia="新宋体" w:cs="新宋体"/>
          <w:b w:val="0"/>
          <w:bCs w:val="0"/>
          <w:color w:val="000000"/>
          <w:sz w:val="24"/>
          <w:szCs w:val="24"/>
          <w:lang w:eastAsia="zh-CN"/>
        </w:rPr>
        <w:t>：</w:t>
      </w:r>
      <w:r>
        <w:rPr>
          <w:rFonts w:hint="eastAsia" w:ascii="新宋体" w:hAnsi="新宋体" w:eastAsia="新宋体" w:cs="新宋体"/>
          <w:b w:val="0"/>
          <w:bCs w:val="0"/>
          <w:color w:val="000000"/>
          <w:sz w:val="24"/>
          <w:szCs w:val="24"/>
        </w:rPr>
        <w:t xml:space="preserve">运行结果符合合同要求。在进行测试、试运行及验收运行过程中发生的故障和发现的隐患已被排除并得到甲方的认可。所有合同中规定的货物和资料都已提交。设备在交由甲方使用之前已通过有关部门验收并得到使用证书。整套设备图纸及技术文件都已提交并得到接受。 </w:t>
      </w:r>
    </w:p>
    <w:p w14:paraId="280EF33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rPr>
        <w:t>十</w:t>
      </w: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rPr>
        <w:t xml:space="preserve">售后服务 </w:t>
      </w:r>
    </w:p>
    <w:p w14:paraId="0D7A2E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 xml:space="preserve"> 中标供应商应具备承担所有维修服务的能力。</w:t>
      </w:r>
      <w:r>
        <w:rPr>
          <w:rFonts w:hint="eastAsia" w:ascii="新宋体" w:hAnsi="新宋体" w:eastAsia="新宋体" w:cs="新宋体"/>
          <w:b w:val="0"/>
          <w:bCs w:val="0"/>
          <w:color w:val="0000FF"/>
          <w:sz w:val="24"/>
          <w:szCs w:val="24"/>
          <w:lang w:val="en-US" w:eastAsia="zh-CN"/>
        </w:rPr>
        <w:t>维修人员接到维修电话后须在24小时内赶到现场，并提供不间断的服务直到结束</w:t>
      </w:r>
      <w:r>
        <w:rPr>
          <w:rFonts w:hint="eastAsia" w:ascii="新宋体" w:hAnsi="新宋体" w:eastAsia="新宋体" w:cs="新宋体"/>
          <w:b w:val="0"/>
          <w:bCs w:val="0"/>
          <w:color w:val="000000"/>
          <w:sz w:val="24"/>
          <w:szCs w:val="24"/>
        </w:rPr>
        <w:t xml:space="preserve">。维修点需提供足够的备件以适应维修需求。投标人在投标时应明确负责此项目维修工作的售后服务公司，维修工作不得转包（此售后服务公司对此项目的维修也要作出明确承诺）。 </w:t>
      </w:r>
    </w:p>
    <w:p w14:paraId="7E1F494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val="0"/>
          <w:bCs w:val="0"/>
          <w:color w:val="0000FF"/>
          <w:sz w:val="24"/>
          <w:szCs w:val="24"/>
        </w:rPr>
        <w:t>乙方须对合同中的</w:t>
      </w:r>
      <w:r>
        <w:rPr>
          <w:rFonts w:hint="eastAsia" w:ascii="新宋体" w:hAnsi="新宋体" w:eastAsia="新宋体" w:cs="新宋体"/>
          <w:b w:val="0"/>
          <w:bCs w:val="0"/>
          <w:color w:val="0000FF"/>
          <w:sz w:val="24"/>
          <w:szCs w:val="24"/>
          <w:lang w:val="en-US" w:eastAsia="zh-CN"/>
        </w:rPr>
        <w:t>整机</w:t>
      </w:r>
      <w:r>
        <w:rPr>
          <w:rFonts w:hint="eastAsia" w:ascii="新宋体" w:hAnsi="新宋体" w:eastAsia="新宋体" w:cs="新宋体"/>
          <w:b w:val="0"/>
          <w:bCs w:val="0"/>
          <w:color w:val="0000FF"/>
          <w:sz w:val="24"/>
          <w:szCs w:val="24"/>
        </w:rPr>
        <w:t>设备提供不少于</w:t>
      </w:r>
      <w:r>
        <w:rPr>
          <w:rFonts w:hint="eastAsia" w:ascii="新宋体" w:hAnsi="新宋体" w:eastAsia="新宋体" w:cs="新宋体"/>
          <w:b w:val="0"/>
          <w:bCs w:val="0"/>
          <w:color w:val="0000FF"/>
          <w:sz w:val="24"/>
          <w:szCs w:val="24"/>
          <w:lang w:val="en-US" w:eastAsia="zh-CN"/>
        </w:rPr>
        <w:t>1年</w:t>
      </w:r>
      <w:r>
        <w:rPr>
          <w:rFonts w:hint="eastAsia" w:ascii="新宋体" w:hAnsi="新宋体" w:eastAsia="新宋体" w:cs="新宋体"/>
          <w:b w:val="0"/>
          <w:bCs w:val="0"/>
          <w:color w:val="0000FF"/>
          <w:sz w:val="24"/>
          <w:szCs w:val="24"/>
        </w:rPr>
        <w:t>的质量保修期</w:t>
      </w:r>
      <w:r>
        <w:rPr>
          <w:rFonts w:hint="eastAsia" w:ascii="新宋体" w:hAnsi="新宋体" w:eastAsia="新宋体" w:cs="新宋体"/>
          <w:b w:val="0"/>
          <w:bCs w:val="0"/>
          <w:color w:val="0000FF"/>
          <w:sz w:val="24"/>
          <w:szCs w:val="24"/>
          <w:lang w:eastAsia="zh-CN"/>
        </w:rPr>
        <w:t>、</w:t>
      </w:r>
      <w:r>
        <w:rPr>
          <w:rFonts w:hint="eastAsia" w:ascii="新宋体" w:hAnsi="新宋体" w:eastAsia="新宋体" w:cs="新宋体"/>
          <w:b w:val="0"/>
          <w:bCs w:val="0"/>
          <w:color w:val="0000FF"/>
          <w:sz w:val="24"/>
          <w:szCs w:val="24"/>
          <w:lang w:val="en-US" w:eastAsia="zh-CN"/>
        </w:rPr>
        <w:t>核心部件不少于3年</w:t>
      </w:r>
      <w:r>
        <w:rPr>
          <w:rFonts w:hint="eastAsia" w:ascii="新宋体" w:hAnsi="新宋体" w:eastAsia="新宋体" w:cs="新宋体"/>
          <w:b w:val="0"/>
          <w:bCs w:val="0"/>
          <w:color w:val="0000FF"/>
          <w:sz w:val="24"/>
          <w:szCs w:val="24"/>
        </w:rPr>
        <w:t>的质量保修期及免费维修和保养</w:t>
      </w:r>
      <w:r>
        <w:rPr>
          <w:rFonts w:hint="eastAsia" w:ascii="新宋体" w:hAnsi="新宋体" w:eastAsia="新宋体" w:cs="新宋体"/>
          <w:b w:val="0"/>
          <w:bCs w:val="0"/>
          <w:color w:val="000000"/>
          <w:sz w:val="24"/>
          <w:szCs w:val="24"/>
        </w:rPr>
        <w:t>（具体时间以投标承诺为准），时间从工程整体验收合格、交付给招标人使用之日算起。在此期间，因产品制造质量不良而产生损坏或不能正常工作，乙方应免费维修和正常保养。</w:t>
      </w:r>
    </w:p>
    <w:p w14:paraId="74A85E3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3、</w:t>
      </w:r>
      <w:r>
        <w:rPr>
          <w:rFonts w:hint="eastAsia" w:ascii="新宋体" w:hAnsi="新宋体" w:eastAsia="新宋体" w:cs="新宋体"/>
          <w:b w:val="0"/>
          <w:bCs w:val="0"/>
          <w:color w:val="000000"/>
          <w:sz w:val="24"/>
          <w:szCs w:val="24"/>
        </w:rPr>
        <w:t xml:space="preserve"> 在质保期内的工作应包括对所有机组系统常规检查（投标时需说明每年检查时间及次数）、调整等。</w:t>
      </w:r>
    </w:p>
    <w:p w14:paraId="135F3FA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4、</w:t>
      </w:r>
      <w:r>
        <w:rPr>
          <w:rFonts w:hint="eastAsia" w:ascii="新宋体" w:hAnsi="新宋体" w:eastAsia="新宋体" w:cs="新宋体"/>
          <w:b w:val="0"/>
          <w:bCs w:val="0"/>
          <w:color w:val="000000"/>
          <w:sz w:val="24"/>
          <w:szCs w:val="24"/>
        </w:rPr>
        <w:t xml:space="preserve"> 乙方须自行付费负责修理和更换任何由于设备自身的质量问题造成的损坏及故障。 </w:t>
      </w:r>
    </w:p>
    <w:p w14:paraId="2E729C0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5、</w:t>
      </w:r>
      <w:r>
        <w:rPr>
          <w:rFonts w:hint="eastAsia" w:ascii="新宋体" w:hAnsi="新宋体" w:eastAsia="新宋体" w:cs="新宋体"/>
          <w:b w:val="0"/>
          <w:bCs w:val="0"/>
          <w:color w:val="000000"/>
          <w:sz w:val="24"/>
          <w:szCs w:val="24"/>
        </w:rPr>
        <w:t xml:space="preserve"> 在缺陷保修结束时，须由乙方工程师和甲方代表一同对设备进行另一次测试，任何故障须由乙方自费解决并取得业主的认可。 </w:t>
      </w:r>
    </w:p>
    <w:p w14:paraId="06F8F5D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6、</w:t>
      </w:r>
      <w:r>
        <w:rPr>
          <w:rFonts w:hint="eastAsia" w:ascii="新宋体" w:hAnsi="新宋体" w:eastAsia="新宋体" w:cs="新宋体"/>
          <w:b w:val="0"/>
          <w:bCs w:val="0"/>
          <w:color w:val="000000"/>
          <w:sz w:val="24"/>
          <w:szCs w:val="24"/>
        </w:rPr>
        <w:t xml:space="preserve"> 故障修复后，乙方需提供一式两份报告给招标人，包括故障原因，解决措施，完成修理所费时间及恢复正常运行日期。</w:t>
      </w:r>
    </w:p>
    <w:p w14:paraId="780D22D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bCs/>
          <w:color w:val="000000"/>
          <w:sz w:val="24"/>
          <w:szCs w:val="24"/>
        </w:rPr>
        <w:t>十一</w:t>
      </w: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rPr>
        <w:t xml:space="preserve">备件供应 </w:t>
      </w:r>
    </w:p>
    <w:p w14:paraId="174904C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firstLine="240" w:firstLineChars="10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 xml:space="preserve"> 乙方确保有足够的备件、附件和易损件满足设备正常运行需要。</w:t>
      </w:r>
    </w:p>
    <w:p w14:paraId="128E52C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乙方须在承诺的免费维修期后按比市场优惠 20%的价格提供零部件、附件或正确的替代件。</w:t>
      </w:r>
    </w:p>
    <w:p w14:paraId="3EA1793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bCs/>
          <w:color w:val="000000"/>
          <w:sz w:val="24"/>
          <w:szCs w:val="24"/>
        </w:rPr>
        <w:t>十二</w:t>
      </w: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rPr>
        <w:t>检修设备及工具的提供</w:t>
      </w:r>
    </w:p>
    <w:p w14:paraId="0F0BC88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bCs/>
          <w:color w:val="000000"/>
          <w:sz w:val="24"/>
          <w:szCs w:val="24"/>
        </w:rPr>
        <w:t xml:space="preserve"> </w:t>
      </w: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 xml:space="preserve"> 须提供足够的常用检修设备，这些设备及工具不能在安装时使用。推荐的检修设备须在投标文件中注明。乙方在投标时应提供检修设备清单及价格表，甲方有权决定是否购买。 </w:t>
      </w:r>
    </w:p>
    <w:p w14:paraId="17FF320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所有测试需要的附件、零部件和中文操作维修手册应与检修设备一并提供。</w:t>
      </w:r>
    </w:p>
    <w:p w14:paraId="7DF3131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lang w:val="en-US" w:eastAsia="zh-CN"/>
        </w:rPr>
        <w:t>3、</w:t>
      </w:r>
      <w:r>
        <w:rPr>
          <w:rFonts w:hint="eastAsia" w:ascii="新宋体" w:hAnsi="新宋体" w:eastAsia="新宋体" w:cs="新宋体"/>
          <w:b w:val="0"/>
          <w:bCs w:val="0"/>
          <w:color w:val="000000"/>
          <w:sz w:val="24"/>
          <w:szCs w:val="24"/>
        </w:rPr>
        <w:t xml:space="preserve"> 设备调试后，工具及相应工具箱须提交甲方。 </w:t>
      </w:r>
    </w:p>
    <w:p w14:paraId="276AE4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bCs/>
          <w:color w:val="000000"/>
          <w:sz w:val="24"/>
          <w:szCs w:val="24"/>
        </w:rPr>
        <w:t>十三、履约保证金</w:t>
      </w:r>
    </w:p>
    <w:p w14:paraId="20A914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bCs/>
          <w:color w:val="000000"/>
          <w:sz w:val="24"/>
          <w:szCs w:val="24"/>
        </w:rPr>
        <w:t xml:space="preserve"> </w:t>
      </w:r>
      <w:r>
        <w:rPr>
          <w:rFonts w:hint="eastAsia" w:ascii="新宋体" w:hAnsi="新宋体" w:eastAsia="新宋体" w:cs="新宋体"/>
          <w:b w:val="0"/>
          <w:bCs w:val="0"/>
          <w:color w:val="000000"/>
          <w:sz w:val="24"/>
          <w:szCs w:val="24"/>
          <w:lang w:val="en-US" w:eastAsia="zh-CN"/>
        </w:rPr>
        <w:t>1、</w:t>
      </w:r>
      <w:r>
        <w:rPr>
          <w:rFonts w:hint="eastAsia" w:ascii="新宋体" w:hAnsi="新宋体" w:eastAsia="新宋体" w:cs="新宋体"/>
          <w:b w:val="0"/>
          <w:bCs w:val="0"/>
          <w:color w:val="000000"/>
          <w:sz w:val="24"/>
          <w:szCs w:val="24"/>
        </w:rPr>
        <w:t xml:space="preserve"> 中标（成交）供应商在中标后 15 个工作日内须以支票、汇票、本票、电汇、转账或者金融机构、 保险公司、担保机构出具的电子保函等非现金形式向采购人缴纳本项目</w:t>
      </w:r>
      <w:r>
        <w:rPr>
          <w:rFonts w:hint="eastAsia" w:ascii="新宋体" w:hAnsi="新宋体" w:eastAsia="新宋体" w:cs="新宋体"/>
          <w:b w:val="0"/>
          <w:bCs w:val="0"/>
          <w:color w:val="0000FF"/>
          <w:sz w:val="24"/>
          <w:szCs w:val="24"/>
        </w:rPr>
        <w:t xml:space="preserve">合同总价款 </w:t>
      </w:r>
      <w:r>
        <w:rPr>
          <w:rFonts w:hint="eastAsia" w:ascii="新宋体" w:hAnsi="新宋体" w:eastAsia="新宋体" w:cs="新宋体"/>
          <w:b w:val="0"/>
          <w:bCs w:val="0"/>
          <w:color w:val="0000FF"/>
          <w:sz w:val="24"/>
          <w:szCs w:val="24"/>
          <w:lang w:val="en-US" w:eastAsia="zh-CN"/>
        </w:rPr>
        <w:t>5</w:t>
      </w:r>
      <w:r>
        <w:rPr>
          <w:rFonts w:hint="eastAsia" w:ascii="新宋体" w:hAnsi="新宋体" w:eastAsia="新宋体" w:cs="新宋体"/>
          <w:b w:val="0"/>
          <w:bCs w:val="0"/>
          <w:color w:val="0000FF"/>
          <w:sz w:val="24"/>
          <w:szCs w:val="24"/>
        </w:rPr>
        <w:t>%的履约保证金</w:t>
      </w:r>
      <w:r>
        <w:rPr>
          <w:rFonts w:hint="eastAsia" w:ascii="新宋体" w:hAnsi="新宋体" w:eastAsia="新宋体" w:cs="新宋体"/>
          <w:b w:val="0"/>
          <w:bCs w:val="0"/>
          <w:color w:val="000000"/>
          <w:sz w:val="24"/>
          <w:szCs w:val="24"/>
        </w:rPr>
        <w:t>。最终履约保证金的交付方式、时间、金额按中标后双方约定。</w:t>
      </w:r>
    </w:p>
    <w:p w14:paraId="24F5A6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val="0"/>
          <w:bCs w:val="0"/>
          <w:color w:val="000000"/>
          <w:sz w:val="24"/>
          <w:szCs w:val="24"/>
          <w:lang w:val="en-US" w:eastAsia="zh-CN"/>
        </w:rPr>
        <w:t>2、</w:t>
      </w:r>
      <w:r>
        <w:rPr>
          <w:rFonts w:hint="eastAsia" w:ascii="新宋体" w:hAnsi="新宋体" w:eastAsia="新宋体" w:cs="新宋体"/>
          <w:b w:val="0"/>
          <w:bCs w:val="0"/>
          <w:color w:val="000000"/>
          <w:sz w:val="24"/>
          <w:szCs w:val="24"/>
        </w:rPr>
        <w:t xml:space="preserve"> 采购人在收到中标（成交）供应商的项目设备质保期结束后七个工作日无息退还履约保证金。</w:t>
      </w:r>
    </w:p>
    <w:p w14:paraId="3F9CEED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FF"/>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bCs/>
          <w:color w:val="000000"/>
          <w:sz w:val="24"/>
          <w:szCs w:val="24"/>
        </w:rPr>
        <w:t>十四、</w:t>
      </w:r>
      <w:r>
        <w:rPr>
          <w:rFonts w:hint="eastAsia" w:ascii="新宋体" w:hAnsi="新宋体" w:eastAsia="新宋体" w:cs="新宋体"/>
          <w:b/>
          <w:bCs/>
          <w:color w:val="0000FF"/>
          <w:sz w:val="24"/>
          <w:szCs w:val="24"/>
        </w:rPr>
        <w:t xml:space="preserve">付款方式： </w:t>
      </w:r>
    </w:p>
    <w:p w14:paraId="0EB523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FF"/>
          <w:sz w:val="24"/>
          <w:szCs w:val="24"/>
        </w:rPr>
      </w:pPr>
      <w:r>
        <w:rPr>
          <w:rFonts w:hint="eastAsia" w:ascii="新宋体" w:hAnsi="新宋体" w:eastAsia="新宋体" w:cs="新宋体"/>
          <w:b w:val="0"/>
          <w:bCs w:val="0"/>
          <w:color w:val="0000FF"/>
          <w:sz w:val="24"/>
          <w:szCs w:val="24"/>
          <w:lang w:val="en-US" w:eastAsia="zh-CN"/>
        </w:rPr>
        <w:t>1、</w:t>
      </w:r>
      <w:r>
        <w:rPr>
          <w:rFonts w:hint="eastAsia" w:ascii="新宋体" w:hAnsi="新宋体" w:eastAsia="新宋体" w:cs="新宋体"/>
          <w:b w:val="0"/>
          <w:bCs w:val="0"/>
          <w:color w:val="0000FF"/>
          <w:sz w:val="24"/>
          <w:szCs w:val="24"/>
        </w:rPr>
        <w:t>合同签订后甲方向乙方支付合同总价款的</w:t>
      </w:r>
      <w:r>
        <w:rPr>
          <w:rFonts w:hint="eastAsia" w:ascii="新宋体" w:hAnsi="新宋体" w:eastAsia="新宋体" w:cs="新宋体"/>
          <w:b w:val="0"/>
          <w:bCs w:val="0"/>
          <w:color w:val="0000FF"/>
          <w:sz w:val="24"/>
          <w:szCs w:val="24"/>
          <w:lang w:val="en-US" w:eastAsia="zh-CN"/>
        </w:rPr>
        <w:t>3</w:t>
      </w:r>
      <w:r>
        <w:rPr>
          <w:rFonts w:hint="eastAsia" w:ascii="新宋体" w:hAnsi="新宋体" w:eastAsia="新宋体" w:cs="新宋体"/>
          <w:b w:val="0"/>
          <w:bCs w:val="0"/>
          <w:color w:val="0000FF"/>
          <w:sz w:val="24"/>
          <w:szCs w:val="24"/>
        </w:rPr>
        <w:t xml:space="preserve">0%为预付款； </w:t>
      </w:r>
    </w:p>
    <w:p w14:paraId="3914E8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FF"/>
          <w:sz w:val="24"/>
          <w:szCs w:val="24"/>
        </w:rPr>
      </w:pPr>
      <w:r>
        <w:rPr>
          <w:rFonts w:hint="eastAsia" w:ascii="新宋体" w:hAnsi="新宋体" w:eastAsia="新宋体" w:cs="新宋体"/>
          <w:b w:val="0"/>
          <w:bCs w:val="0"/>
          <w:color w:val="0000FF"/>
          <w:sz w:val="24"/>
          <w:szCs w:val="24"/>
          <w:lang w:val="en-US" w:eastAsia="zh-CN"/>
        </w:rPr>
        <w:t>2、</w:t>
      </w:r>
      <w:r>
        <w:rPr>
          <w:rFonts w:hint="eastAsia" w:ascii="新宋体" w:hAnsi="新宋体" w:eastAsia="新宋体" w:cs="新宋体"/>
          <w:b w:val="0"/>
          <w:bCs w:val="0"/>
          <w:color w:val="0000FF"/>
          <w:sz w:val="24"/>
          <w:szCs w:val="24"/>
        </w:rPr>
        <w:t>设备到货、安装调试合格后，支付至合同总价款的</w:t>
      </w:r>
      <w:r>
        <w:rPr>
          <w:rFonts w:hint="eastAsia" w:ascii="新宋体" w:hAnsi="新宋体" w:eastAsia="新宋体" w:cs="新宋体"/>
          <w:b w:val="0"/>
          <w:bCs w:val="0"/>
          <w:color w:val="0000FF"/>
          <w:sz w:val="24"/>
          <w:szCs w:val="24"/>
          <w:lang w:val="en-US" w:eastAsia="zh-CN"/>
        </w:rPr>
        <w:t>80</w:t>
      </w:r>
      <w:r>
        <w:rPr>
          <w:rFonts w:hint="eastAsia" w:ascii="新宋体" w:hAnsi="新宋体" w:eastAsia="新宋体" w:cs="新宋体"/>
          <w:b w:val="0"/>
          <w:bCs w:val="0"/>
          <w:color w:val="0000FF"/>
          <w:sz w:val="24"/>
          <w:szCs w:val="24"/>
        </w:rPr>
        <w:t xml:space="preserve">%； </w:t>
      </w:r>
    </w:p>
    <w:p w14:paraId="24661DF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FF"/>
          <w:sz w:val="24"/>
          <w:szCs w:val="24"/>
        </w:rPr>
      </w:pPr>
      <w:r>
        <w:rPr>
          <w:rFonts w:hint="eastAsia" w:ascii="新宋体" w:hAnsi="新宋体" w:eastAsia="新宋体" w:cs="新宋体"/>
          <w:b w:val="0"/>
          <w:bCs w:val="0"/>
          <w:color w:val="0000FF"/>
          <w:sz w:val="24"/>
          <w:szCs w:val="24"/>
          <w:lang w:val="en-US" w:eastAsia="zh-CN"/>
        </w:rPr>
        <w:t>3、</w:t>
      </w:r>
      <w:r>
        <w:rPr>
          <w:rFonts w:hint="eastAsia" w:ascii="新宋体" w:hAnsi="新宋体" w:eastAsia="新宋体" w:cs="新宋体"/>
          <w:b w:val="0"/>
          <w:bCs w:val="0"/>
          <w:color w:val="0000FF"/>
          <w:sz w:val="24"/>
          <w:szCs w:val="24"/>
        </w:rPr>
        <w:t>设备试运行</w:t>
      </w:r>
      <w:r>
        <w:rPr>
          <w:rFonts w:hint="eastAsia" w:ascii="新宋体" w:hAnsi="新宋体" w:eastAsia="新宋体" w:cs="新宋体"/>
          <w:b w:val="0"/>
          <w:bCs w:val="0"/>
          <w:color w:val="0000FF"/>
          <w:sz w:val="24"/>
          <w:szCs w:val="24"/>
          <w:lang w:val="en-US" w:eastAsia="zh-CN"/>
        </w:rPr>
        <w:t>3</w:t>
      </w:r>
      <w:r>
        <w:rPr>
          <w:rFonts w:hint="eastAsia" w:ascii="新宋体" w:hAnsi="新宋体" w:eastAsia="新宋体" w:cs="新宋体"/>
          <w:b w:val="0"/>
          <w:bCs w:val="0"/>
          <w:color w:val="0000FF"/>
          <w:sz w:val="24"/>
          <w:szCs w:val="24"/>
        </w:rPr>
        <w:t>个月无质量问题，支付至合同总价款的</w:t>
      </w:r>
      <w:r>
        <w:rPr>
          <w:rFonts w:hint="eastAsia" w:ascii="新宋体" w:hAnsi="新宋体" w:eastAsia="新宋体" w:cs="新宋体"/>
          <w:b w:val="0"/>
          <w:bCs w:val="0"/>
          <w:color w:val="0000FF"/>
          <w:sz w:val="24"/>
          <w:szCs w:val="24"/>
          <w:lang w:val="en-US" w:eastAsia="zh-CN"/>
        </w:rPr>
        <w:t>90</w:t>
      </w:r>
      <w:r>
        <w:rPr>
          <w:rFonts w:hint="eastAsia" w:ascii="新宋体" w:hAnsi="新宋体" w:eastAsia="新宋体" w:cs="新宋体"/>
          <w:b w:val="0"/>
          <w:bCs w:val="0"/>
          <w:color w:val="0000FF"/>
          <w:sz w:val="24"/>
          <w:szCs w:val="24"/>
        </w:rPr>
        <w:t>%；</w:t>
      </w:r>
    </w:p>
    <w:p w14:paraId="1749261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default" w:ascii="新宋体" w:hAnsi="新宋体" w:eastAsia="新宋体" w:cs="新宋体"/>
          <w:b w:val="0"/>
          <w:bCs w:val="0"/>
          <w:color w:val="0000FF"/>
          <w:sz w:val="24"/>
          <w:szCs w:val="24"/>
          <w:lang w:val="en-US" w:eastAsia="zh-CN"/>
        </w:rPr>
      </w:pPr>
      <w:r>
        <w:rPr>
          <w:rFonts w:hint="eastAsia" w:ascii="新宋体" w:hAnsi="新宋体" w:eastAsia="新宋体" w:cs="新宋体"/>
          <w:b w:val="0"/>
          <w:bCs w:val="0"/>
          <w:color w:val="0000FF"/>
          <w:sz w:val="24"/>
          <w:szCs w:val="24"/>
          <w:lang w:val="en-US" w:eastAsia="zh-CN"/>
        </w:rPr>
        <w:t>4、审计完成后，支付至审定价款的97%，剩余3%待质保期满后支付。</w:t>
      </w:r>
    </w:p>
    <w:p w14:paraId="162E73C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bCs/>
          <w:color w:val="000000"/>
          <w:sz w:val="24"/>
          <w:szCs w:val="24"/>
        </w:rPr>
      </w:pPr>
      <w:r>
        <w:rPr>
          <w:rFonts w:hint="eastAsia" w:ascii="新宋体" w:hAnsi="新宋体" w:eastAsia="新宋体" w:cs="新宋体"/>
          <w:b w:val="0"/>
          <w:bCs w:val="0"/>
          <w:color w:val="000000"/>
          <w:sz w:val="24"/>
          <w:szCs w:val="24"/>
        </w:rPr>
        <w:t xml:space="preserve"> </w:t>
      </w:r>
      <w:r>
        <w:rPr>
          <w:rFonts w:hint="eastAsia" w:ascii="新宋体" w:hAnsi="新宋体" w:eastAsia="新宋体" w:cs="新宋体"/>
          <w:b/>
          <w:bCs/>
          <w:color w:val="000000"/>
          <w:sz w:val="24"/>
          <w:szCs w:val="24"/>
        </w:rPr>
        <w:t>十五、其他商务要求</w:t>
      </w:r>
    </w:p>
    <w:p w14:paraId="281C182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bCs/>
          <w:color w:val="000000"/>
          <w:sz w:val="24"/>
          <w:szCs w:val="24"/>
        </w:rPr>
        <w:t xml:space="preserve"> </w:t>
      </w:r>
      <w:r>
        <w:rPr>
          <w:rFonts w:hint="eastAsia" w:ascii="新宋体" w:hAnsi="新宋体" w:eastAsia="新宋体" w:cs="新宋体"/>
          <w:b w:val="0"/>
          <w:bCs w:val="0"/>
          <w:color w:val="000000"/>
          <w:sz w:val="24"/>
          <w:szCs w:val="24"/>
        </w:rPr>
        <w:t xml:space="preserve">1.交货地点：采购人指定地点。 </w:t>
      </w:r>
    </w:p>
    <w:p w14:paraId="08A9127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88" w:lineRule="auto"/>
        <w:ind w:left="364" w:leftChars="0" w:right="2" w:rightChars="0"/>
        <w:textAlignment w:val="baseline"/>
        <w:rPr>
          <w:rFonts w:hint="eastAsia" w:ascii="新宋体" w:hAnsi="新宋体" w:eastAsia="新宋体" w:cs="新宋体"/>
          <w:b w:val="0"/>
          <w:bCs w:val="0"/>
          <w:color w:val="000000"/>
          <w:sz w:val="24"/>
          <w:szCs w:val="24"/>
        </w:rPr>
      </w:pPr>
      <w:r>
        <w:rPr>
          <w:rFonts w:hint="eastAsia" w:ascii="新宋体" w:hAnsi="新宋体" w:eastAsia="新宋体" w:cs="新宋体"/>
          <w:b w:val="0"/>
          <w:bCs w:val="0"/>
          <w:color w:val="000000"/>
          <w:sz w:val="24"/>
          <w:szCs w:val="24"/>
        </w:rPr>
        <w:t>2.交货时间：</w:t>
      </w:r>
      <w:r>
        <w:rPr>
          <w:rFonts w:hint="eastAsia" w:ascii="宋体" w:hAnsi="宋体" w:eastAsia="宋体" w:cs="宋体"/>
          <w:i w:val="0"/>
          <w:iCs w:val="0"/>
          <w:color w:val="0000FF"/>
          <w:sz w:val="24"/>
          <w:szCs w:val="24"/>
          <w:highlight w:val="none"/>
          <w:u w:val="none"/>
          <w:lang w:val="en-US" w:eastAsia="zh-CN"/>
        </w:rPr>
        <w:t>自签订合同之日起45日内完成。</w:t>
      </w:r>
    </w:p>
    <w:p w14:paraId="02E91CA1">
      <w:pPr>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br w:type="page"/>
      </w:r>
    </w:p>
    <w:p w14:paraId="0B0627CA">
      <w:pPr>
        <w:keepNext w:val="0"/>
        <w:keepLines w:val="0"/>
        <w:pageBreakBefore w:val="0"/>
        <w:widowControl/>
        <w:kinsoku w:val="0"/>
        <w:wordWrap/>
        <w:overflowPunct/>
        <w:topLinePunct w:val="0"/>
        <w:autoSpaceDE w:val="0"/>
        <w:autoSpaceDN w:val="0"/>
        <w:bidi w:val="0"/>
        <w:adjustRightInd w:val="0"/>
        <w:snapToGrid w:val="0"/>
        <w:spacing w:before="72" w:line="288" w:lineRule="auto"/>
        <w:ind w:left="5" w:right="2" w:firstLine="359"/>
        <w:textAlignment w:val="baseline"/>
        <w:rPr>
          <w:rFonts w:hint="eastAsia" w:ascii="宋体" w:hAnsi="宋体" w:eastAsia="宋体" w:cs="宋体"/>
          <w:b/>
          <w:bCs/>
          <w:color w:val="auto"/>
          <w:spacing w:val="3"/>
          <w:sz w:val="24"/>
          <w:szCs w:val="24"/>
          <w:highlight w:val="none"/>
          <w:lang w:val="en-US" w:eastAsia="zh-CN"/>
        </w:rPr>
      </w:pPr>
    </w:p>
    <w:p w14:paraId="633E4142">
      <w:pPr>
        <w:spacing w:before="114" w:line="225" w:lineRule="auto"/>
        <w:ind w:left="2603"/>
        <w:outlineLvl w:val="0"/>
        <w:rPr>
          <w:rFonts w:hint="eastAsia" w:ascii="宋体" w:hAnsi="宋体" w:eastAsia="宋体" w:cs="宋体"/>
          <w:color w:val="auto"/>
          <w:sz w:val="35"/>
          <w:szCs w:val="35"/>
          <w:highlight w:val="none"/>
        </w:rPr>
      </w:pPr>
      <w:bookmarkStart w:id="62" w:name="bookmark39"/>
      <w:bookmarkEnd w:id="62"/>
      <w:bookmarkStart w:id="63" w:name="_Toc24952"/>
      <w:bookmarkStart w:id="64" w:name="_Toc21833"/>
      <w:r>
        <w:rPr>
          <w:rFonts w:hint="eastAsia" w:ascii="宋体" w:hAnsi="宋体" w:eastAsia="宋体" w:cs="宋体"/>
          <w:b/>
          <w:bCs/>
          <w:color w:val="auto"/>
          <w:spacing w:val="10"/>
          <w:position w:val="1"/>
          <w:sz w:val="31"/>
          <w:szCs w:val="31"/>
          <w:highlight w:val="none"/>
        </w:rPr>
        <w:t>第四章</w:t>
      </w:r>
      <w:r>
        <w:rPr>
          <w:rFonts w:hint="eastAsia" w:ascii="宋体" w:hAnsi="宋体" w:eastAsia="宋体" w:cs="宋体"/>
          <w:color w:val="auto"/>
          <w:spacing w:val="100"/>
          <w:position w:val="1"/>
          <w:sz w:val="31"/>
          <w:szCs w:val="31"/>
          <w:highlight w:val="none"/>
        </w:rPr>
        <w:t xml:space="preserve"> </w:t>
      </w:r>
      <w:r>
        <w:rPr>
          <w:rFonts w:hint="eastAsia" w:ascii="宋体" w:hAnsi="宋体" w:eastAsia="宋体" w:cs="宋体"/>
          <w:b/>
          <w:bCs/>
          <w:color w:val="auto"/>
          <w:spacing w:val="10"/>
          <w:sz w:val="35"/>
          <w:szCs w:val="35"/>
          <w:highlight w:val="none"/>
        </w:rPr>
        <w:t>评审办法及评分标准</w:t>
      </w:r>
      <w:bookmarkEnd w:id="63"/>
      <w:bookmarkEnd w:id="64"/>
    </w:p>
    <w:p w14:paraId="5F9F86ED">
      <w:pPr>
        <w:spacing w:before="33" w:line="226" w:lineRule="auto"/>
        <w:ind w:left="2999"/>
        <w:outlineLvl w:val="1"/>
        <w:rPr>
          <w:rFonts w:hint="eastAsia" w:ascii="宋体" w:hAnsi="宋体" w:eastAsia="宋体" w:cs="宋体"/>
          <w:color w:val="auto"/>
          <w:sz w:val="31"/>
          <w:szCs w:val="31"/>
          <w:highlight w:val="none"/>
        </w:rPr>
      </w:pPr>
      <w:bookmarkStart w:id="65" w:name="bookmark41"/>
      <w:bookmarkEnd w:id="65"/>
      <w:bookmarkStart w:id="66" w:name="_Toc3730"/>
      <w:r>
        <w:rPr>
          <w:rFonts w:hint="eastAsia" w:ascii="宋体" w:hAnsi="宋体" w:eastAsia="宋体" w:cs="宋体"/>
          <w:b/>
          <w:bCs/>
          <w:color w:val="auto"/>
          <w:spacing w:val="22"/>
          <w:sz w:val="31"/>
          <w:szCs w:val="31"/>
          <w:highlight w:val="none"/>
          <w:lang w:val="en-US" w:eastAsia="zh-CN"/>
        </w:rPr>
        <w:t>第一节</w:t>
      </w:r>
      <w:r>
        <w:rPr>
          <w:rFonts w:hint="eastAsia" w:ascii="宋体" w:hAnsi="宋体" w:eastAsia="宋体" w:cs="宋体"/>
          <w:b/>
          <w:bCs/>
          <w:color w:val="auto"/>
          <w:spacing w:val="22"/>
          <w:sz w:val="31"/>
          <w:szCs w:val="31"/>
          <w:highlight w:val="none"/>
        </w:rPr>
        <w:t>、评审程序和评审方法</w:t>
      </w:r>
      <w:bookmarkEnd w:id="66"/>
    </w:p>
    <w:p w14:paraId="75B53E7D">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综合评分法，是指响应文件满足招标文件全部实质性要求，且按照评审因素的量化指标评审得分最高的供应商为中标候选人的评标方法。评标委员会将对各供应商的投标报价、技术和服务方案、供应商的企业实力及资质等方面进行综合评审，对实质上响应招标文件的供应商，由各评委独立记名打分。按评审后得分由高到低顺序排列。得分相同的，按投标报价由低到高顺序排列。得分且投标报价相同的，按技术指标优劣顺序排列。</w:t>
      </w:r>
    </w:p>
    <w:p w14:paraId="3BC80B3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2" w:firstLineChars="200"/>
        <w:textAlignment w:val="baseline"/>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 资格审查</w:t>
      </w:r>
    </w:p>
    <w:p w14:paraId="4D005AE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 响应文件开启后，审查小组依法对供应商的资格证明文件进行审查。</w:t>
      </w:r>
    </w:p>
    <w:p w14:paraId="5CAC71B7">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注：采购人代表或者采购代理机构在资格审查时，对供应商进行信用查询。</w:t>
      </w:r>
    </w:p>
    <w:p w14:paraId="78B0E5F8">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(1)查询渠道：“政采云”平台→信用情况→“信用中国”网站(</w:t>
      </w:r>
      <w:r>
        <w:rPr>
          <w:rFonts w:hint="eastAsia" w:ascii="宋体" w:hAnsi="宋体" w:eastAsia="宋体" w:cs="宋体"/>
          <w:i w:val="0"/>
          <w:iCs w:val="0"/>
          <w:color w:val="auto"/>
          <w:sz w:val="24"/>
          <w:szCs w:val="24"/>
          <w:highlight w:val="none"/>
          <w:lang w:val="en-US" w:eastAsia="zh-CN"/>
        </w:rPr>
        <w:fldChar w:fldCharType="begin"/>
      </w:r>
      <w:r>
        <w:rPr>
          <w:rFonts w:hint="eastAsia" w:ascii="宋体" w:hAnsi="宋体" w:eastAsia="宋体" w:cs="宋体"/>
          <w:i w:val="0"/>
          <w:iCs w:val="0"/>
          <w:color w:val="auto"/>
          <w:sz w:val="24"/>
          <w:szCs w:val="24"/>
          <w:highlight w:val="none"/>
          <w:lang w:val="en-US" w:eastAsia="zh-CN"/>
        </w:rPr>
        <w:instrText xml:space="preserve"> HYPERLINK "http://www.creditchina.gov.cn/" </w:instrText>
      </w:r>
      <w:r>
        <w:rPr>
          <w:rFonts w:hint="eastAsia" w:ascii="宋体" w:hAnsi="宋体" w:eastAsia="宋体" w:cs="宋体"/>
          <w:i w:val="0"/>
          <w:iCs w:val="0"/>
          <w:color w:val="auto"/>
          <w:sz w:val="24"/>
          <w:szCs w:val="24"/>
          <w:highlight w:val="none"/>
          <w:lang w:val="en-US" w:eastAsia="zh-CN"/>
        </w:rPr>
        <w:fldChar w:fldCharType="separate"/>
      </w:r>
      <w:r>
        <w:rPr>
          <w:rFonts w:hint="eastAsia" w:ascii="宋体" w:hAnsi="宋体" w:eastAsia="宋体" w:cs="宋体"/>
          <w:i w:val="0"/>
          <w:iCs w:val="0"/>
          <w:color w:val="auto"/>
          <w:sz w:val="24"/>
          <w:szCs w:val="24"/>
          <w:highlight w:val="none"/>
          <w:lang w:val="en-US" w:eastAsia="zh-CN"/>
        </w:rPr>
        <w:t>www.creditchina.gov.cn</w:t>
      </w:r>
      <w:r>
        <w:rPr>
          <w:rFonts w:hint="eastAsia" w:ascii="宋体" w:hAnsi="宋体" w:eastAsia="宋体" w:cs="宋体"/>
          <w:i w:val="0"/>
          <w:iCs w:val="0"/>
          <w:color w:val="auto"/>
          <w:sz w:val="24"/>
          <w:szCs w:val="24"/>
          <w:highlight w:val="none"/>
          <w:lang w:val="en-US" w:eastAsia="zh-CN"/>
        </w:rPr>
        <w:fldChar w:fldCharType="end"/>
      </w:r>
      <w:r>
        <w:rPr>
          <w:rFonts w:hint="eastAsia" w:ascii="宋体" w:hAnsi="宋体" w:eastAsia="宋体" w:cs="宋体"/>
          <w:i w:val="0"/>
          <w:iCs w:val="0"/>
          <w:color w:val="auto"/>
          <w:sz w:val="24"/>
          <w:szCs w:val="24"/>
          <w:highlight w:val="none"/>
          <w:lang w:val="en-US" w:eastAsia="zh-CN"/>
        </w:rPr>
        <w:t>)、中国政府</w:t>
      </w:r>
      <w:r>
        <w:rPr>
          <w:rFonts w:hint="eastAsia" w:ascii="宋体" w:hAnsi="宋体" w:eastAsia="宋体" w:cs="宋体"/>
          <w:i w:val="0"/>
          <w:iCs w:val="0"/>
          <w:color w:val="auto"/>
          <w:sz w:val="24"/>
          <w:szCs w:val="24"/>
          <w:highlight w:val="none"/>
          <w:lang w:val="en-US" w:eastAsia="zh-CN"/>
        </w:rPr>
        <w:fldChar w:fldCharType="begin"/>
      </w:r>
      <w:r>
        <w:rPr>
          <w:rFonts w:hint="eastAsia" w:ascii="宋体" w:hAnsi="宋体" w:eastAsia="宋体" w:cs="宋体"/>
          <w:i w:val="0"/>
          <w:iCs w:val="0"/>
          <w:color w:val="auto"/>
          <w:sz w:val="24"/>
          <w:szCs w:val="24"/>
          <w:highlight w:val="none"/>
          <w:lang w:val="en-US" w:eastAsia="zh-CN"/>
        </w:rPr>
        <w:instrText xml:space="preserve"> HYPERLINK "http://www.ccgp.gov.cn/" </w:instrText>
      </w:r>
      <w:r>
        <w:rPr>
          <w:rFonts w:hint="eastAsia" w:ascii="宋体" w:hAnsi="宋体" w:eastAsia="宋体" w:cs="宋体"/>
          <w:i w:val="0"/>
          <w:iCs w:val="0"/>
          <w:color w:val="auto"/>
          <w:sz w:val="24"/>
          <w:szCs w:val="24"/>
          <w:highlight w:val="none"/>
          <w:lang w:val="en-US" w:eastAsia="zh-CN"/>
        </w:rPr>
        <w:fldChar w:fldCharType="separate"/>
      </w:r>
      <w:r>
        <w:rPr>
          <w:rFonts w:hint="eastAsia" w:ascii="宋体" w:hAnsi="宋体" w:eastAsia="宋体" w:cs="宋体"/>
          <w:i w:val="0"/>
          <w:iCs w:val="0"/>
          <w:color w:val="auto"/>
          <w:sz w:val="24"/>
          <w:szCs w:val="24"/>
          <w:highlight w:val="none"/>
          <w:lang w:val="en-US" w:eastAsia="zh-CN"/>
        </w:rPr>
        <w:t>采购网(www.ccgp.gov.cn</w:t>
      </w:r>
      <w:r>
        <w:rPr>
          <w:rFonts w:hint="eastAsia" w:ascii="宋体" w:hAnsi="宋体" w:eastAsia="宋体" w:cs="宋体"/>
          <w:i w:val="0"/>
          <w:iCs w:val="0"/>
          <w:color w:val="auto"/>
          <w:sz w:val="24"/>
          <w:szCs w:val="24"/>
          <w:highlight w:val="none"/>
          <w:lang w:val="en-US" w:eastAsia="zh-CN"/>
        </w:rPr>
        <w:fldChar w:fldCharType="end"/>
      </w:r>
      <w:r>
        <w:rPr>
          <w:rFonts w:hint="eastAsia" w:ascii="宋体" w:hAnsi="宋体" w:eastAsia="宋体" w:cs="宋体"/>
          <w:i w:val="0"/>
          <w:iCs w:val="0"/>
          <w:color w:val="auto"/>
          <w:sz w:val="24"/>
          <w:szCs w:val="24"/>
          <w:highlight w:val="none"/>
          <w:lang w:val="en-US" w:eastAsia="zh-CN"/>
        </w:rPr>
        <w:t>)链接入口进行精确查询。</w:t>
      </w:r>
    </w:p>
    <w:p w14:paraId="5220B492">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(2)信用查询截止时点：资格审查结束前。</w:t>
      </w:r>
    </w:p>
    <w:p w14:paraId="01F773C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查询记录和证据留存方式：在查询网站中直接打印查询记录，截图另存为电子文档作为评审资料保存。</w:t>
      </w:r>
    </w:p>
    <w:p w14:paraId="747B5EBC">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(3)信用信息使用规则：对在“信用中国”网站(www.creditchina.gov.cn)、中国政府采购网 (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B79B34">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 资格审查标准为本招标文件中载明对供应商资格要求的条件。资格审查采用合格制，凡符合招标文件规定的供应商资格要求的响应文件均通过资格审查。</w:t>
      </w:r>
    </w:p>
    <w:p w14:paraId="5ACD77C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1.3 供应商有下列情形之一的，资格审查不通过，其响应文件按无效响应处理：</w:t>
      </w:r>
    </w:p>
    <w:p w14:paraId="6C8A92F3">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(1)不具备招标文件中规定的资格要求的；</w:t>
      </w:r>
    </w:p>
    <w:p w14:paraId="494B7CB6">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(2)响应文件未提供任一项资格证明文件规定的文件资料的；</w:t>
      </w:r>
    </w:p>
    <w:p w14:paraId="575B0EBA">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(3)响应文件提供的资格证明文件出现任一项不符合资格证明文件规定的的文件资料要求或者无效的。</w:t>
      </w:r>
    </w:p>
    <w:p w14:paraId="1CC35A05">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(4)同一合同项下的不同供应商，单位负责人为同一人或者存在直接控股、管理关系的；为本项目提供过整体设计、规范编制或者项目管理、监理、检测等服务的。</w:t>
      </w:r>
    </w:p>
    <w:p w14:paraId="29BBCCD9">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 通过资格审查的合格供应商不足 3 家的，不得进入符合性审查环节，采购人或者采购代理机构应当重新开展采购活动。</w:t>
      </w:r>
    </w:p>
    <w:p w14:paraId="2A48F511">
      <w:pPr>
        <w:keepNext w:val="0"/>
        <w:keepLines w:val="0"/>
        <w:pageBreakBefore w:val="0"/>
        <w:widowControl/>
        <w:shd w:val="clear"/>
        <w:kinsoku w:val="0"/>
        <w:wordWrap/>
        <w:overflowPunct/>
        <w:topLinePunct w:val="0"/>
        <w:autoSpaceDE w:val="0"/>
        <w:autoSpaceDN w:val="0"/>
        <w:bidi w:val="0"/>
        <w:adjustRightInd w:val="0"/>
        <w:snapToGrid w:val="0"/>
        <w:spacing w:beforeLines="0" w:afterLines="0" w:line="312" w:lineRule="auto"/>
        <w:ind w:firstLine="480" w:firstLineChars="200"/>
        <w:textAlignment w:val="baseline"/>
        <w:rPr>
          <w:rFonts w:hint="eastAsia" w:ascii="宋体" w:hAnsi="宋体" w:eastAsia="宋体" w:cs="宋体"/>
          <w:i w:val="0"/>
          <w:iCs w:val="0"/>
          <w:color w:val="auto"/>
          <w:sz w:val="24"/>
          <w:szCs w:val="24"/>
          <w:highlight w:val="none"/>
          <w:lang w:val="en-US" w:eastAsia="zh-CN"/>
        </w:rPr>
      </w:pPr>
    </w:p>
    <w:p w14:paraId="12B78628">
      <w:pPr>
        <w:pStyle w:val="4"/>
        <w:rPr>
          <w:rFonts w:hint="eastAsia" w:ascii="宋体" w:hAnsi="宋体" w:eastAsia="宋体" w:cs="宋体"/>
          <w:color w:val="auto"/>
          <w:highlight w:val="none"/>
          <w:lang w:val="en-US" w:eastAsia="zh-CN"/>
        </w:rPr>
        <w:sectPr>
          <w:pgSz w:w="11906" w:h="16839"/>
          <w:pgMar w:top="1440" w:right="1080" w:bottom="1440" w:left="1080" w:header="0" w:footer="0" w:gutter="0"/>
          <w:pgNumType w:fmt="decimal"/>
          <w:cols w:space="720" w:num="1"/>
        </w:sectPr>
      </w:pPr>
    </w:p>
    <w:p w14:paraId="06202D60">
      <w:pPr>
        <w:spacing w:before="204" w:line="228" w:lineRule="auto"/>
        <w:ind w:left="8"/>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18"/>
          <w:sz w:val="28"/>
          <w:szCs w:val="28"/>
          <w:highlight w:val="none"/>
          <w:lang w:val="en-US" w:eastAsia="zh-CN"/>
        </w:rPr>
        <w:t>1.</w:t>
      </w:r>
      <w:r>
        <w:rPr>
          <w:rFonts w:hint="eastAsia" w:ascii="宋体" w:hAnsi="宋体" w:eastAsia="宋体" w:cs="宋体"/>
          <w:b/>
          <w:bCs/>
          <w:color w:val="auto"/>
          <w:spacing w:val="18"/>
          <w:sz w:val="28"/>
          <w:szCs w:val="28"/>
          <w:highlight w:val="none"/>
        </w:rPr>
        <w:t>资格证明文件</w:t>
      </w:r>
    </w:p>
    <w:tbl>
      <w:tblPr>
        <w:tblStyle w:val="17"/>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5986"/>
        <w:gridCol w:w="1369"/>
        <w:gridCol w:w="1411"/>
      </w:tblGrid>
      <w:tr w14:paraId="22E4B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Merge w:val="restart"/>
            <w:tcBorders>
              <w:bottom w:val="nil"/>
            </w:tcBorders>
            <w:vAlign w:val="center"/>
          </w:tcPr>
          <w:p w14:paraId="3127AB83">
            <w:pPr>
              <w:pStyle w:val="18"/>
              <w:spacing w:before="65" w:line="230"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序号</w:t>
            </w:r>
          </w:p>
        </w:tc>
        <w:tc>
          <w:tcPr>
            <w:tcW w:w="5986" w:type="dxa"/>
            <w:vMerge w:val="restart"/>
            <w:tcBorders>
              <w:bottom w:val="nil"/>
            </w:tcBorders>
            <w:vAlign w:val="center"/>
          </w:tcPr>
          <w:p w14:paraId="4238BB9E">
            <w:pPr>
              <w:pStyle w:val="18"/>
              <w:spacing w:before="65" w:line="229"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审   查   标   准</w:t>
            </w:r>
          </w:p>
        </w:tc>
        <w:tc>
          <w:tcPr>
            <w:tcW w:w="2780" w:type="dxa"/>
            <w:gridSpan w:val="2"/>
            <w:vAlign w:val="center"/>
          </w:tcPr>
          <w:p w14:paraId="7F055B89">
            <w:pPr>
              <w:pStyle w:val="18"/>
              <w:spacing w:before="138" w:line="229"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审查结果</w:t>
            </w:r>
          </w:p>
        </w:tc>
      </w:tr>
      <w:tr w14:paraId="28D0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Merge w:val="continue"/>
            <w:tcBorders>
              <w:top w:val="nil"/>
            </w:tcBorders>
            <w:vAlign w:val="center"/>
          </w:tcPr>
          <w:p w14:paraId="4F766652">
            <w:pPr>
              <w:jc w:val="center"/>
              <w:rPr>
                <w:rFonts w:hint="eastAsia" w:ascii="宋体" w:hAnsi="宋体" w:eastAsia="宋体" w:cs="宋体"/>
                <w:snapToGrid w:val="0"/>
                <w:color w:val="auto"/>
                <w:spacing w:val="-2"/>
                <w:kern w:val="0"/>
                <w:sz w:val="24"/>
                <w:szCs w:val="24"/>
                <w:highlight w:val="none"/>
                <w:lang w:val="en-US" w:eastAsia="en-US" w:bidi="ar-SA"/>
              </w:rPr>
            </w:pPr>
          </w:p>
        </w:tc>
        <w:tc>
          <w:tcPr>
            <w:tcW w:w="5986" w:type="dxa"/>
            <w:vMerge w:val="continue"/>
            <w:tcBorders>
              <w:top w:val="nil"/>
            </w:tcBorders>
            <w:vAlign w:val="center"/>
          </w:tcPr>
          <w:p w14:paraId="0326F083">
            <w:pPr>
              <w:jc w:val="center"/>
              <w:rPr>
                <w:rFonts w:hint="eastAsia" w:ascii="宋体" w:hAnsi="宋体" w:eastAsia="宋体" w:cs="宋体"/>
                <w:snapToGrid w:val="0"/>
                <w:color w:val="auto"/>
                <w:spacing w:val="-2"/>
                <w:kern w:val="0"/>
                <w:sz w:val="24"/>
                <w:szCs w:val="24"/>
                <w:highlight w:val="none"/>
                <w:lang w:val="en-US" w:eastAsia="en-US" w:bidi="ar-SA"/>
              </w:rPr>
            </w:pPr>
          </w:p>
        </w:tc>
        <w:tc>
          <w:tcPr>
            <w:tcW w:w="1369" w:type="dxa"/>
            <w:vAlign w:val="center"/>
          </w:tcPr>
          <w:p w14:paraId="56DE3E3D">
            <w:pPr>
              <w:pStyle w:val="18"/>
              <w:spacing w:before="163" w:line="236"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通过</w:t>
            </w:r>
          </w:p>
        </w:tc>
        <w:tc>
          <w:tcPr>
            <w:tcW w:w="1411" w:type="dxa"/>
            <w:vAlign w:val="center"/>
          </w:tcPr>
          <w:p w14:paraId="6212CE7B">
            <w:pPr>
              <w:pStyle w:val="18"/>
              <w:spacing w:before="164" w:line="231"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不通过</w:t>
            </w:r>
          </w:p>
        </w:tc>
      </w:tr>
      <w:tr w14:paraId="0EEAF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072" w:type="dxa"/>
            <w:vAlign w:val="center"/>
          </w:tcPr>
          <w:p w14:paraId="4C248AA1">
            <w:pPr>
              <w:pStyle w:val="18"/>
              <w:spacing w:before="71" w:line="184"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1</w:t>
            </w:r>
          </w:p>
        </w:tc>
        <w:tc>
          <w:tcPr>
            <w:tcW w:w="5986" w:type="dxa"/>
            <w:vAlign w:val="center"/>
          </w:tcPr>
          <w:p w14:paraId="6A2F3C76">
            <w:pPr>
              <w:pStyle w:val="18"/>
              <w:spacing w:before="189" w:line="220" w:lineRule="auto"/>
              <w:ind w:left="125"/>
              <w:jc w:val="left"/>
              <w:rPr>
                <w:rFonts w:hint="eastAsia" w:ascii="宋体" w:hAnsi="宋体" w:eastAsia="宋体" w:cs="宋体"/>
                <w:color w:val="auto"/>
                <w:spacing w:val="-2"/>
                <w:sz w:val="22"/>
                <w:szCs w:val="22"/>
                <w:highlight w:val="none"/>
                <w:lang w:val="en-US" w:eastAsia="en-US"/>
              </w:rPr>
            </w:pPr>
            <w:r>
              <w:rPr>
                <w:rFonts w:hint="eastAsia" w:ascii="宋体" w:hAnsi="宋体" w:eastAsia="宋体" w:cs="宋体"/>
                <w:color w:val="auto"/>
                <w:spacing w:val="-2"/>
                <w:sz w:val="22"/>
                <w:szCs w:val="22"/>
                <w:highlight w:val="none"/>
                <w:lang w:val="en-US" w:eastAsia="en-US"/>
              </w:rPr>
              <w:t>具有独立承担民事责任的能力；【供应商为法人或者其他组织的提供其营业执照等证明文件(如营业执照或者事业单位法人证书或者执业许可证等)，供应商为自然人的提供其身份证原件扫描件。】</w:t>
            </w:r>
          </w:p>
        </w:tc>
        <w:tc>
          <w:tcPr>
            <w:tcW w:w="1369" w:type="dxa"/>
            <w:vAlign w:val="center"/>
          </w:tcPr>
          <w:p w14:paraId="2AD91639">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2800428E">
            <w:pPr>
              <w:jc w:val="center"/>
              <w:rPr>
                <w:rFonts w:hint="eastAsia" w:ascii="宋体" w:hAnsi="宋体" w:eastAsia="宋体" w:cs="宋体"/>
                <w:snapToGrid w:val="0"/>
                <w:color w:val="auto"/>
                <w:spacing w:val="-2"/>
                <w:kern w:val="0"/>
                <w:sz w:val="22"/>
                <w:szCs w:val="22"/>
                <w:highlight w:val="none"/>
                <w:lang w:val="en-US" w:eastAsia="en-US" w:bidi="ar-SA"/>
              </w:rPr>
            </w:pPr>
          </w:p>
        </w:tc>
      </w:tr>
      <w:tr w14:paraId="12C1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Align w:val="center"/>
          </w:tcPr>
          <w:p w14:paraId="088B2324">
            <w:pPr>
              <w:pStyle w:val="18"/>
              <w:spacing w:before="71" w:line="184"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2</w:t>
            </w:r>
          </w:p>
        </w:tc>
        <w:tc>
          <w:tcPr>
            <w:tcW w:w="5986" w:type="dxa"/>
            <w:vAlign w:val="center"/>
          </w:tcPr>
          <w:p w14:paraId="311ED295">
            <w:pPr>
              <w:pStyle w:val="18"/>
              <w:spacing w:before="189" w:line="220" w:lineRule="auto"/>
              <w:ind w:left="125"/>
              <w:jc w:val="left"/>
              <w:rPr>
                <w:rFonts w:hint="eastAsia" w:ascii="宋体" w:hAnsi="宋体" w:eastAsia="宋体" w:cs="宋体"/>
                <w:color w:val="auto"/>
                <w:spacing w:val="-2"/>
                <w:sz w:val="22"/>
                <w:szCs w:val="22"/>
                <w:highlight w:val="none"/>
                <w:lang w:val="en-US" w:eastAsia="en-US"/>
              </w:rPr>
            </w:pPr>
            <w:r>
              <w:rPr>
                <w:rFonts w:hint="eastAsia" w:ascii="宋体" w:hAnsi="宋体" w:eastAsia="宋体" w:cs="宋体"/>
                <w:color w:val="auto"/>
                <w:spacing w:val="-2"/>
                <w:sz w:val="22"/>
                <w:szCs w:val="22"/>
                <w:highlight w:val="none"/>
                <w:lang w:val="en-US" w:eastAsia="en-US"/>
              </w:rPr>
              <w:t>具有良好的商业信誉和健全的财务会计制度；【提供银行出具的近 1 年内资信证明或</w:t>
            </w:r>
            <w:r>
              <w:rPr>
                <w:rFonts w:hint="eastAsia" w:ascii="宋体" w:hAnsi="宋体" w:eastAsia="宋体" w:cs="宋体"/>
                <w:color w:val="auto"/>
                <w:spacing w:val="-2"/>
                <w:sz w:val="22"/>
                <w:szCs w:val="22"/>
                <w:highlight w:val="none"/>
                <w:lang w:val="en-US" w:eastAsia="zh-CN"/>
              </w:rPr>
              <w:t>2024</w:t>
            </w:r>
            <w:r>
              <w:rPr>
                <w:rFonts w:hint="eastAsia" w:ascii="宋体" w:hAnsi="宋体" w:eastAsia="宋体" w:cs="宋体"/>
                <w:color w:val="auto"/>
                <w:spacing w:val="-2"/>
                <w:sz w:val="22"/>
                <w:szCs w:val="22"/>
                <w:highlight w:val="none"/>
              </w:rPr>
              <w:t>年度</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2"/>
                <w:sz w:val="22"/>
                <w:szCs w:val="22"/>
                <w:highlight w:val="none"/>
                <w:lang w:val="en-US" w:eastAsia="zh-CN"/>
              </w:rPr>
              <w:t>2025年度任意一年</w:t>
            </w:r>
            <w:r>
              <w:rPr>
                <w:rFonts w:hint="eastAsia" w:ascii="宋体" w:hAnsi="宋体" w:eastAsia="宋体" w:cs="宋体"/>
                <w:color w:val="auto"/>
                <w:spacing w:val="-2"/>
                <w:sz w:val="22"/>
                <w:szCs w:val="22"/>
                <w:highlight w:val="none"/>
                <w:lang w:val="en-US" w:eastAsia="en-US"/>
              </w:rPr>
              <w:t>经审计的财务报告，从取得营业执照时间起到响应文件提交截止时间为止不足一年的，为新成立企业，提供财务状况良好承诺函（格式自拟）】</w:t>
            </w:r>
          </w:p>
        </w:tc>
        <w:tc>
          <w:tcPr>
            <w:tcW w:w="1369" w:type="dxa"/>
            <w:vAlign w:val="center"/>
          </w:tcPr>
          <w:p w14:paraId="62F980CA">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50DD48EF">
            <w:pPr>
              <w:jc w:val="center"/>
              <w:rPr>
                <w:rFonts w:hint="eastAsia" w:ascii="宋体" w:hAnsi="宋体" w:eastAsia="宋体" w:cs="宋体"/>
                <w:snapToGrid w:val="0"/>
                <w:color w:val="auto"/>
                <w:spacing w:val="-2"/>
                <w:kern w:val="0"/>
                <w:sz w:val="22"/>
                <w:szCs w:val="22"/>
                <w:highlight w:val="none"/>
                <w:lang w:val="en-US" w:eastAsia="en-US" w:bidi="ar-SA"/>
              </w:rPr>
            </w:pPr>
          </w:p>
        </w:tc>
      </w:tr>
      <w:tr w14:paraId="3F921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Align w:val="center"/>
          </w:tcPr>
          <w:p w14:paraId="6CDB7182">
            <w:pPr>
              <w:pStyle w:val="18"/>
              <w:spacing w:before="71" w:line="184"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3</w:t>
            </w:r>
          </w:p>
        </w:tc>
        <w:tc>
          <w:tcPr>
            <w:tcW w:w="5986" w:type="dxa"/>
            <w:vAlign w:val="center"/>
          </w:tcPr>
          <w:p w14:paraId="0E0D38C8">
            <w:pPr>
              <w:pStyle w:val="18"/>
              <w:spacing w:before="189" w:line="220" w:lineRule="auto"/>
              <w:ind w:left="125"/>
              <w:jc w:val="left"/>
              <w:rPr>
                <w:rFonts w:hint="eastAsia" w:ascii="宋体" w:hAnsi="宋体" w:eastAsia="宋体" w:cs="宋体"/>
                <w:color w:val="auto"/>
                <w:spacing w:val="-2"/>
                <w:sz w:val="22"/>
                <w:szCs w:val="22"/>
                <w:highlight w:val="none"/>
                <w:lang w:val="en-US" w:eastAsia="en-US"/>
              </w:rPr>
            </w:pPr>
            <w:r>
              <w:rPr>
                <w:rFonts w:hint="eastAsia" w:ascii="宋体" w:hAnsi="宋体" w:eastAsia="宋体" w:cs="宋体"/>
                <w:color w:val="auto"/>
                <w:spacing w:val="-2"/>
                <w:sz w:val="22"/>
                <w:szCs w:val="22"/>
                <w:highlight w:val="none"/>
                <w:lang w:val="en-US" w:eastAsia="en-US"/>
              </w:rPr>
              <w:t>具有履行合同所必需的设备和专业技术能力；【提供具有履行合同所必需的设备和专业技术能力的承诺函】</w:t>
            </w:r>
          </w:p>
        </w:tc>
        <w:tc>
          <w:tcPr>
            <w:tcW w:w="1369" w:type="dxa"/>
            <w:vAlign w:val="center"/>
          </w:tcPr>
          <w:p w14:paraId="6B4252EC">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296BA30F">
            <w:pPr>
              <w:jc w:val="center"/>
              <w:rPr>
                <w:rFonts w:hint="eastAsia" w:ascii="宋体" w:hAnsi="宋体" w:eastAsia="宋体" w:cs="宋体"/>
                <w:snapToGrid w:val="0"/>
                <w:color w:val="auto"/>
                <w:spacing w:val="-2"/>
                <w:kern w:val="0"/>
                <w:sz w:val="22"/>
                <w:szCs w:val="22"/>
                <w:highlight w:val="none"/>
                <w:lang w:val="en-US" w:eastAsia="en-US" w:bidi="ar-SA"/>
              </w:rPr>
            </w:pPr>
          </w:p>
        </w:tc>
      </w:tr>
      <w:tr w14:paraId="52F2E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Align w:val="center"/>
          </w:tcPr>
          <w:p w14:paraId="1E8DB55C">
            <w:pPr>
              <w:pStyle w:val="18"/>
              <w:spacing w:before="71" w:line="184"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4</w:t>
            </w:r>
          </w:p>
        </w:tc>
        <w:tc>
          <w:tcPr>
            <w:tcW w:w="5986" w:type="dxa"/>
            <w:vAlign w:val="center"/>
          </w:tcPr>
          <w:p w14:paraId="10847D6D">
            <w:pPr>
              <w:pStyle w:val="18"/>
              <w:spacing w:before="189" w:line="220" w:lineRule="auto"/>
              <w:ind w:left="125"/>
              <w:jc w:val="left"/>
              <w:rPr>
                <w:rFonts w:hint="eastAsia" w:ascii="宋体" w:hAnsi="宋体" w:eastAsia="宋体" w:cs="宋体"/>
                <w:color w:val="auto"/>
                <w:spacing w:val="-2"/>
                <w:sz w:val="22"/>
                <w:szCs w:val="22"/>
                <w:highlight w:val="none"/>
                <w:lang w:val="en-US" w:eastAsia="en-US"/>
              </w:rPr>
            </w:pPr>
            <w:r>
              <w:rPr>
                <w:rFonts w:hint="eastAsia" w:ascii="宋体" w:hAnsi="宋体" w:eastAsia="宋体" w:cs="宋体"/>
                <w:color w:val="auto"/>
                <w:spacing w:val="-2"/>
                <w:sz w:val="22"/>
                <w:szCs w:val="22"/>
                <w:highlight w:val="none"/>
                <w:lang w:val="en-US" w:eastAsia="en-US"/>
              </w:rPr>
              <w:t>有依法缴纳税收和社会保障资金的良好记录；【提供近12个月内（任意1个月）已依法缴纳税收的凭据；提供近12个月内（任意1个月）已依法缴纳社会保险的凭据；依法免税或不需要缴纳社会保障资金的供应商，应提供相应证明文件。】</w:t>
            </w:r>
          </w:p>
        </w:tc>
        <w:tc>
          <w:tcPr>
            <w:tcW w:w="1369" w:type="dxa"/>
            <w:vAlign w:val="center"/>
          </w:tcPr>
          <w:p w14:paraId="0BD3B05A">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7F14DFEA">
            <w:pPr>
              <w:jc w:val="center"/>
              <w:rPr>
                <w:rFonts w:hint="eastAsia" w:ascii="宋体" w:hAnsi="宋体" w:eastAsia="宋体" w:cs="宋体"/>
                <w:snapToGrid w:val="0"/>
                <w:color w:val="auto"/>
                <w:spacing w:val="-2"/>
                <w:kern w:val="0"/>
                <w:sz w:val="22"/>
                <w:szCs w:val="22"/>
                <w:highlight w:val="none"/>
                <w:lang w:val="en-US" w:eastAsia="en-US" w:bidi="ar-SA"/>
              </w:rPr>
            </w:pPr>
          </w:p>
        </w:tc>
      </w:tr>
      <w:tr w14:paraId="55E7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Align w:val="center"/>
          </w:tcPr>
          <w:p w14:paraId="501CEC05">
            <w:pPr>
              <w:pStyle w:val="18"/>
              <w:spacing w:before="71" w:line="184"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5</w:t>
            </w:r>
          </w:p>
        </w:tc>
        <w:tc>
          <w:tcPr>
            <w:tcW w:w="5986" w:type="dxa"/>
            <w:vAlign w:val="center"/>
          </w:tcPr>
          <w:p w14:paraId="3066C778">
            <w:pPr>
              <w:pStyle w:val="18"/>
              <w:spacing w:before="189" w:line="220" w:lineRule="auto"/>
              <w:ind w:left="125"/>
              <w:jc w:val="left"/>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1.供应商应为小微企业的，请根据要求单独上传《中小企业声明函》。格式以采购文件要求为准。</w:t>
            </w:r>
          </w:p>
          <w:p w14:paraId="1D9D63B7">
            <w:pPr>
              <w:pStyle w:val="18"/>
              <w:spacing w:before="189" w:line="220" w:lineRule="auto"/>
              <w:ind w:left="125"/>
              <w:jc w:val="left"/>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2.供应商为大中型企业的。请根据要求单独上传《分包意向协议》及《中小企业声明函》，并在分包意向协议中进行相关比例说明。（分包意向协议格式自拟）</w:t>
            </w:r>
          </w:p>
        </w:tc>
        <w:tc>
          <w:tcPr>
            <w:tcW w:w="1369" w:type="dxa"/>
            <w:vAlign w:val="center"/>
          </w:tcPr>
          <w:p w14:paraId="62DB040F">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40BEB122">
            <w:pPr>
              <w:jc w:val="center"/>
              <w:rPr>
                <w:rFonts w:hint="eastAsia" w:ascii="宋体" w:hAnsi="宋体" w:eastAsia="宋体" w:cs="宋体"/>
                <w:snapToGrid w:val="0"/>
                <w:color w:val="auto"/>
                <w:spacing w:val="-2"/>
                <w:kern w:val="0"/>
                <w:sz w:val="22"/>
                <w:szCs w:val="22"/>
                <w:highlight w:val="none"/>
                <w:lang w:val="en-US" w:eastAsia="en-US" w:bidi="ar-SA"/>
              </w:rPr>
            </w:pPr>
          </w:p>
        </w:tc>
      </w:tr>
      <w:tr w14:paraId="60D8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Align w:val="center"/>
          </w:tcPr>
          <w:p w14:paraId="59A5D7D3">
            <w:pPr>
              <w:pStyle w:val="18"/>
              <w:spacing w:before="71" w:line="184"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6</w:t>
            </w:r>
          </w:p>
        </w:tc>
        <w:tc>
          <w:tcPr>
            <w:tcW w:w="5986" w:type="dxa"/>
            <w:vAlign w:val="center"/>
          </w:tcPr>
          <w:p w14:paraId="31C50E01">
            <w:pPr>
              <w:pStyle w:val="18"/>
              <w:spacing w:before="189" w:line="220" w:lineRule="auto"/>
              <w:ind w:left="125"/>
              <w:jc w:val="left"/>
              <w:rPr>
                <w:rFonts w:hint="eastAsia" w:ascii="宋体" w:hAnsi="宋体" w:eastAsia="宋体" w:cs="宋体"/>
                <w:color w:val="auto"/>
                <w:spacing w:val="-2"/>
                <w:sz w:val="22"/>
                <w:szCs w:val="22"/>
                <w:highlight w:val="none"/>
                <w:lang w:val="en-US" w:eastAsia="en-US"/>
              </w:rPr>
            </w:pPr>
            <w:r>
              <w:rPr>
                <w:rFonts w:hint="eastAsia" w:ascii="宋体" w:hAnsi="宋体" w:eastAsia="宋体" w:cs="宋体"/>
                <w:color w:val="auto"/>
                <w:spacing w:val="-2"/>
                <w:sz w:val="22"/>
                <w:szCs w:val="22"/>
                <w:highlight w:val="none"/>
                <w:lang w:val="en-US" w:eastAsia="en-US"/>
              </w:rPr>
              <w:t>参加本次政府采购活动前三年内，在经营活动中没有重大违法记录；【须提供书面声明(供应商自行承诺并承担后果，声明不实的，按《政府采购法》及相关法律法规中提供虚假材料的有关规定处理。】</w:t>
            </w:r>
          </w:p>
        </w:tc>
        <w:tc>
          <w:tcPr>
            <w:tcW w:w="1369" w:type="dxa"/>
            <w:vAlign w:val="center"/>
          </w:tcPr>
          <w:p w14:paraId="13117E1D">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41211316">
            <w:pPr>
              <w:jc w:val="center"/>
              <w:rPr>
                <w:rFonts w:hint="eastAsia" w:ascii="宋体" w:hAnsi="宋体" w:eastAsia="宋体" w:cs="宋体"/>
                <w:snapToGrid w:val="0"/>
                <w:color w:val="auto"/>
                <w:spacing w:val="-2"/>
                <w:kern w:val="0"/>
                <w:sz w:val="22"/>
                <w:szCs w:val="22"/>
                <w:highlight w:val="none"/>
                <w:lang w:val="en-US" w:eastAsia="en-US" w:bidi="ar-SA"/>
              </w:rPr>
            </w:pPr>
          </w:p>
        </w:tc>
      </w:tr>
      <w:tr w14:paraId="3E0A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72" w:type="dxa"/>
            <w:vAlign w:val="center"/>
          </w:tcPr>
          <w:p w14:paraId="17215424">
            <w:pPr>
              <w:pStyle w:val="18"/>
              <w:spacing w:before="71" w:line="184" w:lineRule="auto"/>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7</w:t>
            </w:r>
          </w:p>
        </w:tc>
        <w:tc>
          <w:tcPr>
            <w:tcW w:w="5986" w:type="dxa"/>
            <w:vAlign w:val="center"/>
          </w:tcPr>
          <w:p w14:paraId="296FC758">
            <w:pPr>
              <w:pStyle w:val="18"/>
              <w:spacing w:before="189" w:line="220" w:lineRule="auto"/>
              <w:ind w:left="125"/>
              <w:jc w:val="left"/>
              <w:rPr>
                <w:rFonts w:hint="eastAsia" w:ascii="宋体" w:hAnsi="宋体" w:eastAsia="宋体" w:cs="宋体"/>
                <w:color w:val="auto"/>
                <w:spacing w:val="-2"/>
                <w:sz w:val="22"/>
                <w:szCs w:val="22"/>
                <w:highlight w:val="none"/>
                <w:lang w:val="en-US" w:eastAsia="en-US"/>
              </w:rPr>
            </w:pPr>
            <w:r>
              <w:rPr>
                <w:rFonts w:hint="eastAsia" w:ascii="宋体" w:hAnsi="宋体" w:eastAsia="宋体" w:cs="宋体"/>
                <w:color w:val="auto"/>
                <w:spacing w:val="-2"/>
                <w:sz w:val="22"/>
                <w:szCs w:val="22"/>
                <w:highlight w:val="none"/>
                <w:lang w:val="en-US" w:eastAsia="en-US"/>
              </w:rPr>
              <w:t>单位负责人为同一人或者存在直接控股、管理关系的不同供应商，不得参加同一合同项下的政府采购活动。须提供供应商直接控股、管理关系信息表</w:t>
            </w:r>
          </w:p>
        </w:tc>
        <w:tc>
          <w:tcPr>
            <w:tcW w:w="1369" w:type="dxa"/>
            <w:vAlign w:val="center"/>
          </w:tcPr>
          <w:p w14:paraId="40D5C8F0">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4E0701AA">
            <w:pPr>
              <w:jc w:val="center"/>
              <w:rPr>
                <w:rFonts w:hint="eastAsia" w:ascii="宋体" w:hAnsi="宋体" w:eastAsia="宋体" w:cs="宋体"/>
                <w:snapToGrid w:val="0"/>
                <w:color w:val="auto"/>
                <w:spacing w:val="-2"/>
                <w:kern w:val="0"/>
                <w:sz w:val="22"/>
                <w:szCs w:val="22"/>
                <w:highlight w:val="none"/>
                <w:lang w:val="en-US" w:eastAsia="en-US" w:bidi="ar-SA"/>
              </w:rPr>
            </w:pPr>
          </w:p>
        </w:tc>
      </w:tr>
      <w:tr w14:paraId="2EED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7058" w:type="dxa"/>
            <w:gridSpan w:val="2"/>
            <w:vAlign w:val="center"/>
          </w:tcPr>
          <w:p w14:paraId="32CD0770">
            <w:pPr>
              <w:pStyle w:val="18"/>
              <w:spacing w:before="110" w:line="229" w:lineRule="auto"/>
              <w:ind w:left="2262"/>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审查结果 (通过/不通过)</w:t>
            </w:r>
          </w:p>
        </w:tc>
        <w:tc>
          <w:tcPr>
            <w:tcW w:w="1369" w:type="dxa"/>
            <w:vAlign w:val="center"/>
          </w:tcPr>
          <w:p w14:paraId="460E9EF4">
            <w:pPr>
              <w:jc w:val="center"/>
              <w:rPr>
                <w:rFonts w:hint="eastAsia" w:ascii="宋体" w:hAnsi="宋体" w:eastAsia="宋体" w:cs="宋体"/>
                <w:snapToGrid w:val="0"/>
                <w:color w:val="auto"/>
                <w:spacing w:val="-2"/>
                <w:kern w:val="0"/>
                <w:sz w:val="22"/>
                <w:szCs w:val="22"/>
                <w:highlight w:val="none"/>
                <w:lang w:val="en-US" w:eastAsia="en-US" w:bidi="ar-SA"/>
              </w:rPr>
            </w:pPr>
          </w:p>
        </w:tc>
        <w:tc>
          <w:tcPr>
            <w:tcW w:w="1411" w:type="dxa"/>
            <w:vAlign w:val="center"/>
          </w:tcPr>
          <w:p w14:paraId="6F350CBA">
            <w:pPr>
              <w:jc w:val="center"/>
              <w:rPr>
                <w:rFonts w:hint="eastAsia" w:ascii="宋体" w:hAnsi="宋体" w:eastAsia="宋体" w:cs="宋体"/>
                <w:snapToGrid w:val="0"/>
                <w:color w:val="auto"/>
                <w:spacing w:val="-2"/>
                <w:kern w:val="0"/>
                <w:sz w:val="22"/>
                <w:szCs w:val="22"/>
                <w:highlight w:val="none"/>
                <w:lang w:val="en-US" w:eastAsia="en-US" w:bidi="ar-SA"/>
              </w:rPr>
            </w:pPr>
          </w:p>
        </w:tc>
      </w:tr>
      <w:tr w14:paraId="199D6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9838" w:type="dxa"/>
            <w:gridSpan w:val="4"/>
            <w:vAlign w:val="center"/>
          </w:tcPr>
          <w:p w14:paraId="6B770DC4">
            <w:pPr>
              <w:pStyle w:val="18"/>
              <w:spacing w:before="35"/>
              <w:ind w:left="119" w:right="108" w:hanging="2"/>
              <w:jc w:val="center"/>
              <w:rPr>
                <w:rFonts w:hint="eastAsia" w:ascii="宋体" w:hAnsi="宋体" w:eastAsia="宋体" w:cs="宋体"/>
                <w:snapToGrid w:val="0"/>
                <w:color w:val="auto"/>
                <w:spacing w:val="-2"/>
                <w:kern w:val="0"/>
                <w:sz w:val="22"/>
                <w:szCs w:val="22"/>
                <w:highlight w:val="none"/>
                <w:lang w:val="en-US" w:eastAsia="en-US" w:bidi="ar-SA"/>
              </w:rPr>
            </w:pPr>
            <w:r>
              <w:rPr>
                <w:rFonts w:hint="eastAsia" w:ascii="宋体" w:hAnsi="宋体" w:eastAsia="宋体" w:cs="宋体"/>
                <w:snapToGrid w:val="0"/>
                <w:color w:val="auto"/>
                <w:spacing w:val="-2"/>
                <w:kern w:val="0"/>
                <w:sz w:val="22"/>
                <w:szCs w:val="22"/>
                <w:highlight w:val="none"/>
                <w:lang w:val="en-US" w:eastAsia="en-US" w:bidi="ar-SA"/>
              </w:rPr>
              <w:t>备注：如果响应文件中有一项未通过上述审查标准，审查小组将认定整个响应文件不响应招标件而予以无效处理，并且不允许供应商通过修改或撤销其不符合要求的差异或保留，使之成为具有响应性的投标。</w:t>
            </w:r>
          </w:p>
        </w:tc>
      </w:tr>
    </w:tbl>
    <w:p w14:paraId="6E54713E">
      <w:pPr>
        <w:rPr>
          <w:rFonts w:hint="eastAsia" w:ascii="宋体" w:hAnsi="宋体" w:eastAsia="宋体" w:cs="宋体"/>
          <w:color w:val="auto"/>
          <w:highlight w:val="none"/>
        </w:rPr>
        <w:sectPr>
          <w:pgSz w:w="11906" w:h="16839"/>
          <w:pgMar w:top="1440" w:right="1080" w:bottom="1440" w:left="1080" w:header="0" w:footer="0" w:gutter="0"/>
          <w:pgNumType w:fmt="decimal"/>
          <w:cols w:space="720" w:num="1"/>
        </w:sectPr>
      </w:pPr>
    </w:p>
    <w:p w14:paraId="1967F749">
      <w:pPr>
        <w:spacing w:before="71" w:line="221" w:lineRule="auto"/>
        <w:ind w:left="465"/>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rPr>
        <w:t>2、符合性审查</w:t>
      </w:r>
    </w:p>
    <w:p w14:paraId="71DD1A14">
      <w:pPr>
        <w:spacing w:line="133" w:lineRule="exact"/>
        <w:rPr>
          <w:rFonts w:hint="eastAsia" w:ascii="宋体" w:hAnsi="宋体" w:eastAsia="宋体" w:cs="宋体"/>
          <w:color w:val="auto"/>
          <w:highlight w:val="none"/>
        </w:rPr>
      </w:pPr>
    </w:p>
    <w:tbl>
      <w:tblPr>
        <w:tblStyle w:val="17"/>
        <w:tblW w:w="9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2563"/>
        <w:gridCol w:w="4646"/>
        <w:gridCol w:w="932"/>
        <w:gridCol w:w="950"/>
      </w:tblGrid>
      <w:tr w14:paraId="548B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Merge w:val="restart"/>
            <w:tcBorders>
              <w:bottom w:val="nil"/>
            </w:tcBorders>
            <w:vAlign w:val="center"/>
          </w:tcPr>
          <w:p w14:paraId="26FD6F10">
            <w:pPr>
              <w:pStyle w:val="18"/>
              <w:spacing w:before="78" w:line="222" w:lineRule="auto"/>
              <w:ind w:left="22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7209" w:type="dxa"/>
            <w:gridSpan w:val="2"/>
            <w:vMerge w:val="restart"/>
            <w:tcBorders>
              <w:bottom w:val="nil"/>
            </w:tcBorders>
            <w:vAlign w:val="center"/>
          </w:tcPr>
          <w:p w14:paraId="2195F687">
            <w:pPr>
              <w:pStyle w:val="18"/>
              <w:spacing w:before="78" w:line="221" w:lineRule="auto"/>
              <w:ind w:left="298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审查标准</w:t>
            </w:r>
          </w:p>
        </w:tc>
        <w:tc>
          <w:tcPr>
            <w:tcW w:w="1882" w:type="dxa"/>
            <w:gridSpan w:val="2"/>
            <w:vAlign w:val="center"/>
          </w:tcPr>
          <w:p w14:paraId="265CAD2F">
            <w:pPr>
              <w:pStyle w:val="18"/>
              <w:spacing w:before="172" w:line="221" w:lineRule="auto"/>
              <w:ind w:left="569"/>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审查结果</w:t>
            </w:r>
          </w:p>
        </w:tc>
      </w:tr>
      <w:tr w14:paraId="2FA7B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Merge w:val="continue"/>
            <w:tcBorders>
              <w:top w:val="nil"/>
            </w:tcBorders>
            <w:vAlign w:val="center"/>
          </w:tcPr>
          <w:p w14:paraId="4D850104">
            <w:pPr>
              <w:jc w:val="both"/>
              <w:rPr>
                <w:rFonts w:hint="eastAsia" w:ascii="宋体" w:hAnsi="宋体" w:eastAsia="宋体" w:cs="宋体"/>
                <w:color w:val="auto"/>
                <w:sz w:val="24"/>
                <w:szCs w:val="24"/>
                <w:highlight w:val="none"/>
              </w:rPr>
            </w:pPr>
          </w:p>
        </w:tc>
        <w:tc>
          <w:tcPr>
            <w:tcW w:w="7209" w:type="dxa"/>
            <w:gridSpan w:val="2"/>
            <w:vMerge w:val="continue"/>
            <w:tcBorders>
              <w:top w:val="nil"/>
            </w:tcBorders>
            <w:vAlign w:val="top"/>
          </w:tcPr>
          <w:p w14:paraId="31B15039">
            <w:pPr>
              <w:rPr>
                <w:rFonts w:hint="eastAsia" w:ascii="宋体" w:hAnsi="宋体" w:eastAsia="宋体" w:cs="宋体"/>
                <w:color w:val="auto"/>
                <w:sz w:val="24"/>
                <w:szCs w:val="24"/>
                <w:highlight w:val="none"/>
              </w:rPr>
            </w:pPr>
          </w:p>
        </w:tc>
        <w:tc>
          <w:tcPr>
            <w:tcW w:w="932" w:type="dxa"/>
            <w:vAlign w:val="center"/>
          </w:tcPr>
          <w:p w14:paraId="3D4A8450">
            <w:pPr>
              <w:pStyle w:val="18"/>
              <w:spacing w:before="179" w:line="227" w:lineRule="auto"/>
              <w:ind w:left="247"/>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通过</w:t>
            </w:r>
          </w:p>
        </w:tc>
        <w:tc>
          <w:tcPr>
            <w:tcW w:w="950" w:type="dxa"/>
            <w:vAlign w:val="center"/>
          </w:tcPr>
          <w:p w14:paraId="7FB6048A">
            <w:pPr>
              <w:pStyle w:val="18"/>
              <w:spacing w:before="178" w:line="223" w:lineRule="auto"/>
              <w:ind w:left="206"/>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不通过</w:t>
            </w:r>
          </w:p>
        </w:tc>
      </w:tr>
      <w:tr w14:paraId="3A33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Align w:val="center"/>
          </w:tcPr>
          <w:p w14:paraId="212B124A">
            <w:pPr>
              <w:pStyle w:val="18"/>
              <w:spacing w:before="227" w:line="189" w:lineRule="auto"/>
              <w:ind w:left="428"/>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563" w:type="dxa"/>
            <w:vAlign w:val="center"/>
          </w:tcPr>
          <w:p w14:paraId="4A7DF57C">
            <w:pPr>
              <w:pStyle w:val="18"/>
              <w:spacing w:before="189" w:line="220" w:lineRule="auto"/>
              <w:ind w:left="122"/>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响应文件的签署、盖章</w:t>
            </w:r>
          </w:p>
        </w:tc>
        <w:tc>
          <w:tcPr>
            <w:tcW w:w="4646" w:type="dxa"/>
            <w:vAlign w:val="center"/>
          </w:tcPr>
          <w:p w14:paraId="5CAC8BAE">
            <w:pPr>
              <w:pStyle w:val="18"/>
              <w:spacing w:before="189" w:line="220" w:lineRule="auto"/>
              <w:ind w:left="125"/>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响应文件未按招标文件要求签署、盖章的</w:t>
            </w:r>
          </w:p>
        </w:tc>
        <w:tc>
          <w:tcPr>
            <w:tcW w:w="932" w:type="dxa"/>
            <w:vAlign w:val="center"/>
          </w:tcPr>
          <w:p w14:paraId="1397B3F4">
            <w:pPr>
              <w:jc w:val="left"/>
              <w:rPr>
                <w:rFonts w:hint="eastAsia" w:ascii="宋体" w:hAnsi="宋体" w:eastAsia="宋体" w:cs="宋体"/>
                <w:color w:val="auto"/>
                <w:sz w:val="22"/>
                <w:szCs w:val="22"/>
                <w:highlight w:val="none"/>
              </w:rPr>
            </w:pPr>
          </w:p>
        </w:tc>
        <w:tc>
          <w:tcPr>
            <w:tcW w:w="950" w:type="dxa"/>
            <w:vAlign w:val="center"/>
          </w:tcPr>
          <w:p w14:paraId="5101DB9F">
            <w:pPr>
              <w:jc w:val="left"/>
              <w:rPr>
                <w:rFonts w:hint="eastAsia" w:ascii="宋体" w:hAnsi="宋体" w:eastAsia="宋体" w:cs="宋体"/>
                <w:color w:val="auto"/>
                <w:sz w:val="22"/>
                <w:szCs w:val="22"/>
                <w:highlight w:val="none"/>
              </w:rPr>
            </w:pPr>
          </w:p>
        </w:tc>
      </w:tr>
      <w:tr w14:paraId="5504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Align w:val="center"/>
          </w:tcPr>
          <w:p w14:paraId="2ABD1A9F">
            <w:pPr>
              <w:pStyle w:val="18"/>
              <w:spacing w:before="227" w:line="189" w:lineRule="auto"/>
              <w:ind w:left="415"/>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563" w:type="dxa"/>
            <w:vAlign w:val="center"/>
          </w:tcPr>
          <w:p w14:paraId="22D92BFA">
            <w:pPr>
              <w:pStyle w:val="18"/>
              <w:spacing w:before="189" w:line="220" w:lineRule="auto"/>
              <w:ind w:left="111"/>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供货期</w:t>
            </w:r>
          </w:p>
        </w:tc>
        <w:tc>
          <w:tcPr>
            <w:tcW w:w="4646" w:type="dxa"/>
            <w:vAlign w:val="center"/>
          </w:tcPr>
          <w:p w14:paraId="0E82FD55">
            <w:pPr>
              <w:pStyle w:val="18"/>
              <w:spacing w:before="189" w:line="220"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供货期符合招标文件规定期限；</w:t>
            </w:r>
          </w:p>
        </w:tc>
        <w:tc>
          <w:tcPr>
            <w:tcW w:w="932" w:type="dxa"/>
            <w:vAlign w:val="center"/>
          </w:tcPr>
          <w:p w14:paraId="014AB154">
            <w:pPr>
              <w:jc w:val="left"/>
              <w:rPr>
                <w:rFonts w:hint="eastAsia" w:ascii="宋体" w:hAnsi="宋体" w:eastAsia="宋体" w:cs="宋体"/>
                <w:color w:val="auto"/>
                <w:sz w:val="22"/>
                <w:szCs w:val="22"/>
                <w:highlight w:val="none"/>
              </w:rPr>
            </w:pPr>
          </w:p>
        </w:tc>
        <w:tc>
          <w:tcPr>
            <w:tcW w:w="950" w:type="dxa"/>
            <w:vAlign w:val="center"/>
          </w:tcPr>
          <w:p w14:paraId="1EDC142E">
            <w:pPr>
              <w:jc w:val="left"/>
              <w:rPr>
                <w:rFonts w:hint="eastAsia" w:ascii="宋体" w:hAnsi="宋体" w:eastAsia="宋体" w:cs="宋体"/>
                <w:color w:val="auto"/>
                <w:sz w:val="22"/>
                <w:szCs w:val="22"/>
                <w:highlight w:val="none"/>
              </w:rPr>
            </w:pPr>
          </w:p>
        </w:tc>
      </w:tr>
      <w:tr w14:paraId="29CC1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Align w:val="center"/>
          </w:tcPr>
          <w:p w14:paraId="269D2ADE">
            <w:pPr>
              <w:pStyle w:val="18"/>
              <w:spacing w:before="227" w:line="189" w:lineRule="auto"/>
              <w:ind w:left="417"/>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563" w:type="dxa"/>
            <w:vAlign w:val="center"/>
          </w:tcPr>
          <w:p w14:paraId="6664F9D7">
            <w:pPr>
              <w:pStyle w:val="18"/>
              <w:spacing w:before="188" w:line="222" w:lineRule="auto"/>
              <w:ind w:left="113"/>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投标有效期</w:t>
            </w:r>
          </w:p>
        </w:tc>
        <w:tc>
          <w:tcPr>
            <w:tcW w:w="4646" w:type="dxa"/>
            <w:vAlign w:val="center"/>
          </w:tcPr>
          <w:p w14:paraId="0CC4F262">
            <w:pPr>
              <w:pStyle w:val="18"/>
              <w:spacing w:before="188" w:line="221" w:lineRule="auto"/>
              <w:ind w:left="116"/>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投标有效期符合招标文件要求；</w:t>
            </w:r>
          </w:p>
        </w:tc>
        <w:tc>
          <w:tcPr>
            <w:tcW w:w="932" w:type="dxa"/>
            <w:vAlign w:val="center"/>
          </w:tcPr>
          <w:p w14:paraId="25431B5C">
            <w:pPr>
              <w:jc w:val="left"/>
              <w:rPr>
                <w:rFonts w:hint="eastAsia" w:ascii="宋体" w:hAnsi="宋体" w:eastAsia="宋体" w:cs="宋体"/>
                <w:color w:val="auto"/>
                <w:sz w:val="22"/>
                <w:szCs w:val="22"/>
                <w:highlight w:val="none"/>
              </w:rPr>
            </w:pPr>
          </w:p>
        </w:tc>
        <w:tc>
          <w:tcPr>
            <w:tcW w:w="950" w:type="dxa"/>
            <w:vAlign w:val="center"/>
          </w:tcPr>
          <w:p w14:paraId="7B7A2E9B">
            <w:pPr>
              <w:jc w:val="left"/>
              <w:rPr>
                <w:rFonts w:hint="eastAsia" w:ascii="宋体" w:hAnsi="宋体" w:eastAsia="宋体" w:cs="宋体"/>
                <w:color w:val="auto"/>
                <w:sz w:val="22"/>
                <w:szCs w:val="22"/>
                <w:highlight w:val="none"/>
              </w:rPr>
            </w:pPr>
          </w:p>
        </w:tc>
      </w:tr>
      <w:tr w14:paraId="3F6F8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Align w:val="center"/>
          </w:tcPr>
          <w:p w14:paraId="7E683970">
            <w:pPr>
              <w:pStyle w:val="18"/>
              <w:spacing w:before="65" w:line="189" w:lineRule="auto"/>
              <w:ind w:left="41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563" w:type="dxa"/>
            <w:vAlign w:val="center"/>
          </w:tcPr>
          <w:p w14:paraId="5573D110">
            <w:pPr>
              <w:pStyle w:val="18"/>
              <w:spacing w:before="72" w:line="219" w:lineRule="auto"/>
              <w:ind w:left="113"/>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投标报价</w:t>
            </w:r>
          </w:p>
        </w:tc>
        <w:tc>
          <w:tcPr>
            <w:tcW w:w="4646" w:type="dxa"/>
            <w:vAlign w:val="center"/>
          </w:tcPr>
          <w:p w14:paraId="30BD2CF0">
            <w:pPr>
              <w:pStyle w:val="18"/>
              <w:spacing w:before="82" w:line="233" w:lineRule="auto"/>
              <w:ind w:left="114" w:right="128" w:firstLine="1"/>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投标报价未超过最高限价金额，且只有一个符合报价要求的有效报价不得提交选择性报</w:t>
            </w:r>
            <w:r>
              <w:rPr>
                <w:rFonts w:hint="eastAsia" w:ascii="宋体" w:hAnsi="宋体" w:eastAsia="宋体" w:cs="宋体"/>
                <w:color w:val="auto"/>
                <w:spacing w:val="-5"/>
                <w:sz w:val="22"/>
                <w:szCs w:val="22"/>
                <w:highlight w:val="none"/>
              </w:rPr>
              <w:t>价；</w:t>
            </w:r>
          </w:p>
        </w:tc>
        <w:tc>
          <w:tcPr>
            <w:tcW w:w="932" w:type="dxa"/>
            <w:vAlign w:val="center"/>
          </w:tcPr>
          <w:p w14:paraId="1B5EA271">
            <w:pPr>
              <w:jc w:val="left"/>
              <w:rPr>
                <w:rFonts w:hint="eastAsia" w:ascii="宋体" w:hAnsi="宋体" w:eastAsia="宋体" w:cs="宋体"/>
                <w:color w:val="auto"/>
                <w:sz w:val="22"/>
                <w:szCs w:val="22"/>
                <w:highlight w:val="none"/>
              </w:rPr>
            </w:pPr>
          </w:p>
        </w:tc>
        <w:tc>
          <w:tcPr>
            <w:tcW w:w="950" w:type="dxa"/>
            <w:vAlign w:val="center"/>
          </w:tcPr>
          <w:p w14:paraId="26078104">
            <w:pPr>
              <w:jc w:val="left"/>
              <w:rPr>
                <w:rFonts w:hint="eastAsia" w:ascii="宋体" w:hAnsi="宋体" w:eastAsia="宋体" w:cs="宋体"/>
                <w:color w:val="auto"/>
                <w:sz w:val="22"/>
                <w:szCs w:val="22"/>
                <w:highlight w:val="none"/>
              </w:rPr>
            </w:pPr>
          </w:p>
        </w:tc>
      </w:tr>
      <w:tr w14:paraId="03581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Align w:val="center"/>
          </w:tcPr>
          <w:p w14:paraId="6CAD9D34">
            <w:pPr>
              <w:pStyle w:val="18"/>
              <w:spacing w:before="196" w:line="187" w:lineRule="auto"/>
              <w:ind w:left="417"/>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563" w:type="dxa"/>
            <w:vAlign w:val="center"/>
          </w:tcPr>
          <w:p w14:paraId="03011C79">
            <w:pPr>
              <w:pStyle w:val="18"/>
              <w:spacing w:before="155" w:line="222" w:lineRule="auto"/>
              <w:ind w:left="116"/>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实质性要求</w:t>
            </w:r>
          </w:p>
        </w:tc>
        <w:tc>
          <w:tcPr>
            <w:tcW w:w="4646" w:type="dxa"/>
            <w:vAlign w:val="center"/>
          </w:tcPr>
          <w:p w14:paraId="79B50097">
            <w:pPr>
              <w:pStyle w:val="18"/>
              <w:spacing w:before="155" w:line="221" w:lineRule="auto"/>
              <w:ind w:left="125"/>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响应文件实质性响应招标文件要求。</w:t>
            </w:r>
          </w:p>
        </w:tc>
        <w:tc>
          <w:tcPr>
            <w:tcW w:w="932" w:type="dxa"/>
            <w:vAlign w:val="center"/>
          </w:tcPr>
          <w:p w14:paraId="0185E8A8">
            <w:pPr>
              <w:jc w:val="left"/>
              <w:rPr>
                <w:rFonts w:hint="eastAsia" w:ascii="宋体" w:hAnsi="宋体" w:eastAsia="宋体" w:cs="宋体"/>
                <w:color w:val="auto"/>
                <w:sz w:val="22"/>
                <w:szCs w:val="22"/>
                <w:highlight w:val="none"/>
              </w:rPr>
            </w:pPr>
          </w:p>
        </w:tc>
        <w:tc>
          <w:tcPr>
            <w:tcW w:w="950" w:type="dxa"/>
            <w:vAlign w:val="center"/>
          </w:tcPr>
          <w:p w14:paraId="444E3750">
            <w:pPr>
              <w:jc w:val="left"/>
              <w:rPr>
                <w:rFonts w:hint="eastAsia" w:ascii="宋体" w:hAnsi="宋体" w:eastAsia="宋体" w:cs="宋体"/>
                <w:color w:val="auto"/>
                <w:sz w:val="22"/>
                <w:szCs w:val="22"/>
                <w:highlight w:val="none"/>
              </w:rPr>
            </w:pPr>
          </w:p>
        </w:tc>
      </w:tr>
      <w:tr w14:paraId="1BC6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Align w:val="center"/>
          </w:tcPr>
          <w:p w14:paraId="58504450">
            <w:pPr>
              <w:pStyle w:val="18"/>
              <w:spacing w:before="277" w:line="189" w:lineRule="auto"/>
              <w:ind w:left="4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563" w:type="dxa"/>
            <w:vAlign w:val="center"/>
          </w:tcPr>
          <w:p w14:paraId="34FE93D1">
            <w:pPr>
              <w:pStyle w:val="18"/>
              <w:spacing w:before="98" w:line="229" w:lineRule="auto"/>
              <w:ind w:left="112" w:right="165" w:firstLine="9"/>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响应文件不得附有招标</w:t>
            </w:r>
            <w:r>
              <w:rPr>
                <w:rFonts w:hint="eastAsia" w:ascii="宋体" w:hAnsi="宋体" w:eastAsia="宋体" w:cs="宋体"/>
                <w:color w:val="auto"/>
                <w:spacing w:val="-1"/>
                <w:sz w:val="22"/>
                <w:szCs w:val="22"/>
                <w:highlight w:val="none"/>
              </w:rPr>
              <w:t>人不能接受的条件；</w:t>
            </w:r>
          </w:p>
        </w:tc>
        <w:tc>
          <w:tcPr>
            <w:tcW w:w="4646" w:type="dxa"/>
            <w:vAlign w:val="center"/>
          </w:tcPr>
          <w:p w14:paraId="25EDF03C">
            <w:pPr>
              <w:pStyle w:val="18"/>
              <w:spacing w:before="239" w:line="220" w:lineRule="auto"/>
              <w:ind w:left="125"/>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响应文件不得附有招标人不能接受的条件；</w:t>
            </w:r>
          </w:p>
        </w:tc>
        <w:tc>
          <w:tcPr>
            <w:tcW w:w="932" w:type="dxa"/>
            <w:vAlign w:val="center"/>
          </w:tcPr>
          <w:p w14:paraId="454A42DB">
            <w:pPr>
              <w:jc w:val="left"/>
              <w:rPr>
                <w:rFonts w:hint="eastAsia" w:ascii="宋体" w:hAnsi="宋体" w:eastAsia="宋体" w:cs="宋体"/>
                <w:color w:val="auto"/>
                <w:sz w:val="22"/>
                <w:szCs w:val="22"/>
                <w:highlight w:val="none"/>
              </w:rPr>
            </w:pPr>
          </w:p>
        </w:tc>
        <w:tc>
          <w:tcPr>
            <w:tcW w:w="950" w:type="dxa"/>
            <w:vAlign w:val="center"/>
          </w:tcPr>
          <w:p w14:paraId="190EF463">
            <w:pPr>
              <w:jc w:val="left"/>
              <w:rPr>
                <w:rFonts w:hint="eastAsia" w:ascii="宋体" w:hAnsi="宋体" w:eastAsia="宋体" w:cs="宋体"/>
                <w:color w:val="auto"/>
                <w:sz w:val="22"/>
                <w:szCs w:val="22"/>
                <w:highlight w:val="none"/>
              </w:rPr>
            </w:pPr>
          </w:p>
        </w:tc>
      </w:tr>
      <w:tr w14:paraId="57AA1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795" w:type="dxa"/>
            <w:vAlign w:val="center"/>
          </w:tcPr>
          <w:p w14:paraId="3F0A433A">
            <w:pPr>
              <w:pStyle w:val="18"/>
              <w:spacing w:before="281" w:line="187" w:lineRule="auto"/>
              <w:ind w:left="417"/>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563" w:type="dxa"/>
            <w:vAlign w:val="center"/>
          </w:tcPr>
          <w:p w14:paraId="058A5D92">
            <w:pPr>
              <w:pStyle w:val="18"/>
              <w:spacing w:before="240" w:line="222" w:lineRule="auto"/>
              <w:ind w:left="112"/>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其他要求</w:t>
            </w:r>
          </w:p>
        </w:tc>
        <w:tc>
          <w:tcPr>
            <w:tcW w:w="4646" w:type="dxa"/>
            <w:vAlign w:val="center"/>
          </w:tcPr>
          <w:p w14:paraId="5EB9287B">
            <w:pPr>
              <w:pStyle w:val="18"/>
              <w:spacing w:before="97" w:line="230" w:lineRule="auto"/>
              <w:ind w:left="113" w:right="128" w:firstLine="1"/>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法律、法规和招标文件中规定的其他响应文件无效处理；</w:t>
            </w:r>
          </w:p>
        </w:tc>
        <w:tc>
          <w:tcPr>
            <w:tcW w:w="932" w:type="dxa"/>
            <w:vAlign w:val="center"/>
          </w:tcPr>
          <w:p w14:paraId="7C646AC3">
            <w:pPr>
              <w:jc w:val="left"/>
              <w:rPr>
                <w:rFonts w:hint="eastAsia" w:ascii="宋体" w:hAnsi="宋体" w:eastAsia="宋体" w:cs="宋体"/>
                <w:color w:val="auto"/>
                <w:sz w:val="22"/>
                <w:szCs w:val="22"/>
                <w:highlight w:val="none"/>
              </w:rPr>
            </w:pPr>
          </w:p>
        </w:tc>
        <w:tc>
          <w:tcPr>
            <w:tcW w:w="950" w:type="dxa"/>
            <w:vAlign w:val="center"/>
          </w:tcPr>
          <w:p w14:paraId="47C47915">
            <w:pPr>
              <w:jc w:val="left"/>
              <w:rPr>
                <w:rFonts w:hint="eastAsia" w:ascii="宋体" w:hAnsi="宋体" w:eastAsia="宋体" w:cs="宋体"/>
                <w:color w:val="auto"/>
                <w:sz w:val="22"/>
                <w:szCs w:val="22"/>
                <w:highlight w:val="none"/>
              </w:rPr>
            </w:pPr>
          </w:p>
        </w:tc>
      </w:tr>
      <w:tr w14:paraId="768B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004" w:type="dxa"/>
            <w:gridSpan w:val="3"/>
            <w:vAlign w:val="center"/>
          </w:tcPr>
          <w:p w14:paraId="2BAAC9EA">
            <w:pPr>
              <w:pStyle w:val="18"/>
              <w:spacing w:before="82" w:line="233" w:lineRule="auto"/>
              <w:ind w:left="114" w:right="128" w:firstLine="1"/>
              <w:jc w:val="lef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审查结果 (通过/不通过)</w:t>
            </w:r>
          </w:p>
        </w:tc>
        <w:tc>
          <w:tcPr>
            <w:tcW w:w="932" w:type="dxa"/>
            <w:vAlign w:val="center"/>
          </w:tcPr>
          <w:p w14:paraId="6D4AD633">
            <w:pPr>
              <w:pStyle w:val="18"/>
              <w:spacing w:before="82" w:line="233" w:lineRule="auto"/>
              <w:ind w:left="114" w:right="128" w:firstLine="1"/>
              <w:jc w:val="left"/>
              <w:rPr>
                <w:rFonts w:hint="eastAsia" w:ascii="宋体" w:hAnsi="宋体" w:eastAsia="宋体" w:cs="宋体"/>
                <w:color w:val="auto"/>
                <w:spacing w:val="-1"/>
                <w:sz w:val="22"/>
                <w:szCs w:val="22"/>
                <w:highlight w:val="none"/>
              </w:rPr>
            </w:pPr>
          </w:p>
        </w:tc>
        <w:tc>
          <w:tcPr>
            <w:tcW w:w="950" w:type="dxa"/>
            <w:vAlign w:val="center"/>
          </w:tcPr>
          <w:p w14:paraId="1EE3DE9A">
            <w:pPr>
              <w:pStyle w:val="18"/>
              <w:spacing w:before="82" w:line="233" w:lineRule="auto"/>
              <w:ind w:left="114" w:right="128" w:firstLine="1"/>
              <w:jc w:val="left"/>
              <w:rPr>
                <w:rFonts w:hint="eastAsia" w:ascii="宋体" w:hAnsi="宋体" w:eastAsia="宋体" w:cs="宋体"/>
                <w:color w:val="auto"/>
                <w:spacing w:val="-1"/>
                <w:sz w:val="22"/>
                <w:szCs w:val="22"/>
                <w:highlight w:val="none"/>
              </w:rPr>
            </w:pPr>
          </w:p>
        </w:tc>
      </w:tr>
      <w:tr w14:paraId="5786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9886" w:type="dxa"/>
            <w:gridSpan w:val="5"/>
            <w:vAlign w:val="center"/>
          </w:tcPr>
          <w:p w14:paraId="4A42E22B">
            <w:pPr>
              <w:pStyle w:val="18"/>
              <w:spacing w:before="82" w:line="233" w:lineRule="auto"/>
              <w:ind w:left="114" w:right="128" w:firstLine="1"/>
              <w:jc w:val="lef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备注：如果响应文件中有一项未通过上述审查标准，评审小组将认定整个响应文件不响应招标件而予以无效处理，并且不允许供应商通过修改或撤销其不符合要求的差异或保留，使之成为具有响应性的投标。</w:t>
            </w:r>
          </w:p>
        </w:tc>
      </w:tr>
    </w:tbl>
    <w:p w14:paraId="5EE91628">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1、评标委员会应当对符合资格的供应商的响应文件</w:t>
      </w:r>
      <w:r>
        <w:rPr>
          <w:rFonts w:hint="eastAsia" w:ascii="宋体" w:hAnsi="宋体" w:eastAsia="宋体" w:cs="宋体"/>
          <w:color w:val="auto"/>
          <w:spacing w:val="-1"/>
          <w:sz w:val="24"/>
          <w:szCs w:val="24"/>
          <w:highlight w:val="none"/>
        </w:rPr>
        <w:t>进行投标报价、商务、技术等实质性内容符合性审查，以确定其是否满足招标文件的实质性要求。</w:t>
      </w:r>
    </w:p>
    <w:p w14:paraId="0E982013">
      <w:pPr>
        <w:keepNext w:val="0"/>
        <w:keepLines w:val="0"/>
        <w:pageBreakBefore w:val="0"/>
        <w:widowControl/>
        <w:kinsoku w:val="0"/>
        <w:wordWrap/>
        <w:overflowPunct/>
        <w:topLinePunct w:val="0"/>
        <w:autoSpaceDE w:val="0"/>
        <w:autoSpaceDN w:val="0"/>
        <w:bidi w:val="0"/>
        <w:adjustRightInd w:val="0"/>
        <w:snapToGrid w:val="0"/>
        <w:spacing w:before="29" w:line="264" w:lineRule="auto"/>
        <w:ind w:left="46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2.符合性审查不通过而导致投标无效的情形</w:t>
      </w:r>
    </w:p>
    <w:p w14:paraId="5C72FDCF">
      <w:pPr>
        <w:keepNext w:val="0"/>
        <w:keepLines w:val="0"/>
        <w:pageBreakBefore w:val="0"/>
        <w:widowControl/>
        <w:kinsoku w:val="0"/>
        <w:wordWrap/>
        <w:overflowPunct/>
        <w:topLinePunct w:val="0"/>
        <w:autoSpaceDE w:val="0"/>
        <w:autoSpaceDN w:val="0"/>
        <w:bidi w:val="0"/>
        <w:adjustRightInd w:val="0"/>
        <w:snapToGrid w:val="0"/>
        <w:spacing w:before="164" w:line="264" w:lineRule="auto"/>
        <w:ind w:left="27"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供应商的响应文件中存在对招标文件的任何实质性要求和条件的负偏离，</w:t>
      </w:r>
      <w:r>
        <w:rPr>
          <w:rFonts w:hint="eastAsia" w:ascii="宋体" w:hAnsi="宋体" w:eastAsia="宋体" w:cs="宋体"/>
          <w:color w:val="auto"/>
          <w:spacing w:val="-1"/>
          <w:sz w:val="24"/>
          <w:szCs w:val="24"/>
          <w:highlight w:val="none"/>
        </w:rPr>
        <w:t>将被视为投标无效。</w:t>
      </w:r>
    </w:p>
    <w:p w14:paraId="3D59EDBC">
      <w:pPr>
        <w:keepNext w:val="0"/>
        <w:keepLines w:val="0"/>
        <w:pageBreakBefore w:val="0"/>
        <w:widowControl/>
        <w:kinsoku w:val="0"/>
        <w:wordWrap/>
        <w:overflowPunct/>
        <w:topLinePunct w:val="0"/>
        <w:autoSpaceDE w:val="0"/>
        <w:autoSpaceDN w:val="0"/>
        <w:bidi w:val="0"/>
        <w:adjustRightInd w:val="0"/>
        <w:snapToGrid w:val="0"/>
        <w:spacing w:before="167" w:line="264" w:lineRule="auto"/>
        <w:ind w:left="46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在报价评审时，如发现下列情形之一的，将被视为</w:t>
      </w:r>
      <w:r>
        <w:rPr>
          <w:rFonts w:hint="eastAsia" w:ascii="宋体" w:hAnsi="宋体" w:eastAsia="宋体" w:cs="宋体"/>
          <w:color w:val="auto"/>
          <w:spacing w:val="-1"/>
          <w:sz w:val="24"/>
          <w:szCs w:val="24"/>
          <w:highlight w:val="none"/>
        </w:rPr>
        <w:t>投标无效：</w:t>
      </w:r>
    </w:p>
    <w:p w14:paraId="0C3E55F8">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(1)响应文件未提供“投标人须知前附表”第 12.1 条规定中“必须提供”的文件资料的</w:t>
      </w:r>
      <w:r>
        <w:rPr>
          <w:rFonts w:hint="eastAsia" w:ascii="宋体" w:hAnsi="宋体" w:eastAsia="宋体" w:cs="宋体"/>
          <w:color w:val="auto"/>
          <w:sz w:val="24"/>
          <w:szCs w:val="24"/>
          <w:highlight w:val="none"/>
          <w:lang w:eastAsia="zh-CN"/>
        </w:rPr>
        <w:t>；</w:t>
      </w:r>
    </w:p>
    <w:p w14:paraId="6D2884F1">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(2)未采用人民币报价或者未按照招标文件标明的币种报价的；</w:t>
      </w:r>
    </w:p>
    <w:p w14:paraId="7408B6E9">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(3)报价超出招标文件规定最高限价，或者超出采购预算金额(包括分项预算)的；</w:t>
      </w:r>
    </w:p>
    <w:p w14:paraId="1343EDF8">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未就所投分标进行报价或者存在漏项报价；供应商未就所投分标的单项内容作唯一报价；供应商未就所投分标的全部内容作唯一总价报价；存在有选择、有条件报价的(招标文件允许有备选方案或者其他约定的除外)；</w:t>
      </w:r>
    </w:p>
    <w:p w14:paraId="43D94923">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(5)修正后的报价，供应商不确认的；</w:t>
      </w:r>
    </w:p>
    <w:p w14:paraId="69D158D7">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(6)供应商属于本章第 5 条第(2)项情形的。</w:t>
      </w:r>
    </w:p>
    <w:p w14:paraId="59F237A4">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在商务技术评审时，如发现下列情形之一的，将被视为投标无效：</w:t>
      </w:r>
    </w:p>
    <w:p w14:paraId="2596CBFE">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(1)响应文件未按招标文件要求签署、盖章的；</w:t>
      </w:r>
    </w:p>
    <w:p w14:paraId="65B3F933">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(2)委托代理人未能出具有效身份证明或者出具的身份证明与授权委托书中的信息不符的；</w:t>
      </w:r>
    </w:p>
    <w:p w14:paraId="45E89A10">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(3)响应文件未提供“投标人须知前附表”第 12.1 条规定中“必须提供”或者“委托时必须提供”的文件资料的</w:t>
      </w:r>
      <w:r>
        <w:rPr>
          <w:rFonts w:hint="eastAsia" w:ascii="宋体" w:hAnsi="宋体" w:eastAsia="宋体" w:cs="宋体"/>
          <w:color w:val="auto"/>
          <w:sz w:val="24"/>
          <w:szCs w:val="24"/>
          <w:highlight w:val="none"/>
          <w:lang w:eastAsia="zh-CN"/>
        </w:rPr>
        <w:t>；</w:t>
      </w:r>
    </w:p>
    <w:p w14:paraId="56C4A66F">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(4)投标有效期、项目完成时间(交货时间、货物完成时间或者货物期等)、质保期、售后服务等招标文件中的商务条款发生负偏离的；</w:t>
      </w:r>
    </w:p>
    <w:p w14:paraId="7CB11687">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(5）响应文件的实质性内容未使用中文表述、使用计量单位不符合招标文件要求的；</w:t>
      </w:r>
    </w:p>
    <w:p w14:paraId="5DA8B82B">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(6)响应文件中的文件资料因填写不齐全或者内容虚假或者出现其他情形而导致被评标委员会认定无效的；</w:t>
      </w:r>
    </w:p>
    <w:p w14:paraId="4CF0061F">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(7)响应文件含有采购人不能接受的附加条件的；</w:t>
      </w:r>
    </w:p>
    <w:p w14:paraId="7879583A">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(8)未响应招标文件实质性要求的；</w:t>
      </w:r>
    </w:p>
    <w:p w14:paraId="53A471B2">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(9)属于投标人须知正文第 6.5 条情形的；</w:t>
      </w:r>
    </w:p>
    <w:p w14:paraId="5930C83A">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(10)招标文件要求提供技术方案的，投标技术方案不明确，招标文件未允许但存在一个或者一个以上备选(替代)投标方案的。</w:t>
      </w:r>
    </w:p>
    <w:p w14:paraId="75E675E0">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（11）法律、法规和招标文件规定的其他无效情形。</w:t>
      </w:r>
    </w:p>
    <w:p w14:paraId="1846DA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lang w:val="en-US" w:eastAsia="zh-CN"/>
        </w:rPr>
        <w:t xml:space="preserve">2.3 </w:t>
      </w:r>
      <w:r>
        <w:rPr>
          <w:rFonts w:hint="eastAsia" w:asciiTheme="minorEastAsia" w:hAnsiTheme="minorEastAsia" w:eastAsiaTheme="minorEastAsia" w:cstheme="minorEastAsia"/>
          <w:sz w:val="24"/>
          <w:szCs w:val="24"/>
        </w:rPr>
        <w:t>报价合理性说明：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政府采购评审中出现下列情形之一的，评审委员会应当启动异常低价投标（响应）审查程序： </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投标（响应）报价低于全部通过符合性审查供应商投标（响应）报价平均值50%的，即投标（响应）报价&lt;全部通过符合性审查供应商投标（响应）报价平均值×50%；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投标（响应）报价低于通过符合性审查的次低报价供应商投标（响应）报价50%的，即投标（响应）报价&lt;通过符合性审查的次低报价供应商投标（响应）报价×50%； 投标（响应）报价低于采购项目最高限价45%的，即投标（响应）报价&lt;采购项目最高限价×45%；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评审委员会基于专业判断，认为供应商报价过低，有可能影响产品质量或者不能诚信履约的其他情形。 采购人可以结合具体项目实际情况，提高上述第1项至第3项中启动异常低价投标（响应）审查的数值标准，但是最高不得超过65%。 相关法律法规对供应商报价有规定的，从其规定。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38549C">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default" w:ascii="宋体" w:hAnsi="宋体" w:eastAsia="宋体" w:cs="宋体"/>
          <w:color w:val="auto"/>
          <w:sz w:val="24"/>
          <w:szCs w:val="24"/>
          <w:highlight w:val="none"/>
          <w:lang w:val="en-US" w:eastAsia="zh-CN"/>
        </w:rPr>
      </w:pPr>
    </w:p>
    <w:p w14:paraId="3ED68DE1">
      <w:pPr>
        <w:keepNext w:val="0"/>
        <w:keepLines w:val="0"/>
        <w:pageBreakBefore w:val="0"/>
        <w:widowControl/>
        <w:kinsoku w:val="0"/>
        <w:wordWrap/>
        <w:overflowPunct/>
        <w:topLinePunct w:val="0"/>
        <w:autoSpaceDE w:val="0"/>
        <w:autoSpaceDN w:val="0"/>
        <w:bidi w:val="0"/>
        <w:adjustRightInd w:val="0"/>
        <w:snapToGrid w:val="0"/>
        <w:spacing w:before="164" w:line="264" w:lineRule="auto"/>
        <w:ind w:left="437"/>
        <w:textAlignment w:val="baseline"/>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3.澄清补正、说明或者补正</w:t>
      </w:r>
    </w:p>
    <w:p w14:paraId="6687AFC9">
      <w:pPr>
        <w:keepNext w:val="0"/>
        <w:keepLines w:val="0"/>
        <w:pageBreakBefore w:val="0"/>
        <w:widowControl/>
        <w:kinsoku w:val="0"/>
        <w:wordWrap/>
        <w:overflowPunct/>
        <w:topLinePunct w:val="0"/>
        <w:autoSpaceDE w:val="0"/>
        <w:autoSpaceDN w:val="0"/>
        <w:bidi w:val="0"/>
        <w:adjustRightInd w:val="0"/>
        <w:snapToGrid w:val="0"/>
        <w:spacing w:before="170" w:line="264" w:lineRule="auto"/>
        <w:ind w:firstLine="44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对响应文件中含义不明确、同类问题表述不一致或者有明显文字和计</w:t>
      </w:r>
      <w:r>
        <w:rPr>
          <w:rFonts w:hint="eastAsia" w:ascii="宋体" w:hAnsi="宋体" w:eastAsia="宋体" w:cs="宋体"/>
          <w:color w:val="auto"/>
          <w:spacing w:val="-2"/>
          <w:sz w:val="24"/>
          <w:szCs w:val="24"/>
          <w:highlight w:val="none"/>
        </w:rPr>
        <w:t>算错误的内容，评标委员会应在“政采云</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2"/>
          <w:sz w:val="24"/>
          <w:szCs w:val="24"/>
          <w:highlight w:val="none"/>
        </w:rPr>
        <w:t>”平台发布电子澄清函，要</w:t>
      </w:r>
      <w:r>
        <w:rPr>
          <w:rFonts w:hint="eastAsia" w:ascii="宋体" w:hAnsi="宋体" w:eastAsia="宋体" w:cs="宋体"/>
          <w:color w:val="auto"/>
          <w:spacing w:val="-3"/>
          <w:sz w:val="24"/>
          <w:szCs w:val="24"/>
          <w:highlight w:val="none"/>
        </w:rPr>
        <w:t>求供应商在规定时间内作出必要的澄清、说明或者补正。供</w:t>
      </w:r>
      <w:r>
        <w:rPr>
          <w:rFonts w:hint="eastAsia" w:ascii="宋体" w:hAnsi="宋体" w:eastAsia="宋体" w:cs="宋体"/>
          <w:color w:val="auto"/>
          <w:spacing w:val="-2"/>
          <w:sz w:val="24"/>
          <w:szCs w:val="24"/>
          <w:highlight w:val="none"/>
        </w:rPr>
        <w:t>应商在“政采云”平台接收到电子澄清函后根据澄清函内容上传PDF格式回函，电子澄清答复函使</w:t>
      </w:r>
      <w:r>
        <w:rPr>
          <w:rFonts w:hint="eastAsia" w:ascii="宋体" w:hAnsi="宋体" w:eastAsia="宋体" w:cs="宋体"/>
          <w:color w:val="auto"/>
          <w:spacing w:val="-1"/>
          <w:sz w:val="24"/>
          <w:szCs w:val="24"/>
          <w:highlight w:val="none"/>
        </w:rPr>
        <w:t>用 CA 证书加盖单位公章后在线上传至评标委员会。供应商的澄</w:t>
      </w:r>
      <w:r>
        <w:rPr>
          <w:rFonts w:hint="eastAsia" w:ascii="宋体" w:hAnsi="宋体" w:eastAsia="宋体" w:cs="宋体"/>
          <w:color w:val="auto"/>
          <w:spacing w:val="-2"/>
          <w:sz w:val="24"/>
          <w:szCs w:val="24"/>
          <w:highlight w:val="none"/>
        </w:rPr>
        <w:t>清、说明或者补正不得超出响应文件</w:t>
      </w:r>
      <w:r>
        <w:rPr>
          <w:rFonts w:hint="eastAsia" w:ascii="宋体" w:hAnsi="宋体" w:eastAsia="宋体" w:cs="宋体"/>
          <w:color w:val="auto"/>
          <w:spacing w:val="1"/>
          <w:sz w:val="24"/>
          <w:szCs w:val="24"/>
          <w:highlight w:val="none"/>
        </w:rPr>
        <w:t>的范围或者改变响应文件的实质性内容。供应商未在</w:t>
      </w:r>
      <w:r>
        <w:rPr>
          <w:rFonts w:hint="eastAsia" w:ascii="宋体" w:hAnsi="宋体" w:eastAsia="宋体" w:cs="宋体"/>
          <w:color w:val="auto"/>
          <w:sz w:val="24"/>
          <w:szCs w:val="24"/>
          <w:highlight w:val="none"/>
        </w:rPr>
        <w:t>规定时间内进行澄清、说明或者补正的，按无效</w:t>
      </w:r>
      <w:r>
        <w:rPr>
          <w:rFonts w:hint="eastAsia" w:ascii="宋体" w:hAnsi="宋体" w:eastAsia="宋体" w:cs="宋体"/>
          <w:color w:val="auto"/>
          <w:spacing w:val="-2"/>
          <w:sz w:val="24"/>
          <w:szCs w:val="24"/>
          <w:highlight w:val="none"/>
        </w:rPr>
        <w:t>投标处理。</w:t>
      </w:r>
    </w:p>
    <w:p w14:paraId="57D9DAB4">
      <w:pPr>
        <w:keepNext w:val="0"/>
        <w:keepLines w:val="0"/>
        <w:pageBreakBefore w:val="0"/>
        <w:widowControl/>
        <w:kinsoku w:val="0"/>
        <w:wordWrap/>
        <w:overflowPunct/>
        <w:topLinePunct w:val="0"/>
        <w:autoSpaceDE w:val="0"/>
        <w:autoSpaceDN w:val="0"/>
        <w:bidi w:val="0"/>
        <w:adjustRightInd w:val="0"/>
        <w:snapToGrid w:val="0"/>
        <w:spacing w:before="35" w:line="264" w:lineRule="auto"/>
        <w:ind w:firstLine="44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异常情况处理：如遇无法正常使用线上发送澄清函的情况，将启动书面形式办理。启动书面形式</w:t>
      </w:r>
      <w:r>
        <w:rPr>
          <w:rFonts w:hint="eastAsia" w:ascii="宋体" w:hAnsi="宋体" w:eastAsia="宋体" w:cs="宋体"/>
          <w:color w:val="auto"/>
          <w:spacing w:val="1"/>
          <w:sz w:val="24"/>
          <w:szCs w:val="24"/>
          <w:highlight w:val="none"/>
        </w:rPr>
        <w:t>办理的情况下，评标委员会以书面形式要求供应商在</w:t>
      </w:r>
      <w:r>
        <w:rPr>
          <w:rFonts w:hint="eastAsia" w:ascii="宋体" w:hAnsi="宋体" w:eastAsia="宋体" w:cs="宋体"/>
          <w:color w:val="auto"/>
          <w:sz w:val="24"/>
          <w:szCs w:val="24"/>
          <w:highlight w:val="none"/>
        </w:rPr>
        <w:t>规定时间内作出必要的澄清、说明或者补正。供</w:t>
      </w:r>
      <w:r>
        <w:rPr>
          <w:rFonts w:hint="eastAsia" w:ascii="宋体" w:hAnsi="宋体" w:eastAsia="宋体" w:cs="宋体"/>
          <w:color w:val="auto"/>
          <w:spacing w:val="1"/>
          <w:sz w:val="24"/>
          <w:szCs w:val="24"/>
          <w:highlight w:val="none"/>
        </w:rPr>
        <w:t>应商的澄清、说明或者补正必须采用书面形式，并加</w:t>
      </w:r>
      <w:r>
        <w:rPr>
          <w:rFonts w:hint="eastAsia" w:ascii="宋体" w:hAnsi="宋体" w:eastAsia="宋体" w:cs="宋体"/>
          <w:color w:val="auto"/>
          <w:sz w:val="24"/>
          <w:szCs w:val="24"/>
          <w:highlight w:val="none"/>
        </w:rPr>
        <w:t>盖公章，或者由法定代表人或者其授权的代表签</w:t>
      </w:r>
      <w:r>
        <w:rPr>
          <w:rFonts w:hint="eastAsia" w:ascii="宋体" w:hAnsi="宋体" w:eastAsia="宋体" w:cs="宋体"/>
          <w:color w:val="auto"/>
          <w:spacing w:val="-4"/>
          <w:sz w:val="24"/>
          <w:szCs w:val="24"/>
          <w:highlight w:val="none"/>
        </w:rPr>
        <w:t>字。</w:t>
      </w:r>
    </w:p>
    <w:p w14:paraId="760F75C1">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9"/>
        <w:textAlignment w:val="baseline"/>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4、响应文件修正</w:t>
      </w:r>
    </w:p>
    <w:p w14:paraId="2399CEA5">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响应文件报价出现前后不一致的，按照下列规定修正：</w:t>
      </w:r>
    </w:p>
    <w:p w14:paraId="7C2F68A3">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(1)报价文件中“开标一览表”内容与响应文件中相应内容不一致的，以“开标一览表”为准；</w:t>
      </w:r>
    </w:p>
    <w:p w14:paraId="5B098778">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23D28AD5">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20521EFE">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456698F7">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同时出现两种以上不一致的，按照以上(1)-(4)规定的顺序修正。修正后的报价经投标人确认后产生约束力，投标人不确认的，其投标无效。</w:t>
      </w:r>
    </w:p>
    <w:p w14:paraId="0A3D22F0">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4.2经供应商确认修正后的报价若超过采购预算金额或者最高限价，供应商的响应文件作无效投标处理。</w:t>
      </w:r>
    </w:p>
    <w:p w14:paraId="17EC2996">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4.3经供应商确认修正后的报价作为签订合同的依据，并以此报价计算价格分。</w:t>
      </w:r>
    </w:p>
    <w:p w14:paraId="5221B1C1">
      <w:pPr>
        <w:keepNext w:val="0"/>
        <w:keepLines w:val="0"/>
        <w:pageBreakBefore w:val="0"/>
        <w:widowControl/>
        <w:kinsoku w:val="0"/>
        <w:wordWrap/>
        <w:overflowPunct/>
        <w:topLinePunct w:val="0"/>
        <w:autoSpaceDE w:val="0"/>
        <w:autoSpaceDN w:val="0"/>
        <w:bidi w:val="0"/>
        <w:adjustRightInd w:val="0"/>
        <w:snapToGrid w:val="0"/>
        <w:spacing w:before="71" w:line="264" w:lineRule="auto"/>
        <w:ind w:left="56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5.</w:t>
      </w:r>
      <w:r>
        <w:rPr>
          <w:rFonts w:hint="eastAsia" w:ascii="宋体" w:hAnsi="宋体" w:eastAsia="宋体" w:cs="宋体"/>
          <w:b/>
          <w:bCs/>
          <w:color w:val="auto"/>
          <w:spacing w:val="-22"/>
          <w:sz w:val="24"/>
          <w:szCs w:val="24"/>
          <w:highlight w:val="none"/>
        </w:rPr>
        <w:t xml:space="preserve"> </w:t>
      </w:r>
      <w:r>
        <w:rPr>
          <w:rFonts w:hint="eastAsia" w:ascii="宋体" w:hAnsi="宋体" w:eastAsia="宋体" w:cs="宋体"/>
          <w:b/>
          <w:bCs/>
          <w:color w:val="auto"/>
          <w:spacing w:val="-7"/>
          <w:sz w:val="24"/>
          <w:szCs w:val="24"/>
          <w:highlight w:val="none"/>
        </w:rPr>
        <w:t>比较与评价</w:t>
      </w:r>
    </w:p>
    <w:p w14:paraId="41ABA282">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5.1评标委员会按照招标文件中规定的评标方法和评标标准，对符合性审查合格的投标文件进行商务、和技术评估，综合比较与评价。</w:t>
      </w:r>
    </w:p>
    <w:p w14:paraId="188C5603">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5.2评标委员会独立对每个供应商的响应文件进行评价，并汇总每个供应商的得分。</w:t>
      </w:r>
    </w:p>
    <w:p w14:paraId="3204EEF6">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93C2C14">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01D46D9">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5.3评标委员会按照招标文件中规定的评标方法和标准计算各投标人的报价得分。在计算过程中，不得去掉最高报价或者最低报价。</w:t>
      </w:r>
    </w:p>
    <w:p w14:paraId="532F9ECA">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5.4各投标人的得分为所有评委的有效评分的算术平均数。</w:t>
      </w:r>
    </w:p>
    <w:p w14:paraId="23F55F88">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5.5评标委员会按照招标文件中的规定推荐中标候选人。</w:t>
      </w:r>
    </w:p>
    <w:p w14:paraId="4EDD03B9">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458A0E0">
      <w:pPr>
        <w:keepNext w:val="0"/>
        <w:keepLines w:val="0"/>
        <w:pageBreakBefore w:val="0"/>
        <w:widowControl/>
        <w:kinsoku w:val="0"/>
        <w:wordWrap/>
        <w:overflowPunct/>
        <w:topLinePunct w:val="0"/>
        <w:autoSpaceDE w:val="0"/>
        <w:autoSpaceDN w:val="0"/>
        <w:bidi w:val="0"/>
        <w:adjustRightInd w:val="0"/>
        <w:snapToGrid w:val="0"/>
        <w:spacing w:before="167" w:line="264" w:lineRule="auto"/>
        <w:ind w:left="561"/>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6.评审复核</w:t>
      </w:r>
    </w:p>
    <w:p w14:paraId="54FA1998">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评标报告签署前，评标委员会要对评审结果进行复核，复核意见要体现在评标报告中。</w:t>
      </w:r>
    </w:p>
    <w:p w14:paraId="5362BE1F">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评标结果汇总完成后，除下列情形外，任何人不得修改评标结果：</w:t>
      </w:r>
    </w:p>
    <w:p w14:paraId="4CB5A5F0">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(一)分值汇总计算错误的；</w:t>
      </w:r>
    </w:p>
    <w:p w14:paraId="63F56DC8">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(二)分项评分超出评分标准范围的；</w:t>
      </w:r>
    </w:p>
    <w:p w14:paraId="23D4E4BB">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(三)评标委员会成员对客观评审因素评分不一致的；</w:t>
      </w:r>
    </w:p>
    <w:p w14:paraId="0232B050">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(四)经评标委员会认定评分畸高、畸低的。</w:t>
      </w:r>
    </w:p>
    <w:p w14:paraId="5F31D35D">
      <w:pPr>
        <w:keepNext w:val="0"/>
        <w:keepLines w:val="0"/>
        <w:pageBreakBefore w:val="0"/>
        <w:widowControl/>
        <w:kinsoku w:val="0"/>
        <w:wordWrap/>
        <w:overflowPunct/>
        <w:topLinePunct w:val="0"/>
        <w:autoSpaceDE w:val="0"/>
        <w:autoSpaceDN w:val="0"/>
        <w:bidi w:val="0"/>
        <w:adjustRightInd w:val="0"/>
        <w:snapToGrid w:val="0"/>
        <w:spacing w:before="72" w:line="264" w:lineRule="auto"/>
        <w:ind w:left="28" w:right="160" w:firstLine="45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0DED70E">
      <w:pPr>
        <w:rPr>
          <w:rFonts w:hint="eastAsia" w:ascii="宋体" w:hAnsi="宋体" w:eastAsia="宋体" w:cs="宋体"/>
          <w:color w:val="auto"/>
          <w:spacing w:val="-8"/>
          <w:sz w:val="31"/>
          <w:szCs w:val="31"/>
          <w:highlight w:val="none"/>
        </w:rPr>
      </w:pPr>
      <w:bookmarkStart w:id="67" w:name="bookmark43"/>
      <w:bookmarkEnd w:id="67"/>
      <w:r>
        <w:rPr>
          <w:rFonts w:hint="eastAsia" w:ascii="宋体" w:hAnsi="宋体" w:eastAsia="宋体" w:cs="宋体"/>
          <w:color w:val="auto"/>
          <w:spacing w:val="-8"/>
          <w:sz w:val="31"/>
          <w:szCs w:val="31"/>
          <w:highlight w:val="none"/>
        </w:rPr>
        <w:br w:type="page"/>
      </w:r>
    </w:p>
    <w:p w14:paraId="54786173">
      <w:pPr>
        <w:spacing w:before="164" w:line="227" w:lineRule="auto"/>
        <w:ind w:left="3875"/>
        <w:outlineLvl w:val="1"/>
        <w:rPr>
          <w:rFonts w:hint="eastAsia" w:ascii="宋体" w:hAnsi="宋体" w:eastAsia="宋体" w:cs="宋体"/>
          <w:b/>
          <w:bCs/>
          <w:color w:val="auto"/>
          <w:sz w:val="32"/>
          <w:szCs w:val="32"/>
          <w:highlight w:val="none"/>
        </w:rPr>
      </w:pPr>
      <w:bookmarkStart w:id="68" w:name="_Toc12858"/>
      <w:r>
        <w:rPr>
          <w:rFonts w:hint="eastAsia" w:ascii="宋体" w:hAnsi="宋体" w:eastAsia="宋体" w:cs="宋体"/>
          <w:b/>
          <w:bCs/>
          <w:color w:val="auto"/>
          <w:spacing w:val="-8"/>
          <w:sz w:val="32"/>
          <w:szCs w:val="32"/>
          <w:highlight w:val="none"/>
        </w:rPr>
        <w:t>第</w:t>
      </w:r>
      <w:r>
        <w:rPr>
          <w:rFonts w:hint="eastAsia" w:ascii="宋体" w:hAnsi="宋体" w:eastAsia="宋体" w:cs="宋体"/>
          <w:b/>
          <w:bCs/>
          <w:color w:val="auto"/>
          <w:spacing w:val="-8"/>
          <w:sz w:val="32"/>
          <w:szCs w:val="32"/>
          <w:highlight w:val="none"/>
          <w:lang w:val="en-US" w:eastAsia="zh-CN"/>
        </w:rPr>
        <w:t>二</w:t>
      </w:r>
      <w:r>
        <w:rPr>
          <w:rFonts w:hint="eastAsia" w:ascii="宋体" w:hAnsi="宋体" w:eastAsia="宋体" w:cs="宋体"/>
          <w:b/>
          <w:bCs/>
          <w:color w:val="auto"/>
          <w:spacing w:val="-8"/>
          <w:sz w:val="32"/>
          <w:szCs w:val="32"/>
          <w:highlight w:val="none"/>
        </w:rPr>
        <w:t>节</w:t>
      </w:r>
      <w:r>
        <w:rPr>
          <w:rFonts w:hint="eastAsia" w:ascii="宋体" w:hAnsi="宋体" w:eastAsia="宋体" w:cs="宋体"/>
          <w:b/>
          <w:bCs/>
          <w:color w:val="auto"/>
          <w:spacing w:val="-20"/>
          <w:sz w:val="32"/>
          <w:szCs w:val="32"/>
          <w:highlight w:val="none"/>
        </w:rPr>
        <w:t xml:space="preserve"> </w:t>
      </w:r>
      <w:r>
        <w:rPr>
          <w:rFonts w:hint="eastAsia" w:ascii="宋体" w:hAnsi="宋体" w:eastAsia="宋体" w:cs="宋体"/>
          <w:b/>
          <w:bCs/>
          <w:color w:val="auto"/>
          <w:spacing w:val="-8"/>
          <w:sz w:val="32"/>
          <w:szCs w:val="32"/>
          <w:highlight w:val="none"/>
        </w:rPr>
        <w:t>评分标准</w:t>
      </w:r>
      <w:bookmarkEnd w:id="68"/>
    </w:p>
    <w:p w14:paraId="3B6FD559">
      <w:pPr>
        <w:spacing w:before="9" w:line="219" w:lineRule="auto"/>
        <w:ind w:left="123"/>
        <w:outlineLvl w:val="9"/>
        <w:rPr>
          <w:rFonts w:hint="eastAsia" w:ascii="宋体" w:hAnsi="宋体" w:eastAsia="宋体" w:cs="宋体"/>
          <w:b/>
          <w:bCs/>
          <w:color w:val="auto"/>
          <w:sz w:val="24"/>
          <w:szCs w:val="24"/>
          <w:highlight w:val="none"/>
        </w:rPr>
      </w:pPr>
      <w:bookmarkStart w:id="69" w:name="bookmark45"/>
      <w:bookmarkEnd w:id="69"/>
      <w:r>
        <w:rPr>
          <w:rFonts w:hint="eastAsia" w:ascii="宋体" w:hAnsi="宋体" w:eastAsia="宋体" w:cs="宋体"/>
          <w:b/>
          <w:bCs/>
          <w:color w:val="auto"/>
          <w:spacing w:val="-2"/>
          <w:sz w:val="24"/>
          <w:szCs w:val="24"/>
          <w:highlight w:val="none"/>
        </w:rPr>
        <w:t>一、综合评估法</w:t>
      </w:r>
    </w:p>
    <w:p w14:paraId="5D72DC66">
      <w:pPr>
        <w:spacing w:before="72" w:line="347" w:lineRule="auto"/>
        <w:ind w:left="28" w:right="160" w:firstLine="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评审依据：评审小组将以响应文件为评审依据，对供应商的报价、技术、商务等方面内容按百分制打分。(计分方法按四舍五入取至百分位)</w:t>
      </w:r>
    </w:p>
    <w:p w14:paraId="032F9963">
      <w:pPr>
        <w:spacing w:before="28" w:line="22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评标因素权重表：</w:t>
      </w:r>
    </w:p>
    <w:p w14:paraId="6EB8BF8D">
      <w:pPr>
        <w:spacing w:line="155" w:lineRule="exact"/>
        <w:rPr>
          <w:rFonts w:hint="eastAsia" w:ascii="宋体" w:hAnsi="宋体" w:eastAsia="宋体" w:cs="宋体"/>
          <w:color w:val="auto"/>
          <w:highlight w:val="none"/>
        </w:rPr>
      </w:pPr>
    </w:p>
    <w:tbl>
      <w:tblPr>
        <w:tblStyle w:val="17"/>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7"/>
        <w:gridCol w:w="2468"/>
        <w:gridCol w:w="2898"/>
        <w:gridCol w:w="2265"/>
      </w:tblGrid>
      <w:tr w14:paraId="09AC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127" w:type="dxa"/>
            <w:vAlign w:val="center"/>
          </w:tcPr>
          <w:p w14:paraId="0CA3522C">
            <w:pPr>
              <w:pStyle w:val="18"/>
              <w:spacing w:before="35" w:line="222" w:lineRule="auto"/>
              <w:ind w:left="879"/>
              <w:jc w:val="left"/>
              <w:rPr>
                <w:rFonts w:hint="eastAsia" w:ascii="宋体" w:hAnsi="宋体" w:eastAsia="宋体" w:cs="宋体"/>
                <w:color w:val="auto"/>
                <w:highlight w:val="none"/>
              </w:rPr>
            </w:pPr>
            <w:r>
              <w:rPr>
                <w:rFonts w:hint="eastAsia" w:ascii="宋体" w:hAnsi="宋体" w:eastAsia="宋体" w:cs="宋体"/>
                <w:color w:val="auto"/>
                <w:spacing w:val="-3"/>
                <w:highlight w:val="none"/>
              </w:rPr>
              <w:t>序号</w:t>
            </w:r>
          </w:p>
        </w:tc>
        <w:tc>
          <w:tcPr>
            <w:tcW w:w="2468" w:type="dxa"/>
            <w:vAlign w:val="center"/>
          </w:tcPr>
          <w:p w14:paraId="53FEE21E">
            <w:pPr>
              <w:pStyle w:val="18"/>
              <w:spacing w:before="69" w:line="184" w:lineRule="auto"/>
              <w:ind w:left="1235"/>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898" w:type="dxa"/>
            <w:vAlign w:val="center"/>
          </w:tcPr>
          <w:p w14:paraId="4030C86C">
            <w:pPr>
              <w:pStyle w:val="18"/>
              <w:spacing w:before="69" w:line="184" w:lineRule="auto"/>
              <w:ind w:left="1445"/>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65" w:type="dxa"/>
            <w:vAlign w:val="center"/>
          </w:tcPr>
          <w:p w14:paraId="1B3874CA">
            <w:pPr>
              <w:pStyle w:val="18"/>
              <w:spacing w:before="69" w:line="184" w:lineRule="auto"/>
              <w:ind w:left="1113"/>
              <w:jc w:val="left"/>
              <w:rPr>
                <w:rFonts w:hint="eastAsia" w:ascii="宋体" w:hAnsi="宋体" w:eastAsia="宋体" w:cs="宋体"/>
                <w:color w:val="auto"/>
                <w:highlight w:val="none"/>
                <w:lang w:eastAsia="zh-CN"/>
              </w:rPr>
            </w:pPr>
            <w:r>
              <w:rPr>
                <w:rFonts w:hint="eastAsia" w:cs="宋体"/>
                <w:color w:val="auto"/>
                <w:highlight w:val="none"/>
                <w:lang w:val="en-US" w:eastAsia="zh-CN"/>
              </w:rPr>
              <w:t>3</w:t>
            </w:r>
          </w:p>
        </w:tc>
      </w:tr>
      <w:tr w14:paraId="780C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127" w:type="dxa"/>
            <w:vAlign w:val="center"/>
          </w:tcPr>
          <w:p w14:paraId="2DEE6EF7">
            <w:pPr>
              <w:pStyle w:val="18"/>
              <w:spacing w:before="34" w:line="221" w:lineRule="auto"/>
              <w:ind w:left="659"/>
              <w:jc w:val="left"/>
              <w:rPr>
                <w:rFonts w:hint="eastAsia" w:ascii="宋体" w:hAnsi="宋体" w:eastAsia="宋体" w:cs="宋体"/>
                <w:color w:val="auto"/>
                <w:highlight w:val="none"/>
              </w:rPr>
            </w:pPr>
            <w:r>
              <w:rPr>
                <w:rFonts w:hint="eastAsia" w:ascii="宋体" w:hAnsi="宋体" w:eastAsia="宋体" w:cs="宋体"/>
                <w:color w:val="auto"/>
                <w:spacing w:val="-2"/>
                <w:highlight w:val="none"/>
              </w:rPr>
              <w:t>评标因素</w:t>
            </w:r>
          </w:p>
        </w:tc>
        <w:tc>
          <w:tcPr>
            <w:tcW w:w="2468" w:type="dxa"/>
            <w:vAlign w:val="center"/>
          </w:tcPr>
          <w:p w14:paraId="1D82B8DE">
            <w:pPr>
              <w:pStyle w:val="18"/>
              <w:spacing w:before="35" w:line="219" w:lineRule="auto"/>
              <w:ind w:left="833"/>
              <w:jc w:val="left"/>
              <w:rPr>
                <w:rFonts w:hint="eastAsia" w:ascii="宋体" w:hAnsi="宋体" w:eastAsia="宋体" w:cs="宋体"/>
                <w:color w:val="auto"/>
                <w:highlight w:val="none"/>
              </w:rPr>
            </w:pPr>
            <w:r>
              <w:rPr>
                <w:rFonts w:hint="eastAsia" w:ascii="宋体" w:hAnsi="宋体" w:eastAsia="宋体" w:cs="宋体"/>
                <w:color w:val="auto"/>
                <w:spacing w:val="-2"/>
                <w:highlight w:val="none"/>
              </w:rPr>
              <w:t>报价部分</w:t>
            </w:r>
          </w:p>
        </w:tc>
        <w:tc>
          <w:tcPr>
            <w:tcW w:w="2898" w:type="dxa"/>
            <w:vAlign w:val="center"/>
          </w:tcPr>
          <w:p w14:paraId="11FC4165">
            <w:pPr>
              <w:pStyle w:val="18"/>
              <w:spacing w:before="34" w:line="221" w:lineRule="auto"/>
              <w:ind w:left="731"/>
              <w:jc w:val="left"/>
              <w:rPr>
                <w:rFonts w:hint="eastAsia" w:ascii="宋体" w:hAnsi="宋体" w:eastAsia="宋体" w:cs="宋体"/>
                <w:color w:val="auto"/>
                <w:highlight w:val="none"/>
              </w:rPr>
            </w:pPr>
            <w:r>
              <w:rPr>
                <w:rFonts w:hint="eastAsia" w:ascii="宋体" w:hAnsi="宋体" w:eastAsia="宋体" w:cs="宋体"/>
                <w:color w:val="auto"/>
                <w:spacing w:val="-2"/>
                <w:highlight w:val="none"/>
              </w:rPr>
              <w:t>商务技术务部分</w:t>
            </w:r>
          </w:p>
        </w:tc>
        <w:tc>
          <w:tcPr>
            <w:tcW w:w="2265" w:type="dxa"/>
            <w:vAlign w:val="center"/>
          </w:tcPr>
          <w:p w14:paraId="68C7EF76">
            <w:pPr>
              <w:pStyle w:val="18"/>
              <w:spacing w:before="34" w:line="222" w:lineRule="auto"/>
              <w:ind w:left="950"/>
              <w:jc w:val="left"/>
              <w:rPr>
                <w:rFonts w:hint="eastAsia" w:ascii="宋体" w:hAnsi="宋体" w:eastAsia="宋体" w:cs="宋体"/>
                <w:color w:val="auto"/>
                <w:highlight w:val="none"/>
              </w:rPr>
            </w:pPr>
            <w:r>
              <w:rPr>
                <w:rFonts w:hint="eastAsia" w:ascii="宋体" w:hAnsi="宋体" w:eastAsia="宋体" w:cs="宋体"/>
                <w:color w:val="auto"/>
                <w:spacing w:val="-4"/>
                <w:highlight w:val="none"/>
              </w:rPr>
              <w:t>合计</w:t>
            </w:r>
          </w:p>
        </w:tc>
      </w:tr>
      <w:tr w14:paraId="14C2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2127" w:type="dxa"/>
            <w:vAlign w:val="center"/>
          </w:tcPr>
          <w:p w14:paraId="10D5C246">
            <w:pPr>
              <w:pStyle w:val="18"/>
              <w:spacing w:before="187" w:line="221" w:lineRule="auto"/>
              <w:ind w:left="879"/>
              <w:jc w:val="left"/>
              <w:rPr>
                <w:rFonts w:hint="eastAsia" w:ascii="宋体" w:hAnsi="宋体" w:eastAsia="宋体" w:cs="宋体"/>
                <w:color w:val="auto"/>
                <w:highlight w:val="none"/>
              </w:rPr>
            </w:pPr>
            <w:r>
              <w:rPr>
                <w:rFonts w:hint="eastAsia" w:ascii="宋体" w:hAnsi="宋体" w:eastAsia="宋体" w:cs="宋体"/>
                <w:color w:val="auto"/>
                <w:spacing w:val="-3"/>
                <w:highlight w:val="none"/>
              </w:rPr>
              <w:t>权重</w:t>
            </w:r>
          </w:p>
        </w:tc>
        <w:tc>
          <w:tcPr>
            <w:tcW w:w="2468" w:type="dxa"/>
            <w:vAlign w:val="center"/>
          </w:tcPr>
          <w:p w14:paraId="1CF83E56">
            <w:pPr>
              <w:pStyle w:val="18"/>
              <w:spacing w:before="188" w:line="241" w:lineRule="auto"/>
              <w:ind w:left="1113"/>
              <w:jc w:val="left"/>
              <w:rPr>
                <w:rFonts w:hint="eastAsia" w:ascii="宋体" w:hAnsi="宋体" w:eastAsia="宋体" w:cs="宋体"/>
                <w:color w:val="auto"/>
                <w:highlight w:val="none"/>
              </w:rPr>
            </w:pPr>
            <w:r>
              <w:rPr>
                <w:rFonts w:hint="eastAsia" w:ascii="宋体" w:hAnsi="宋体" w:eastAsia="宋体" w:cs="宋体"/>
                <w:color w:val="auto"/>
                <w:spacing w:val="-4"/>
                <w:highlight w:val="none"/>
              </w:rPr>
              <w:t>30%</w:t>
            </w:r>
          </w:p>
        </w:tc>
        <w:tc>
          <w:tcPr>
            <w:tcW w:w="2898" w:type="dxa"/>
            <w:vAlign w:val="center"/>
          </w:tcPr>
          <w:p w14:paraId="3C5817D0">
            <w:pPr>
              <w:pStyle w:val="18"/>
              <w:spacing w:before="188" w:line="241" w:lineRule="auto"/>
              <w:ind w:left="1337"/>
              <w:jc w:val="left"/>
              <w:rPr>
                <w:rFonts w:hint="eastAsia" w:ascii="宋体" w:hAnsi="宋体" w:eastAsia="宋体" w:cs="宋体"/>
                <w:color w:val="auto"/>
                <w:highlight w:val="none"/>
              </w:rPr>
            </w:pPr>
            <w:r>
              <w:rPr>
                <w:rFonts w:hint="eastAsia" w:ascii="宋体" w:hAnsi="宋体" w:eastAsia="宋体" w:cs="宋体"/>
                <w:color w:val="auto"/>
                <w:spacing w:val="-5"/>
                <w:highlight w:val="none"/>
              </w:rPr>
              <w:t>70%</w:t>
            </w:r>
          </w:p>
        </w:tc>
        <w:tc>
          <w:tcPr>
            <w:tcW w:w="2265" w:type="dxa"/>
            <w:vAlign w:val="center"/>
          </w:tcPr>
          <w:p w14:paraId="33C7BFC9">
            <w:pPr>
              <w:pStyle w:val="18"/>
              <w:spacing w:before="188" w:line="241" w:lineRule="auto"/>
              <w:ind w:left="965"/>
              <w:jc w:val="left"/>
              <w:rPr>
                <w:rFonts w:hint="eastAsia" w:ascii="宋体" w:hAnsi="宋体" w:eastAsia="宋体" w:cs="宋体"/>
                <w:color w:val="auto"/>
                <w:highlight w:val="none"/>
              </w:rPr>
            </w:pPr>
            <w:r>
              <w:rPr>
                <w:rFonts w:hint="eastAsia" w:ascii="宋体" w:hAnsi="宋体" w:eastAsia="宋体" w:cs="宋体"/>
                <w:color w:val="auto"/>
                <w:spacing w:val="-6"/>
                <w:highlight w:val="none"/>
              </w:rPr>
              <w:t>100%</w:t>
            </w:r>
          </w:p>
        </w:tc>
      </w:tr>
    </w:tbl>
    <w:p w14:paraId="08BB7E91">
      <w:pPr>
        <w:spacing w:before="261" w:line="213"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评审标准</w:t>
      </w:r>
    </w:p>
    <w:tbl>
      <w:tblPr>
        <w:tblStyle w:val="17"/>
        <w:tblW w:w="9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234"/>
        <w:gridCol w:w="6314"/>
        <w:gridCol w:w="1056"/>
      </w:tblGrid>
      <w:tr w14:paraId="5815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760" w:type="dxa"/>
            <w:gridSpan w:val="4"/>
            <w:tcBorders>
              <w:top w:val="single" w:color="auto" w:sz="4" w:space="0"/>
              <w:left w:val="single" w:color="auto" w:sz="4" w:space="0"/>
              <w:right w:val="single" w:color="auto" w:sz="4" w:space="0"/>
            </w:tcBorders>
            <w:vAlign w:val="top"/>
          </w:tcPr>
          <w:p w14:paraId="58DFBEEB">
            <w:pPr>
              <w:pStyle w:val="18"/>
              <w:spacing w:before="53" w:line="215" w:lineRule="auto"/>
              <w:ind w:left="33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一、报价部分（30</w:t>
            </w:r>
            <w:r>
              <w:rPr>
                <w:rFonts w:hint="eastAsia" w:ascii="宋体" w:hAnsi="宋体" w:eastAsia="宋体" w:cs="宋体"/>
                <w:color w:val="auto"/>
                <w:spacing w:val="-61"/>
                <w:sz w:val="24"/>
                <w:szCs w:val="24"/>
                <w:highlight w:val="none"/>
              </w:rPr>
              <w:t xml:space="preserve"> </w:t>
            </w:r>
            <w:r>
              <w:rPr>
                <w:rFonts w:hint="eastAsia" w:ascii="宋体" w:hAnsi="宋体" w:eastAsia="宋体" w:cs="宋体"/>
                <w:b/>
                <w:bCs/>
                <w:color w:val="auto"/>
                <w:spacing w:val="3"/>
                <w:sz w:val="24"/>
                <w:szCs w:val="24"/>
                <w:highlight w:val="none"/>
              </w:rPr>
              <w:t>分）</w:t>
            </w:r>
          </w:p>
        </w:tc>
      </w:tr>
      <w:tr w14:paraId="04BA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56" w:type="dxa"/>
            <w:tcBorders>
              <w:left w:val="single" w:color="auto" w:sz="4" w:space="0"/>
            </w:tcBorders>
            <w:vAlign w:val="center"/>
          </w:tcPr>
          <w:p w14:paraId="27DD47BA">
            <w:pPr>
              <w:pStyle w:val="18"/>
              <w:spacing w:before="172" w:line="221" w:lineRule="auto"/>
              <w:ind w:left="115"/>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评审因素</w:t>
            </w:r>
          </w:p>
        </w:tc>
        <w:tc>
          <w:tcPr>
            <w:tcW w:w="1234" w:type="dxa"/>
            <w:vAlign w:val="center"/>
          </w:tcPr>
          <w:p w14:paraId="565B5A03">
            <w:pPr>
              <w:pStyle w:val="18"/>
              <w:spacing w:before="172" w:line="222" w:lineRule="auto"/>
              <w:ind w:left="111"/>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评审项目</w:t>
            </w:r>
          </w:p>
        </w:tc>
        <w:tc>
          <w:tcPr>
            <w:tcW w:w="6314" w:type="dxa"/>
            <w:vAlign w:val="center"/>
          </w:tcPr>
          <w:p w14:paraId="706C3AB2">
            <w:pPr>
              <w:pStyle w:val="18"/>
              <w:spacing w:before="172" w:line="221"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评审内</w:t>
            </w:r>
            <w:r>
              <w:rPr>
                <w:rFonts w:hint="eastAsia" w:ascii="宋体" w:hAnsi="宋体" w:eastAsia="宋体" w:cs="宋体"/>
                <w:color w:val="auto"/>
                <w:sz w:val="22"/>
                <w:szCs w:val="22"/>
                <w:highlight w:val="none"/>
              </w:rPr>
              <w:t>容</w:t>
            </w:r>
          </w:p>
        </w:tc>
        <w:tc>
          <w:tcPr>
            <w:tcW w:w="1056" w:type="dxa"/>
            <w:tcBorders>
              <w:right w:val="single" w:color="auto" w:sz="4" w:space="0"/>
            </w:tcBorders>
            <w:vAlign w:val="center"/>
          </w:tcPr>
          <w:p w14:paraId="28F2B8D5">
            <w:pPr>
              <w:pStyle w:val="18"/>
              <w:spacing w:before="32" w:line="224" w:lineRule="auto"/>
              <w:ind w:left="446" w:right="216" w:hanging="221"/>
              <w:jc w:val="center"/>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分值</w:t>
            </w:r>
          </w:p>
        </w:tc>
      </w:tr>
      <w:tr w14:paraId="5F6EC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156" w:type="dxa"/>
            <w:tcBorders>
              <w:left w:val="single" w:color="auto" w:sz="4" w:space="0"/>
            </w:tcBorders>
            <w:vAlign w:val="center"/>
          </w:tcPr>
          <w:p w14:paraId="251B4627">
            <w:pPr>
              <w:pStyle w:val="18"/>
              <w:spacing w:before="72"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报价评审</w:t>
            </w:r>
          </w:p>
        </w:tc>
        <w:tc>
          <w:tcPr>
            <w:tcW w:w="1234" w:type="dxa"/>
            <w:vAlign w:val="center"/>
          </w:tcPr>
          <w:p w14:paraId="096532A4">
            <w:pPr>
              <w:pStyle w:val="18"/>
              <w:spacing w:before="72"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投标报价</w:t>
            </w:r>
          </w:p>
        </w:tc>
        <w:tc>
          <w:tcPr>
            <w:tcW w:w="6314" w:type="dxa"/>
            <w:vAlign w:val="center"/>
          </w:tcPr>
          <w:p w14:paraId="6BD323AF">
            <w:pPr>
              <w:pStyle w:val="18"/>
              <w:spacing w:before="30" w:line="230" w:lineRule="auto"/>
              <w:ind w:left="112" w:right="101" w:firstLine="2"/>
              <w:jc w:val="left"/>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价格分统一采用低价优先法计算，即满足招标文件要求报价最</w:t>
            </w:r>
          </w:p>
          <w:p w14:paraId="7F55E7EB">
            <w:pPr>
              <w:pStyle w:val="18"/>
              <w:spacing w:before="30" w:line="230" w:lineRule="auto"/>
              <w:ind w:left="112" w:right="101" w:firstLine="2"/>
              <w:jc w:val="left"/>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低的供应商的价格为基准价，其价格分为满分，不得去掉最后</w:t>
            </w:r>
          </w:p>
          <w:p w14:paraId="450BC79C">
            <w:pPr>
              <w:pStyle w:val="18"/>
              <w:spacing w:before="30" w:line="230" w:lineRule="auto"/>
              <w:ind w:left="112" w:right="101" w:firstLine="2"/>
              <w:jc w:val="left"/>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lang w:val="en-US" w:eastAsia="zh-CN"/>
              </w:rPr>
              <w:t>报价中的最高报价和最低报价。价格分按照下列公式计算：</w:t>
            </w:r>
          </w:p>
          <w:p w14:paraId="4147CE3B">
            <w:pPr>
              <w:pStyle w:val="18"/>
              <w:spacing w:before="30" w:line="230" w:lineRule="auto"/>
              <w:ind w:left="112" w:right="101" w:firstLine="2"/>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val="en-US" w:eastAsia="zh-CN"/>
              </w:rPr>
              <w:t>报价得分=（评标基准价/投标报价）×价格权值×100。</w:t>
            </w:r>
          </w:p>
        </w:tc>
        <w:tc>
          <w:tcPr>
            <w:tcW w:w="1056" w:type="dxa"/>
            <w:tcBorders>
              <w:right w:val="single" w:color="auto" w:sz="4" w:space="0"/>
            </w:tcBorders>
            <w:vAlign w:val="center"/>
          </w:tcPr>
          <w:p w14:paraId="2BF4B910">
            <w:pPr>
              <w:pStyle w:val="18"/>
              <w:spacing w:before="72" w:line="222" w:lineRule="auto"/>
              <w:ind w:left="312"/>
              <w:jc w:val="both"/>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30分</w:t>
            </w:r>
          </w:p>
        </w:tc>
      </w:tr>
      <w:tr w14:paraId="3A164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760" w:type="dxa"/>
            <w:gridSpan w:val="4"/>
            <w:tcBorders>
              <w:left w:val="single" w:color="auto" w:sz="4" w:space="0"/>
              <w:bottom w:val="single" w:color="auto" w:sz="4" w:space="0"/>
              <w:right w:val="single" w:color="auto" w:sz="4" w:space="0"/>
            </w:tcBorders>
            <w:vAlign w:val="top"/>
          </w:tcPr>
          <w:p w14:paraId="5CDD2807">
            <w:pPr>
              <w:pStyle w:val="18"/>
              <w:spacing w:before="142" w:line="225" w:lineRule="auto"/>
              <w:ind w:left="34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二、商务部分（</w:t>
            </w:r>
            <w:r>
              <w:rPr>
                <w:rFonts w:hint="eastAsia" w:cs="宋体"/>
                <w:b/>
                <w:bCs/>
                <w:color w:val="auto"/>
                <w:spacing w:val="2"/>
                <w:sz w:val="24"/>
                <w:szCs w:val="24"/>
                <w:highlight w:val="none"/>
                <w:lang w:val="en-US" w:eastAsia="zh-CN"/>
              </w:rPr>
              <w:t>26</w:t>
            </w:r>
            <w:r>
              <w:rPr>
                <w:rFonts w:hint="eastAsia" w:ascii="宋体" w:hAnsi="宋体" w:eastAsia="宋体" w:cs="宋体"/>
                <w:b/>
                <w:bCs/>
                <w:color w:val="auto"/>
                <w:spacing w:val="2"/>
                <w:sz w:val="24"/>
                <w:szCs w:val="24"/>
                <w:highlight w:val="none"/>
              </w:rPr>
              <w:t>分）</w:t>
            </w:r>
          </w:p>
        </w:tc>
      </w:tr>
      <w:tr w14:paraId="6E88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56" w:type="dxa"/>
            <w:tcBorders>
              <w:top w:val="single" w:color="auto" w:sz="4" w:space="0"/>
              <w:left w:val="single" w:color="auto" w:sz="4" w:space="0"/>
              <w:bottom w:val="single" w:color="auto" w:sz="4" w:space="0"/>
            </w:tcBorders>
            <w:vAlign w:val="top"/>
          </w:tcPr>
          <w:p w14:paraId="787A560D">
            <w:pPr>
              <w:pStyle w:val="18"/>
              <w:spacing w:before="225" w:line="221" w:lineRule="auto"/>
              <w:ind w:left="16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评审因素</w:t>
            </w:r>
          </w:p>
        </w:tc>
        <w:tc>
          <w:tcPr>
            <w:tcW w:w="1234" w:type="dxa"/>
            <w:tcBorders>
              <w:top w:val="single" w:color="auto" w:sz="4" w:space="0"/>
              <w:bottom w:val="single" w:color="auto" w:sz="4" w:space="0"/>
              <w:right w:val="single" w:color="auto" w:sz="4" w:space="0"/>
            </w:tcBorders>
            <w:vAlign w:val="top"/>
          </w:tcPr>
          <w:p w14:paraId="1D7F0667">
            <w:pPr>
              <w:pStyle w:val="18"/>
              <w:spacing w:before="224" w:line="222" w:lineRule="auto"/>
              <w:ind w:left="20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评审项目</w:t>
            </w:r>
          </w:p>
        </w:tc>
        <w:tc>
          <w:tcPr>
            <w:tcW w:w="6314" w:type="dxa"/>
            <w:tcBorders>
              <w:top w:val="single" w:color="auto" w:sz="4" w:space="0"/>
              <w:left w:val="single" w:color="auto" w:sz="4" w:space="0"/>
            </w:tcBorders>
            <w:vAlign w:val="center"/>
          </w:tcPr>
          <w:p w14:paraId="4B1A6E7C">
            <w:pPr>
              <w:pStyle w:val="18"/>
              <w:spacing w:before="172" w:line="221"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评审内</w:t>
            </w:r>
            <w:r>
              <w:rPr>
                <w:rFonts w:hint="eastAsia" w:ascii="宋体" w:hAnsi="宋体" w:eastAsia="宋体" w:cs="宋体"/>
                <w:color w:val="auto"/>
                <w:sz w:val="22"/>
                <w:szCs w:val="22"/>
                <w:highlight w:val="none"/>
              </w:rPr>
              <w:t>容</w:t>
            </w:r>
          </w:p>
        </w:tc>
        <w:tc>
          <w:tcPr>
            <w:tcW w:w="1056" w:type="dxa"/>
            <w:tcBorders>
              <w:top w:val="single" w:color="auto" w:sz="4" w:space="0"/>
              <w:right w:val="single" w:color="auto" w:sz="4" w:space="0"/>
            </w:tcBorders>
            <w:vAlign w:val="center"/>
          </w:tcPr>
          <w:p w14:paraId="46AF82D8">
            <w:pPr>
              <w:pStyle w:val="18"/>
              <w:spacing w:before="32" w:line="224" w:lineRule="auto"/>
              <w:ind w:right="216" w:rightChars="0"/>
              <w:jc w:val="center"/>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分值</w:t>
            </w:r>
          </w:p>
        </w:tc>
      </w:tr>
      <w:tr w14:paraId="10807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156" w:type="dxa"/>
            <w:vMerge w:val="restart"/>
            <w:tcBorders>
              <w:top w:val="single" w:color="auto" w:sz="4" w:space="0"/>
              <w:left w:val="single" w:color="auto" w:sz="4" w:space="0"/>
              <w:bottom w:val="nil"/>
            </w:tcBorders>
            <w:vAlign w:val="center"/>
          </w:tcPr>
          <w:p w14:paraId="4EBBE6BE">
            <w:pPr>
              <w:pStyle w:val="18"/>
              <w:spacing w:before="71" w:line="221" w:lineRule="auto"/>
              <w:ind w:left="173"/>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商务评审</w:t>
            </w:r>
          </w:p>
        </w:tc>
        <w:tc>
          <w:tcPr>
            <w:tcW w:w="1234" w:type="dxa"/>
            <w:tcBorders>
              <w:top w:val="single" w:color="auto" w:sz="4" w:space="0"/>
              <w:right w:val="single" w:color="auto" w:sz="4" w:space="0"/>
            </w:tcBorders>
            <w:vAlign w:val="center"/>
          </w:tcPr>
          <w:p w14:paraId="1C71C3ED">
            <w:pPr>
              <w:pStyle w:val="18"/>
              <w:spacing w:before="30" w:line="230" w:lineRule="auto"/>
              <w:ind w:left="112" w:right="101" w:firstLine="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类似业绩</w:t>
            </w:r>
          </w:p>
        </w:tc>
        <w:tc>
          <w:tcPr>
            <w:tcW w:w="6314" w:type="dxa"/>
            <w:tcBorders>
              <w:left w:val="single" w:color="auto" w:sz="4" w:space="0"/>
            </w:tcBorders>
            <w:vAlign w:val="center"/>
          </w:tcPr>
          <w:p w14:paraId="3A70773D">
            <w:pPr>
              <w:pStyle w:val="18"/>
              <w:spacing w:before="30" w:line="230" w:lineRule="auto"/>
              <w:ind w:left="112" w:right="101" w:firstLine="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近三年（以合同签订日期为准）具有类似采购业绩，每提供1个得1分，最多得</w:t>
            </w:r>
            <w:r>
              <w:rPr>
                <w:rFonts w:hint="eastAsia"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分。投标人须提供相关业绩合同</w:t>
            </w:r>
            <w:r>
              <w:rPr>
                <w:rFonts w:hint="eastAsia" w:cs="宋体"/>
                <w:color w:val="auto"/>
                <w:sz w:val="22"/>
                <w:szCs w:val="22"/>
                <w:highlight w:val="none"/>
                <w:lang w:val="en-US" w:eastAsia="zh-CN"/>
              </w:rPr>
              <w:t>或</w:t>
            </w:r>
            <w:r>
              <w:rPr>
                <w:rFonts w:hint="eastAsia" w:ascii="宋体" w:hAnsi="宋体" w:eastAsia="宋体" w:cs="宋体"/>
                <w:color w:val="auto"/>
                <w:sz w:val="22"/>
                <w:szCs w:val="22"/>
                <w:highlight w:val="none"/>
                <w:lang w:val="en-US" w:eastAsia="zh-CN"/>
              </w:rPr>
              <w:t>中标通知书证明材料；</w:t>
            </w:r>
          </w:p>
        </w:tc>
        <w:tc>
          <w:tcPr>
            <w:tcW w:w="1056" w:type="dxa"/>
            <w:tcBorders>
              <w:right w:val="single" w:color="auto" w:sz="4" w:space="0"/>
            </w:tcBorders>
            <w:vAlign w:val="center"/>
          </w:tcPr>
          <w:p w14:paraId="42920845">
            <w:pPr>
              <w:pStyle w:val="18"/>
              <w:spacing w:before="249" w:line="229" w:lineRule="auto"/>
              <w:ind w:left="373"/>
              <w:jc w:val="left"/>
              <w:rPr>
                <w:rFonts w:hint="eastAsia" w:ascii="宋体" w:hAnsi="宋体" w:eastAsia="宋体" w:cs="宋体"/>
                <w:color w:val="auto"/>
                <w:sz w:val="22"/>
                <w:szCs w:val="22"/>
                <w:highlight w:val="none"/>
              </w:rPr>
            </w:pPr>
            <w:r>
              <w:rPr>
                <w:rFonts w:hint="eastAsia" w:cs="宋体"/>
                <w:color w:val="auto"/>
                <w:spacing w:val="-4"/>
                <w:sz w:val="22"/>
                <w:szCs w:val="22"/>
                <w:highlight w:val="none"/>
                <w:lang w:val="en-US" w:eastAsia="zh-CN"/>
              </w:rPr>
              <w:t>4</w:t>
            </w:r>
            <w:r>
              <w:rPr>
                <w:rFonts w:hint="eastAsia" w:ascii="宋体" w:hAnsi="宋体" w:eastAsia="宋体" w:cs="宋体"/>
                <w:color w:val="auto"/>
                <w:spacing w:val="-4"/>
                <w:sz w:val="22"/>
                <w:szCs w:val="22"/>
                <w:highlight w:val="none"/>
              </w:rPr>
              <w:t>分</w:t>
            </w:r>
          </w:p>
        </w:tc>
      </w:tr>
      <w:tr w14:paraId="42EC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1156" w:type="dxa"/>
            <w:vMerge w:val="continue"/>
            <w:tcBorders>
              <w:top w:val="nil"/>
              <w:left w:val="single" w:color="auto" w:sz="4" w:space="0"/>
              <w:bottom w:val="nil"/>
            </w:tcBorders>
            <w:vAlign w:val="top"/>
          </w:tcPr>
          <w:p w14:paraId="30F75E1D">
            <w:pPr>
              <w:rPr>
                <w:rFonts w:hint="eastAsia" w:ascii="宋体" w:hAnsi="宋体" w:eastAsia="宋体" w:cs="宋体"/>
                <w:color w:val="auto"/>
                <w:sz w:val="22"/>
                <w:szCs w:val="22"/>
                <w:highlight w:val="none"/>
              </w:rPr>
            </w:pPr>
          </w:p>
        </w:tc>
        <w:tc>
          <w:tcPr>
            <w:tcW w:w="1234" w:type="dxa"/>
            <w:tcBorders>
              <w:right w:val="single" w:color="auto" w:sz="4" w:space="0"/>
            </w:tcBorders>
            <w:vAlign w:val="center"/>
          </w:tcPr>
          <w:p w14:paraId="06D8CE00">
            <w:pPr>
              <w:pStyle w:val="18"/>
              <w:spacing w:before="30" w:line="230" w:lineRule="auto"/>
              <w:ind w:left="112" w:right="101" w:firstLine="2"/>
              <w:jc w:val="center"/>
              <w:rPr>
                <w:rFonts w:hint="eastAsia" w:ascii="宋体" w:hAnsi="宋体" w:eastAsia="宋体" w:cs="宋体"/>
                <w:color w:val="auto"/>
                <w:spacing w:val="-1"/>
                <w:sz w:val="22"/>
                <w:szCs w:val="22"/>
                <w:highlight w:val="none"/>
              </w:rPr>
            </w:pPr>
            <w:r>
              <w:rPr>
                <w:rFonts w:hint="eastAsia" w:cs="宋体"/>
                <w:color w:val="auto"/>
                <w:spacing w:val="-1"/>
                <w:sz w:val="22"/>
                <w:szCs w:val="22"/>
                <w:highlight w:val="none"/>
                <w:lang w:val="en-US" w:eastAsia="zh-CN"/>
              </w:rPr>
              <w:t>项目团队</w:t>
            </w:r>
            <w:r>
              <w:rPr>
                <w:rFonts w:hint="eastAsia" w:ascii="宋体" w:hAnsi="宋体" w:eastAsia="宋体" w:cs="宋体"/>
                <w:color w:val="auto"/>
                <w:spacing w:val="-1"/>
                <w:sz w:val="22"/>
                <w:szCs w:val="22"/>
                <w:highlight w:val="none"/>
              </w:rPr>
              <w:t>人员</w:t>
            </w:r>
          </w:p>
        </w:tc>
        <w:tc>
          <w:tcPr>
            <w:tcW w:w="6314" w:type="dxa"/>
            <w:tcBorders>
              <w:left w:val="single" w:color="auto" w:sz="4" w:space="0"/>
            </w:tcBorders>
            <w:vAlign w:val="center"/>
          </w:tcPr>
          <w:p w14:paraId="50D7963F">
            <w:pPr>
              <w:pStyle w:val="18"/>
              <w:spacing w:before="30" w:line="230" w:lineRule="auto"/>
              <w:ind w:left="112" w:right="101" w:firstLine="2"/>
              <w:jc w:val="lef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本项目拟投入专业、齐全的项目实施团队，全程负责设备供货、运输、卸货、安装、调试、验收、售后维保、操作人员培训</w:t>
            </w:r>
            <w:r>
              <w:rPr>
                <w:rFonts w:hint="eastAsia" w:ascii="宋体" w:hAnsi="宋体" w:eastAsia="宋体" w:cs="宋体"/>
                <w:color w:val="auto"/>
                <w:spacing w:val="-1"/>
                <w:sz w:val="22"/>
                <w:szCs w:val="22"/>
                <w:highlight w:val="none"/>
              </w:rPr>
              <w:br w:type="textWrapping"/>
            </w:r>
            <w:r>
              <w:rPr>
                <w:rFonts w:hint="eastAsia" w:ascii="宋体" w:hAnsi="宋体" w:eastAsia="宋体" w:cs="宋体"/>
                <w:color w:val="auto"/>
                <w:spacing w:val="-1"/>
                <w:sz w:val="22"/>
                <w:szCs w:val="22"/>
                <w:highlight w:val="none"/>
              </w:rPr>
              <w:t>等全部工作</w:t>
            </w:r>
            <w:r>
              <w:rPr>
                <w:rFonts w:hint="eastAsia"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团队综合素质较高，人员配备有针对性，完全满足项目管理需要（</w:t>
            </w:r>
            <w:r>
              <w:rPr>
                <w:rFonts w:hint="eastAsia" w:cs="宋体"/>
                <w:color w:val="auto"/>
                <w:spacing w:val="-1"/>
                <w:sz w:val="22"/>
                <w:szCs w:val="22"/>
                <w:highlight w:val="none"/>
                <w:lang w:val="en-US" w:eastAsia="zh-CN"/>
              </w:rPr>
              <w:t>项目经理/项目负责人1人、</w:t>
            </w:r>
            <w:r>
              <w:rPr>
                <w:rFonts w:hint="eastAsia" w:ascii="宋体" w:hAnsi="宋体" w:eastAsia="宋体" w:cs="宋体"/>
                <w:color w:val="auto"/>
                <w:spacing w:val="-1"/>
                <w:sz w:val="22"/>
                <w:szCs w:val="22"/>
                <w:highlight w:val="none"/>
              </w:rPr>
              <w:t>技术负责人 1 人、质检员 1 人、</w:t>
            </w:r>
            <w:r>
              <w:rPr>
                <w:rFonts w:hint="eastAsia" w:cs="宋体"/>
                <w:color w:val="auto"/>
                <w:spacing w:val="-1"/>
                <w:sz w:val="22"/>
                <w:szCs w:val="22"/>
                <w:highlight w:val="none"/>
                <w:lang w:val="en-US" w:eastAsia="zh-CN"/>
              </w:rPr>
              <w:t>安全员1人、</w:t>
            </w:r>
            <w:r>
              <w:rPr>
                <w:rFonts w:hint="eastAsia" w:ascii="宋体" w:hAnsi="宋体" w:eastAsia="宋体" w:cs="宋体"/>
                <w:color w:val="auto"/>
                <w:spacing w:val="-1"/>
                <w:sz w:val="22"/>
                <w:szCs w:val="22"/>
                <w:highlight w:val="none"/>
              </w:rPr>
              <w:t>电工 1 人、</w:t>
            </w:r>
            <w:r>
              <w:rPr>
                <w:rFonts w:hint="eastAsia" w:cs="宋体"/>
                <w:color w:val="auto"/>
                <w:spacing w:val="-1"/>
                <w:sz w:val="22"/>
                <w:szCs w:val="22"/>
                <w:highlight w:val="none"/>
                <w:lang w:val="en-US" w:eastAsia="zh-CN"/>
              </w:rPr>
              <w:t>安装</w:t>
            </w:r>
            <w:r>
              <w:rPr>
                <w:rFonts w:hint="eastAsia" w:ascii="宋体" w:hAnsi="宋体" w:eastAsia="宋体" w:cs="宋体"/>
                <w:color w:val="auto"/>
                <w:spacing w:val="-1"/>
                <w:sz w:val="22"/>
                <w:szCs w:val="22"/>
                <w:highlight w:val="none"/>
              </w:rPr>
              <w:t>工不少于 2 人</w:t>
            </w:r>
            <w:r>
              <w:rPr>
                <w:rFonts w:hint="eastAsia" w:cs="宋体"/>
                <w:color w:val="auto"/>
                <w:spacing w:val="-1"/>
                <w:sz w:val="22"/>
                <w:szCs w:val="22"/>
                <w:highlight w:val="none"/>
                <w:lang w:eastAsia="zh-CN"/>
              </w:rPr>
              <w:t>、</w:t>
            </w:r>
            <w:r>
              <w:rPr>
                <w:rFonts w:hint="eastAsia" w:cs="宋体"/>
                <w:color w:val="auto"/>
                <w:spacing w:val="-1"/>
                <w:sz w:val="22"/>
                <w:szCs w:val="22"/>
                <w:highlight w:val="none"/>
                <w:lang w:val="en-US" w:eastAsia="zh-CN"/>
              </w:rPr>
              <w:t>培训员1人、售后人员1人、档案管理员1人</w:t>
            </w:r>
            <w:r>
              <w:rPr>
                <w:rFonts w:hint="eastAsia" w:ascii="宋体" w:hAnsi="宋体" w:eastAsia="宋体" w:cs="宋体"/>
                <w:color w:val="auto"/>
                <w:spacing w:val="-1"/>
                <w:sz w:val="22"/>
                <w:szCs w:val="22"/>
                <w:highlight w:val="none"/>
              </w:rPr>
              <w:t>）以上人员配备齐全的得</w:t>
            </w:r>
            <w:r>
              <w:rPr>
                <w:rFonts w:hint="eastAsia" w:cs="宋体"/>
                <w:color w:val="auto"/>
                <w:spacing w:val="-1"/>
                <w:sz w:val="22"/>
                <w:szCs w:val="22"/>
                <w:highlight w:val="none"/>
                <w:lang w:val="en-US" w:eastAsia="zh-CN"/>
              </w:rPr>
              <w:t>10</w:t>
            </w:r>
            <w:r>
              <w:rPr>
                <w:rFonts w:hint="eastAsia" w:ascii="宋体" w:hAnsi="宋体" w:eastAsia="宋体" w:cs="宋体"/>
                <w:color w:val="auto"/>
                <w:spacing w:val="-1"/>
                <w:sz w:val="22"/>
                <w:szCs w:val="22"/>
                <w:highlight w:val="none"/>
              </w:rPr>
              <w:t xml:space="preserve"> 分，</w:t>
            </w:r>
            <w:r>
              <w:rPr>
                <w:rFonts w:hint="eastAsia" w:cs="宋体"/>
                <w:color w:val="auto"/>
                <w:spacing w:val="-1"/>
                <w:sz w:val="22"/>
                <w:szCs w:val="22"/>
                <w:highlight w:val="none"/>
                <w:lang w:val="en-US" w:eastAsia="zh-CN"/>
              </w:rPr>
              <w:t>提供承诺和相关证书合同等资料，</w:t>
            </w:r>
            <w:r>
              <w:rPr>
                <w:rFonts w:hint="eastAsia" w:ascii="宋体" w:hAnsi="宋体" w:eastAsia="宋体" w:cs="宋体"/>
                <w:color w:val="auto"/>
                <w:spacing w:val="-1"/>
                <w:sz w:val="22"/>
                <w:szCs w:val="22"/>
                <w:highlight w:val="none"/>
              </w:rPr>
              <w:t xml:space="preserve">每缺一项扣 </w:t>
            </w:r>
            <w:r>
              <w:rPr>
                <w:rFonts w:hint="eastAsia" w:cs="宋体"/>
                <w:color w:val="auto"/>
                <w:spacing w:val="-1"/>
                <w:sz w:val="22"/>
                <w:szCs w:val="22"/>
                <w:highlight w:val="none"/>
                <w:lang w:val="en-US" w:eastAsia="zh-CN"/>
              </w:rPr>
              <w:t>1</w:t>
            </w:r>
            <w:r>
              <w:rPr>
                <w:rFonts w:hint="eastAsia" w:ascii="宋体" w:hAnsi="宋体" w:eastAsia="宋体" w:cs="宋体"/>
                <w:color w:val="auto"/>
                <w:spacing w:val="-1"/>
                <w:sz w:val="22"/>
                <w:szCs w:val="22"/>
                <w:highlight w:val="none"/>
              </w:rPr>
              <w:t xml:space="preserve"> 分</w:t>
            </w:r>
            <w:r>
              <w:rPr>
                <w:rFonts w:hint="eastAsia" w:cs="宋体"/>
                <w:color w:val="auto"/>
                <w:spacing w:val="-1"/>
                <w:sz w:val="22"/>
                <w:szCs w:val="22"/>
                <w:highlight w:val="none"/>
                <w:lang w:eastAsia="zh-CN"/>
              </w:rPr>
              <w:t>，</w:t>
            </w:r>
            <w:r>
              <w:rPr>
                <w:rFonts w:hint="eastAsia" w:cs="宋体"/>
                <w:color w:val="auto"/>
                <w:spacing w:val="-1"/>
                <w:sz w:val="22"/>
                <w:szCs w:val="22"/>
                <w:highlight w:val="none"/>
                <w:lang w:val="en-US" w:eastAsia="zh-CN"/>
              </w:rPr>
              <w:t>扣完为止</w:t>
            </w:r>
            <w:r>
              <w:rPr>
                <w:rFonts w:hint="eastAsia" w:ascii="宋体" w:hAnsi="宋体" w:eastAsia="宋体" w:cs="宋体"/>
                <w:color w:val="auto"/>
                <w:spacing w:val="-1"/>
                <w:sz w:val="22"/>
                <w:szCs w:val="22"/>
                <w:highlight w:val="none"/>
              </w:rPr>
              <w:t xml:space="preserve">。 </w:t>
            </w:r>
          </w:p>
          <w:p w14:paraId="6C2F17D3">
            <w:pPr>
              <w:pStyle w:val="18"/>
              <w:spacing w:before="30" w:line="230" w:lineRule="auto"/>
              <w:ind w:left="112" w:right="101" w:firstLine="2"/>
              <w:jc w:val="lef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注：团队人员总体承诺 1. 本项目所有拟投入人员均为公司在职人员，项目实施期间不擅自更换、不离岗、不兼职，全程驻场保障项目推进； 2. 所有技术、作业人员均持证上岗，具备丰富牛羊屠宰设备供货、安装、调试经验，完全满足项目实施及食品卫生安全要求； 3. 团队分工明确、责任到人，全力保障设备按时交付、规范安装、合格验收、稳定运行，提供全流程优质服务。</w:t>
            </w:r>
            <w:r>
              <w:rPr>
                <w:rFonts w:hint="eastAsia" w:cs="宋体"/>
                <w:color w:val="auto"/>
                <w:spacing w:val="-1"/>
                <w:sz w:val="22"/>
                <w:szCs w:val="22"/>
                <w:highlight w:val="none"/>
                <w:lang w:val="en-US" w:eastAsia="zh-CN"/>
              </w:rPr>
              <w:t>4、所有</w:t>
            </w:r>
            <w:r>
              <w:rPr>
                <w:rFonts w:hint="eastAsia" w:ascii="宋体" w:hAnsi="宋体" w:eastAsia="宋体" w:cs="宋体"/>
                <w:color w:val="auto"/>
                <w:spacing w:val="-1"/>
                <w:sz w:val="22"/>
                <w:szCs w:val="22"/>
                <w:highlight w:val="none"/>
              </w:rPr>
              <w:t>人员需分别提供相关证书</w:t>
            </w:r>
            <w:r>
              <w:rPr>
                <w:rFonts w:hint="eastAsia" w:cs="宋体"/>
                <w:color w:val="auto"/>
                <w:spacing w:val="-1"/>
                <w:sz w:val="22"/>
                <w:szCs w:val="22"/>
                <w:highlight w:val="none"/>
                <w:lang w:val="en-US" w:eastAsia="zh-CN"/>
              </w:rPr>
              <w:t>及</w:t>
            </w:r>
            <w:r>
              <w:rPr>
                <w:rFonts w:hint="eastAsia" w:ascii="宋体" w:hAnsi="宋体" w:eastAsia="宋体" w:cs="宋体"/>
                <w:color w:val="auto"/>
                <w:spacing w:val="-1"/>
                <w:sz w:val="22"/>
                <w:szCs w:val="22"/>
                <w:highlight w:val="none"/>
                <w:lang w:val="en-US" w:eastAsia="zh-CN"/>
              </w:rPr>
              <w:t>劳动合同。</w:t>
            </w:r>
          </w:p>
        </w:tc>
        <w:tc>
          <w:tcPr>
            <w:tcW w:w="1056" w:type="dxa"/>
            <w:tcBorders>
              <w:right w:val="single" w:color="auto" w:sz="4" w:space="0"/>
            </w:tcBorders>
            <w:vAlign w:val="center"/>
          </w:tcPr>
          <w:p w14:paraId="22D4C845">
            <w:pPr>
              <w:pStyle w:val="18"/>
              <w:spacing w:before="65" w:line="229" w:lineRule="auto"/>
              <w:ind w:left="373"/>
              <w:jc w:val="left"/>
              <w:rPr>
                <w:rFonts w:hint="eastAsia" w:ascii="宋体" w:hAnsi="宋体" w:eastAsia="宋体" w:cs="宋体"/>
                <w:color w:val="auto"/>
                <w:sz w:val="22"/>
                <w:szCs w:val="22"/>
                <w:highlight w:val="none"/>
              </w:rPr>
            </w:pPr>
            <w:r>
              <w:rPr>
                <w:rFonts w:hint="eastAsia" w:cs="宋体"/>
                <w:color w:val="auto"/>
                <w:spacing w:val="-4"/>
                <w:sz w:val="22"/>
                <w:szCs w:val="22"/>
                <w:highlight w:val="none"/>
                <w:lang w:val="en-US" w:eastAsia="zh-CN"/>
              </w:rPr>
              <w:t>10</w:t>
            </w:r>
            <w:r>
              <w:rPr>
                <w:rFonts w:hint="eastAsia" w:ascii="宋体" w:hAnsi="宋体" w:eastAsia="宋体" w:cs="宋体"/>
                <w:color w:val="auto"/>
                <w:spacing w:val="-4"/>
                <w:sz w:val="22"/>
                <w:szCs w:val="22"/>
                <w:highlight w:val="none"/>
              </w:rPr>
              <w:t>分</w:t>
            </w:r>
          </w:p>
        </w:tc>
      </w:tr>
      <w:tr w14:paraId="4C777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1156" w:type="dxa"/>
            <w:vMerge w:val="continue"/>
            <w:tcBorders>
              <w:top w:val="single" w:color="auto" w:sz="4" w:space="0"/>
              <w:left w:val="single" w:color="auto" w:sz="4" w:space="0"/>
              <w:bottom w:val="nil"/>
            </w:tcBorders>
            <w:vAlign w:val="top"/>
          </w:tcPr>
          <w:p w14:paraId="18B0208E">
            <w:pPr>
              <w:rPr>
                <w:rFonts w:hint="eastAsia" w:ascii="宋体" w:hAnsi="宋体" w:eastAsia="宋体" w:cs="宋体"/>
                <w:color w:val="auto"/>
                <w:sz w:val="22"/>
                <w:szCs w:val="22"/>
                <w:highlight w:val="none"/>
              </w:rPr>
            </w:pPr>
          </w:p>
        </w:tc>
        <w:tc>
          <w:tcPr>
            <w:tcW w:w="1234" w:type="dxa"/>
            <w:tcBorders>
              <w:top w:val="single" w:color="auto" w:sz="4" w:space="0"/>
              <w:right w:val="single" w:color="auto" w:sz="4" w:space="0"/>
            </w:tcBorders>
            <w:vAlign w:val="center"/>
          </w:tcPr>
          <w:p w14:paraId="7A942D1A">
            <w:pPr>
              <w:pStyle w:val="18"/>
              <w:spacing w:before="71" w:line="22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培训计划</w:t>
            </w:r>
          </w:p>
        </w:tc>
        <w:tc>
          <w:tcPr>
            <w:tcW w:w="6314" w:type="dxa"/>
            <w:tcBorders>
              <w:left w:val="single" w:color="auto" w:sz="4" w:space="0"/>
            </w:tcBorders>
            <w:vAlign w:val="center"/>
          </w:tcPr>
          <w:p w14:paraId="2395D449">
            <w:pPr>
              <w:pStyle w:val="18"/>
              <w:spacing w:before="32" w:line="246" w:lineRule="auto"/>
              <w:ind w:left="111" w:right="103"/>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投标人须提供完整的培训计划（不限于培训方式、培训目标、培训内容等）能保证经培训合格人员对产品设备：①安全熟练操作；②一般故障排除；③定期保养维护。培训计划详细无缺项得 6 分，每有一项缺项扣 2 分，每有一项内容不尽详细有遗漏或描述不清晰扣 1 分；扣完为止。</w:t>
            </w:r>
          </w:p>
        </w:tc>
        <w:tc>
          <w:tcPr>
            <w:tcW w:w="1056" w:type="dxa"/>
            <w:tcBorders>
              <w:right w:val="single" w:color="auto" w:sz="4" w:space="0"/>
            </w:tcBorders>
            <w:vAlign w:val="center"/>
          </w:tcPr>
          <w:p w14:paraId="2BC76536">
            <w:pPr>
              <w:pStyle w:val="18"/>
              <w:spacing w:before="65" w:line="229" w:lineRule="auto"/>
              <w:ind w:left="373"/>
              <w:jc w:val="left"/>
              <w:rPr>
                <w:rFonts w:hint="eastAsia" w:ascii="宋体" w:hAnsi="宋体" w:eastAsia="宋体" w:cs="宋体"/>
                <w:color w:val="auto"/>
                <w:sz w:val="22"/>
                <w:szCs w:val="22"/>
                <w:highlight w:val="none"/>
              </w:rPr>
            </w:pPr>
            <w:r>
              <w:rPr>
                <w:rFonts w:hint="eastAsia" w:cs="宋体"/>
                <w:color w:val="auto"/>
                <w:spacing w:val="-4"/>
                <w:sz w:val="22"/>
                <w:szCs w:val="22"/>
                <w:highlight w:val="none"/>
                <w:lang w:val="en-US" w:eastAsia="zh-CN"/>
              </w:rPr>
              <w:t>6</w:t>
            </w:r>
            <w:r>
              <w:rPr>
                <w:rFonts w:hint="eastAsia" w:ascii="宋体" w:hAnsi="宋体" w:eastAsia="宋体" w:cs="宋体"/>
                <w:color w:val="auto"/>
                <w:spacing w:val="-4"/>
                <w:sz w:val="22"/>
                <w:szCs w:val="22"/>
                <w:highlight w:val="none"/>
              </w:rPr>
              <w:t>分</w:t>
            </w:r>
          </w:p>
        </w:tc>
      </w:tr>
      <w:tr w14:paraId="50F4C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1156" w:type="dxa"/>
            <w:vMerge w:val="continue"/>
            <w:tcBorders>
              <w:top w:val="nil"/>
              <w:left w:val="single" w:color="auto" w:sz="4" w:space="0"/>
              <w:bottom w:val="single" w:color="auto" w:sz="4" w:space="0"/>
            </w:tcBorders>
            <w:vAlign w:val="top"/>
          </w:tcPr>
          <w:p w14:paraId="24E9096E">
            <w:pPr>
              <w:rPr>
                <w:rFonts w:hint="eastAsia" w:ascii="宋体" w:hAnsi="宋体" w:eastAsia="宋体" w:cs="宋体"/>
                <w:color w:val="auto"/>
                <w:sz w:val="22"/>
                <w:szCs w:val="22"/>
                <w:highlight w:val="none"/>
              </w:rPr>
            </w:pPr>
          </w:p>
        </w:tc>
        <w:tc>
          <w:tcPr>
            <w:tcW w:w="1234" w:type="dxa"/>
            <w:tcBorders>
              <w:bottom w:val="single" w:color="auto" w:sz="4" w:space="0"/>
              <w:right w:val="single" w:color="auto" w:sz="4" w:space="0"/>
            </w:tcBorders>
            <w:vAlign w:val="center"/>
          </w:tcPr>
          <w:p w14:paraId="1E23EE58">
            <w:pPr>
              <w:pStyle w:val="18"/>
              <w:spacing w:before="71" w:line="220" w:lineRule="auto"/>
              <w:jc w:val="center"/>
              <w:rPr>
                <w:rFonts w:hint="eastAsia" w:ascii="宋体" w:hAnsi="宋体" w:eastAsia="宋体" w:cs="宋体"/>
                <w:color w:val="auto"/>
                <w:spacing w:val="-2"/>
                <w:sz w:val="22"/>
                <w:szCs w:val="22"/>
                <w:highlight w:val="none"/>
              </w:rPr>
            </w:pPr>
            <w:r>
              <w:rPr>
                <w:rFonts w:hint="eastAsia" w:ascii="宋体" w:hAnsi="宋体" w:eastAsia="宋体" w:cs="宋体"/>
                <w:color w:val="auto"/>
                <w:spacing w:val="8"/>
                <w:sz w:val="22"/>
                <w:szCs w:val="22"/>
                <w:highlight w:val="none"/>
              </w:rPr>
              <w:t>售后服务与维保方案</w:t>
            </w:r>
          </w:p>
        </w:tc>
        <w:tc>
          <w:tcPr>
            <w:tcW w:w="6314" w:type="dxa"/>
            <w:tcBorders>
              <w:left w:val="single" w:color="auto" w:sz="4" w:space="0"/>
              <w:bottom w:val="single" w:color="auto" w:sz="4" w:space="0"/>
            </w:tcBorders>
            <w:vAlign w:val="center"/>
          </w:tcPr>
          <w:p w14:paraId="328C54AE">
            <w:pPr>
              <w:pStyle w:val="18"/>
              <w:spacing w:before="32" w:line="246" w:lineRule="auto"/>
              <w:ind w:left="111" w:right="103"/>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售后服务与维保方案（①包含售后管理制度及服务保障措施；②售后服务人员 配置及计划；③故障处理及应急处理；④零配件易损件等质量保障措施；⑤质 量保证期限及质量保证的范围承诺；⑥质保期满后的维保费用）。</w:t>
            </w:r>
          </w:p>
          <w:p w14:paraId="4ADF67C8">
            <w:pPr>
              <w:pStyle w:val="18"/>
              <w:spacing w:before="32" w:line="246" w:lineRule="auto"/>
              <w:ind w:left="111" w:right="103"/>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 xml:space="preserve"> 以上相关方案每有一项内容方案完整详细，条理清晰且符合采购实际需求得 </w:t>
            </w:r>
            <w:r>
              <w:rPr>
                <w:rFonts w:hint="eastAsia" w:cs="宋体"/>
                <w:color w:val="auto"/>
                <w:spacing w:val="8"/>
                <w:sz w:val="22"/>
                <w:szCs w:val="22"/>
                <w:highlight w:val="none"/>
                <w:lang w:val="en-US" w:eastAsia="zh-CN"/>
              </w:rPr>
              <w:t>1</w:t>
            </w:r>
            <w:r>
              <w:rPr>
                <w:rFonts w:hint="eastAsia" w:ascii="宋体" w:hAnsi="宋体" w:eastAsia="宋体" w:cs="宋体"/>
                <w:color w:val="auto"/>
                <w:spacing w:val="8"/>
                <w:sz w:val="22"/>
                <w:szCs w:val="22"/>
                <w:highlight w:val="none"/>
              </w:rPr>
              <w:t xml:space="preserve"> 分，满分 </w:t>
            </w:r>
            <w:r>
              <w:rPr>
                <w:rFonts w:hint="eastAsia" w:cs="宋体"/>
                <w:color w:val="auto"/>
                <w:spacing w:val="8"/>
                <w:sz w:val="22"/>
                <w:szCs w:val="22"/>
                <w:highlight w:val="none"/>
                <w:lang w:val="en-US" w:eastAsia="zh-CN"/>
              </w:rPr>
              <w:t>6</w:t>
            </w:r>
            <w:r>
              <w:rPr>
                <w:rFonts w:hint="eastAsia" w:ascii="宋体" w:hAnsi="宋体" w:eastAsia="宋体" w:cs="宋体"/>
                <w:color w:val="auto"/>
                <w:spacing w:val="8"/>
                <w:sz w:val="22"/>
                <w:szCs w:val="22"/>
                <w:highlight w:val="none"/>
              </w:rPr>
              <w:t xml:space="preserve"> 分。每有一项内容出现一处存在缺陷的扣 0.5 分，缺项不得分， 扣完为止（缺陷是指：未能体现出本项目的特点或与本项目实际需求 不完全相符、无针对性及可操作性、内容不全面、条理不清晰、凭空编造以及 不可能实现的夸大情形、语言错误或存在歧义等）。</w:t>
            </w:r>
          </w:p>
          <w:p w14:paraId="55896FF3">
            <w:pPr>
              <w:pStyle w:val="18"/>
              <w:spacing w:before="32" w:line="246" w:lineRule="auto"/>
              <w:ind w:left="111" w:right="103"/>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 xml:space="preserve"> 注：须提供售后服务场所证明材料</w:t>
            </w:r>
          </w:p>
        </w:tc>
        <w:tc>
          <w:tcPr>
            <w:tcW w:w="1056" w:type="dxa"/>
            <w:tcBorders>
              <w:bottom w:val="single" w:color="auto" w:sz="4" w:space="0"/>
              <w:right w:val="single" w:color="auto" w:sz="4" w:space="0"/>
            </w:tcBorders>
            <w:vAlign w:val="center"/>
          </w:tcPr>
          <w:p w14:paraId="3C77DC80">
            <w:pPr>
              <w:pStyle w:val="18"/>
              <w:spacing w:before="65" w:line="229" w:lineRule="auto"/>
              <w:ind w:left="373"/>
              <w:jc w:val="left"/>
              <w:rPr>
                <w:rFonts w:hint="eastAsia" w:ascii="宋体" w:hAnsi="宋体" w:eastAsia="宋体" w:cs="宋体"/>
                <w:color w:val="auto"/>
                <w:spacing w:val="-4"/>
                <w:sz w:val="22"/>
                <w:szCs w:val="22"/>
                <w:highlight w:val="none"/>
                <w:lang w:val="en-US" w:eastAsia="zh-CN"/>
              </w:rPr>
            </w:pPr>
            <w:r>
              <w:rPr>
                <w:rFonts w:hint="eastAsia" w:cs="宋体"/>
                <w:color w:val="auto"/>
                <w:spacing w:val="-4"/>
                <w:sz w:val="22"/>
                <w:szCs w:val="22"/>
                <w:highlight w:val="none"/>
                <w:lang w:val="en-US" w:eastAsia="zh-CN"/>
              </w:rPr>
              <w:t>6</w:t>
            </w:r>
            <w:r>
              <w:rPr>
                <w:rFonts w:hint="eastAsia" w:ascii="宋体" w:hAnsi="宋体" w:eastAsia="宋体" w:cs="宋体"/>
                <w:color w:val="auto"/>
                <w:spacing w:val="-4"/>
                <w:sz w:val="22"/>
                <w:szCs w:val="22"/>
                <w:highlight w:val="none"/>
                <w:lang w:val="en-US" w:eastAsia="zh-CN"/>
              </w:rPr>
              <w:t>分</w:t>
            </w:r>
          </w:p>
        </w:tc>
      </w:tr>
      <w:tr w14:paraId="0EDA7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9760" w:type="dxa"/>
            <w:gridSpan w:val="4"/>
            <w:tcBorders>
              <w:top w:val="single" w:color="auto" w:sz="4" w:space="0"/>
              <w:left w:val="single" w:color="auto" w:sz="4" w:space="0"/>
              <w:right w:val="single" w:color="auto" w:sz="4" w:space="0"/>
            </w:tcBorders>
            <w:vAlign w:val="top"/>
          </w:tcPr>
          <w:p w14:paraId="7B8ED2C6">
            <w:pPr>
              <w:pStyle w:val="18"/>
              <w:spacing w:before="205" w:line="225"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三、技术部分（4</w:t>
            </w:r>
            <w:r>
              <w:rPr>
                <w:rFonts w:hint="eastAsia" w:cs="宋体"/>
                <w:b/>
                <w:bCs/>
                <w:color w:val="auto"/>
                <w:spacing w:val="3"/>
                <w:sz w:val="24"/>
                <w:szCs w:val="24"/>
                <w:highlight w:val="none"/>
                <w:lang w:val="en-US" w:eastAsia="zh-CN"/>
              </w:rPr>
              <w:t>4</w:t>
            </w:r>
            <w:r>
              <w:rPr>
                <w:rFonts w:hint="eastAsia" w:ascii="宋体" w:hAnsi="宋体" w:eastAsia="宋体" w:cs="宋体"/>
                <w:color w:val="auto"/>
                <w:spacing w:val="-57"/>
                <w:sz w:val="24"/>
                <w:szCs w:val="24"/>
                <w:highlight w:val="none"/>
              </w:rPr>
              <w:t xml:space="preserve"> </w:t>
            </w:r>
            <w:r>
              <w:rPr>
                <w:rFonts w:hint="eastAsia" w:ascii="宋体" w:hAnsi="宋体" w:eastAsia="宋体" w:cs="宋体"/>
                <w:b/>
                <w:bCs/>
                <w:color w:val="auto"/>
                <w:spacing w:val="3"/>
                <w:sz w:val="24"/>
                <w:szCs w:val="24"/>
                <w:highlight w:val="none"/>
              </w:rPr>
              <w:t>分）</w:t>
            </w:r>
          </w:p>
        </w:tc>
      </w:tr>
      <w:tr w14:paraId="16F6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56" w:type="dxa"/>
            <w:tcBorders>
              <w:left w:val="single" w:color="auto" w:sz="4" w:space="0"/>
            </w:tcBorders>
            <w:vAlign w:val="top"/>
          </w:tcPr>
          <w:p w14:paraId="787C7A4A">
            <w:pPr>
              <w:pStyle w:val="18"/>
              <w:spacing w:before="230" w:line="221" w:lineRule="auto"/>
              <w:ind w:left="11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评审因素</w:t>
            </w:r>
          </w:p>
        </w:tc>
        <w:tc>
          <w:tcPr>
            <w:tcW w:w="1234" w:type="dxa"/>
            <w:tcBorders>
              <w:right w:val="single" w:color="auto" w:sz="4" w:space="0"/>
            </w:tcBorders>
            <w:vAlign w:val="top"/>
          </w:tcPr>
          <w:p w14:paraId="7246FA34">
            <w:pPr>
              <w:pStyle w:val="18"/>
              <w:spacing w:before="230" w:line="222" w:lineRule="auto"/>
              <w:ind w:left="11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评审项目</w:t>
            </w:r>
          </w:p>
        </w:tc>
        <w:tc>
          <w:tcPr>
            <w:tcW w:w="6314" w:type="dxa"/>
            <w:tcBorders>
              <w:left w:val="single" w:color="auto" w:sz="4" w:space="0"/>
            </w:tcBorders>
            <w:vAlign w:val="top"/>
          </w:tcPr>
          <w:p w14:paraId="5803261F">
            <w:pPr>
              <w:pStyle w:val="18"/>
              <w:spacing w:before="172" w:line="221" w:lineRule="auto"/>
              <w:ind w:left="3078" w:leftChars="0"/>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评审内</w:t>
            </w:r>
            <w:r>
              <w:rPr>
                <w:rFonts w:hint="eastAsia" w:ascii="宋体" w:hAnsi="宋体" w:eastAsia="宋体" w:cs="宋体"/>
                <w:color w:val="auto"/>
                <w:sz w:val="22"/>
                <w:szCs w:val="22"/>
                <w:highlight w:val="none"/>
              </w:rPr>
              <w:t>容</w:t>
            </w:r>
          </w:p>
        </w:tc>
        <w:tc>
          <w:tcPr>
            <w:tcW w:w="1056" w:type="dxa"/>
            <w:vAlign w:val="center"/>
          </w:tcPr>
          <w:p w14:paraId="54A0FE56">
            <w:pPr>
              <w:pStyle w:val="18"/>
              <w:spacing w:before="32" w:line="224" w:lineRule="auto"/>
              <w:ind w:left="446" w:leftChars="0" w:right="216" w:rightChars="0" w:hanging="221"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分值</w:t>
            </w:r>
          </w:p>
        </w:tc>
      </w:tr>
      <w:tr w14:paraId="1974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1156" w:type="dxa"/>
            <w:vMerge w:val="restart"/>
            <w:tcBorders>
              <w:left w:val="single" w:color="auto" w:sz="4" w:space="0"/>
              <w:bottom w:val="single" w:color="auto" w:sz="4" w:space="0"/>
            </w:tcBorders>
            <w:vAlign w:val="center"/>
          </w:tcPr>
          <w:p w14:paraId="69BD44A1">
            <w:pPr>
              <w:keepNext w:val="0"/>
              <w:keepLines w:val="0"/>
              <w:widowControl/>
              <w:suppressLineNumbers w:val="0"/>
              <w:jc w:val="center"/>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技术评审</w:t>
            </w:r>
          </w:p>
        </w:tc>
        <w:tc>
          <w:tcPr>
            <w:tcW w:w="1234" w:type="dxa"/>
            <w:tcBorders>
              <w:bottom w:val="single" w:color="auto" w:sz="4" w:space="0"/>
              <w:right w:val="single" w:color="auto" w:sz="4" w:space="0"/>
            </w:tcBorders>
            <w:vAlign w:val="center"/>
          </w:tcPr>
          <w:p w14:paraId="4E2FA5D8">
            <w:pPr>
              <w:pStyle w:val="18"/>
              <w:spacing w:before="26" w:line="226" w:lineRule="auto"/>
              <w:ind w:left="110"/>
              <w:jc w:val="left"/>
              <w:rPr>
                <w:rFonts w:hint="default" w:ascii="宋体" w:hAnsi="宋体" w:eastAsia="宋体" w:cs="宋体"/>
                <w:color w:val="auto"/>
                <w:spacing w:val="-2"/>
                <w:sz w:val="22"/>
                <w:szCs w:val="22"/>
                <w:highlight w:val="none"/>
                <w:lang w:val="en-US" w:eastAsia="zh-CN"/>
              </w:rPr>
            </w:pPr>
            <w:r>
              <w:rPr>
                <w:rFonts w:hint="eastAsia" w:cs="宋体"/>
                <w:color w:val="auto"/>
                <w:spacing w:val="-2"/>
                <w:sz w:val="22"/>
                <w:szCs w:val="22"/>
                <w:highlight w:val="none"/>
                <w:lang w:val="en-US" w:eastAsia="zh-CN"/>
              </w:rPr>
              <w:t>设备参数响应</w:t>
            </w:r>
          </w:p>
        </w:tc>
        <w:tc>
          <w:tcPr>
            <w:tcW w:w="6314" w:type="dxa"/>
            <w:tcBorders>
              <w:left w:val="single" w:color="auto" w:sz="4" w:space="0"/>
            </w:tcBorders>
            <w:vAlign w:val="center"/>
          </w:tcPr>
          <w:p w14:paraId="1E246777">
            <w:pPr>
              <w:pStyle w:val="18"/>
              <w:spacing w:before="26" w:line="226" w:lineRule="auto"/>
              <w:ind w:left="110"/>
              <w:jc w:val="left"/>
              <w:rPr>
                <w:rFonts w:hint="default" w:ascii="宋体" w:hAnsi="宋体" w:eastAsia="宋体" w:cs="宋体"/>
                <w:color w:val="auto"/>
                <w:spacing w:val="-3"/>
                <w:sz w:val="22"/>
                <w:szCs w:val="22"/>
                <w:highlight w:val="none"/>
                <w:lang w:val="en-US" w:eastAsia="zh-CN"/>
              </w:rPr>
            </w:pPr>
            <w:r>
              <w:rPr>
                <w:rFonts w:hint="eastAsia" w:cs="宋体"/>
                <w:color w:val="auto"/>
                <w:spacing w:val="-3"/>
                <w:sz w:val="22"/>
                <w:szCs w:val="22"/>
                <w:highlight w:val="none"/>
                <w:lang w:val="en-US" w:eastAsia="zh-CN"/>
              </w:rPr>
              <w:t>完全响应采购文件里采购需求中要求的参数得6分；每负偏离一项扣0.1分，扣完为止；供应商提供的设备参数优于采购需要的，每项加0.2分，最高加4分。</w:t>
            </w:r>
          </w:p>
        </w:tc>
        <w:tc>
          <w:tcPr>
            <w:tcW w:w="1056" w:type="dxa"/>
            <w:vAlign w:val="center"/>
          </w:tcPr>
          <w:p w14:paraId="19BBC994">
            <w:pPr>
              <w:pStyle w:val="18"/>
              <w:spacing w:before="32" w:line="224" w:lineRule="auto"/>
              <w:ind w:left="446" w:leftChars="0" w:right="216" w:rightChars="0" w:hanging="221" w:firstLineChars="0"/>
              <w:jc w:val="center"/>
              <w:rPr>
                <w:rFonts w:hint="eastAsia" w:ascii="宋体" w:hAnsi="宋体" w:eastAsia="宋体" w:cs="宋体"/>
                <w:color w:val="auto"/>
                <w:spacing w:val="-5"/>
                <w:sz w:val="22"/>
                <w:szCs w:val="22"/>
                <w:highlight w:val="none"/>
                <w:lang w:val="en-US" w:eastAsia="zh-CN"/>
              </w:rPr>
            </w:pPr>
            <w:r>
              <w:rPr>
                <w:rFonts w:hint="eastAsia" w:cs="宋体"/>
                <w:color w:val="auto"/>
                <w:spacing w:val="-5"/>
                <w:sz w:val="22"/>
                <w:szCs w:val="22"/>
                <w:highlight w:val="none"/>
                <w:lang w:val="en-US" w:eastAsia="zh-CN"/>
              </w:rPr>
              <w:t>10</w:t>
            </w:r>
            <w:r>
              <w:rPr>
                <w:rFonts w:hint="eastAsia" w:ascii="宋体" w:hAnsi="宋体" w:eastAsia="宋体" w:cs="宋体"/>
                <w:color w:val="auto"/>
                <w:spacing w:val="-5"/>
                <w:sz w:val="22"/>
                <w:szCs w:val="22"/>
                <w:highlight w:val="none"/>
                <w:lang w:val="en-US" w:eastAsia="zh-CN"/>
              </w:rPr>
              <w:t>分</w:t>
            </w:r>
          </w:p>
        </w:tc>
      </w:tr>
      <w:tr w14:paraId="7DC9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156" w:type="dxa"/>
            <w:vMerge w:val="continue"/>
            <w:tcBorders>
              <w:top w:val="single" w:color="auto" w:sz="4" w:space="0"/>
              <w:left w:val="single" w:color="auto" w:sz="4" w:space="0"/>
            </w:tcBorders>
            <w:textDirection w:val="tbRlV"/>
            <w:vAlign w:val="top"/>
          </w:tcPr>
          <w:p w14:paraId="51B6AF33">
            <w:pPr>
              <w:keepNext w:val="0"/>
              <w:keepLines w:val="0"/>
              <w:widowControl/>
              <w:suppressLineNumbers w:val="0"/>
              <w:jc w:val="left"/>
              <w:rPr>
                <w:rFonts w:hint="eastAsia" w:ascii="宋体" w:hAnsi="宋体" w:eastAsia="宋体" w:cs="宋体"/>
                <w:snapToGrid w:val="0"/>
                <w:color w:val="auto"/>
                <w:spacing w:val="8"/>
                <w:kern w:val="0"/>
                <w:sz w:val="22"/>
                <w:szCs w:val="22"/>
                <w:highlight w:val="none"/>
                <w:lang w:val="en-US" w:eastAsia="zh-CN" w:bidi="ar-SA"/>
              </w:rPr>
            </w:pPr>
          </w:p>
        </w:tc>
        <w:tc>
          <w:tcPr>
            <w:tcW w:w="1234" w:type="dxa"/>
            <w:tcBorders>
              <w:top w:val="single" w:color="auto" w:sz="4" w:space="0"/>
            </w:tcBorders>
            <w:vAlign w:val="center"/>
          </w:tcPr>
          <w:p w14:paraId="65E0A00A">
            <w:pPr>
              <w:keepNext w:val="0"/>
              <w:keepLines w:val="0"/>
              <w:widowControl/>
              <w:suppressLineNumbers w:val="0"/>
              <w:jc w:val="center"/>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项目实施</w:t>
            </w:r>
          </w:p>
          <w:p w14:paraId="45944511">
            <w:pPr>
              <w:keepNext w:val="0"/>
              <w:keepLines w:val="0"/>
              <w:widowControl/>
              <w:suppressLineNumbers w:val="0"/>
              <w:jc w:val="center"/>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方案</w:t>
            </w:r>
          </w:p>
        </w:tc>
        <w:tc>
          <w:tcPr>
            <w:tcW w:w="6314" w:type="dxa"/>
            <w:vAlign w:val="center"/>
          </w:tcPr>
          <w:p w14:paraId="246F3CCD">
            <w:pPr>
              <w:pStyle w:val="18"/>
              <w:spacing w:before="26" w:line="226" w:lineRule="auto"/>
              <w:ind w:left="110"/>
              <w:jc w:val="left"/>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 xml:space="preserve">项目实施方案包括但不限于：① 项目概况与目标； ② 供货与运输方案；③ 安装施工组织与进度计划；④ 调试与试运行方案；⑤ 进度保证措施；⑥ 安全管理控制措施；⑦ 验收与竣工资料； 以上相关方案每有一项内容方案完整详细，条理清晰且符合采购实际需求得 </w:t>
            </w:r>
            <w:r>
              <w:rPr>
                <w:rFonts w:hint="eastAsia" w:cs="宋体"/>
                <w:snapToGrid w:val="0"/>
                <w:color w:val="auto"/>
                <w:spacing w:val="8"/>
                <w:kern w:val="0"/>
                <w:sz w:val="22"/>
                <w:szCs w:val="22"/>
                <w:highlight w:val="none"/>
                <w:lang w:val="en-US" w:eastAsia="zh-CN" w:bidi="ar-SA"/>
              </w:rPr>
              <w:t>2</w:t>
            </w:r>
            <w:r>
              <w:rPr>
                <w:rFonts w:hint="eastAsia" w:ascii="宋体" w:hAnsi="宋体" w:eastAsia="宋体" w:cs="宋体"/>
                <w:snapToGrid w:val="0"/>
                <w:color w:val="auto"/>
                <w:spacing w:val="8"/>
                <w:kern w:val="0"/>
                <w:sz w:val="22"/>
                <w:szCs w:val="22"/>
                <w:highlight w:val="none"/>
                <w:lang w:val="en-US" w:eastAsia="zh-CN" w:bidi="ar-SA"/>
              </w:rPr>
              <w:t xml:space="preserve"> 分，满分 </w:t>
            </w:r>
            <w:r>
              <w:rPr>
                <w:rFonts w:hint="eastAsia" w:cs="宋体"/>
                <w:snapToGrid w:val="0"/>
                <w:color w:val="auto"/>
                <w:spacing w:val="8"/>
                <w:kern w:val="0"/>
                <w:sz w:val="22"/>
                <w:szCs w:val="22"/>
                <w:highlight w:val="none"/>
                <w:lang w:val="en-US" w:eastAsia="zh-CN" w:bidi="ar-SA"/>
              </w:rPr>
              <w:t>14</w:t>
            </w:r>
            <w:r>
              <w:rPr>
                <w:rFonts w:hint="eastAsia" w:ascii="宋体" w:hAnsi="宋体" w:eastAsia="宋体" w:cs="宋体"/>
                <w:snapToGrid w:val="0"/>
                <w:color w:val="auto"/>
                <w:spacing w:val="8"/>
                <w:kern w:val="0"/>
                <w:sz w:val="22"/>
                <w:szCs w:val="22"/>
                <w:highlight w:val="none"/>
                <w:lang w:val="en-US" w:eastAsia="zh-CN" w:bidi="ar-SA"/>
              </w:rPr>
              <w:t xml:space="preserve"> 分。每有一项内容出现一处存在缺陷的扣 0.5 分，</w:t>
            </w:r>
            <w:r>
              <w:rPr>
                <w:rFonts w:hint="eastAsia" w:cs="宋体"/>
                <w:snapToGrid w:val="0"/>
                <w:color w:val="auto"/>
                <w:spacing w:val="8"/>
                <w:kern w:val="0"/>
                <w:sz w:val="22"/>
                <w:szCs w:val="22"/>
                <w:highlight w:val="none"/>
                <w:lang w:val="en-US" w:eastAsia="zh-CN" w:bidi="ar-SA"/>
              </w:rPr>
              <w:t>扣完为止，</w:t>
            </w:r>
            <w:r>
              <w:rPr>
                <w:rFonts w:hint="eastAsia" w:ascii="宋体" w:hAnsi="宋体" w:eastAsia="宋体" w:cs="宋体"/>
                <w:snapToGrid w:val="0"/>
                <w:color w:val="auto"/>
                <w:spacing w:val="8"/>
                <w:kern w:val="0"/>
                <w:sz w:val="22"/>
                <w:szCs w:val="22"/>
                <w:highlight w:val="none"/>
                <w:lang w:val="en-US" w:eastAsia="zh-CN" w:bidi="ar-SA"/>
              </w:rPr>
              <w:t>缺项不得分。（缺陷是指：未能体现出本项目的特点或与本项目实际 需求不完全相符、无针对性及可操作性、内容不全面、条理不清晰、凭空编造 以及不可能实现的夸大情形、语言错误或存在歧义等）。</w:t>
            </w:r>
          </w:p>
          <w:p w14:paraId="11C04848">
            <w:pPr>
              <w:pStyle w:val="18"/>
              <w:spacing w:before="26" w:line="226" w:lineRule="auto"/>
              <w:ind w:left="110"/>
              <w:jc w:val="left"/>
              <w:rPr>
                <w:rFonts w:hint="eastAsia" w:ascii="宋体" w:hAnsi="宋体" w:eastAsia="宋体" w:cs="宋体"/>
                <w:snapToGrid w:val="0"/>
                <w:color w:val="auto"/>
                <w:spacing w:val="8"/>
                <w:kern w:val="0"/>
                <w:sz w:val="22"/>
                <w:szCs w:val="22"/>
                <w:highlight w:val="none"/>
                <w:lang w:val="en-US" w:eastAsia="zh-CN" w:bidi="ar-SA"/>
              </w:rPr>
            </w:pPr>
          </w:p>
        </w:tc>
        <w:tc>
          <w:tcPr>
            <w:tcW w:w="1056" w:type="dxa"/>
            <w:vAlign w:val="center"/>
          </w:tcPr>
          <w:p w14:paraId="4E8980C4">
            <w:pPr>
              <w:keepNext w:val="0"/>
              <w:keepLines w:val="0"/>
              <w:widowControl/>
              <w:suppressLineNumbers w:val="0"/>
              <w:ind w:firstLine="236" w:firstLineChars="100"/>
              <w:jc w:val="left"/>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14分</w:t>
            </w:r>
          </w:p>
        </w:tc>
      </w:tr>
      <w:tr w14:paraId="039A2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trPr>
        <w:tc>
          <w:tcPr>
            <w:tcW w:w="1156" w:type="dxa"/>
            <w:vMerge w:val="continue"/>
            <w:tcBorders>
              <w:left w:val="single" w:color="auto" w:sz="4" w:space="0"/>
            </w:tcBorders>
            <w:textDirection w:val="tbRlV"/>
            <w:vAlign w:val="top"/>
          </w:tcPr>
          <w:p w14:paraId="7368EBA9">
            <w:pPr>
              <w:keepNext w:val="0"/>
              <w:keepLines w:val="0"/>
              <w:widowControl/>
              <w:suppressLineNumbers w:val="0"/>
              <w:jc w:val="left"/>
              <w:rPr>
                <w:rFonts w:hint="eastAsia" w:ascii="宋体" w:hAnsi="宋体" w:eastAsia="宋体" w:cs="宋体"/>
                <w:snapToGrid w:val="0"/>
                <w:color w:val="auto"/>
                <w:spacing w:val="8"/>
                <w:kern w:val="0"/>
                <w:sz w:val="22"/>
                <w:szCs w:val="22"/>
                <w:highlight w:val="none"/>
                <w:lang w:val="en-US" w:eastAsia="zh-CN" w:bidi="ar-SA"/>
              </w:rPr>
            </w:pPr>
          </w:p>
        </w:tc>
        <w:tc>
          <w:tcPr>
            <w:tcW w:w="1234" w:type="dxa"/>
            <w:vAlign w:val="center"/>
          </w:tcPr>
          <w:p w14:paraId="0611C745">
            <w:pPr>
              <w:keepNext w:val="0"/>
              <w:keepLines w:val="0"/>
              <w:widowControl/>
              <w:suppressLineNumbers w:val="0"/>
              <w:jc w:val="center"/>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质量保证措施</w:t>
            </w:r>
          </w:p>
        </w:tc>
        <w:tc>
          <w:tcPr>
            <w:tcW w:w="6314" w:type="dxa"/>
            <w:vAlign w:val="center"/>
          </w:tcPr>
          <w:p w14:paraId="4FD3CF8F">
            <w:pPr>
              <w:pStyle w:val="18"/>
              <w:spacing w:before="26" w:line="226" w:lineRule="auto"/>
              <w:ind w:left="110"/>
              <w:jc w:val="left"/>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质量保证措施包括但不限于：①</w:t>
            </w:r>
            <w:r>
              <w:rPr>
                <w:rFonts w:hint="eastAsia" w:ascii="宋体" w:hAnsi="宋体" w:eastAsia="宋体" w:cs="宋体"/>
                <w:color w:val="auto"/>
                <w:spacing w:val="9"/>
                <w:sz w:val="22"/>
                <w:szCs w:val="22"/>
                <w:highlight w:val="none"/>
                <w:lang w:val="en-US" w:eastAsia="zh-CN"/>
              </w:rPr>
              <w:t>原材料与配件质量控制措施；</w:t>
            </w:r>
          </w:p>
          <w:p w14:paraId="442371B2">
            <w:pPr>
              <w:pStyle w:val="18"/>
              <w:spacing w:before="26" w:line="226" w:lineRule="auto"/>
              <w:ind w:left="110"/>
              <w:jc w:val="left"/>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②</w:t>
            </w:r>
            <w:r>
              <w:rPr>
                <w:rFonts w:hint="eastAsia" w:ascii="宋体" w:hAnsi="宋体" w:eastAsia="宋体" w:cs="宋体"/>
                <w:color w:val="auto"/>
                <w:spacing w:val="9"/>
                <w:sz w:val="22"/>
                <w:szCs w:val="22"/>
                <w:highlight w:val="none"/>
                <w:lang w:val="en-US" w:eastAsia="zh-CN"/>
              </w:rPr>
              <w:t>生产制造与出厂检验；</w:t>
            </w:r>
            <w:r>
              <w:rPr>
                <w:rFonts w:hint="eastAsia" w:ascii="宋体" w:hAnsi="宋体" w:eastAsia="宋体" w:cs="宋体"/>
                <w:snapToGrid w:val="0"/>
                <w:color w:val="auto"/>
                <w:spacing w:val="8"/>
                <w:kern w:val="0"/>
                <w:sz w:val="22"/>
                <w:szCs w:val="22"/>
                <w:highlight w:val="none"/>
                <w:lang w:val="en-US" w:eastAsia="zh-CN" w:bidi="ar-SA"/>
              </w:rPr>
              <w:t>③</w:t>
            </w:r>
            <w:r>
              <w:rPr>
                <w:rFonts w:hint="eastAsia" w:ascii="宋体" w:hAnsi="宋体" w:eastAsia="宋体" w:cs="宋体"/>
                <w:color w:val="auto"/>
                <w:spacing w:val="9"/>
                <w:sz w:val="22"/>
                <w:szCs w:val="22"/>
                <w:highlight w:val="none"/>
                <w:lang w:val="en-US" w:eastAsia="zh-CN"/>
              </w:rPr>
              <w:t>供货与到货验收；</w:t>
            </w:r>
            <w:r>
              <w:rPr>
                <w:rFonts w:hint="eastAsia" w:ascii="宋体" w:hAnsi="宋体" w:eastAsia="宋体" w:cs="宋体"/>
                <w:snapToGrid w:val="0"/>
                <w:color w:val="auto"/>
                <w:spacing w:val="8"/>
                <w:kern w:val="0"/>
                <w:sz w:val="22"/>
                <w:szCs w:val="22"/>
                <w:highlight w:val="none"/>
                <w:lang w:val="en-US" w:eastAsia="zh-CN" w:bidi="ar-SA"/>
              </w:rPr>
              <w:t>④</w:t>
            </w:r>
            <w:r>
              <w:rPr>
                <w:rFonts w:hint="eastAsia" w:ascii="宋体" w:hAnsi="宋体" w:eastAsia="宋体" w:cs="宋体"/>
                <w:color w:val="auto"/>
                <w:spacing w:val="9"/>
                <w:sz w:val="22"/>
                <w:szCs w:val="22"/>
                <w:highlight w:val="none"/>
                <w:lang w:val="en-US" w:eastAsia="zh-CN"/>
              </w:rPr>
              <w:t>调试与试运行保障；</w:t>
            </w:r>
            <w:r>
              <w:rPr>
                <w:rFonts w:hint="eastAsia" w:ascii="宋体" w:hAnsi="宋体" w:eastAsia="宋体" w:cs="宋体"/>
                <w:snapToGrid w:val="0"/>
                <w:color w:val="auto"/>
                <w:spacing w:val="8"/>
                <w:kern w:val="0"/>
                <w:sz w:val="22"/>
                <w:szCs w:val="22"/>
                <w:highlight w:val="none"/>
                <w:lang w:val="en-US" w:eastAsia="zh-CN" w:bidi="ar-SA"/>
              </w:rPr>
              <w:t>⑤</w:t>
            </w:r>
            <w:r>
              <w:rPr>
                <w:rFonts w:hint="eastAsia" w:ascii="宋体" w:hAnsi="宋体" w:eastAsia="宋体" w:cs="宋体"/>
                <w:color w:val="auto"/>
                <w:spacing w:val="9"/>
                <w:sz w:val="22"/>
                <w:szCs w:val="22"/>
                <w:highlight w:val="none"/>
                <w:lang w:val="en-US" w:eastAsia="zh-CN"/>
              </w:rPr>
              <w:t>安装施工质量控制；</w:t>
            </w:r>
            <w:r>
              <w:rPr>
                <w:rFonts w:hint="eastAsia" w:ascii="宋体" w:hAnsi="宋体" w:eastAsia="宋体" w:cs="宋体"/>
                <w:snapToGrid w:val="0"/>
                <w:color w:val="auto"/>
                <w:spacing w:val="8"/>
                <w:kern w:val="0"/>
                <w:sz w:val="22"/>
                <w:szCs w:val="22"/>
                <w:highlight w:val="none"/>
                <w:lang w:val="en-US" w:eastAsia="zh-CN" w:bidi="ar-SA"/>
              </w:rPr>
              <w:t xml:space="preserve">以上相关方案每有一项内容方案完整详细，条理清晰且符合采购实际需求得 </w:t>
            </w:r>
            <w:r>
              <w:rPr>
                <w:rFonts w:hint="eastAsia" w:cs="宋体"/>
                <w:snapToGrid w:val="0"/>
                <w:color w:val="auto"/>
                <w:spacing w:val="8"/>
                <w:kern w:val="0"/>
                <w:sz w:val="22"/>
                <w:szCs w:val="22"/>
                <w:highlight w:val="none"/>
                <w:lang w:val="en-US" w:eastAsia="zh-CN" w:bidi="ar-SA"/>
              </w:rPr>
              <w:t>2</w:t>
            </w:r>
            <w:r>
              <w:rPr>
                <w:rFonts w:hint="eastAsia" w:ascii="宋体" w:hAnsi="宋体" w:eastAsia="宋体" w:cs="宋体"/>
                <w:snapToGrid w:val="0"/>
                <w:color w:val="auto"/>
                <w:spacing w:val="8"/>
                <w:kern w:val="0"/>
                <w:sz w:val="22"/>
                <w:szCs w:val="22"/>
                <w:highlight w:val="none"/>
                <w:lang w:val="en-US" w:eastAsia="zh-CN" w:bidi="ar-SA"/>
              </w:rPr>
              <w:t xml:space="preserve"> 分，满分 </w:t>
            </w:r>
            <w:r>
              <w:rPr>
                <w:rFonts w:hint="eastAsia" w:cs="宋体"/>
                <w:snapToGrid w:val="0"/>
                <w:color w:val="auto"/>
                <w:spacing w:val="8"/>
                <w:kern w:val="0"/>
                <w:sz w:val="22"/>
                <w:szCs w:val="22"/>
                <w:highlight w:val="none"/>
                <w:lang w:val="en-US" w:eastAsia="zh-CN" w:bidi="ar-SA"/>
              </w:rPr>
              <w:t>10</w:t>
            </w:r>
            <w:r>
              <w:rPr>
                <w:rFonts w:hint="eastAsia" w:ascii="宋体" w:hAnsi="宋体" w:eastAsia="宋体" w:cs="宋体"/>
                <w:snapToGrid w:val="0"/>
                <w:color w:val="auto"/>
                <w:spacing w:val="8"/>
                <w:kern w:val="0"/>
                <w:sz w:val="22"/>
                <w:szCs w:val="22"/>
                <w:highlight w:val="none"/>
                <w:lang w:val="en-US" w:eastAsia="zh-CN" w:bidi="ar-SA"/>
              </w:rPr>
              <w:t xml:space="preserve"> 分。每有一项内容出现一处存在缺陷的扣 0.5 分，</w:t>
            </w:r>
            <w:r>
              <w:rPr>
                <w:rFonts w:hint="eastAsia" w:cs="宋体"/>
                <w:snapToGrid w:val="0"/>
                <w:color w:val="auto"/>
                <w:spacing w:val="8"/>
                <w:kern w:val="0"/>
                <w:sz w:val="22"/>
                <w:szCs w:val="22"/>
                <w:highlight w:val="none"/>
                <w:lang w:val="en-US" w:eastAsia="zh-CN" w:bidi="ar-SA"/>
              </w:rPr>
              <w:t>扣完为止，</w:t>
            </w:r>
            <w:r>
              <w:rPr>
                <w:rFonts w:hint="eastAsia" w:ascii="宋体" w:hAnsi="宋体" w:eastAsia="宋体" w:cs="宋体"/>
                <w:snapToGrid w:val="0"/>
                <w:color w:val="auto"/>
                <w:spacing w:val="8"/>
                <w:kern w:val="0"/>
                <w:sz w:val="22"/>
                <w:szCs w:val="22"/>
                <w:highlight w:val="none"/>
                <w:lang w:val="en-US" w:eastAsia="zh-CN" w:bidi="ar-SA"/>
              </w:rPr>
              <w:t>缺项不得分。（缺陷是指：未能体现出本项目的特点或与本项目实际 需求不完全相符、无针对性及可操作性、内容不全面、条理不清晰、凭空编造 以及不可能实现的夸大情形、语言错误或存在歧义等）。</w:t>
            </w:r>
          </w:p>
          <w:p w14:paraId="247674B5">
            <w:pPr>
              <w:pStyle w:val="18"/>
              <w:spacing w:before="26" w:line="226" w:lineRule="auto"/>
              <w:ind w:left="110"/>
              <w:jc w:val="left"/>
              <w:rPr>
                <w:rFonts w:hint="eastAsia" w:ascii="宋体" w:hAnsi="宋体" w:eastAsia="宋体" w:cs="宋体"/>
                <w:color w:val="auto"/>
                <w:spacing w:val="9"/>
                <w:sz w:val="22"/>
                <w:szCs w:val="22"/>
                <w:highlight w:val="none"/>
                <w:lang w:val="en-US" w:eastAsia="zh-CN"/>
              </w:rPr>
            </w:pPr>
          </w:p>
        </w:tc>
        <w:tc>
          <w:tcPr>
            <w:tcW w:w="1056" w:type="dxa"/>
            <w:vAlign w:val="center"/>
          </w:tcPr>
          <w:p w14:paraId="54C78D62">
            <w:pPr>
              <w:keepNext w:val="0"/>
              <w:keepLines w:val="0"/>
              <w:widowControl/>
              <w:suppressLineNumbers w:val="0"/>
              <w:jc w:val="center"/>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10分</w:t>
            </w:r>
          </w:p>
        </w:tc>
      </w:tr>
      <w:tr w14:paraId="4260B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1156" w:type="dxa"/>
            <w:vMerge w:val="continue"/>
            <w:tcBorders>
              <w:left w:val="single" w:color="auto" w:sz="4" w:space="0"/>
            </w:tcBorders>
            <w:textDirection w:val="tbRlV"/>
            <w:vAlign w:val="top"/>
          </w:tcPr>
          <w:p w14:paraId="01240CAE">
            <w:pPr>
              <w:keepNext w:val="0"/>
              <w:keepLines w:val="0"/>
              <w:widowControl/>
              <w:suppressLineNumbers w:val="0"/>
              <w:jc w:val="left"/>
              <w:rPr>
                <w:rFonts w:hint="eastAsia" w:ascii="宋体" w:hAnsi="宋体" w:eastAsia="宋体" w:cs="宋体"/>
                <w:snapToGrid w:val="0"/>
                <w:color w:val="auto"/>
                <w:spacing w:val="8"/>
                <w:kern w:val="0"/>
                <w:sz w:val="22"/>
                <w:szCs w:val="22"/>
                <w:highlight w:val="none"/>
                <w:lang w:val="en-US" w:eastAsia="zh-CN" w:bidi="ar-SA"/>
              </w:rPr>
            </w:pPr>
          </w:p>
        </w:tc>
        <w:tc>
          <w:tcPr>
            <w:tcW w:w="1234" w:type="dxa"/>
            <w:vAlign w:val="center"/>
          </w:tcPr>
          <w:p w14:paraId="0961A3FF">
            <w:pPr>
              <w:keepNext w:val="0"/>
              <w:keepLines w:val="0"/>
              <w:widowControl/>
              <w:suppressLineNumbers w:val="0"/>
              <w:jc w:val="center"/>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应急措施方案</w:t>
            </w:r>
          </w:p>
        </w:tc>
        <w:tc>
          <w:tcPr>
            <w:tcW w:w="6314" w:type="dxa"/>
            <w:vAlign w:val="center"/>
          </w:tcPr>
          <w:p w14:paraId="70A40809">
            <w:pPr>
              <w:pStyle w:val="18"/>
              <w:spacing w:before="26" w:line="226" w:lineRule="auto"/>
              <w:ind w:left="110"/>
              <w:jc w:val="left"/>
              <w:rPr>
                <w:rFonts w:hint="eastAsia" w:ascii="宋体" w:hAnsi="宋体" w:eastAsia="宋体" w:cs="宋体"/>
                <w:color w:val="auto"/>
                <w:spacing w:val="9"/>
                <w:sz w:val="22"/>
                <w:szCs w:val="22"/>
                <w:highlight w:val="none"/>
                <w:lang w:val="en-US" w:eastAsia="zh-CN"/>
              </w:rPr>
            </w:pPr>
            <w:r>
              <w:rPr>
                <w:rFonts w:hint="eastAsia" w:ascii="宋体" w:hAnsi="宋体" w:eastAsia="宋体" w:cs="宋体"/>
                <w:snapToGrid w:val="0"/>
                <w:color w:val="auto"/>
                <w:spacing w:val="8"/>
                <w:kern w:val="0"/>
                <w:sz w:val="22"/>
                <w:szCs w:val="22"/>
                <w:highlight w:val="none"/>
                <w:lang w:val="en-US" w:eastAsia="zh-CN" w:bidi="ar-SA"/>
              </w:rPr>
              <w:t>应急措施方案包括但不限于：①</w:t>
            </w:r>
            <w:r>
              <w:rPr>
                <w:rFonts w:hint="eastAsia" w:ascii="宋体" w:hAnsi="宋体" w:eastAsia="宋体" w:cs="宋体"/>
                <w:color w:val="auto"/>
                <w:spacing w:val="9"/>
                <w:sz w:val="22"/>
                <w:szCs w:val="22"/>
                <w:highlight w:val="none"/>
                <w:lang w:val="en-US" w:eastAsia="zh-CN"/>
              </w:rPr>
              <w:t xml:space="preserve"> 供货延迟与设备破损应急</w:t>
            </w:r>
            <w:r>
              <w:rPr>
                <w:rFonts w:hint="eastAsia" w:cs="宋体"/>
                <w:color w:val="auto"/>
                <w:spacing w:val="9"/>
                <w:sz w:val="22"/>
                <w:szCs w:val="22"/>
                <w:highlight w:val="none"/>
                <w:lang w:val="en-US" w:eastAsia="zh-CN"/>
              </w:rPr>
              <w:t>；</w:t>
            </w:r>
            <w:r>
              <w:rPr>
                <w:rFonts w:hint="eastAsia" w:ascii="宋体" w:hAnsi="宋体" w:eastAsia="宋体" w:cs="宋体"/>
                <w:snapToGrid w:val="0"/>
                <w:color w:val="auto"/>
                <w:spacing w:val="8"/>
                <w:kern w:val="0"/>
                <w:sz w:val="22"/>
                <w:szCs w:val="22"/>
                <w:highlight w:val="none"/>
                <w:lang w:val="en-US" w:eastAsia="zh-CN" w:bidi="ar-SA"/>
              </w:rPr>
              <w:t>②</w:t>
            </w:r>
            <w:r>
              <w:rPr>
                <w:rFonts w:hint="eastAsia" w:ascii="宋体" w:hAnsi="宋体" w:eastAsia="宋体" w:cs="宋体"/>
                <w:color w:val="auto"/>
                <w:spacing w:val="9"/>
                <w:sz w:val="22"/>
                <w:szCs w:val="22"/>
                <w:highlight w:val="none"/>
                <w:lang w:val="en-US" w:eastAsia="zh-CN"/>
              </w:rPr>
              <w:t>安装施工安全与突发情况应急；</w:t>
            </w:r>
            <w:r>
              <w:rPr>
                <w:rFonts w:hint="eastAsia" w:ascii="宋体" w:hAnsi="宋体" w:eastAsia="宋体" w:cs="宋体"/>
                <w:snapToGrid w:val="0"/>
                <w:color w:val="auto"/>
                <w:spacing w:val="8"/>
                <w:kern w:val="0"/>
                <w:sz w:val="22"/>
                <w:szCs w:val="22"/>
                <w:highlight w:val="none"/>
                <w:lang w:val="en-US" w:eastAsia="zh-CN" w:bidi="ar-SA"/>
              </w:rPr>
              <w:t>③</w:t>
            </w:r>
            <w:r>
              <w:rPr>
                <w:rFonts w:hint="eastAsia" w:cs="宋体"/>
                <w:snapToGrid w:val="0"/>
                <w:color w:val="auto"/>
                <w:spacing w:val="8"/>
                <w:kern w:val="0"/>
                <w:sz w:val="22"/>
                <w:szCs w:val="22"/>
                <w:highlight w:val="none"/>
                <w:lang w:val="en-US" w:eastAsia="zh-CN" w:bidi="ar-SA"/>
              </w:rPr>
              <w:t>调</w:t>
            </w:r>
            <w:r>
              <w:rPr>
                <w:rFonts w:hint="eastAsia" w:ascii="宋体" w:hAnsi="宋体" w:eastAsia="宋体" w:cs="宋体"/>
                <w:color w:val="auto"/>
                <w:spacing w:val="9"/>
                <w:sz w:val="22"/>
                <w:szCs w:val="22"/>
                <w:highlight w:val="none"/>
                <w:lang w:val="en-US" w:eastAsia="zh-CN"/>
              </w:rPr>
              <w:t>试与试运行故障应急；</w:t>
            </w:r>
            <w:r>
              <w:rPr>
                <w:rFonts w:hint="eastAsia" w:ascii="宋体" w:hAnsi="宋体" w:eastAsia="宋体" w:cs="宋体"/>
                <w:snapToGrid w:val="0"/>
                <w:color w:val="auto"/>
                <w:spacing w:val="8"/>
                <w:kern w:val="0"/>
                <w:sz w:val="22"/>
                <w:szCs w:val="22"/>
                <w:highlight w:val="none"/>
                <w:lang w:val="en-US" w:eastAsia="zh-CN" w:bidi="ar-SA"/>
              </w:rPr>
              <w:t>④</w:t>
            </w:r>
          </w:p>
          <w:p w14:paraId="68BE323E">
            <w:pPr>
              <w:pStyle w:val="18"/>
              <w:spacing w:before="26" w:line="226" w:lineRule="auto"/>
              <w:ind w:left="110"/>
              <w:jc w:val="left"/>
              <w:rPr>
                <w:rFonts w:hint="eastAsia" w:ascii="宋体" w:hAnsi="宋体" w:eastAsia="宋体" w:cs="宋体"/>
                <w:color w:val="auto"/>
                <w:spacing w:val="9"/>
                <w:sz w:val="22"/>
                <w:szCs w:val="22"/>
                <w:highlight w:val="none"/>
                <w:lang w:val="en-US" w:eastAsia="zh-CN"/>
              </w:rPr>
            </w:pPr>
            <w:r>
              <w:rPr>
                <w:rFonts w:hint="eastAsia" w:ascii="宋体" w:hAnsi="宋体" w:eastAsia="宋体" w:cs="宋体"/>
                <w:color w:val="auto"/>
                <w:spacing w:val="9"/>
                <w:sz w:val="22"/>
                <w:szCs w:val="22"/>
                <w:highlight w:val="none"/>
                <w:lang w:val="en-US" w:eastAsia="zh-CN"/>
              </w:rPr>
              <w:t>生产运行售后应急；</w:t>
            </w:r>
            <w:r>
              <w:rPr>
                <w:rFonts w:hint="eastAsia" w:ascii="宋体" w:hAnsi="宋体" w:eastAsia="宋体" w:cs="宋体"/>
                <w:snapToGrid w:val="0"/>
                <w:color w:val="auto"/>
                <w:spacing w:val="8"/>
                <w:kern w:val="0"/>
                <w:sz w:val="22"/>
                <w:szCs w:val="22"/>
                <w:highlight w:val="none"/>
                <w:lang w:val="en-US" w:eastAsia="zh-CN" w:bidi="ar-SA"/>
              </w:rPr>
              <w:t>⑤</w:t>
            </w:r>
            <w:r>
              <w:rPr>
                <w:rFonts w:hint="eastAsia" w:ascii="宋体" w:hAnsi="宋体" w:eastAsia="宋体" w:cs="宋体"/>
                <w:color w:val="auto"/>
                <w:spacing w:val="9"/>
                <w:sz w:val="22"/>
                <w:szCs w:val="22"/>
                <w:highlight w:val="none"/>
                <w:lang w:val="en-US" w:eastAsia="zh-CN"/>
              </w:rPr>
              <w:t>工期保障应急；</w:t>
            </w:r>
            <w:r>
              <w:rPr>
                <w:rFonts w:hint="eastAsia" w:ascii="宋体" w:hAnsi="宋体" w:eastAsia="宋体" w:cs="宋体"/>
                <w:snapToGrid w:val="0"/>
                <w:color w:val="auto"/>
                <w:spacing w:val="8"/>
                <w:kern w:val="0"/>
                <w:sz w:val="22"/>
                <w:szCs w:val="22"/>
                <w:highlight w:val="none"/>
                <w:lang w:val="en-US" w:eastAsia="zh-CN" w:bidi="ar-SA"/>
              </w:rPr>
              <w:t xml:space="preserve">以上相关方案每有一项内容方案完整详细，条理清晰且符合采购实际需求得 </w:t>
            </w:r>
            <w:r>
              <w:rPr>
                <w:rFonts w:hint="eastAsia" w:cs="宋体"/>
                <w:snapToGrid w:val="0"/>
                <w:color w:val="auto"/>
                <w:spacing w:val="8"/>
                <w:kern w:val="0"/>
                <w:sz w:val="22"/>
                <w:szCs w:val="22"/>
                <w:highlight w:val="none"/>
                <w:lang w:val="en-US" w:eastAsia="zh-CN" w:bidi="ar-SA"/>
              </w:rPr>
              <w:t>2</w:t>
            </w:r>
            <w:r>
              <w:rPr>
                <w:rFonts w:hint="eastAsia" w:ascii="宋体" w:hAnsi="宋体" w:eastAsia="宋体" w:cs="宋体"/>
                <w:snapToGrid w:val="0"/>
                <w:color w:val="auto"/>
                <w:spacing w:val="8"/>
                <w:kern w:val="0"/>
                <w:sz w:val="22"/>
                <w:szCs w:val="22"/>
                <w:highlight w:val="none"/>
                <w:lang w:val="en-US" w:eastAsia="zh-CN" w:bidi="ar-SA"/>
              </w:rPr>
              <w:t xml:space="preserve"> 分，满分 </w:t>
            </w:r>
            <w:r>
              <w:rPr>
                <w:rFonts w:hint="eastAsia" w:cs="宋体"/>
                <w:snapToGrid w:val="0"/>
                <w:color w:val="auto"/>
                <w:spacing w:val="8"/>
                <w:kern w:val="0"/>
                <w:sz w:val="22"/>
                <w:szCs w:val="22"/>
                <w:highlight w:val="none"/>
                <w:lang w:val="en-US" w:eastAsia="zh-CN" w:bidi="ar-SA"/>
              </w:rPr>
              <w:t>10</w:t>
            </w:r>
            <w:r>
              <w:rPr>
                <w:rFonts w:hint="eastAsia" w:ascii="宋体" w:hAnsi="宋体" w:eastAsia="宋体" w:cs="宋体"/>
                <w:snapToGrid w:val="0"/>
                <w:color w:val="auto"/>
                <w:spacing w:val="8"/>
                <w:kern w:val="0"/>
                <w:sz w:val="22"/>
                <w:szCs w:val="22"/>
                <w:highlight w:val="none"/>
                <w:lang w:val="en-US" w:eastAsia="zh-CN" w:bidi="ar-SA"/>
              </w:rPr>
              <w:t xml:space="preserve"> 分。每有一项内容出现一处存在缺陷的扣 0.5 分，</w:t>
            </w:r>
            <w:r>
              <w:rPr>
                <w:rFonts w:hint="eastAsia" w:cs="宋体"/>
                <w:snapToGrid w:val="0"/>
                <w:color w:val="auto"/>
                <w:spacing w:val="8"/>
                <w:kern w:val="0"/>
                <w:sz w:val="22"/>
                <w:szCs w:val="22"/>
                <w:highlight w:val="none"/>
                <w:lang w:val="en-US" w:eastAsia="zh-CN" w:bidi="ar-SA"/>
              </w:rPr>
              <w:t>扣完为止，</w:t>
            </w:r>
            <w:r>
              <w:rPr>
                <w:rFonts w:hint="eastAsia" w:ascii="宋体" w:hAnsi="宋体" w:eastAsia="宋体" w:cs="宋体"/>
                <w:snapToGrid w:val="0"/>
                <w:color w:val="auto"/>
                <w:spacing w:val="8"/>
                <w:kern w:val="0"/>
                <w:sz w:val="22"/>
                <w:szCs w:val="22"/>
                <w:highlight w:val="none"/>
                <w:lang w:val="en-US" w:eastAsia="zh-CN" w:bidi="ar-SA"/>
              </w:rPr>
              <w:t>缺项不得分。（缺陷是指：未能体现出本项目的特点或与本项目实际 需求不完全相符、无针对性及可操作性、内容不全面、条理不清晰、凭空编造 以及不可能实现的夸大情形、语言错误或存在歧义等）。</w:t>
            </w:r>
          </w:p>
          <w:p w14:paraId="72357ACA">
            <w:pPr>
              <w:pStyle w:val="18"/>
              <w:spacing w:before="26" w:line="226" w:lineRule="auto"/>
              <w:ind w:left="110"/>
              <w:jc w:val="left"/>
              <w:rPr>
                <w:rFonts w:hint="eastAsia" w:ascii="宋体" w:hAnsi="宋体" w:eastAsia="宋体" w:cs="宋体"/>
                <w:color w:val="auto"/>
                <w:spacing w:val="9"/>
                <w:sz w:val="22"/>
                <w:szCs w:val="22"/>
                <w:highlight w:val="none"/>
                <w:lang w:val="en-US" w:eastAsia="zh-CN"/>
              </w:rPr>
            </w:pPr>
          </w:p>
        </w:tc>
        <w:tc>
          <w:tcPr>
            <w:tcW w:w="1056" w:type="dxa"/>
            <w:vAlign w:val="center"/>
          </w:tcPr>
          <w:p w14:paraId="77DADB2A">
            <w:pPr>
              <w:keepNext w:val="0"/>
              <w:keepLines w:val="0"/>
              <w:widowControl/>
              <w:suppressLineNumbers w:val="0"/>
              <w:jc w:val="center"/>
              <w:rPr>
                <w:rFonts w:hint="eastAsia" w:ascii="宋体" w:hAnsi="宋体" w:eastAsia="宋体" w:cs="宋体"/>
                <w:snapToGrid w:val="0"/>
                <w:color w:val="auto"/>
                <w:spacing w:val="8"/>
                <w:kern w:val="0"/>
                <w:sz w:val="22"/>
                <w:szCs w:val="22"/>
                <w:highlight w:val="none"/>
                <w:lang w:val="en-US" w:eastAsia="zh-CN" w:bidi="ar-SA"/>
              </w:rPr>
            </w:pPr>
            <w:r>
              <w:rPr>
                <w:rFonts w:hint="eastAsia" w:ascii="宋体" w:hAnsi="宋体" w:eastAsia="宋体" w:cs="宋体"/>
                <w:snapToGrid w:val="0"/>
                <w:color w:val="auto"/>
                <w:spacing w:val="8"/>
                <w:kern w:val="0"/>
                <w:sz w:val="22"/>
                <w:szCs w:val="22"/>
                <w:highlight w:val="none"/>
                <w:lang w:val="en-US" w:eastAsia="zh-CN" w:bidi="ar-SA"/>
              </w:rPr>
              <w:t>10分</w:t>
            </w:r>
          </w:p>
        </w:tc>
      </w:tr>
    </w:tbl>
    <w:p w14:paraId="19560FE0">
      <w:pPr>
        <w:spacing w:before="71" w:line="225" w:lineRule="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注：</w:t>
      </w:r>
    </w:p>
    <w:p w14:paraId="526CFB5E">
      <w:pPr>
        <w:spacing w:before="175" w:line="221" w:lineRule="auto"/>
        <w:ind w:left="454"/>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1、计分方法按四舍五入取至百分位。</w:t>
      </w:r>
    </w:p>
    <w:p w14:paraId="6E86F672">
      <w:pPr>
        <w:tabs>
          <w:tab w:val="left" w:pos="9694"/>
        </w:tabs>
        <w:spacing w:before="182" w:line="377" w:lineRule="auto"/>
        <w:ind w:left="425" w:firstLine="7"/>
        <w:jc w:val="both"/>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总得分=</w:t>
      </w:r>
      <w:r>
        <w:rPr>
          <w:rFonts w:hint="eastAsia" w:ascii="宋体" w:hAnsi="宋体" w:eastAsia="宋体" w:cs="宋体"/>
          <w:color w:val="auto"/>
          <w:spacing w:val="-2"/>
          <w:sz w:val="22"/>
          <w:szCs w:val="22"/>
          <w:highlight w:val="none"/>
          <w:u w:val="single" w:color="auto"/>
        </w:rPr>
        <w:t xml:space="preserve">  价格部分得分+商务技术部分得分</w:t>
      </w:r>
      <w:r>
        <w:rPr>
          <w:rFonts w:hint="eastAsia" w:ascii="宋体" w:hAnsi="宋体" w:eastAsia="宋体" w:cs="宋体"/>
          <w:color w:val="auto"/>
          <w:sz w:val="22"/>
          <w:szCs w:val="22"/>
          <w:highlight w:val="none"/>
        </w:rPr>
        <w:t xml:space="preserve"> </w:t>
      </w:r>
    </w:p>
    <w:p w14:paraId="2AA5973F">
      <w:pPr>
        <w:tabs>
          <w:tab w:val="left" w:pos="9694"/>
        </w:tabs>
        <w:spacing w:before="182" w:line="377" w:lineRule="auto"/>
        <w:ind w:left="425" w:firstLine="7"/>
        <w:jc w:val="both"/>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2、商务技术评审因素为客观评分项的，应在评分项目或评分标准中予以标注为“客观分”。对供应</w:t>
      </w:r>
      <w:r>
        <w:rPr>
          <w:rFonts w:hint="eastAsia" w:ascii="宋体" w:hAnsi="宋体" w:eastAsia="宋体" w:cs="宋体"/>
          <w:color w:val="auto"/>
          <w:sz w:val="22"/>
          <w:szCs w:val="22"/>
          <w:highlight w:val="none"/>
        </w:rPr>
        <w:t>商</w:t>
      </w:r>
      <w:r>
        <w:rPr>
          <w:rFonts w:hint="eastAsia" w:ascii="宋体" w:hAnsi="宋体" w:eastAsia="宋体" w:cs="宋体"/>
          <w:color w:val="auto"/>
          <w:spacing w:val="-15"/>
          <w:sz w:val="22"/>
          <w:szCs w:val="22"/>
          <w:highlight w:val="none"/>
        </w:rPr>
        <w:t>的客观评分项目，各评标专家评分应当一致。</w:t>
      </w:r>
    </w:p>
    <w:p w14:paraId="21107B9E">
      <w:pPr>
        <w:rPr>
          <w:rFonts w:hint="eastAsia" w:ascii="宋体" w:hAnsi="宋体" w:eastAsia="宋体" w:cs="宋体"/>
          <w:color w:val="auto"/>
          <w:spacing w:val="-10"/>
          <w:sz w:val="31"/>
          <w:szCs w:val="31"/>
          <w:highlight w:val="none"/>
        </w:rPr>
      </w:pPr>
      <w:bookmarkStart w:id="70" w:name="bookmark47"/>
      <w:bookmarkEnd w:id="70"/>
      <w:r>
        <w:rPr>
          <w:rFonts w:hint="eastAsia" w:ascii="宋体" w:hAnsi="宋体" w:eastAsia="宋体" w:cs="宋体"/>
          <w:color w:val="auto"/>
          <w:spacing w:val="-10"/>
          <w:sz w:val="31"/>
          <w:szCs w:val="31"/>
          <w:highlight w:val="none"/>
        </w:rPr>
        <w:br w:type="page"/>
      </w:r>
    </w:p>
    <w:p w14:paraId="118AA4D1">
      <w:pPr>
        <w:spacing w:before="164" w:line="227" w:lineRule="auto"/>
        <w:jc w:val="center"/>
        <w:outlineLvl w:val="1"/>
        <w:rPr>
          <w:rFonts w:hint="eastAsia" w:ascii="宋体" w:hAnsi="宋体" w:eastAsia="宋体" w:cs="宋体"/>
          <w:b/>
          <w:bCs/>
          <w:color w:val="auto"/>
          <w:spacing w:val="-8"/>
          <w:sz w:val="32"/>
          <w:szCs w:val="32"/>
          <w:highlight w:val="none"/>
        </w:rPr>
      </w:pPr>
      <w:bookmarkStart w:id="71" w:name="_Toc4431"/>
      <w:r>
        <w:rPr>
          <w:rFonts w:hint="eastAsia" w:ascii="宋体" w:hAnsi="宋体" w:eastAsia="宋体" w:cs="宋体"/>
          <w:b/>
          <w:bCs/>
          <w:color w:val="auto"/>
          <w:spacing w:val="-8"/>
          <w:sz w:val="32"/>
          <w:szCs w:val="32"/>
          <w:highlight w:val="none"/>
        </w:rPr>
        <w:t>第</w:t>
      </w:r>
      <w:r>
        <w:rPr>
          <w:rFonts w:hint="eastAsia" w:ascii="宋体" w:hAnsi="宋体" w:eastAsia="宋体" w:cs="宋体"/>
          <w:b/>
          <w:bCs/>
          <w:color w:val="auto"/>
          <w:spacing w:val="-8"/>
          <w:sz w:val="32"/>
          <w:szCs w:val="32"/>
          <w:highlight w:val="none"/>
          <w:lang w:val="en-US" w:eastAsia="zh-CN"/>
        </w:rPr>
        <w:t>三</w:t>
      </w:r>
      <w:r>
        <w:rPr>
          <w:rFonts w:hint="eastAsia" w:ascii="宋体" w:hAnsi="宋体" w:eastAsia="宋体" w:cs="宋体"/>
          <w:b/>
          <w:bCs/>
          <w:color w:val="auto"/>
          <w:spacing w:val="-8"/>
          <w:sz w:val="32"/>
          <w:szCs w:val="32"/>
          <w:highlight w:val="none"/>
        </w:rPr>
        <w:t>节 中标候选人推荐原则</w:t>
      </w:r>
      <w:bookmarkEnd w:id="71"/>
    </w:p>
    <w:p w14:paraId="387C322D">
      <w:pPr>
        <w:pStyle w:val="4"/>
        <w:spacing w:line="311" w:lineRule="auto"/>
        <w:rPr>
          <w:rFonts w:hint="eastAsia" w:ascii="宋体" w:hAnsi="宋体" w:eastAsia="宋体" w:cs="宋体"/>
          <w:color w:val="auto"/>
          <w:highlight w:val="none"/>
        </w:rPr>
      </w:pPr>
    </w:p>
    <w:p w14:paraId="42F938FC">
      <w:pPr>
        <w:spacing w:before="72" w:line="347" w:lineRule="auto"/>
        <w:ind w:left="28" w:right="160" w:firstLine="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A7D2BDE">
      <w:pPr>
        <w:spacing w:before="72" w:line="347" w:lineRule="auto"/>
        <w:ind w:left="28" w:right="160" w:firstLine="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2.根据《政府采购货物和服务招标投标管理办法》(财政部令第 87 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w:t>
      </w:r>
    </w:p>
    <w:p w14:paraId="3AF7E278">
      <w:pPr>
        <w:pStyle w:val="4"/>
        <w:spacing w:line="299" w:lineRule="auto"/>
        <w:rPr>
          <w:rFonts w:hint="eastAsia" w:ascii="宋体" w:hAnsi="宋体" w:eastAsia="宋体" w:cs="宋体"/>
          <w:color w:val="auto"/>
          <w:highlight w:val="none"/>
        </w:rPr>
      </w:pPr>
    </w:p>
    <w:p w14:paraId="24238ECA">
      <w:pPr>
        <w:spacing w:before="164" w:line="227" w:lineRule="auto"/>
        <w:jc w:val="center"/>
        <w:outlineLvl w:val="1"/>
        <w:rPr>
          <w:rFonts w:hint="eastAsia" w:ascii="宋体" w:hAnsi="宋体" w:eastAsia="宋体" w:cs="宋体"/>
          <w:b/>
          <w:bCs/>
          <w:color w:val="auto"/>
          <w:spacing w:val="-8"/>
          <w:sz w:val="32"/>
          <w:szCs w:val="32"/>
          <w:highlight w:val="none"/>
        </w:rPr>
      </w:pPr>
      <w:bookmarkStart w:id="72" w:name="bookmark49"/>
      <w:bookmarkEnd w:id="72"/>
      <w:bookmarkStart w:id="73" w:name="_Toc26914"/>
      <w:r>
        <w:rPr>
          <w:rFonts w:hint="eastAsia" w:ascii="宋体" w:hAnsi="宋体" w:eastAsia="宋体" w:cs="宋体"/>
          <w:b/>
          <w:bCs/>
          <w:color w:val="auto"/>
          <w:spacing w:val="-8"/>
          <w:sz w:val="32"/>
          <w:szCs w:val="32"/>
          <w:highlight w:val="none"/>
        </w:rPr>
        <w:t>第</w:t>
      </w:r>
      <w:r>
        <w:rPr>
          <w:rFonts w:hint="eastAsia" w:ascii="宋体" w:hAnsi="宋体" w:eastAsia="宋体" w:cs="宋体"/>
          <w:b/>
          <w:bCs/>
          <w:color w:val="auto"/>
          <w:spacing w:val="-8"/>
          <w:sz w:val="32"/>
          <w:szCs w:val="32"/>
          <w:highlight w:val="none"/>
          <w:lang w:val="en-US" w:eastAsia="zh-CN"/>
        </w:rPr>
        <w:t>四</w:t>
      </w:r>
      <w:r>
        <w:rPr>
          <w:rFonts w:hint="eastAsia" w:ascii="宋体" w:hAnsi="宋体" w:eastAsia="宋体" w:cs="宋体"/>
          <w:b/>
          <w:bCs/>
          <w:color w:val="auto"/>
          <w:spacing w:val="-8"/>
          <w:sz w:val="32"/>
          <w:szCs w:val="32"/>
          <w:highlight w:val="none"/>
        </w:rPr>
        <w:t>节 评标报告</w:t>
      </w:r>
      <w:bookmarkEnd w:id="73"/>
    </w:p>
    <w:p w14:paraId="27DB56FB">
      <w:pPr>
        <w:spacing w:before="72" w:line="347" w:lineRule="auto"/>
        <w:ind w:left="28" w:right="160" w:firstLine="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(一)评标报告与推荐中标候选人</w:t>
      </w:r>
    </w:p>
    <w:p w14:paraId="5773F96D">
      <w:pPr>
        <w:spacing w:before="72" w:line="347" w:lineRule="auto"/>
        <w:ind w:left="28" w:right="160" w:firstLine="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评标委员会根据原始评标记录和评标结果编写评标报告，并通过电子交易平台向采购人、采购代理机构提交。</w:t>
      </w:r>
    </w:p>
    <w:p w14:paraId="23B649FD">
      <w:pPr>
        <w:spacing w:before="72" w:line="347" w:lineRule="auto"/>
        <w:ind w:left="28" w:right="160" w:firstLine="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(二)评标争议事项处理</w:t>
      </w:r>
    </w:p>
    <w:p w14:paraId="1B451AEA">
      <w:pPr>
        <w:spacing w:before="72" w:line="347" w:lineRule="auto"/>
        <w:ind w:left="28" w:right="160" w:firstLine="4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66FE76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C0CD85">
      <w:pPr>
        <w:spacing w:before="113" w:line="225" w:lineRule="auto"/>
        <w:ind w:left="3504"/>
        <w:outlineLvl w:val="0"/>
        <w:rPr>
          <w:rFonts w:hint="eastAsia" w:asciiTheme="minorEastAsia" w:hAnsiTheme="minorEastAsia" w:eastAsiaTheme="minorEastAsia" w:cstheme="minorEastAsia"/>
          <w:b/>
          <w:bCs/>
          <w:color w:val="auto"/>
          <w:spacing w:val="-5"/>
          <w:sz w:val="32"/>
          <w:szCs w:val="32"/>
          <w:highlight w:val="none"/>
        </w:rPr>
      </w:pPr>
      <w:bookmarkStart w:id="74" w:name="bookmark51"/>
      <w:bookmarkEnd w:id="74"/>
      <w:bookmarkStart w:id="75" w:name="_Toc18605"/>
      <w:bookmarkStart w:id="76" w:name="_Toc1934"/>
      <w:r>
        <w:rPr>
          <w:rFonts w:hint="eastAsia" w:ascii="宋体" w:hAnsi="宋体" w:eastAsia="宋体" w:cs="宋体"/>
          <w:b/>
          <w:bCs/>
          <w:color w:val="auto"/>
          <w:spacing w:val="5"/>
          <w:sz w:val="35"/>
          <w:szCs w:val="35"/>
          <w:highlight w:val="none"/>
        </w:rPr>
        <w:t>第五章</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合同主要条款</w:t>
      </w:r>
      <w:bookmarkEnd w:id="75"/>
      <w:bookmarkEnd w:id="76"/>
      <w:r>
        <w:rPr>
          <w:rFonts w:hint="eastAsia" w:asciiTheme="minorEastAsia" w:hAnsiTheme="minorEastAsia" w:eastAsiaTheme="minorEastAsia" w:cstheme="minorEastAsia"/>
          <w:b/>
          <w:bCs/>
          <w:color w:val="auto"/>
          <w:spacing w:val="-5"/>
          <w:sz w:val="32"/>
          <w:szCs w:val="32"/>
          <w:highlight w:val="none"/>
        </w:rPr>
        <w:t>(参考)</w:t>
      </w:r>
    </w:p>
    <w:p w14:paraId="7136A542">
      <w:pPr>
        <w:pStyle w:val="11"/>
        <w:numPr>
          <w:ilvl w:val="0"/>
          <w:numId w:val="0"/>
        </w:numPr>
        <w:rPr>
          <w:rFonts w:hint="eastAsia"/>
          <w:color w:val="auto"/>
          <w:highlight w:val="none"/>
        </w:rPr>
      </w:pPr>
    </w:p>
    <w:p w14:paraId="0A19AB68">
      <w:pPr>
        <w:spacing w:line="360" w:lineRule="auto"/>
        <w:ind w:left="0" w:right="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(根</w:t>
      </w:r>
      <w:r>
        <w:rPr>
          <w:rFonts w:hint="eastAsia" w:asciiTheme="minorEastAsia" w:hAnsiTheme="minorEastAsia" w:eastAsiaTheme="minorEastAsia" w:cstheme="minorEastAsia"/>
          <w:color w:val="auto"/>
          <w:spacing w:val="-6"/>
          <w:sz w:val="24"/>
          <w:szCs w:val="24"/>
          <w:highlight w:val="none"/>
        </w:rPr>
        <w:t>据</w:t>
      </w:r>
      <w:r>
        <w:rPr>
          <w:rFonts w:hint="eastAsia" w:asciiTheme="minorEastAsia" w:hAnsiTheme="minorEastAsia" w:eastAsiaTheme="minorEastAsia" w:cstheme="minorEastAsia"/>
          <w:color w:val="auto"/>
          <w:spacing w:val="-5"/>
          <w:sz w:val="24"/>
          <w:szCs w:val="24"/>
          <w:highlight w:val="none"/>
        </w:rPr>
        <w:t>《政府采购法》和《</w:t>
      </w:r>
      <w:r>
        <w:rPr>
          <w:rFonts w:hint="eastAsia" w:asciiTheme="minorEastAsia" w:hAnsiTheme="minorEastAsia" w:eastAsiaTheme="minorEastAsia" w:cstheme="minorEastAsia"/>
          <w:color w:val="auto"/>
          <w:spacing w:val="-5"/>
          <w:sz w:val="24"/>
          <w:szCs w:val="24"/>
          <w:highlight w:val="none"/>
          <w:lang w:eastAsia="zh-CN"/>
        </w:rPr>
        <w:t>民法典</w:t>
      </w:r>
      <w:r>
        <w:rPr>
          <w:rFonts w:hint="eastAsia" w:asciiTheme="minorEastAsia" w:hAnsiTheme="minorEastAsia" w:eastAsiaTheme="minorEastAsia" w:cstheme="minorEastAsia"/>
          <w:color w:val="auto"/>
          <w:spacing w:val="-5"/>
          <w:sz w:val="24"/>
          <w:szCs w:val="24"/>
          <w:highlight w:val="none"/>
        </w:rPr>
        <w:t>》相关规定， 采购人和中标人之间的权利和义务， 应</w:t>
      </w:r>
      <w:r>
        <w:rPr>
          <w:rFonts w:hint="eastAsia" w:asciiTheme="minorEastAsia" w:hAnsiTheme="minorEastAsia" w:eastAsiaTheme="minorEastAsia" w:cstheme="minorEastAsia"/>
          <w:color w:val="auto"/>
          <w:spacing w:val="-10"/>
          <w:sz w:val="24"/>
          <w:szCs w:val="24"/>
          <w:highlight w:val="none"/>
        </w:rPr>
        <w:t>当按照</w:t>
      </w:r>
      <w:r>
        <w:rPr>
          <w:rFonts w:hint="eastAsia" w:asciiTheme="minorEastAsia" w:hAnsiTheme="minorEastAsia" w:eastAsiaTheme="minorEastAsia" w:cstheme="minorEastAsia"/>
          <w:color w:val="auto"/>
          <w:spacing w:val="-7"/>
          <w:sz w:val="24"/>
          <w:szCs w:val="24"/>
          <w:highlight w:val="none"/>
        </w:rPr>
        <w:t>平</w:t>
      </w:r>
      <w:r>
        <w:rPr>
          <w:rFonts w:hint="eastAsia" w:asciiTheme="minorEastAsia" w:hAnsiTheme="minorEastAsia" w:eastAsiaTheme="minorEastAsia" w:cstheme="minorEastAsia"/>
          <w:color w:val="auto"/>
          <w:spacing w:val="-5"/>
          <w:sz w:val="24"/>
          <w:szCs w:val="24"/>
          <w:highlight w:val="none"/>
        </w:rPr>
        <w:t xml:space="preserve">等、自愿的原则以合同方式约定。此合同书仅作为签订正式合同时的参考， </w:t>
      </w:r>
      <w:r>
        <w:rPr>
          <w:rFonts w:hint="default" w:hAnsi="宋体" w:cs="宋体"/>
          <w:color w:val="auto"/>
          <w:sz w:val="24"/>
          <w:szCs w:val="24"/>
          <w:highlight w:val="none"/>
        </w:rPr>
        <w:t>最终合同以双方协商为准</w:t>
      </w:r>
      <w:r>
        <w:rPr>
          <w:rFonts w:hint="eastAsia" w:asciiTheme="minorEastAsia" w:hAnsiTheme="minorEastAsia" w:eastAsiaTheme="minorEastAsia" w:cstheme="minorEastAsia"/>
          <w:color w:val="auto"/>
          <w:spacing w:val="-10"/>
          <w:sz w:val="24"/>
          <w:szCs w:val="24"/>
          <w:highlight w:val="none"/>
        </w:rPr>
        <w:t>。)</w:t>
      </w:r>
    </w:p>
    <w:p w14:paraId="5199450F">
      <w:pPr>
        <w:spacing w:line="280" w:lineRule="auto"/>
        <w:rPr>
          <w:rFonts w:hint="eastAsia" w:asciiTheme="minorEastAsia" w:hAnsiTheme="minorEastAsia" w:eastAsiaTheme="minorEastAsia" w:cstheme="minorEastAsia"/>
          <w:color w:val="auto"/>
          <w:sz w:val="21"/>
          <w:highlight w:val="none"/>
        </w:rPr>
      </w:pPr>
    </w:p>
    <w:p w14:paraId="07845A93">
      <w:pPr>
        <w:spacing w:beforeLines="0" w:afterLines="0" w:line="360" w:lineRule="auto"/>
        <w:rPr>
          <w:rFonts w:hint="default" w:hAnsi="宋体" w:cs="宋体"/>
          <w:color w:val="auto"/>
          <w:sz w:val="24"/>
          <w:szCs w:val="24"/>
          <w:highlight w:val="none"/>
        </w:rPr>
      </w:pPr>
    </w:p>
    <w:p w14:paraId="5B2D7470">
      <w:pPr>
        <w:spacing w:beforeLines="0" w:afterLines="0" w:line="360" w:lineRule="auto"/>
        <w:rPr>
          <w:rFonts w:hint="default" w:hAnsi="宋体" w:cs="宋体"/>
          <w:color w:val="auto"/>
          <w:sz w:val="24"/>
          <w:szCs w:val="24"/>
          <w:highlight w:val="none"/>
        </w:rPr>
      </w:pPr>
    </w:p>
    <w:p w14:paraId="7B245191">
      <w:pPr>
        <w:spacing w:beforeLines="0" w:afterLines="0" w:line="360" w:lineRule="auto"/>
        <w:rPr>
          <w:rFonts w:hint="default" w:hAnsi="宋体" w:cs="宋体"/>
          <w:color w:val="auto"/>
          <w:sz w:val="24"/>
          <w:szCs w:val="24"/>
          <w:highlight w:val="none"/>
        </w:rPr>
      </w:pPr>
    </w:p>
    <w:p w14:paraId="619CAD5E">
      <w:pPr>
        <w:spacing w:beforeLines="0" w:afterLines="0" w:line="360" w:lineRule="auto"/>
        <w:rPr>
          <w:rFonts w:hint="default" w:hAnsi="宋体" w:cs="宋体"/>
          <w:color w:val="auto"/>
          <w:sz w:val="24"/>
          <w:szCs w:val="24"/>
          <w:highlight w:val="none"/>
        </w:rPr>
      </w:pPr>
    </w:p>
    <w:p w14:paraId="5DD99FD1">
      <w:pPr>
        <w:spacing w:beforeLines="0" w:afterLines="0" w:line="360" w:lineRule="auto"/>
        <w:rPr>
          <w:rFonts w:hint="default"/>
          <w:color w:val="auto"/>
          <w:sz w:val="24"/>
          <w:szCs w:val="24"/>
          <w:highlight w:val="none"/>
        </w:rPr>
      </w:pPr>
      <w:r>
        <w:rPr>
          <w:rFonts w:hint="default" w:hAnsi="宋体" w:cs="宋体"/>
          <w:color w:val="auto"/>
          <w:sz w:val="24"/>
          <w:szCs w:val="24"/>
          <w:highlight w:val="none"/>
        </w:rPr>
        <w:t>项目名称：</w:t>
      </w:r>
    </w:p>
    <w:p w14:paraId="052CFD8A">
      <w:pPr>
        <w:spacing w:beforeLines="0" w:afterLines="0" w:line="360" w:lineRule="auto"/>
        <w:rPr>
          <w:rFonts w:hint="default"/>
          <w:color w:val="auto"/>
          <w:sz w:val="24"/>
          <w:szCs w:val="24"/>
          <w:highlight w:val="none"/>
        </w:rPr>
      </w:pPr>
    </w:p>
    <w:p w14:paraId="2328A68E">
      <w:pPr>
        <w:spacing w:beforeLines="0" w:afterLines="0" w:line="360" w:lineRule="auto"/>
        <w:rPr>
          <w:rFonts w:hint="default"/>
          <w:color w:val="auto"/>
          <w:sz w:val="24"/>
          <w:szCs w:val="24"/>
          <w:highlight w:val="none"/>
          <w:u w:val="single"/>
        </w:rPr>
      </w:pPr>
      <w:r>
        <w:rPr>
          <w:rFonts w:hint="default" w:hAnsi="宋体" w:cs="宋体"/>
          <w:color w:val="auto"/>
          <w:sz w:val="24"/>
          <w:szCs w:val="24"/>
          <w:highlight w:val="none"/>
        </w:rPr>
        <w:t>甲方：</w:t>
      </w:r>
      <w:r>
        <w:rPr>
          <w:rFonts w:hint="default" w:hAnsi="宋体" w:cs="宋体"/>
          <w:color w:val="auto"/>
          <w:sz w:val="24"/>
          <w:szCs w:val="24"/>
          <w:highlight w:val="none"/>
          <w:u w:val="single"/>
        </w:rPr>
        <w:t xml:space="preserve">                             </w:t>
      </w:r>
    </w:p>
    <w:p w14:paraId="5E3AB30B">
      <w:pPr>
        <w:spacing w:beforeLines="0" w:afterLines="0" w:line="360" w:lineRule="auto"/>
        <w:rPr>
          <w:rFonts w:hint="default"/>
          <w:color w:val="auto"/>
          <w:sz w:val="24"/>
          <w:szCs w:val="24"/>
          <w:highlight w:val="none"/>
        </w:rPr>
      </w:pPr>
    </w:p>
    <w:p w14:paraId="56B3AFB3">
      <w:pPr>
        <w:spacing w:beforeLines="0" w:afterLines="0" w:line="360" w:lineRule="auto"/>
        <w:rPr>
          <w:rFonts w:hint="default"/>
          <w:color w:val="auto"/>
          <w:sz w:val="24"/>
          <w:szCs w:val="24"/>
          <w:highlight w:val="none"/>
        </w:rPr>
      </w:pPr>
      <w:r>
        <w:rPr>
          <w:rFonts w:hint="default" w:hAnsi="宋体" w:cs="宋体"/>
          <w:color w:val="auto"/>
          <w:sz w:val="24"/>
          <w:szCs w:val="24"/>
          <w:highlight w:val="none"/>
        </w:rPr>
        <w:t>乙方：</w:t>
      </w:r>
      <w:r>
        <w:rPr>
          <w:rFonts w:hint="default" w:hAnsi="宋体" w:cs="宋体"/>
          <w:color w:val="auto"/>
          <w:sz w:val="24"/>
          <w:szCs w:val="24"/>
          <w:highlight w:val="none"/>
          <w:u w:val="single"/>
        </w:rPr>
        <w:t xml:space="preserve">                             </w:t>
      </w:r>
    </w:p>
    <w:p w14:paraId="77904B07">
      <w:pPr>
        <w:spacing w:beforeLines="0" w:afterLines="0" w:line="360" w:lineRule="auto"/>
        <w:rPr>
          <w:rFonts w:hint="default"/>
          <w:color w:val="auto"/>
          <w:sz w:val="24"/>
          <w:szCs w:val="24"/>
          <w:highlight w:val="none"/>
        </w:rPr>
      </w:pPr>
    </w:p>
    <w:p w14:paraId="077C1232">
      <w:pPr>
        <w:spacing w:beforeLines="0" w:afterLines="0" w:line="360" w:lineRule="auto"/>
        <w:rPr>
          <w:rFonts w:hint="default"/>
          <w:color w:val="auto"/>
          <w:sz w:val="24"/>
          <w:szCs w:val="24"/>
          <w:highlight w:val="none"/>
        </w:rPr>
      </w:pPr>
      <w:r>
        <w:rPr>
          <w:rFonts w:hint="default" w:hAnsi="宋体" w:cs="宋体"/>
          <w:color w:val="auto"/>
          <w:sz w:val="24"/>
          <w:szCs w:val="24"/>
          <w:highlight w:val="none"/>
        </w:rPr>
        <w:t>签约地点：</w:t>
      </w:r>
      <w:r>
        <w:rPr>
          <w:rFonts w:hint="default" w:hAnsi="宋体" w:cs="宋体"/>
          <w:color w:val="auto"/>
          <w:sz w:val="24"/>
          <w:szCs w:val="24"/>
          <w:highlight w:val="none"/>
          <w:u w:val="single"/>
        </w:rPr>
        <w:t xml:space="preserve">                             </w:t>
      </w:r>
    </w:p>
    <w:p w14:paraId="0780BF55">
      <w:pPr>
        <w:spacing w:beforeLines="0" w:afterLines="0" w:line="360" w:lineRule="auto"/>
        <w:rPr>
          <w:rFonts w:hint="default" w:hAnsi="宋体" w:cs="宋体"/>
          <w:color w:val="auto"/>
          <w:sz w:val="24"/>
          <w:szCs w:val="24"/>
          <w:highlight w:val="none"/>
        </w:rPr>
      </w:pPr>
    </w:p>
    <w:p w14:paraId="3F978F62">
      <w:pPr>
        <w:spacing w:beforeLines="0" w:afterLines="0" w:line="360" w:lineRule="auto"/>
        <w:rPr>
          <w:rFonts w:hint="default"/>
          <w:color w:val="auto"/>
          <w:sz w:val="24"/>
          <w:szCs w:val="24"/>
          <w:highlight w:val="none"/>
        </w:rPr>
      </w:pPr>
      <w:r>
        <w:rPr>
          <w:rFonts w:hint="default" w:hAnsi="宋体" w:cs="宋体"/>
          <w:color w:val="auto"/>
          <w:sz w:val="24"/>
          <w:szCs w:val="24"/>
          <w:highlight w:val="none"/>
        </w:rPr>
        <w:t>签约日期：</w:t>
      </w:r>
      <w:r>
        <w:rPr>
          <w:rFonts w:hint="default" w:hAnsi="宋体" w:cs="宋体"/>
          <w:color w:val="auto"/>
          <w:sz w:val="24"/>
          <w:szCs w:val="24"/>
          <w:highlight w:val="none"/>
          <w:u w:val="single"/>
        </w:rPr>
        <w:t xml:space="preserve">                             </w:t>
      </w:r>
    </w:p>
    <w:p w14:paraId="37BC2F80">
      <w:pPr>
        <w:spacing w:beforeLines="0" w:afterLines="0" w:line="360" w:lineRule="auto"/>
        <w:rPr>
          <w:rFonts w:hint="default"/>
          <w:color w:val="auto"/>
          <w:sz w:val="24"/>
          <w:szCs w:val="24"/>
          <w:highlight w:val="none"/>
        </w:rPr>
      </w:pPr>
    </w:p>
    <w:p w14:paraId="62D71276">
      <w:pPr>
        <w:spacing w:beforeLines="0" w:afterLines="0" w:line="360" w:lineRule="auto"/>
        <w:rPr>
          <w:rFonts w:hint="default"/>
          <w:b/>
          <w:color w:val="auto"/>
          <w:sz w:val="30"/>
          <w:szCs w:val="24"/>
          <w:highlight w:val="none"/>
        </w:rPr>
      </w:pPr>
    </w:p>
    <w:p w14:paraId="05609654">
      <w:pPr>
        <w:spacing w:beforeLines="0" w:afterLines="0" w:line="360" w:lineRule="auto"/>
        <w:jc w:val="center"/>
        <w:rPr>
          <w:rFonts w:hint="default" w:hAnsi="宋体" w:cs="宋体"/>
          <w:b/>
          <w:color w:val="auto"/>
          <w:sz w:val="30"/>
          <w:szCs w:val="24"/>
          <w:highlight w:val="none"/>
        </w:rPr>
      </w:pPr>
    </w:p>
    <w:p w14:paraId="07934039">
      <w:pPr>
        <w:spacing w:beforeLines="0" w:afterLines="0" w:line="360" w:lineRule="auto"/>
        <w:jc w:val="center"/>
        <w:rPr>
          <w:rFonts w:hint="default" w:hAnsi="宋体" w:cs="宋体"/>
          <w:b/>
          <w:color w:val="auto"/>
          <w:sz w:val="30"/>
          <w:szCs w:val="24"/>
          <w:highlight w:val="none"/>
        </w:rPr>
      </w:pPr>
    </w:p>
    <w:p w14:paraId="75CB9BF2">
      <w:pPr>
        <w:pStyle w:val="11"/>
        <w:rPr>
          <w:rFonts w:hint="default" w:hAnsi="宋体" w:cs="宋体"/>
          <w:color w:val="auto"/>
          <w:sz w:val="24"/>
          <w:szCs w:val="24"/>
          <w:highlight w:val="none"/>
        </w:rPr>
      </w:pPr>
    </w:p>
    <w:p w14:paraId="7D72584C">
      <w:pPr>
        <w:spacing w:beforeLines="0" w:afterLines="0" w:line="360" w:lineRule="auto"/>
        <w:jc w:val="center"/>
        <w:rPr>
          <w:rFonts w:hint="default"/>
          <w:b/>
          <w:bCs/>
          <w:color w:val="auto"/>
          <w:sz w:val="28"/>
          <w:szCs w:val="28"/>
          <w:highlight w:val="none"/>
        </w:rPr>
      </w:pPr>
      <w:r>
        <w:rPr>
          <w:rFonts w:hint="default" w:hAnsi="宋体" w:cs="宋体"/>
          <w:b/>
          <w:bCs/>
          <w:color w:val="auto"/>
          <w:sz w:val="28"/>
          <w:szCs w:val="28"/>
          <w:highlight w:val="none"/>
        </w:rPr>
        <w:t>第一部分 合同协议书</w:t>
      </w:r>
    </w:p>
    <w:p w14:paraId="1F88C195">
      <w:pPr>
        <w:tabs>
          <w:tab w:val="left" w:pos="1104"/>
        </w:tabs>
        <w:spacing w:before="208" w:beforeLines="0" w:afterLines="0" w:line="360" w:lineRule="auto"/>
        <w:ind w:left="6" w:right="1" w:firstLine="475"/>
        <w:rPr>
          <w:rFonts w:hint="default" w:hAnsi="宋体" w:cs="宋体"/>
          <w:color w:val="auto"/>
          <w:sz w:val="24"/>
          <w:szCs w:val="24"/>
          <w:highlight w:val="none"/>
        </w:rPr>
      </w:pPr>
      <w:r>
        <w:rPr>
          <w:rFonts w:hint="default" w:hAnsi="宋体" w:cs="宋体"/>
          <w:color w:val="auto"/>
          <w:spacing w:val="-4"/>
          <w:sz w:val="24"/>
          <w:szCs w:val="24"/>
          <w:highlight w:val="none"/>
          <w:u w:val="single" w:color="auto"/>
        </w:rPr>
        <w:t xml:space="preserve"> 采购人  </w:t>
      </w:r>
      <w:r>
        <w:rPr>
          <w:rFonts w:hint="default" w:hAnsi="宋体" w:cs="宋体"/>
          <w:color w:val="auto"/>
          <w:spacing w:val="-4"/>
          <w:sz w:val="24"/>
          <w:szCs w:val="24"/>
          <w:highlight w:val="none"/>
        </w:rPr>
        <w:t xml:space="preserve"> 以</w:t>
      </w:r>
      <w:r>
        <w:rPr>
          <w:rFonts w:hint="default" w:hAnsi="宋体" w:cs="宋体"/>
          <w:color w:val="auto"/>
          <w:spacing w:val="-4"/>
          <w:sz w:val="24"/>
          <w:szCs w:val="24"/>
          <w:highlight w:val="none"/>
          <w:u w:val="single" w:color="auto"/>
        </w:rPr>
        <w:t xml:space="preserve">   </w:t>
      </w:r>
      <w:r>
        <w:rPr>
          <w:rFonts w:hint="eastAsia" w:hAnsi="宋体" w:eastAsia="宋体" w:cs="宋体"/>
          <w:color w:val="auto"/>
          <w:spacing w:val="-4"/>
          <w:sz w:val="24"/>
          <w:szCs w:val="24"/>
          <w:highlight w:val="none"/>
          <w:u w:val="single" w:color="auto"/>
          <w:lang w:eastAsia="zh-CN"/>
        </w:rPr>
        <w:t>公开招标</w:t>
      </w:r>
      <w:r>
        <w:rPr>
          <w:rFonts w:hint="default" w:hAnsi="宋体" w:cs="宋体"/>
          <w:color w:val="auto"/>
          <w:spacing w:val="-4"/>
          <w:sz w:val="24"/>
          <w:szCs w:val="24"/>
          <w:highlight w:val="none"/>
          <w:u w:val="single" w:color="auto"/>
        </w:rPr>
        <w:t xml:space="preserve">方式  </w:t>
      </w:r>
      <w:r>
        <w:rPr>
          <w:rFonts w:hint="default" w:hAnsi="宋体" w:cs="宋体"/>
          <w:color w:val="auto"/>
          <w:spacing w:val="-4"/>
          <w:sz w:val="24"/>
          <w:szCs w:val="24"/>
          <w:highlight w:val="none"/>
        </w:rPr>
        <w:t xml:space="preserve"> 对</w:t>
      </w:r>
      <w:r>
        <w:rPr>
          <w:rFonts w:hint="default" w:hAnsi="宋体" w:cs="宋体"/>
          <w:color w:val="auto"/>
          <w:spacing w:val="-6"/>
          <w:sz w:val="24"/>
          <w:szCs w:val="24"/>
          <w:highlight w:val="none"/>
        </w:rPr>
        <w:t>项目进行了采</w:t>
      </w:r>
      <w:r>
        <w:rPr>
          <w:rFonts w:hint="default" w:hAnsi="宋体" w:cs="宋体"/>
          <w:color w:val="auto"/>
          <w:spacing w:val="-4"/>
          <w:sz w:val="24"/>
          <w:szCs w:val="24"/>
          <w:highlight w:val="none"/>
        </w:rPr>
        <w:t>购</w:t>
      </w:r>
      <w:r>
        <w:rPr>
          <w:rFonts w:hint="default" w:hAnsi="宋体" w:cs="宋体"/>
          <w:color w:val="auto"/>
          <w:spacing w:val="-3"/>
          <w:sz w:val="24"/>
          <w:szCs w:val="24"/>
          <w:highlight w:val="none"/>
        </w:rPr>
        <w:t xml:space="preserve">。经评定， </w:t>
      </w:r>
      <w:r>
        <w:rPr>
          <w:rFonts w:hint="default" w:hAnsi="宋体" w:cs="宋体"/>
          <w:color w:val="auto"/>
          <w:spacing w:val="-3"/>
          <w:sz w:val="24"/>
          <w:szCs w:val="24"/>
          <w:highlight w:val="none"/>
          <w:u w:val="single" w:color="auto"/>
        </w:rPr>
        <w:t xml:space="preserve">   (供应商名称) </w:t>
      </w:r>
      <w:r>
        <w:rPr>
          <w:rFonts w:hint="default" w:hAnsi="宋体" w:cs="宋体"/>
          <w:color w:val="auto"/>
          <w:spacing w:val="-3"/>
          <w:sz w:val="24"/>
          <w:szCs w:val="24"/>
          <w:highlight w:val="none"/>
        </w:rPr>
        <w:t>为该项</w:t>
      </w:r>
      <w:r>
        <w:rPr>
          <w:rFonts w:hint="default" w:hAnsi="宋体" w:cs="宋体"/>
          <w:color w:val="auto"/>
          <w:spacing w:val="2"/>
          <w:sz w:val="24"/>
          <w:szCs w:val="24"/>
          <w:highlight w:val="none"/>
        </w:rPr>
        <w:t>目成交供应商。现于</w:t>
      </w:r>
      <w:r>
        <w:rPr>
          <w:rFonts w:hint="eastAsia" w:hAnsi="宋体" w:eastAsia="宋体" w:cs="宋体"/>
          <w:color w:val="auto"/>
          <w:spacing w:val="2"/>
          <w:sz w:val="24"/>
          <w:szCs w:val="24"/>
          <w:highlight w:val="none"/>
          <w:lang w:eastAsia="zh-CN"/>
        </w:rPr>
        <w:t>中标</w:t>
      </w:r>
      <w:r>
        <w:rPr>
          <w:rFonts w:hint="default" w:hAnsi="宋体" w:cs="宋体"/>
          <w:color w:val="auto"/>
          <w:spacing w:val="2"/>
          <w:sz w:val="24"/>
          <w:szCs w:val="24"/>
          <w:highlight w:val="none"/>
        </w:rPr>
        <w:t>通知书发出之日起</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日</w:t>
      </w:r>
      <w:r>
        <w:rPr>
          <w:rFonts w:hint="default" w:hAnsi="宋体" w:cs="宋体"/>
          <w:color w:val="auto"/>
          <w:spacing w:val="-6"/>
          <w:sz w:val="24"/>
          <w:szCs w:val="24"/>
          <w:highlight w:val="none"/>
        </w:rPr>
        <w:t>内，按照采购文件确定的事项签订本合同。</w:t>
      </w:r>
    </w:p>
    <w:p w14:paraId="17F21E1B">
      <w:pPr>
        <w:spacing w:before="4" w:beforeLines="0" w:afterLines="0" w:line="360" w:lineRule="auto"/>
        <w:ind w:left="17" w:firstLine="471"/>
        <w:rPr>
          <w:rFonts w:hint="default" w:hAnsi="宋体" w:cs="宋体"/>
          <w:color w:val="auto"/>
          <w:sz w:val="24"/>
          <w:szCs w:val="24"/>
          <w:highlight w:val="none"/>
        </w:rPr>
      </w:pPr>
      <w:r>
        <w:rPr>
          <w:rFonts w:hint="default" w:hAnsi="宋体" w:cs="宋体"/>
          <w:color w:val="auto"/>
          <w:spacing w:val="-12"/>
          <w:sz w:val="24"/>
          <w:szCs w:val="24"/>
          <w:highlight w:val="none"/>
        </w:rPr>
        <w:t>根</w:t>
      </w:r>
      <w:r>
        <w:rPr>
          <w:rFonts w:hint="default" w:hAnsi="宋体" w:cs="宋体"/>
          <w:color w:val="auto"/>
          <w:spacing w:val="-11"/>
          <w:sz w:val="24"/>
          <w:szCs w:val="24"/>
          <w:highlight w:val="none"/>
        </w:rPr>
        <w:t>据《中华人民共和国民法典》、《中华人民共和国政府采购法》等相关法律法规</w:t>
      </w:r>
      <w:r>
        <w:rPr>
          <w:rFonts w:hint="default" w:hAnsi="宋体" w:cs="宋体"/>
          <w:color w:val="auto"/>
          <w:sz w:val="24"/>
          <w:szCs w:val="24"/>
          <w:highlight w:val="none"/>
        </w:rPr>
        <w:t xml:space="preserve"> </w:t>
      </w:r>
      <w:r>
        <w:rPr>
          <w:rFonts w:hint="default" w:hAnsi="宋体" w:cs="宋体"/>
          <w:color w:val="auto"/>
          <w:spacing w:val="-4"/>
          <w:sz w:val="24"/>
          <w:szCs w:val="24"/>
          <w:highlight w:val="none"/>
        </w:rPr>
        <w:t>之规定， 按照平等、自愿、公平和诚实信用的原则，经</w:t>
      </w:r>
      <w:r>
        <w:rPr>
          <w:rFonts w:hint="default" w:hAnsi="宋体" w:cs="宋体"/>
          <w:color w:val="auto"/>
          <w:spacing w:val="-4"/>
          <w:sz w:val="24"/>
          <w:szCs w:val="24"/>
          <w:highlight w:val="none"/>
          <w:u w:val="single" w:color="auto"/>
        </w:rPr>
        <w:t xml:space="preserve">      </w:t>
      </w:r>
      <w:r>
        <w:rPr>
          <w:rFonts w:hint="default" w:hAnsi="宋体" w:cs="宋体"/>
          <w:color w:val="auto"/>
          <w:spacing w:val="-4"/>
          <w:sz w:val="24"/>
          <w:szCs w:val="24"/>
          <w:highlight w:val="none"/>
        </w:rPr>
        <w:t xml:space="preserve"> (以</w:t>
      </w:r>
      <w:r>
        <w:rPr>
          <w:rFonts w:hint="default" w:hAnsi="宋体" w:cs="宋体"/>
          <w:color w:val="auto"/>
          <w:spacing w:val="-12"/>
          <w:sz w:val="24"/>
          <w:szCs w:val="24"/>
          <w:highlight w:val="none"/>
        </w:rPr>
        <w:t>下简称</w:t>
      </w:r>
      <w:r>
        <w:rPr>
          <w:rFonts w:hint="default" w:hAnsi="宋体" w:cs="宋体"/>
          <w:color w:val="auto"/>
          <w:spacing w:val="-6"/>
          <w:sz w:val="24"/>
          <w:szCs w:val="24"/>
          <w:highlight w:val="none"/>
        </w:rPr>
        <w:t xml:space="preserve">：甲方)和 </w:t>
      </w:r>
      <w:r>
        <w:rPr>
          <w:rFonts w:hint="default" w:hAnsi="宋体" w:cs="宋体"/>
          <w:color w:val="auto"/>
          <w:spacing w:val="-6"/>
          <w:sz w:val="24"/>
          <w:szCs w:val="24"/>
          <w:highlight w:val="none"/>
          <w:u w:val="single" w:color="auto"/>
        </w:rPr>
        <w:t xml:space="preserve">       </w:t>
      </w:r>
      <w:r>
        <w:rPr>
          <w:rFonts w:hint="default" w:hAnsi="宋体" w:cs="宋体"/>
          <w:color w:val="auto"/>
          <w:spacing w:val="-6"/>
          <w:sz w:val="24"/>
          <w:szCs w:val="24"/>
          <w:highlight w:val="none"/>
        </w:rPr>
        <w:t xml:space="preserve"> (以下简称： 乙方)协商一致，约定以下合</w:t>
      </w:r>
      <w:r>
        <w:rPr>
          <w:rFonts w:hint="default" w:hAnsi="宋体" w:cs="宋体"/>
          <w:color w:val="auto"/>
          <w:spacing w:val="-4"/>
          <w:sz w:val="24"/>
          <w:szCs w:val="24"/>
          <w:highlight w:val="none"/>
        </w:rPr>
        <w:t>同条款，</w:t>
      </w:r>
      <w:r>
        <w:rPr>
          <w:rFonts w:hint="default" w:hAnsi="宋体" w:cs="宋体"/>
          <w:color w:val="auto"/>
          <w:spacing w:val="-2"/>
          <w:sz w:val="24"/>
          <w:szCs w:val="24"/>
          <w:highlight w:val="none"/>
        </w:rPr>
        <w:t>以兹共同遵守、全面履行。</w:t>
      </w:r>
    </w:p>
    <w:p w14:paraId="6B78ECC5">
      <w:pPr>
        <w:spacing w:beforeLines="0" w:afterLines="0" w:line="360" w:lineRule="auto"/>
        <w:ind w:left="508"/>
        <w:rPr>
          <w:rFonts w:hint="default" w:hAnsi="宋体" w:cs="宋体"/>
          <w:color w:val="auto"/>
          <w:sz w:val="24"/>
          <w:szCs w:val="24"/>
          <w:highlight w:val="none"/>
        </w:rPr>
      </w:pPr>
      <w:r>
        <w:rPr>
          <w:rFonts w:hint="default" w:hAnsi="宋体" w:cs="宋体"/>
          <w:color w:val="auto"/>
          <w:spacing w:val="-4"/>
          <w:sz w:val="24"/>
          <w:szCs w:val="24"/>
          <w:highlight w:val="none"/>
        </w:rPr>
        <w:t>1.</w:t>
      </w:r>
      <w:r>
        <w:rPr>
          <w:rFonts w:hint="default" w:hAnsi="宋体" w:cs="宋体"/>
          <w:color w:val="auto"/>
          <w:spacing w:val="-3"/>
          <w:sz w:val="24"/>
          <w:szCs w:val="24"/>
          <w:highlight w:val="none"/>
        </w:rPr>
        <w:t>1</w:t>
      </w:r>
      <w:r>
        <w:rPr>
          <w:rFonts w:hint="default" w:hAnsi="宋体" w:cs="宋体"/>
          <w:color w:val="auto"/>
          <w:spacing w:val="-2"/>
          <w:sz w:val="24"/>
          <w:szCs w:val="24"/>
          <w:highlight w:val="none"/>
        </w:rPr>
        <w:t xml:space="preserve"> 合同组成部分</w:t>
      </w:r>
    </w:p>
    <w:p w14:paraId="64BF2CE9">
      <w:pPr>
        <w:spacing w:before="77" w:beforeLines="0" w:afterLines="0" w:line="360" w:lineRule="auto"/>
        <w:ind w:left="11" w:right="1" w:firstLine="490"/>
        <w:rPr>
          <w:rFonts w:hint="default" w:hAnsi="宋体" w:cs="宋体"/>
          <w:color w:val="auto"/>
          <w:sz w:val="24"/>
          <w:szCs w:val="24"/>
          <w:highlight w:val="none"/>
        </w:rPr>
      </w:pPr>
      <w:r>
        <w:rPr>
          <w:rFonts w:hint="default" w:hAnsi="宋体" w:cs="宋体"/>
          <w:color w:val="auto"/>
          <w:spacing w:val="-5"/>
          <w:sz w:val="24"/>
          <w:szCs w:val="24"/>
          <w:highlight w:val="none"/>
        </w:rPr>
        <w:t>下列文件为本合同的组成部分，并构成一个整体，需综合解释、相互补充。如</w:t>
      </w:r>
      <w:r>
        <w:rPr>
          <w:rFonts w:hint="default" w:hAnsi="宋体" w:cs="宋体"/>
          <w:color w:val="auto"/>
          <w:spacing w:val="-2"/>
          <w:sz w:val="24"/>
          <w:szCs w:val="24"/>
          <w:highlight w:val="none"/>
        </w:rPr>
        <w:t>果</w:t>
      </w:r>
      <w:r>
        <w:rPr>
          <w:rFonts w:hint="default" w:hAnsi="宋体" w:cs="宋体"/>
          <w:color w:val="auto"/>
          <w:spacing w:val="2"/>
          <w:sz w:val="24"/>
          <w:szCs w:val="24"/>
          <w:highlight w:val="none"/>
        </w:rPr>
        <w:t>下列文件内容出现不一致的情形，在保证按照采购文件</w:t>
      </w:r>
      <w:r>
        <w:rPr>
          <w:rFonts w:hint="default" w:hAnsi="宋体" w:cs="宋体"/>
          <w:color w:val="auto"/>
          <w:spacing w:val="1"/>
          <w:sz w:val="24"/>
          <w:szCs w:val="24"/>
          <w:highlight w:val="none"/>
        </w:rPr>
        <w:t>确定的事项的前提下，组成</w:t>
      </w:r>
      <w:r>
        <w:rPr>
          <w:rFonts w:hint="default" w:hAnsi="宋体" w:cs="宋体"/>
          <w:color w:val="auto"/>
          <w:spacing w:val="-4"/>
          <w:sz w:val="24"/>
          <w:szCs w:val="24"/>
          <w:highlight w:val="none"/>
        </w:rPr>
        <w:t>本合同</w:t>
      </w:r>
      <w:r>
        <w:rPr>
          <w:rFonts w:hint="default" w:hAnsi="宋体" w:cs="宋体"/>
          <w:color w:val="auto"/>
          <w:spacing w:val="-2"/>
          <w:sz w:val="24"/>
          <w:szCs w:val="24"/>
          <w:highlight w:val="none"/>
        </w:rPr>
        <w:t>的多个文件的优先适用顺序如下：</w:t>
      </w:r>
    </w:p>
    <w:p w14:paraId="00E51BB9">
      <w:pPr>
        <w:spacing w:beforeLines="0" w:afterLines="0" w:line="360" w:lineRule="auto"/>
        <w:ind w:left="506"/>
        <w:rPr>
          <w:rFonts w:hint="default" w:hAnsi="宋体" w:cs="宋体"/>
          <w:color w:val="auto"/>
          <w:sz w:val="24"/>
          <w:szCs w:val="24"/>
          <w:highlight w:val="none"/>
        </w:rPr>
      </w:pPr>
      <w:r>
        <w:rPr>
          <w:rFonts w:hint="default" w:hAnsi="宋体" w:cs="宋体"/>
          <w:color w:val="auto"/>
          <w:spacing w:val="-16"/>
          <w:sz w:val="24"/>
          <w:szCs w:val="24"/>
          <w:highlight w:val="none"/>
        </w:rPr>
        <w:t>1</w:t>
      </w:r>
      <w:r>
        <w:rPr>
          <w:rFonts w:hint="default" w:hAnsi="宋体" w:cs="宋体"/>
          <w:color w:val="auto"/>
          <w:spacing w:val="-11"/>
          <w:sz w:val="24"/>
          <w:szCs w:val="24"/>
          <w:highlight w:val="none"/>
        </w:rPr>
        <w:t>.</w:t>
      </w:r>
      <w:r>
        <w:rPr>
          <w:rFonts w:hint="default" w:hAnsi="宋体" w:cs="宋体"/>
          <w:color w:val="auto"/>
          <w:spacing w:val="-8"/>
          <w:sz w:val="24"/>
          <w:szCs w:val="24"/>
          <w:highlight w:val="none"/>
        </w:rPr>
        <w:t>1.1 本合同及其补充合同、变更协议；</w:t>
      </w:r>
    </w:p>
    <w:p w14:paraId="7FB54890">
      <w:pPr>
        <w:spacing w:before="79" w:beforeLines="0" w:afterLines="0" w:line="360" w:lineRule="auto"/>
        <w:ind w:left="506"/>
        <w:rPr>
          <w:rFonts w:hint="default" w:hAnsi="宋体" w:cs="宋体"/>
          <w:color w:val="auto"/>
          <w:sz w:val="24"/>
          <w:szCs w:val="24"/>
          <w:highlight w:val="none"/>
        </w:rPr>
      </w:pPr>
      <w:r>
        <w:rPr>
          <w:rFonts w:hint="default" w:hAnsi="宋体" w:cs="宋体"/>
          <w:color w:val="auto"/>
          <w:spacing w:val="-9"/>
          <w:sz w:val="24"/>
          <w:szCs w:val="24"/>
          <w:highlight w:val="none"/>
        </w:rPr>
        <w:t>1</w:t>
      </w:r>
      <w:r>
        <w:rPr>
          <w:rFonts w:hint="default" w:hAnsi="宋体" w:cs="宋体"/>
          <w:color w:val="auto"/>
          <w:spacing w:val="-6"/>
          <w:sz w:val="24"/>
          <w:szCs w:val="24"/>
          <w:highlight w:val="none"/>
        </w:rPr>
        <w:t xml:space="preserve">.1.2 </w:t>
      </w:r>
      <w:r>
        <w:rPr>
          <w:rFonts w:hint="eastAsia" w:hAnsi="宋体" w:eastAsia="宋体" w:cs="宋体"/>
          <w:color w:val="auto"/>
          <w:spacing w:val="-6"/>
          <w:sz w:val="24"/>
          <w:szCs w:val="24"/>
          <w:highlight w:val="none"/>
          <w:lang w:eastAsia="zh-CN"/>
        </w:rPr>
        <w:t>中标</w:t>
      </w:r>
      <w:r>
        <w:rPr>
          <w:rFonts w:hint="default" w:hAnsi="宋体" w:cs="宋体"/>
          <w:color w:val="auto"/>
          <w:spacing w:val="-6"/>
          <w:sz w:val="24"/>
          <w:szCs w:val="24"/>
          <w:highlight w:val="none"/>
        </w:rPr>
        <w:t>通知书；</w:t>
      </w:r>
    </w:p>
    <w:p w14:paraId="62F8755B">
      <w:pPr>
        <w:spacing w:before="78" w:beforeLines="0" w:afterLines="0" w:line="360" w:lineRule="auto"/>
        <w:ind w:left="506"/>
        <w:rPr>
          <w:rFonts w:hint="default" w:hAnsi="宋体" w:cs="宋体"/>
          <w:color w:val="auto"/>
          <w:sz w:val="24"/>
          <w:szCs w:val="24"/>
          <w:highlight w:val="none"/>
        </w:rPr>
      </w:pPr>
      <w:r>
        <w:rPr>
          <w:rFonts w:hint="default" w:hAnsi="宋体" w:cs="宋体"/>
          <w:color w:val="auto"/>
          <w:spacing w:val="2"/>
          <w:sz w:val="24"/>
          <w:szCs w:val="24"/>
          <w:highlight w:val="none"/>
        </w:rPr>
        <w:t>1.</w:t>
      </w:r>
      <w:r>
        <w:rPr>
          <w:rFonts w:hint="default" w:hAnsi="宋体" w:cs="宋体"/>
          <w:color w:val="auto"/>
          <w:spacing w:val="1"/>
          <w:sz w:val="24"/>
          <w:szCs w:val="24"/>
          <w:highlight w:val="none"/>
        </w:rPr>
        <w:t>1.3 采购文件及“</w:t>
      </w:r>
      <w:r>
        <w:rPr>
          <w:rFonts w:hint="eastAsia" w:hAnsi="宋体" w:eastAsia="宋体" w:cs="宋体"/>
          <w:color w:val="auto"/>
          <w:spacing w:val="1"/>
          <w:sz w:val="24"/>
          <w:szCs w:val="24"/>
          <w:highlight w:val="none"/>
          <w:lang w:eastAsia="zh-CN"/>
        </w:rPr>
        <w:t>投标</w:t>
      </w:r>
      <w:r>
        <w:rPr>
          <w:rFonts w:hint="default" w:hAnsi="宋体" w:cs="宋体"/>
          <w:color w:val="auto"/>
          <w:spacing w:val="1"/>
          <w:sz w:val="24"/>
          <w:szCs w:val="24"/>
          <w:highlight w:val="none"/>
        </w:rPr>
        <w:t>报价” (含澄清或者说明文件)；</w:t>
      </w:r>
    </w:p>
    <w:p w14:paraId="2ACF8462">
      <w:pPr>
        <w:spacing w:before="78" w:beforeLines="0" w:afterLines="0" w:line="360" w:lineRule="auto"/>
        <w:ind w:left="506"/>
        <w:rPr>
          <w:rFonts w:hint="default" w:hAnsi="宋体" w:cs="宋体"/>
          <w:color w:val="auto"/>
          <w:sz w:val="24"/>
          <w:szCs w:val="24"/>
          <w:highlight w:val="none"/>
        </w:rPr>
      </w:pPr>
      <w:r>
        <w:rPr>
          <w:rFonts w:hint="default" w:hAnsi="宋体" w:cs="宋体"/>
          <w:color w:val="auto"/>
          <w:spacing w:val="7"/>
          <w:sz w:val="24"/>
          <w:szCs w:val="24"/>
          <w:highlight w:val="none"/>
        </w:rPr>
        <w:t>1.1.4 采购文件(含澄清或者修改文件)</w:t>
      </w:r>
      <w:r>
        <w:rPr>
          <w:rFonts w:hint="default" w:hAnsi="宋体" w:cs="宋体"/>
          <w:color w:val="auto"/>
          <w:spacing w:val="5"/>
          <w:sz w:val="24"/>
          <w:szCs w:val="24"/>
          <w:highlight w:val="none"/>
        </w:rPr>
        <w:t>；</w:t>
      </w:r>
    </w:p>
    <w:p w14:paraId="70D7F9C1">
      <w:pPr>
        <w:spacing w:before="78" w:beforeLines="0" w:afterLines="0" w:line="360" w:lineRule="auto"/>
        <w:ind w:left="506"/>
        <w:rPr>
          <w:rFonts w:hint="default" w:hAnsi="宋体" w:cs="宋体"/>
          <w:color w:val="auto"/>
          <w:sz w:val="24"/>
          <w:szCs w:val="24"/>
          <w:highlight w:val="none"/>
        </w:rPr>
      </w:pPr>
      <w:r>
        <w:rPr>
          <w:rFonts w:hint="default" w:hAnsi="宋体" w:cs="宋体"/>
          <w:color w:val="auto"/>
          <w:spacing w:val="-8"/>
          <w:sz w:val="24"/>
          <w:szCs w:val="24"/>
          <w:highlight w:val="none"/>
        </w:rPr>
        <w:t>1</w:t>
      </w:r>
      <w:r>
        <w:rPr>
          <w:rFonts w:hint="default" w:hAnsi="宋体" w:cs="宋体"/>
          <w:color w:val="auto"/>
          <w:spacing w:val="-6"/>
          <w:sz w:val="24"/>
          <w:szCs w:val="24"/>
          <w:highlight w:val="none"/>
        </w:rPr>
        <w:t>.</w:t>
      </w:r>
      <w:r>
        <w:rPr>
          <w:rFonts w:hint="default" w:hAnsi="宋体" w:cs="宋体"/>
          <w:color w:val="auto"/>
          <w:spacing w:val="-4"/>
          <w:sz w:val="24"/>
          <w:szCs w:val="24"/>
          <w:highlight w:val="none"/>
        </w:rPr>
        <w:t>1.5 其他相关采购文件。</w:t>
      </w:r>
    </w:p>
    <w:p w14:paraId="4D4B6922">
      <w:pPr>
        <w:spacing w:before="78" w:beforeLines="0" w:afterLines="0" w:line="360" w:lineRule="auto"/>
        <w:ind w:left="508"/>
        <w:rPr>
          <w:rFonts w:hint="default" w:hAnsi="宋体" w:cs="宋体"/>
          <w:color w:val="auto"/>
          <w:sz w:val="24"/>
          <w:szCs w:val="24"/>
          <w:highlight w:val="none"/>
        </w:rPr>
      </w:pPr>
      <w:r>
        <w:rPr>
          <w:rFonts w:hint="default" w:hAnsi="宋体" w:cs="宋体"/>
          <w:color w:val="auto"/>
          <w:spacing w:val="-4"/>
          <w:sz w:val="24"/>
          <w:szCs w:val="24"/>
          <w:highlight w:val="none"/>
        </w:rPr>
        <w:t>1</w:t>
      </w:r>
      <w:r>
        <w:rPr>
          <w:rFonts w:hint="default" w:hAnsi="宋体" w:cs="宋体"/>
          <w:color w:val="auto"/>
          <w:spacing w:val="-3"/>
          <w:sz w:val="24"/>
          <w:szCs w:val="24"/>
          <w:highlight w:val="none"/>
        </w:rPr>
        <w:t>.2 标的物</w:t>
      </w:r>
    </w:p>
    <w:p w14:paraId="001F42CE">
      <w:pPr>
        <w:spacing w:before="79" w:beforeLines="0" w:afterLines="0" w:line="360" w:lineRule="auto"/>
        <w:ind w:left="506"/>
        <w:rPr>
          <w:rFonts w:hint="default" w:hAnsi="宋体" w:cs="宋体"/>
          <w:color w:val="auto"/>
          <w:sz w:val="24"/>
          <w:szCs w:val="24"/>
          <w:highlight w:val="none"/>
        </w:rPr>
      </w:pPr>
      <w:r>
        <w:rPr>
          <w:rFonts w:hint="default" w:hAnsi="宋体" w:cs="宋体"/>
          <w:color w:val="auto"/>
          <w:spacing w:val="-12"/>
          <w:sz w:val="24"/>
          <w:szCs w:val="24"/>
          <w:highlight w:val="none"/>
        </w:rPr>
        <w:t>1.2.1 标的物 1 信息</w:t>
      </w:r>
    </w:p>
    <w:p w14:paraId="5EC9E86E">
      <w:pPr>
        <w:spacing w:before="79" w:beforeLines="0" w:afterLines="0" w:line="360" w:lineRule="auto"/>
        <w:ind w:left="506"/>
        <w:rPr>
          <w:rFonts w:hint="default" w:hAnsi="宋体" w:cs="宋体"/>
          <w:color w:val="auto"/>
          <w:sz w:val="24"/>
          <w:szCs w:val="24"/>
          <w:highlight w:val="none"/>
        </w:rPr>
      </w:pPr>
      <w:r>
        <w:rPr>
          <w:rFonts w:hint="default" w:hAnsi="宋体" w:cs="宋体"/>
          <w:color w:val="auto"/>
          <w:spacing w:val="-8"/>
          <w:sz w:val="24"/>
          <w:szCs w:val="24"/>
          <w:highlight w:val="none"/>
        </w:rPr>
        <w:t>1.2</w:t>
      </w:r>
      <w:r>
        <w:rPr>
          <w:rFonts w:hint="default" w:hAnsi="宋体" w:cs="宋体"/>
          <w:color w:val="auto"/>
          <w:spacing w:val="-7"/>
          <w:sz w:val="24"/>
          <w:szCs w:val="24"/>
          <w:highlight w:val="none"/>
        </w:rPr>
        <w:t>.</w:t>
      </w:r>
      <w:r>
        <w:rPr>
          <w:rFonts w:hint="default" w:hAnsi="宋体" w:cs="宋体"/>
          <w:color w:val="auto"/>
          <w:spacing w:val="-4"/>
          <w:sz w:val="24"/>
          <w:szCs w:val="24"/>
          <w:highlight w:val="none"/>
        </w:rPr>
        <w:t>1.1 名称：</w:t>
      </w:r>
      <w:r>
        <w:rPr>
          <w:rFonts w:hint="default" w:hAnsi="宋体" w:cs="宋体"/>
          <w:color w:val="auto"/>
          <w:spacing w:val="-4"/>
          <w:sz w:val="24"/>
          <w:szCs w:val="24"/>
          <w:highlight w:val="none"/>
          <w:u w:val="single" w:color="auto"/>
        </w:rPr>
        <w:t xml:space="preserve">                                         </w:t>
      </w:r>
      <w:r>
        <w:rPr>
          <w:rFonts w:hint="default" w:hAnsi="宋体" w:cs="宋体"/>
          <w:color w:val="auto"/>
          <w:spacing w:val="-4"/>
          <w:sz w:val="24"/>
          <w:szCs w:val="24"/>
          <w:highlight w:val="none"/>
        </w:rPr>
        <w:t>；</w:t>
      </w:r>
    </w:p>
    <w:p w14:paraId="468ED2CD">
      <w:pPr>
        <w:spacing w:before="80" w:beforeLines="0" w:afterLines="0" w:line="360" w:lineRule="auto"/>
        <w:ind w:left="506"/>
        <w:rPr>
          <w:rFonts w:hint="default" w:hAnsi="宋体" w:cs="宋体"/>
          <w:color w:val="auto"/>
          <w:sz w:val="24"/>
          <w:szCs w:val="24"/>
          <w:highlight w:val="none"/>
        </w:rPr>
      </w:pPr>
      <w:r>
        <w:rPr>
          <w:rFonts w:hint="default" w:hAnsi="宋体" w:cs="宋体"/>
          <w:color w:val="auto"/>
          <w:spacing w:val="-8"/>
          <w:sz w:val="24"/>
          <w:szCs w:val="24"/>
          <w:highlight w:val="none"/>
        </w:rPr>
        <w:t>1.2</w:t>
      </w:r>
      <w:r>
        <w:rPr>
          <w:rFonts w:hint="default" w:hAnsi="宋体" w:cs="宋体"/>
          <w:color w:val="auto"/>
          <w:spacing w:val="-7"/>
          <w:sz w:val="24"/>
          <w:szCs w:val="24"/>
          <w:highlight w:val="none"/>
        </w:rPr>
        <w:t>.</w:t>
      </w:r>
      <w:r>
        <w:rPr>
          <w:rFonts w:hint="default" w:hAnsi="宋体" w:cs="宋体"/>
          <w:color w:val="auto"/>
          <w:spacing w:val="-4"/>
          <w:sz w:val="24"/>
          <w:szCs w:val="24"/>
          <w:highlight w:val="none"/>
        </w:rPr>
        <w:t>1.2 数量：</w:t>
      </w:r>
      <w:r>
        <w:rPr>
          <w:rFonts w:hint="default" w:hAnsi="宋体" w:cs="宋体"/>
          <w:color w:val="auto"/>
          <w:spacing w:val="-4"/>
          <w:sz w:val="24"/>
          <w:szCs w:val="24"/>
          <w:highlight w:val="none"/>
          <w:u w:val="single" w:color="auto"/>
        </w:rPr>
        <w:t xml:space="preserve">                                         </w:t>
      </w:r>
      <w:r>
        <w:rPr>
          <w:rFonts w:hint="default" w:hAnsi="宋体" w:cs="宋体"/>
          <w:color w:val="auto"/>
          <w:spacing w:val="-4"/>
          <w:sz w:val="24"/>
          <w:szCs w:val="24"/>
          <w:highlight w:val="none"/>
        </w:rPr>
        <w:t>；</w:t>
      </w:r>
    </w:p>
    <w:p w14:paraId="581C328F">
      <w:pPr>
        <w:spacing w:before="78" w:beforeLines="0" w:afterLines="0" w:line="360" w:lineRule="auto"/>
        <w:ind w:left="506"/>
        <w:rPr>
          <w:rFonts w:hint="default" w:hAnsi="宋体" w:cs="宋体"/>
          <w:color w:val="auto"/>
          <w:sz w:val="24"/>
          <w:szCs w:val="24"/>
          <w:highlight w:val="none"/>
        </w:rPr>
      </w:pPr>
      <w:r>
        <w:rPr>
          <w:rFonts w:hint="default" w:hAnsi="宋体" w:cs="宋体"/>
          <w:color w:val="auto"/>
          <w:spacing w:val="-8"/>
          <w:sz w:val="24"/>
          <w:szCs w:val="24"/>
          <w:highlight w:val="none"/>
        </w:rPr>
        <w:t>1.2</w:t>
      </w:r>
      <w:r>
        <w:rPr>
          <w:rFonts w:hint="default" w:hAnsi="宋体" w:cs="宋体"/>
          <w:color w:val="auto"/>
          <w:spacing w:val="-5"/>
          <w:sz w:val="24"/>
          <w:szCs w:val="24"/>
          <w:highlight w:val="none"/>
        </w:rPr>
        <w:t>.</w:t>
      </w:r>
      <w:r>
        <w:rPr>
          <w:rFonts w:hint="default" w:hAnsi="宋体" w:cs="宋体"/>
          <w:color w:val="auto"/>
          <w:spacing w:val="-4"/>
          <w:sz w:val="24"/>
          <w:szCs w:val="24"/>
          <w:highlight w:val="none"/>
        </w:rPr>
        <w:t>1.3 质量：</w:t>
      </w:r>
      <w:r>
        <w:rPr>
          <w:rFonts w:hint="default" w:hAnsi="宋体" w:cs="宋体"/>
          <w:color w:val="auto"/>
          <w:spacing w:val="-4"/>
          <w:sz w:val="24"/>
          <w:szCs w:val="24"/>
          <w:highlight w:val="none"/>
          <w:u w:val="single" w:color="auto"/>
        </w:rPr>
        <w:t xml:space="preserve">                                         </w:t>
      </w:r>
      <w:r>
        <w:rPr>
          <w:rFonts w:hint="default" w:hAnsi="宋体" w:cs="宋体"/>
          <w:color w:val="auto"/>
          <w:spacing w:val="-4"/>
          <w:sz w:val="24"/>
          <w:szCs w:val="24"/>
          <w:highlight w:val="none"/>
        </w:rPr>
        <w:t>。</w:t>
      </w:r>
    </w:p>
    <w:p w14:paraId="2E79497A">
      <w:pPr>
        <w:spacing w:before="226" w:beforeLines="0" w:afterLines="0" w:line="360" w:lineRule="auto"/>
        <w:ind w:left="521"/>
        <w:rPr>
          <w:rFonts w:hint="default" w:hAnsi="宋体" w:cs="宋体"/>
          <w:color w:val="auto"/>
          <w:sz w:val="24"/>
          <w:szCs w:val="24"/>
          <w:highlight w:val="none"/>
        </w:rPr>
      </w:pPr>
      <w:r>
        <w:rPr>
          <w:rFonts w:hint="default" w:hAnsi="宋体" w:cs="宋体"/>
          <w:color w:val="auto"/>
          <w:spacing w:val="-10"/>
          <w:position w:val="-3"/>
          <w:sz w:val="24"/>
          <w:szCs w:val="24"/>
          <w:highlight w:val="none"/>
        </w:rPr>
        <w:t>……</w:t>
      </w:r>
    </w:p>
    <w:p w14:paraId="24A0D0DC">
      <w:pPr>
        <w:spacing w:before="18" w:beforeLines="0" w:afterLines="0" w:line="360" w:lineRule="auto"/>
        <w:ind w:left="508"/>
        <w:rPr>
          <w:rFonts w:hint="default" w:hAnsi="宋体" w:cs="宋体"/>
          <w:color w:val="auto"/>
          <w:sz w:val="24"/>
          <w:szCs w:val="24"/>
          <w:highlight w:val="none"/>
        </w:rPr>
      </w:pPr>
      <w:r>
        <w:rPr>
          <w:rFonts w:hint="default" w:hAnsi="宋体" w:cs="宋体"/>
          <w:color w:val="auto"/>
          <w:spacing w:val="-5"/>
          <w:sz w:val="24"/>
          <w:szCs w:val="24"/>
          <w:highlight w:val="none"/>
        </w:rPr>
        <w:t>1</w:t>
      </w:r>
      <w:r>
        <w:rPr>
          <w:rFonts w:hint="default" w:hAnsi="宋体" w:cs="宋体"/>
          <w:color w:val="auto"/>
          <w:spacing w:val="-3"/>
          <w:sz w:val="24"/>
          <w:szCs w:val="24"/>
          <w:highlight w:val="none"/>
        </w:rPr>
        <w:t>.3 价款</w:t>
      </w:r>
    </w:p>
    <w:p w14:paraId="7B215893">
      <w:pPr>
        <w:spacing w:before="78" w:beforeLines="0" w:afterLines="0" w:line="360" w:lineRule="auto"/>
        <w:ind w:left="7" w:right="62" w:firstLine="483"/>
        <w:rPr>
          <w:rFonts w:hint="default" w:hAnsi="宋体" w:cs="宋体"/>
          <w:color w:val="auto"/>
          <w:sz w:val="24"/>
          <w:szCs w:val="24"/>
          <w:highlight w:val="none"/>
        </w:rPr>
      </w:pPr>
      <w:r>
        <w:rPr>
          <w:rFonts w:hint="default" w:hAnsi="宋体" w:cs="宋体"/>
          <w:color w:val="auto"/>
          <w:spacing w:val="-4"/>
          <w:sz w:val="24"/>
          <w:szCs w:val="24"/>
          <w:highlight w:val="none"/>
        </w:rPr>
        <w:t>本</w:t>
      </w:r>
      <w:r>
        <w:rPr>
          <w:rFonts w:hint="default" w:hAnsi="宋体" w:cs="宋体"/>
          <w:color w:val="auto"/>
          <w:spacing w:val="-2"/>
          <w:sz w:val="24"/>
          <w:szCs w:val="24"/>
          <w:highlight w:val="none"/>
        </w:rPr>
        <w:t>合同总价为： 人民币</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元(大写：</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元人民币，</w:t>
      </w:r>
      <w:r>
        <w:rPr>
          <w:rFonts w:hint="default" w:hAnsi="宋体" w:cs="宋体"/>
          <w:color w:val="auto"/>
          <w:sz w:val="24"/>
          <w:szCs w:val="24"/>
          <w:highlight w:val="none"/>
        </w:rPr>
        <w:t xml:space="preserve"> </w:t>
      </w:r>
      <w:r>
        <w:rPr>
          <w:rFonts w:hint="default" w:hAnsi="宋体" w:cs="宋体"/>
          <w:color w:val="auto"/>
          <w:spacing w:val="17"/>
          <w:sz w:val="24"/>
          <w:szCs w:val="24"/>
          <w:highlight w:val="none"/>
        </w:rPr>
        <w:t>含</w:t>
      </w:r>
      <w:r>
        <w:rPr>
          <w:rFonts w:hint="default" w:hAnsi="宋体" w:cs="宋体"/>
          <w:color w:val="auto"/>
          <w:spacing w:val="16"/>
          <w:sz w:val="24"/>
          <w:szCs w:val="24"/>
          <w:highlight w:val="none"/>
        </w:rPr>
        <w:t>税)。</w:t>
      </w:r>
    </w:p>
    <w:p w14:paraId="050A944A">
      <w:pPr>
        <w:spacing w:beforeLines="0" w:afterLines="0" w:line="360" w:lineRule="auto"/>
        <w:rPr>
          <w:rFonts w:hint="default" w:hAnsi="宋体" w:cs="宋体"/>
          <w:color w:val="auto"/>
          <w:sz w:val="24"/>
          <w:szCs w:val="24"/>
          <w:highlight w:val="none"/>
        </w:rPr>
      </w:pPr>
    </w:p>
    <w:tbl>
      <w:tblPr>
        <w:tblStyle w:val="15"/>
        <w:tblW w:w="7165" w:type="dxa"/>
        <w:tblInd w:w="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3852"/>
        <w:gridCol w:w="1166"/>
        <w:gridCol w:w="1397"/>
      </w:tblGrid>
      <w:tr w14:paraId="712E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50" w:type="dxa"/>
            <w:tcBorders>
              <w:top w:val="single" w:color="000000" w:sz="2" w:space="0"/>
              <w:left w:val="single" w:color="000000" w:sz="4" w:space="0"/>
              <w:bottom w:val="single" w:color="000000" w:sz="2" w:space="0"/>
              <w:right w:val="single" w:color="000000" w:sz="4" w:space="0"/>
              <w:tl2br w:val="nil"/>
              <w:tr2bl w:val="nil"/>
            </w:tcBorders>
            <w:noWrap w:val="0"/>
            <w:vAlign w:val="top"/>
          </w:tcPr>
          <w:p w14:paraId="63711E42">
            <w:pPr>
              <w:spacing w:before="65" w:beforeLines="0" w:afterLines="0" w:line="360" w:lineRule="auto"/>
              <w:rPr>
                <w:rFonts w:hint="default" w:hAnsi="宋体" w:cs="宋体"/>
                <w:color w:val="auto"/>
                <w:sz w:val="24"/>
                <w:szCs w:val="24"/>
                <w:highlight w:val="none"/>
              </w:rPr>
            </w:pPr>
            <w:r>
              <w:rPr>
                <w:rFonts w:hint="default" w:hAnsi="宋体" w:cs="宋体"/>
                <w:color w:val="auto"/>
                <w:spacing w:val="-5"/>
                <w:sz w:val="24"/>
                <w:szCs w:val="24"/>
                <w:highlight w:val="none"/>
              </w:rPr>
              <w:t>序</w:t>
            </w:r>
            <w:r>
              <w:rPr>
                <w:rFonts w:hint="default" w:hAnsi="宋体" w:cs="宋体"/>
                <w:color w:val="auto"/>
                <w:spacing w:val="-3"/>
                <w:sz w:val="24"/>
                <w:szCs w:val="24"/>
                <w:highlight w:val="none"/>
              </w:rPr>
              <w:t>号</w:t>
            </w:r>
          </w:p>
        </w:tc>
        <w:tc>
          <w:tcPr>
            <w:tcW w:w="3852" w:type="dxa"/>
            <w:tcBorders>
              <w:top w:val="single" w:color="000000" w:sz="2" w:space="0"/>
              <w:left w:val="single" w:color="000000" w:sz="4" w:space="0"/>
              <w:bottom w:val="single" w:color="000000" w:sz="2" w:space="0"/>
              <w:right w:val="single" w:color="000000" w:sz="4" w:space="0"/>
              <w:tl2br w:val="nil"/>
              <w:tr2bl w:val="nil"/>
            </w:tcBorders>
            <w:noWrap w:val="0"/>
            <w:vAlign w:val="top"/>
          </w:tcPr>
          <w:p w14:paraId="191550B0">
            <w:pPr>
              <w:spacing w:before="65" w:beforeLines="0" w:afterLines="0" w:line="360" w:lineRule="auto"/>
              <w:ind w:left="592"/>
              <w:rPr>
                <w:rFonts w:hint="default" w:hAnsi="宋体" w:cs="宋体"/>
                <w:color w:val="auto"/>
                <w:sz w:val="24"/>
                <w:szCs w:val="24"/>
                <w:highlight w:val="none"/>
              </w:rPr>
            </w:pPr>
            <w:r>
              <w:rPr>
                <w:rFonts w:hint="default" w:hAnsi="宋体" w:cs="宋体"/>
                <w:color w:val="auto"/>
                <w:spacing w:val="-3"/>
                <w:sz w:val="24"/>
                <w:szCs w:val="24"/>
                <w:highlight w:val="none"/>
              </w:rPr>
              <w:t>分项名称</w:t>
            </w:r>
          </w:p>
        </w:tc>
        <w:tc>
          <w:tcPr>
            <w:tcW w:w="1166" w:type="dxa"/>
            <w:tcBorders>
              <w:top w:val="single" w:color="000000" w:sz="2" w:space="0"/>
              <w:left w:val="single" w:color="000000" w:sz="4" w:space="0"/>
              <w:bottom w:val="single" w:color="000000" w:sz="2" w:space="0"/>
              <w:right w:val="single" w:color="auto" w:sz="4" w:space="0"/>
              <w:tl2br w:val="nil"/>
              <w:tr2bl w:val="nil"/>
            </w:tcBorders>
            <w:noWrap w:val="0"/>
            <w:vAlign w:val="top"/>
          </w:tcPr>
          <w:p w14:paraId="4A4D671A">
            <w:pPr>
              <w:spacing w:before="65" w:beforeLines="0" w:afterLines="0" w:line="360" w:lineRule="auto"/>
              <w:ind w:firstLine="240" w:firstLineChars="100"/>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单</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lang w:eastAsia="zh-CN"/>
              </w:rPr>
              <w:t>价</w:t>
            </w:r>
          </w:p>
        </w:tc>
        <w:tc>
          <w:tcPr>
            <w:tcW w:w="1397" w:type="dxa"/>
            <w:tcBorders>
              <w:top w:val="single" w:color="000000" w:sz="2" w:space="0"/>
              <w:left w:val="single" w:color="auto" w:sz="4" w:space="0"/>
              <w:bottom w:val="single" w:color="000000" w:sz="2" w:space="0"/>
              <w:right w:val="single" w:color="000000" w:sz="4" w:space="0"/>
              <w:tl2br w:val="nil"/>
              <w:tr2bl w:val="nil"/>
            </w:tcBorders>
            <w:noWrap w:val="0"/>
            <w:vAlign w:val="top"/>
          </w:tcPr>
          <w:p w14:paraId="5A8DFBC3">
            <w:pPr>
              <w:spacing w:before="65" w:beforeLines="0" w:afterLines="0" w:line="360" w:lineRule="auto"/>
              <w:ind w:firstLine="468" w:firstLineChars="200"/>
              <w:rPr>
                <w:rFonts w:hint="eastAsia" w:hAnsi="宋体" w:eastAsia="宋体" w:cs="宋体"/>
                <w:color w:val="auto"/>
                <w:spacing w:val="-3"/>
                <w:sz w:val="24"/>
                <w:szCs w:val="24"/>
                <w:highlight w:val="none"/>
                <w:lang w:eastAsia="zh-CN"/>
              </w:rPr>
            </w:pPr>
            <w:r>
              <w:rPr>
                <w:rFonts w:hint="eastAsia" w:hAnsi="宋体" w:eastAsia="宋体" w:cs="宋体"/>
                <w:color w:val="auto"/>
                <w:spacing w:val="-3"/>
                <w:sz w:val="24"/>
                <w:szCs w:val="24"/>
                <w:highlight w:val="none"/>
                <w:lang w:eastAsia="zh-CN"/>
              </w:rPr>
              <w:t>合</w:t>
            </w:r>
            <w:r>
              <w:rPr>
                <w:rFonts w:hint="eastAsia" w:hAnsi="宋体" w:eastAsia="宋体" w:cs="宋体"/>
                <w:color w:val="auto"/>
                <w:spacing w:val="-3"/>
                <w:sz w:val="24"/>
                <w:szCs w:val="24"/>
                <w:highlight w:val="none"/>
                <w:lang w:val="en-US" w:eastAsia="zh-CN"/>
              </w:rPr>
              <w:t xml:space="preserve"> </w:t>
            </w:r>
            <w:r>
              <w:rPr>
                <w:rFonts w:hint="eastAsia" w:hAnsi="宋体" w:eastAsia="宋体" w:cs="宋体"/>
                <w:color w:val="auto"/>
                <w:spacing w:val="-3"/>
                <w:sz w:val="24"/>
                <w:szCs w:val="24"/>
                <w:highlight w:val="none"/>
                <w:lang w:eastAsia="zh-CN"/>
              </w:rPr>
              <w:t>价</w:t>
            </w:r>
          </w:p>
        </w:tc>
      </w:tr>
      <w:tr w14:paraId="346F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50" w:type="dxa"/>
            <w:tcBorders>
              <w:top w:val="single" w:color="000000" w:sz="2" w:space="0"/>
              <w:left w:val="single" w:color="000000" w:sz="4" w:space="0"/>
              <w:bottom w:val="single" w:color="000000" w:sz="2" w:space="0"/>
              <w:right w:val="single" w:color="000000" w:sz="4" w:space="0"/>
              <w:tl2br w:val="nil"/>
              <w:tr2bl w:val="nil"/>
            </w:tcBorders>
            <w:noWrap w:val="0"/>
            <w:vAlign w:val="top"/>
          </w:tcPr>
          <w:p w14:paraId="7CC9C204">
            <w:pPr>
              <w:spacing w:beforeLines="0" w:afterLines="0" w:line="360" w:lineRule="auto"/>
              <w:rPr>
                <w:rFonts w:hint="default" w:hAnsi="宋体" w:cs="宋体"/>
                <w:color w:val="auto"/>
                <w:sz w:val="24"/>
                <w:szCs w:val="24"/>
                <w:highlight w:val="none"/>
              </w:rPr>
            </w:pPr>
          </w:p>
        </w:tc>
        <w:tc>
          <w:tcPr>
            <w:tcW w:w="3852" w:type="dxa"/>
            <w:tcBorders>
              <w:top w:val="single" w:color="000000" w:sz="2" w:space="0"/>
              <w:left w:val="single" w:color="000000" w:sz="4" w:space="0"/>
              <w:bottom w:val="single" w:color="000000" w:sz="2" w:space="0"/>
              <w:right w:val="single" w:color="000000" w:sz="4" w:space="0"/>
              <w:tl2br w:val="nil"/>
              <w:tr2bl w:val="nil"/>
            </w:tcBorders>
            <w:noWrap w:val="0"/>
            <w:vAlign w:val="top"/>
          </w:tcPr>
          <w:p w14:paraId="4BD87ECC">
            <w:pPr>
              <w:spacing w:beforeLines="0" w:afterLines="0" w:line="360" w:lineRule="auto"/>
              <w:rPr>
                <w:rFonts w:hint="default" w:hAnsi="宋体" w:cs="宋体"/>
                <w:color w:val="auto"/>
                <w:sz w:val="24"/>
                <w:szCs w:val="24"/>
                <w:highlight w:val="none"/>
              </w:rPr>
            </w:pPr>
          </w:p>
        </w:tc>
        <w:tc>
          <w:tcPr>
            <w:tcW w:w="1166" w:type="dxa"/>
            <w:tcBorders>
              <w:top w:val="single" w:color="000000" w:sz="2" w:space="0"/>
              <w:left w:val="single" w:color="000000" w:sz="4" w:space="0"/>
              <w:bottom w:val="single" w:color="000000" w:sz="2" w:space="0"/>
              <w:right w:val="single" w:color="auto" w:sz="4" w:space="0"/>
              <w:tl2br w:val="nil"/>
              <w:tr2bl w:val="nil"/>
            </w:tcBorders>
            <w:noWrap w:val="0"/>
            <w:vAlign w:val="top"/>
          </w:tcPr>
          <w:p w14:paraId="4ABC9C7D">
            <w:pPr>
              <w:spacing w:beforeLines="0" w:afterLines="0" w:line="360" w:lineRule="auto"/>
              <w:rPr>
                <w:rFonts w:hint="default" w:hAnsi="宋体" w:cs="宋体"/>
                <w:color w:val="auto"/>
                <w:sz w:val="24"/>
                <w:szCs w:val="24"/>
                <w:highlight w:val="none"/>
              </w:rPr>
            </w:pPr>
          </w:p>
        </w:tc>
        <w:tc>
          <w:tcPr>
            <w:tcW w:w="1397" w:type="dxa"/>
            <w:tcBorders>
              <w:top w:val="single" w:color="000000" w:sz="2" w:space="0"/>
              <w:left w:val="single" w:color="auto" w:sz="4" w:space="0"/>
              <w:bottom w:val="single" w:color="000000" w:sz="2" w:space="0"/>
              <w:right w:val="single" w:color="000000" w:sz="4" w:space="0"/>
              <w:tl2br w:val="nil"/>
              <w:tr2bl w:val="nil"/>
            </w:tcBorders>
            <w:noWrap w:val="0"/>
            <w:vAlign w:val="top"/>
          </w:tcPr>
          <w:p w14:paraId="6ECEA766">
            <w:pPr>
              <w:spacing w:beforeLines="0" w:afterLines="0" w:line="360" w:lineRule="auto"/>
              <w:rPr>
                <w:rFonts w:hint="default" w:hAnsi="宋体" w:cs="宋体"/>
                <w:color w:val="auto"/>
                <w:sz w:val="24"/>
                <w:szCs w:val="24"/>
                <w:highlight w:val="none"/>
              </w:rPr>
            </w:pPr>
          </w:p>
        </w:tc>
      </w:tr>
      <w:tr w14:paraId="66F7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50" w:type="dxa"/>
            <w:tcBorders>
              <w:top w:val="single" w:color="000000" w:sz="2" w:space="0"/>
              <w:left w:val="single" w:color="000000" w:sz="4" w:space="0"/>
              <w:bottom w:val="single" w:color="000000" w:sz="2" w:space="0"/>
              <w:right w:val="single" w:color="000000" w:sz="4" w:space="0"/>
              <w:tl2br w:val="nil"/>
              <w:tr2bl w:val="nil"/>
            </w:tcBorders>
            <w:noWrap w:val="0"/>
            <w:vAlign w:val="top"/>
          </w:tcPr>
          <w:p w14:paraId="03DAF8A2">
            <w:pPr>
              <w:spacing w:beforeLines="0" w:afterLines="0" w:line="360" w:lineRule="auto"/>
              <w:rPr>
                <w:rFonts w:hint="default" w:hAnsi="宋体" w:cs="宋体"/>
                <w:color w:val="auto"/>
                <w:sz w:val="24"/>
                <w:szCs w:val="24"/>
                <w:highlight w:val="none"/>
              </w:rPr>
            </w:pPr>
          </w:p>
        </w:tc>
        <w:tc>
          <w:tcPr>
            <w:tcW w:w="3852" w:type="dxa"/>
            <w:tcBorders>
              <w:top w:val="single" w:color="000000" w:sz="2" w:space="0"/>
              <w:left w:val="single" w:color="000000" w:sz="4" w:space="0"/>
              <w:bottom w:val="single" w:color="000000" w:sz="2" w:space="0"/>
              <w:right w:val="single" w:color="000000" w:sz="4" w:space="0"/>
              <w:tl2br w:val="nil"/>
              <w:tr2bl w:val="nil"/>
            </w:tcBorders>
            <w:noWrap w:val="0"/>
            <w:vAlign w:val="top"/>
          </w:tcPr>
          <w:p w14:paraId="78FEA36F">
            <w:pPr>
              <w:spacing w:beforeLines="0" w:afterLines="0" w:line="360" w:lineRule="auto"/>
              <w:rPr>
                <w:rFonts w:hint="default" w:hAnsi="宋体" w:cs="宋体"/>
                <w:color w:val="auto"/>
                <w:sz w:val="24"/>
                <w:szCs w:val="24"/>
                <w:highlight w:val="none"/>
              </w:rPr>
            </w:pPr>
          </w:p>
        </w:tc>
        <w:tc>
          <w:tcPr>
            <w:tcW w:w="1166" w:type="dxa"/>
            <w:tcBorders>
              <w:top w:val="single" w:color="000000" w:sz="2" w:space="0"/>
              <w:left w:val="single" w:color="000000" w:sz="4" w:space="0"/>
              <w:bottom w:val="single" w:color="000000" w:sz="2" w:space="0"/>
              <w:right w:val="single" w:color="auto" w:sz="4" w:space="0"/>
              <w:tl2br w:val="nil"/>
              <w:tr2bl w:val="nil"/>
            </w:tcBorders>
            <w:noWrap w:val="0"/>
            <w:vAlign w:val="top"/>
          </w:tcPr>
          <w:p w14:paraId="69ED13E3">
            <w:pPr>
              <w:spacing w:beforeLines="0" w:afterLines="0" w:line="360" w:lineRule="auto"/>
              <w:rPr>
                <w:rFonts w:hint="default" w:hAnsi="宋体" w:cs="宋体"/>
                <w:color w:val="auto"/>
                <w:sz w:val="24"/>
                <w:szCs w:val="24"/>
                <w:highlight w:val="none"/>
              </w:rPr>
            </w:pPr>
          </w:p>
        </w:tc>
        <w:tc>
          <w:tcPr>
            <w:tcW w:w="1397" w:type="dxa"/>
            <w:tcBorders>
              <w:top w:val="single" w:color="000000" w:sz="2" w:space="0"/>
              <w:left w:val="single" w:color="auto" w:sz="4" w:space="0"/>
              <w:bottom w:val="single" w:color="000000" w:sz="2" w:space="0"/>
              <w:right w:val="single" w:color="000000" w:sz="4" w:space="0"/>
              <w:tl2br w:val="nil"/>
              <w:tr2bl w:val="nil"/>
            </w:tcBorders>
            <w:noWrap w:val="0"/>
            <w:vAlign w:val="top"/>
          </w:tcPr>
          <w:p w14:paraId="73CF4484">
            <w:pPr>
              <w:spacing w:beforeLines="0" w:afterLines="0" w:line="360" w:lineRule="auto"/>
              <w:rPr>
                <w:rFonts w:hint="default" w:hAnsi="宋体" w:cs="宋体"/>
                <w:color w:val="auto"/>
                <w:sz w:val="24"/>
                <w:szCs w:val="24"/>
                <w:highlight w:val="none"/>
              </w:rPr>
            </w:pPr>
          </w:p>
        </w:tc>
      </w:tr>
      <w:tr w14:paraId="46C3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602" w:type="dxa"/>
            <w:gridSpan w:val="2"/>
            <w:tcBorders>
              <w:top w:val="single" w:color="000000" w:sz="2" w:space="0"/>
              <w:left w:val="single" w:color="000000" w:sz="4" w:space="0"/>
              <w:bottom w:val="single" w:color="000000" w:sz="2" w:space="0"/>
              <w:right w:val="single" w:color="000000" w:sz="4" w:space="0"/>
              <w:tl2br w:val="nil"/>
              <w:tr2bl w:val="nil"/>
            </w:tcBorders>
            <w:noWrap w:val="0"/>
            <w:vAlign w:val="top"/>
          </w:tcPr>
          <w:p w14:paraId="60862C8D">
            <w:pPr>
              <w:spacing w:before="65" w:beforeLines="0" w:afterLines="0" w:line="360" w:lineRule="auto"/>
              <w:ind w:left="609"/>
              <w:rPr>
                <w:rFonts w:hint="default" w:hAnsi="宋体" w:cs="宋体"/>
                <w:color w:val="auto"/>
                <w:sz w:val="24"/>
                <w:szCs w:val="24"/>
                <w:highlight w:val="none"/>
              </w:rPr>
            </w:pPr>
            <w:r>
              <w:rPr>
                <w:rFonts w:hint="default" w:hAnsi="宋体" w:cs="宋体"/>
                <w:color w:val="auto"/>
                <w:spacing w:val="-14"/>
                <w:sz w:val="24"/>
                <w:szCs w:val="24"/>
                <w:highlight w:val="none"/>
              </w:rPr>
              <w:t>总</w:t>
            </w:r>
            <w:r>
              <w:rPr>
                <w:rFonts w:hint="default" w:hAnsi="宋体" w:cs="宋体"/>
                <w:color w:val="auto"/>
                <w:spacing w:val="-12"/>
                <w:sz w:val="24"/>
                <w:szCs w:val="24"/>
                <w:highlight w:val="none"/>
              </w:rPr>
              <w:t>价</w:t>
            </w:r>
          </w:p>
        </w:tc>
        <w:tc>
          <w:tcPr>
            <w:tcW w:w="2563" w:type="dxa"/>
            <w:gridSpan w:val="2"/>
            <w:tcBorders>
              <w:top w:val="single" w:color="000000" w:sz="2" w:space="0"/>
              <w:left w:val="single" w:color="000000" w:sz="4" w:space="0"/>
              <w:bottom w:val="single" w:color="000000" w:sz="2" w:space="0"/>
              <w:right w:val="single" w:color="000000" w:sz="4" w:space="0"/>
              <w:tl2br w:val="nil"/>
              <w:tr2bl w:val="nil"/>
            </w:tcBorders>
            <w:noWrap w:val="0"/>
            <w:vAlign w:val="top"/>
          </w:tcPr>
          <w:p w14:paraId="2018901E">
            <w:pPr>
              <w:spacing w:beforeLines="0" w:afterLines="0" w:line="360" w:lineRule="auto"/>
              <w:rPr>
                <w:rFonts w:hint="default" w:hAnsi="宋体" w:cs="宋体"/>
                <w:color w:val="auto"/>
                <w:sz w:val="24"/>
                <w:szCs w:val="24"/>
                <w:highlight w:val="none"/>
              </w:rPr>
            </w:pPr>
          </w:p>
        </w:tc>
      </w:tr>
    </w:tbl>
    <w:p w14:paraId="60701D10">
      <w:pPr>
        <w:spacing w:before="1" w:beforeLines="0" w:afterLines="0" w:line="360" w:lineRule="auto"/>
        <w:ind w:left="508"/>
        <w:rPr>
          <w:rFonts w:hint="default" w:hAnsi="宋体" w:cs="宋体"/>
          <w:color w:val="auto"/>
          <w:sz w:val="24"/>
          <w:szCs w:val="24"/>
          <w:highlight w:val="none"/>
        </w:rPr>
      </w:pPr>
      <w:r>
        <w:rPr>
          <w:rFonts w:hint="default" w:hAnsi="宋体" w:cs="宋体"/>
          <w:color w:val="auto"/>
          <w:spacing w:val="7"/>
          <w:sz w:val="24"/>
          <w:szCs w:val="24"/>
          <w:highlight w:val="none"/>
        </w:rPr>
        <w:t>1.4 付款方式和发票开具方式</w:t>
      </w:r>
    </w:p>
    <w:p w14:paraId="4AD43DC6">
      <w:pPr>
        <w:spacing w:before="79" w:beforeLines="0" w:afterLines="0" w:line="360" w:lineRule="auto"/>
        <w:ind w:left="506"/>
        <w:rPr>
          <w:rFonts w:hint="default" w:hAnsi="宋体" w:cs="宋体"/>
          <w:color w:val="auto"/>
          <w:sz w:val="24"/>
          <w:szCs w:val="24"/>
          <w:highlight w:val="none"/>
        </w:rPr>
      </w:pPr>
      <w:r>
        <w:rPr>
          <w:rFonts w:hint="default" w:hAnsi="宋体" w:cs="宋体"/>
          <w:color w:val="auto"/>
          <w:spacing w:val="-4"/>
          <w:sz w:val="24"/>
          <w:szCs w:val="24"/>
          <w:highlight w:val="none"/>
        </w:rPr>
        <w:t>1.4.1 付款方式：</w:t>
      </w:r>
      <w:r>
        <w:rPr>
          <w:rFonts w:hint="default" w:hAnsi="宋体" w:cs="宋体"/>
          <w:color w:val="auto"/>
          <w:spacing w:val="-4"/>
          <w:sz w:val="24"/>
          <w:szCs w:val="24"/>
          <w:highlight w:val="none"/>
          <w:u w:val="single" w:color="auto"/>
        </w:rPr>
        <w:t xml:space="preserve">     </w:t>
      </w:r>
      <w:r>
        <w:rPr>
          <w:rFonts w:hint="default" w:hAnsi="宋体" w:cs="宋体"/>
          <w:color w:val="auto"/>
          <w:spacing w:val="-3"/>
          <w:sz w:val="24"/>
          <w:szCs w:val="24"/>
          <w:highlight w:val="none"/>
          <w:u w:val="single" w:color="auto"/>
        </w:rPr>
        <w:t xml:space="preserve"> </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w:t>
      </w:r>
    </w:p>
    <w:p w14:paraId="2813D760">
      <w:pPr>
        <w:spacing w:before="78" w:beforeLines="0" w:afterLines="0" w:line="360" w:lineRule="auto"/>
        <w:ind w:left="506"/>
        <w:rPr>
          <w:rFonts w:hint="default" w:hAnsi="宋体" w:cs="宋体"/>
          <w:color w:val="auto"/>
          <w:sz w:val="24"/>
          <w:szCs w:val="24"/>
          <w:highlight w:val="none"/>
        </w:rPr>
      </w:pPr>
      <w:r>
        <w:rPr>
          <w:rFonts w:hint="default" w:hAnsi="宋体" w:cs="宋体"/>
          <w:color w:val="auto"/>
          <w:spacing w:val="-4"/>
          <w:sz w:val="24"/>
          <w:szCs w:val="24"/>
          <w:highlight w:val="none"/>
        </w:rPr>
        <w:t>1.4.2 发票开具方式：</w:t>
      </w:r>
      <w:r>
        <w:rPr>
          <w:rFonts w:hint="default" w:hAnsi="宋体" w:cs="宋体"/>
          <w:color w:val="auto"/>
          <w:spacing w:val="-4"/>
          <w:sz w:val="24"/>
          <w:szCs w:val="24"/>
          <w:highlight w:val="none"/>
          <w:u w:val="single" w:color="auto"/>
        </w:rPr>
        <w:t xml:space="preserve">    </w:t>
      </w:r>
      <w:r>
        <w:rPr>
          <w:rFonts w:hint="default" w:hAnsi="宋体" w:cs="宋体"/>
          <w:color w:val="auto"/>
          <w:spacing w:val="-3"/>
          <w:sz w:val="24"/>
          <w:szCs w:val="24"/>
          <w:highlight w:val="none"/>
          <w:u w:val="single" w:color="auto"/>
        </w:rPr>
        <w:t xml:space="preserve"> </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w:t>
      </w:r>
    </w:p>
    <w:p w14:paraId="5A23611F">
      <w:pPr>
        <w:spacing w:before="78" w:beforeLines="0" w:afterLines="0" w:line="360" w:lineRule="auto"/>
        <w:ind w:left="508"/>
        <w:rPr>
          <w:rFonts w:hint="default" w:hAnsi="宋体" w:cs="宋体"/>
          <w:color w:val="auto"/>
          <w:sz w:val="24"/>
          <w:szCs w:val="24"/>
          <w:highlight w:val="none"/>
        </w:rPr>
      </w:pPr>
      <w:r>
        <w:rPr>
          <w:rFonts w:hint="default" w:hAnsi="宋体" w:cs="宋体"/>
          <w:color w:val="auto"/>
          <w:spacing w:val="-2"/>
          <w:sz w:val="24"/>
          <w:szCs w:val="24"/>
          <w:highlight w:val="none"/>
        </w:rPr>
        <w:t>1.5</w:t>
      </w:r>
      <w:r>
        <w:rPr>
          <w:rFonts w:hint="default" w:hAnsi="宋体" w:cs="宋体"/>
          <w:color w:val="auto"/>
          <w:spacing w:val="-1"/>
          <w:sz w:val="24"/>
          <w:szCs w:val="24"/>
          <w:highlight w:val="none"/>
        </w:rPr>
        <w:t xml:space="preserve"> 标的物交付期限、地点、方式和服务期限</w:t>
      </w:r>
    </w:p>
    <w:p w14:paraId="03552E60">
      <w:pPr>
        <w:spacing w:before="79" w:beforeLines="0" w:afterLines="0" w:line="360" w:lineRule="auto"/>
        <w:ind w:left="506"/>
        <w:rPr>
          <w:rFonts w:hint="default" w:hAnsi="宋体" w:cs="宋体"/>
          <w:color w:val="auto"/>
          <w:sz w:val="24"/>
          <w:szCs w:val="24"/>
          <w:highlight w:val="none"/>
        </w:rPr>
      </w:pPr>
      <w:r>
        <w:rPr>
          <w:rFonts w:hint="default" w:hAnsi="宋体" w:cs="宋体"/>
          <w:color w:val="auto"/>
          <w:spacing w:val="-2"/>
          <w:sz w:val="24"/>
          <w:szCs w:val="24"/>
          <w:highlight w:val="none"/>
        </w:rPr>
        <w:t xml:space="preserve">1.5.1 交付期限： </w:t>
      </w:r>
      <w:r>
        <w:rPr>
          <w:rFonts w:hint="default" w:hAnsi="宋体" w:cs="宋体"/>
          <w:color w:val="auto"/>
          <w:spacing w:val="-2"/>
          <w:sz w:val="24"/>
          <w:szCs w:val="24"/>
          <w:highlight w:val="none"/>
          <w:u w:val="single" w:color="auto"/>
        </w:rPr>
        <w:t xml:space="preserve">                                               </w:t>
      </w:r>
      <w:r>
        <w:rPr>
          <w:rFonts w:hint="default" w:hAnsi="宋体" w:cs="宋体"/>
          <w:color w:val="auto"/>
          <w:sz w:val="24"/>
          <w:szCs w:val="24"/>
          <w:highlight w:val="none"/>
          <w:u w:val="single" w:color="auto"/>
        </w:rPr>
        <w:t>；</w:t>
      </w:r>
    </w:p>
    <w:p w14:paraId="371CCA7F">
      <w:pPr>
        <w:spacing w:before="78" w:beforeLines="0" w:afterLines="0" w:line="360" w:lineRule="auto"/>
        <w:ind w:left="506"/>
        <w:rPr>
          <w:rFonts w:hint="default" w:hAnsi="宋体" w:cs="宋体"/>
          <w:color w:val="auto"/>
          <w:sz w:val="24"/>
          <w:szCs w:val="24"/>
          <w:highlight w:val="none"/>
        </w:rPr>
      </w:pPr>
      <w:r>
        <w:rPr>
          <w:rFonts w:hint="default" w:hAnsi="宋体" w:cs="宋体"/>
          <w:color w:val="auto"/>
          <w:spacing w:val="-4"/>
          <w:sz w:val="24"/>
          <w:szCs w:val="24"/>
          <w:highlight w:val="none"/>
        </w:rPr>
        <w:t>1.5.2 交付地点：</w:t>
      </w:r>
      <w:r>
        <w:rPr>
          <w:rFonts w:hint="default" w:hAnsi="宋体" w:cs="宋体"/>
          <w:color w:val="auto"/>
          <w:spacing w:val="-4"/>
          <w:sz w:val="24"/>
          <w:szCs w:val="24"/>
          <w:highlight w:val="none"/>
          <w:u w:val="single" w:color="auto"/>
        </w:rPr>
        <w:t xml:space="preserve">     </w:t>
      </w:r>
      <w:r>
        <w:rPr>
          <w:rFonts w:hint="default" w:hAnsi="宋体" w:cs="宋体"/>
          <w:color w:val="auto"/>
          <w:spacing w:val="-3"/>
          <w:sz w:val="24"/>
          <w:szCs w:val="24"/>
          <w:highlight w:val="none"/>
          <w:u w:val="single" w:color="auto"/>
        </w:rPr>
        <w:t xml:space="preserve"> </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w:t>
      </w:r>
    </w:p>
    <w:p w14:paraId="2C57E0F3">
      <w:pPr>
        <w:spacing w:beforeLines="0" w:afterLines="0" w:line="360" w:lineRule="auto"/>
        <w:ind w:firstLine="464" w:firstLineChars="200"/>
        <w:rPr>
          <w:rFonts w:hint="default" w:hAnsi="宋体" w:cs="宋体"/>
          <w:b/>
          <w:color w:val="auto"/>
          <w:sz w:val="24"/>
          <w:szCs w:val="24"/>
          <w:highlight w:val="none"/>
        </w:rPr>
      </w:pPr>
      <w:r>
        <w:rPr>
          <w:rFonts w:hint="default" w:hAnsi="宋体" w:cs="宋体"/>
          <w:color w:val="auto"/>
          <w:spacing w:val="-4"/>
          <w:sz w:val="24"/>
          <w:szCs w:val="24"/>
          <w:highlight w:val="none"/>
        </w:rPr>
        <w:t>1.5.3 交付方式：</w:t>
      </w:r>
      <w:r>
        <w:rPr>
          <w:rFonts w:hint="default" w:hAnsi="宋体" w:cs="宋体"/>
          <w:color w:val="auto"/>
          <w:spacing w:val="-4"/>
          <w:sz w:val="24"/>
          <w:szCs w:val="24"/>
          <w:highlight w:val="none"/>
          <w:u w:val="single" w:color="auto"/>
        </w:rPr>
        <w:t xml:space="preserve">     </w:t>
      </w:r>
      <w:r>
        <w:rPr>
          <w:rFonts w:hint="default" w:hAnsi="宋体" w:cs="宋体"/>
          <w:color w:val="auto"/>
          <w:spacing w:val="-3"/>
          <w:sz w:val="24"/>
          <w:szCs w:val="24"/>
          <w:highlight w:val="none"/>
          <w:u w:val="single" w:color="auto"/>
        </w:rPr>
        <w:t xml:space="preserve"> </w:t>
      </w:r>
      <w:r>
        <w:rPr>
          <w:rFonts w:hint="default" w:hAnsi="宋体" w:cs="宋体"/>
          <w:color w:val="auto"/>
          <w:spacing w:val="-2"/>
          <w:sz w:val="24"/>
          <w:szCs w:val="24"/>
          <w:highlight w:val="none"/>
          <w:u w:val="single" w:color="auto"/>
        </w:rPr>
        <w:t xml:space="preserve">                                           </w:t>
      </w:r>
    </w:p>
    <w:p w14:paraId="0747F200">
      <w:pPr>
        <w:spacing w:before="78" w:beforeLines="0" w:afterLines="0" w:line="360" w:lineRule="auto"/>
        <w:ind w:left="506"/>
        <w:rPr>
          <w:rFonts w:hint="default" w:hAnsi="宋体" w:cs="宋体"/>
          <w:color w:val="auto"/>
          <w:sz w:val="24"/>
          <w:szCs w:val="24"/>
          <w:highlight w:val="none"/>
        </w:rPr>
      </w:pPr>
      <w:r>
        <w:rPr>
          <w:rFonts w:hint="default" w:hAnsi="宋体" w:cs="宋体"/>
          <w:color w:val="auto"/>
          <w:spacing w:val="-4"/>
          <w:sz w:val="24"/>
          <w:szCs w:val="24"/>
          <w:highlight w:val="none"/>
        </w:rPr>
        <w:t>1.5.4 质保期限：</w:t>
      </w:r>
      <w:r>
        <w:rPr>
          <w:rFonts w:hint="default" w:hAnsi="宋体" w:cs="宋体"/>
          <w:color w:val="auto"/>
          <w:spacing w:val="-4"/>
          <w:sz w:val="24"/>
          <w:szCs w:val="24"/>
          <w:highlight w:val="none"/>
          <w:u w:val="single" w:color="auto"/>
        </w:rPr>
        <w:t xml:space="preserve">   </w:t>
      </w:r>
      <w:r>
        <w:rPr>
          <w:rFonts w:hint="default" w:hAnsi="宋体" w:cs="宋体"/>
          <w:color w:val="auto"/>
          <w:spacing w:val="-3"/>
          <w:sz w:val="24"/>
          <w:szCs w:val="24"/>
          <w:highlight w:val="none"/>
          <w:u w:val="single" w:color="auto"/>
        </w:rPr>
        <w:t xml:space="preserve"> </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w:t>
      </w:r>
    </w:p>
    <w:p w14:paraId="0E37096D">
      <w:pPr>
        <w:spacing w:before="79" w:beforeLines="0" w:afterLines="0" w:line="360" w:lineRule="auto"/>
        <w:ind w:left="508"/>
        <w:rPr>
          <w:rFonts w:hint="default" w:hAnsi="宋体" w:cs="宋体"/>
          <w:color w:val="auto"/>
          <w:sz w:val="24"/>
          <w:szCs w:val="24"/>
          <w:highlight w:val="none"/>
        </w:rPr>
      </w:pPr>
      <w:r>
        <w:rPr>
          <w:rFonts w:hint="default" w:hAnsi="宋体" w:cs="宋体"/>
          <w:color w:val="auto"/>
          <w:spacing w:val="-4"/>
          <w:sz w:val="24"/>
          <w:szCs w:val="24"/>
          <w:highlight w:val="none"/>
        </w:rPr>
        <w:t>1.6</w:t>
      </w:r>
      <w:r>
        <w:rPr>
          <w:rFonts w:hint="default" w:hAnsi="宋体" w:cs="宋体"/>
          <w:color w:val="auto"/>
          <w:spacing w:val="-2"/>
          <w:sz w:val="24"/>
          <w:szCs w:val="24"/>
          <w:highlight w:val="none"/>
        </w:rPr>
        <w:t xml:space="preserve"> 违约责任</w:t>
      </w:r>
    </w:p>
    <w:p w14:paraId="4C4C7743">
      <w:pPr>
        <w:spacing w:before="76" w:beforeLines="0" w:afterLines="0" w:line="360" w:lineRule="auto"/>
        <w:ind w:left="9" w:right="181" w:firstLine="497"/>
        <w:rPr>
          <w:rFonts w:hint="default" w:hAnsi="宋体" w:cs="宋体"/>
          <w:color w:val="auto"/>
          <w:sz w:val="24"/>
          <w:szCs w:val="24"/>
          <w:highlight w:val="none"/>
        </w:rPr>
      </w:pPr>
      <w:r>
        <w:rPr>
          <w:rFonts w:hint="default" w:hAnsi="宋体" w:cs="宋体"/>
          <w:color w:val="auto"/>
          <w:spacing w:val="2"/>
          <w:sz w:val="24"/>
          <w:szCs w:val="24"/>
          <w:highlight w:val="none"/>
        </w:rPr>
        <w:t>1.6.</w:t>
      </w:r>
      <w:r>
        <w:rPr>
          <w:rFonts w:hint="default" w:hAnsi="宋体" w:cs="宋体"/>
          <w:color w:val="auto"/>
          <w:spacing w:val="1"/>
          <w:sz w:val="24"/>
          <w:szCs w:val="24"/>
          <w:highlight w:val="none"/>
        </w:rPr>
        <w:t>1 除不可抗力外，如果乙方没有按照本合同约定的期限、地点和方式交付</w:t>
      </w:r>
      <w:r>
        <w:rPr>
          <w:rFonts w:hint="default" w:hAnsi="宋体" w:cs="宋体"/>
          <w:color w:val="auto"/>
          <w:spacing w:val="-2"/>
          <w:sz w:val="24"/>
          <w:szCs w:val="24"/>
          <w:highlight w:val="none"/>
        </w:rPr>
        <w:t>标的物，甲方可要求乙方支付违约金，违约金</w:t>
      </w:r>
      <w:r>
        <w:rPr>
          <w:rFonts w:hint="default" w:hAnsi="宋体" w:cs="宋体"/>
          <w:color w:val="auto"/>
          <w:spacing w:val="-1"/>
          <w:sz w:val="24"/>
          <w:szCs w:val="24"/>
          <w:highlight w:val="none"/>
        </w:rPr>
        <w:t>按每迟延交付标的物一日的应交付而</w:t>
      </w:r>
      <w:r>
        <w:rPr>
          <w:rFonts w:hint="default" w:hAnsi="宋体" w:cs="宋体"/>
          <w:color w:val="auto"/>
          <w:spacing w:val="2"/>
          <w:sz w:val="24"/>
          <w:szCs w:val="24"/>
          <w:highlight w:val="none"/>
        </w:rPr>
        <w:t>未交付标的物价格的</w:t>
      </w:r>
      <w:r>
        <w:rPr>
          <w:rFonts w:hint="eastAsia" w:hAnsi="宋体" w:eastAsia="宋体" w:cs="宋体"/>
          <w:color w:val="auto"/>
          <w:spacing w:val="2"/>
          <w:sz w:val="24"/>
          <w:szCs w:val="24"/>
          <w:highlight w:val="none"/>
          <w:u w:val="single" w:color="auto"/>
          <w:lang w:val="en-US" w:eastAsia="zh-CN"/>
        </w:rPr>
        <w:t xml:space="preserve">        </w:t>
      </w:r>
      <w:r>
        <w:rPr>
          <w:rFonts w:hint="default" w:hAnsi="宋体" w:cs="宋体"/>
          <w:color w:val="auto"/>
          <w:spacing w:val="2"/>
          <w:sz w:val="24"/>
          <w:szCs w:val="24"/>
          <w:highlight w:val="none"/>
        </w:rPr>
        <w:t>计算，最高</w:t>
      </w:r>
      <w:r>
        <w:rPr>
          <w:rFonts w:hint="default" w:hAnsi="宋体" w:cs="宋体"/>
          <w:color w:val="auto"/>
          <w:spacing w:val="-1"/>
          <w:sz w:val="24"/>
          <w:szCs w:val="24"/>
          <w:highlight w:val="none"/>
        </w:rPr>
        <w:t>限额为本合同总价的</w:t>
      </w:r>
      <w:r>
        <w:rPr>
          <w:rFonts w:hint="default" w:hAnsi="宋体" w:cs="宋体"/>
          <w:color w:val="auto"/>
          <w:spacing w:val="-1"/>
          <w:sz w:val="24"/>
          <w:szCs w:val="24"/>
          <w:highlight w:val="none"/>
          <w:u w:val="single" w:color="auto"/>
        </w:rPr>
        <w:t xml:space="preserve">     </w:t>
      </w:r>
      <w:r>
        <w:rPr>
          <w:rFonts w:hint="default" w:hAnsi="宋体" w:cs="宋体"/>
          <w:color w:val="auto"/>
          <w:spacing w:val="-1"/>
          <w:sz w:val="24"/>
          <w:szCs w:val="24"/>
          <w:highlight w:val="none"/>
        </w:rPr>
        <w:t>% ；迟延超过【</w:t>
      </w:r>
      <w:r>
        <w:rPr>
          <w:rFonts w:hint="default" w:hAnsi="宋体" w:cs="宋体"/>
          <w:color w:val="auto"/>
          <w:sz w:val="24"/>
          <w:szCs w:val="24"/>
          <w:highlight w:val="none"/>
        </w:rPr>
        <w:t xml:space="preserve">  】日</w:t>
      </w:r>
      <w:r>
        <w:rPr>
          <w:rFonts w:hint="default" w:hAnsi="宋体" w:cs="宋体"/>
          <w:color w:val="auto"/>
          <w:spacing w:val="-8"/>
          <w:sz w:val="24"/>
          <w:szCs w:val="24"/>
          <w:highlight w:val="none"/>
        </w:rPr>
        <w:t>的，甲方有</w:t>
      </w:r>
      <w:r>
        <w:rPr>
          <w:rFonts w:hint="default" w:hAnsi="宋体" w:cs="宋体"/>
          <w:color w:val="auto"/>
          <w:spacing w:val="-6"/>
          <w:sz w:val="24"/>
          <w:szCs w:val="24"/>
          <w:highlight w:val="none"/>
        </w:rPr>
        <w:t>权</w:t>
      </w:r>
      <w:r>
        <w:rPr>
          <w:rFonts w:hint="default" w:hAnsi="宋体" w:cs="宋体"/>
          <w:color w:val="auto"/>
          <w:spacing w:val="-4"/>
          <w:sz w:val="24"/>
          <w:szCs w:val="24"/>
          <w:highlight w:val="none"/>
        </w:rPr>
        <w:t>在要求乙方支付违约金的同时，书面通知乙方解除本合同， 乙方应退</w:t>
      </w:r>
      <w:r>
        <w:rPr>
          <w:rFonts w:hint="default" w:hAnsi="宋体" w:cs="宋体"/>
          <w:color w:val="auto"/>
          <w:spacing w:val="8"/>
          <w:sz w:val="24"/>
          <w:szCs w:val="24"/>
          <w:highlight w:val="none"/>
        </w:rPr>
        <w:t>回全部已收取的合同价款并按合同总金额的</w:t>
      </w:r>
      <w:r>
        <w:rPr>
          <w:rFonts w:hint="default" w:hAnsi="宋体" w:cs="宋体"/>
          <w:color w:val="auto"/>
          <w:spacing w:val="8"/>
          <w:sz w:val="24"/>
          <w:szCs w:val="24"/>
          <w:highlight w:val="none"/>
          <w:u w:val="single" w:color="auto"/>
        </w:rPr>
        <w:t xml:space="preserve">     </w:t>
      </w:r>
      <w:r>
        <w:rPr>
          <w:rFonts w:hint="default" w:hAnsi="宋体" w:cs="宋体"/>
          <w:color w:val="auto"/>
          <w:spacing w:val="8"/>
          <w:sz w:val="24"/>
          <w:szCs w:val="24"/>
          <w:highlight w:val="none"/>
        </w:rPr>
        <w:t xml:space="preserve">% </w:t>
      </w:r>
      <w:r>
        <w:rPr>
          <w:rFonts w:hint="default" w:hAnsi="宋体" w:cs="宋体"/>
          <w:color w:val="auto"/>
          <w:spacing w:val="-4"/>
          <w:sz w:val="24"/>
          <w:szCs w:val="24"/>
          <w:highlight w:val="none"/>
        </w:rPr>
        <w:t xml:space="preserve"> </w:t>
      </w:r>
      <w:r>
        <w:rPr>
          <w:rFonts w:hint="default" w:hAnsi="宋体" w:cs="宋体"/>
          <w:color w:val="auto"/>
          <w:spacing w:val="-3"/>
          <w:sz w:val="24"/>
          <w:szCs w:val="24"/>
          <w:highlight w:val="none"/>
        </w:rPr>
        <w:t>向</w:t>
      </w:r>
      <w:r>
        <w:rPr>
          <w:rFonts w:hint="default" w:hAnsi="宋体" w:cs="宋体"/>
          <w:color w:val="auto"/>
          <w:spacing w:val="-2"/>
          <w:sz w:val="24"/>
          <w:szCs w:val="24"/>
          <w:highlight w:val="none"/>
        </w:rPr>
        <w:t>甲方支付违约金；</w:t>
      </w:r>
    </w:p>
    <w:p w14:paraId="72480C7E">
      <w:pPr>
        <w:spacing w:before="6" w:beforeLines="0" w:afterLines="0" w:line="360" w:lineRule="auto"/>
        <w:ind w:left="14" w:firstLine="492"/>
        <w:rPr>
          <w:rFonts w:hint="default" w:hAnsi="宋体" w:cs="宋体"/>
          <w:color w:val="auto"/>
          <w:sz w:val="24"/>
          <w:szCs w:val="24"/>
          <w:highlight w:val="none"/>
        </w:rPr>
      </w:pPr>
      <w:r>
        <w:rPr>
          <w:rFonts w:hint="default" w:hAnsi="宋体" w:cs="宋体"/>
          <w:color w:val="auto"/>
          <w:spacing w:val="-4"/>
          <w:sz w:val="24"/>
          <w:szCs w:val="24"/>
          <w:highlight w:val="none"/>
        </w:rPr>
        <w:t>1</w:t>
      </w:r>
      <w:r>
        <w:rPr>
          <w:rFonts w:hint="default" w:hAnsi="宋体" w:cs="宋体"/>
          <w:color w:val="auto"/>
          <w:spacing w:val="-3"/>
          <w:sz w:val="24"/>
          <w:szCs w:val="24"/>
          <w:highlight w:val="none"/>
        </w:rPr>
        <w:t>.</w:t>
      </w:r>
      <w:r>
        <w:rPr>
          <w:rFonts w:hint="default" w:hAnsi="宋体" w:cs="宋体"/>
          <w:color w:val="auto"/>
          <w:spacing w:val="-2"/>
          <w:sz w:val="24"/>
          <w:szCs w:val="24"/>
          <w:highlight w:val="none"/>
        </w:rPr>
        <w:t>6.2 除不可抗力外，如果甲方没有按照本合同约定的付款方式付款，乙方可</w:t>
      </w:r>
      <w:r>
        <w:rPr>
          <w:rFonts w:hint="default" w:hAnsi="宋体" w:cs="宋体"/>
          <w:color w:val="auto"/>
          <w:spacing w:val="2"/>
          <w:sz w:val="24"/>
          <w:szCs w:val="24"/>
          <w:highlight w:val="none"/>
        </w:rPr>
        <w:t>要求甲方支付违约金，违约金按每迟延付款一日的应付而未付款的</w:t>
      </w:r>
      <w:r>
        <w:rPr>
          <w:rFonts w:hint="default" w:hAnsi="宋体" w:cs="宋体"/>
          <w:color w:val="auto"/>
          <w:spacing w:val="2"/>
          <w:sz w:val="24"/>
          <w:szCs w:val="24"/>
          <w:highlight w:val="none"/>
          <w:u w:val="single" w:color="auto"/>
        </w:rPr>
        <w:t>万分之五</w:t>
      </w:r>
      <w:r>
        <w:rPr>
          <w:rFonts w:hint="default" w:hAnsi="宋体" w:cs="宋体"/>
          <w:color w:val="auto"/>
          <w:spacing w:val="4"/>
          <w:sz w:val="24"/>
          <w:szCs w:val="24"/>
          <w:highlight w:val="none"/>
        </w:rPr>
        <w:t>计算，最高限额为欠付金额的</w:t>
      </w:r>
      <w:r>
        <w:rPr>
          <w:rFonts w:hint="default" w:hAnsi="宋体" w:cs="宋体"/>
          <w:color w:val="auto"/>
          <w:spacing w:val="4"/>
          <w:sz w:val="24"/>
          <w:szCs w:val="24"/>
          <w:highlight w:val="none"/>
          <w:u w:val="single" w:color="auto"/>
        </w:rPr>
        <w:t xml:space="preserve">      </w:t>
      </w:r>
      <w:r>
        <w:rPr>
          <w:rFonts w:hint="default" w:hAnsi="宋体" w:cs="宋体"/>
          <w:color w:val="auto"/>
          <w:spacing w:val="4"/>
          <w:sz w:val="24"/>
          <w:szCs w:val="24"/>
          <w:highlight w:val="none"/>
        </w:rPr>
        <w:t>%</w:t>
      </w:r>
      <w:r>
        <w:rPr>
          <w:rFonts w:hint="default" w:hAnsi="宋体" w:cs="宋体"/>
          <w:color w:val="auto"/>
          <w:spacing w:val="1"/>
          <w:sz w:val="24"/>
          <w:szCs w:val="24"/>
          <w:highlight w:val="none"/>
        </w:rPr>
        <w:t>；迟</w:t>
      </w:r>
      <w:r>
        <w:rPr>
          <w:rFonts w:hint="default" w:hAnsi="宋体" w:cs="宋体"/>
          <w:color w:val="auto"/>
          <w:sz w:val="24"/>
          <w:szCs w:val="24"/>
          <w:highlight w:val="none"/>
        </w:rPr>
        <w:t>延付款的违约金计算数额达到前述最高限额之日起，</w:t>
      </w:r>
      <w:r>
        <w:rPr>
          <w:rFonts w:hint="default" w:hAnsi="宋体" w:cs="宋体"/>
          <w:color w:val="auto"/>
          <w:spacing w:val="-4"/>
          <w:sz w:val="24"/>
          <w:szCs w:val="24"/>
          <w:highlight w:val="none"/>
        </w:rPr>
        <w:t>乙</w:t>
      </w:r>
      <w:r>
        <w:rPr>
          <w:rFonts w:hint="default" w:hAnsi="宋体" w:cs="宋体"/>
          <w:color w:val="auto"/>
          <w:spacing w:val="-3"/>
          <w:sz w:val="24"/>
          <w:szCs w:val="24"/>
          <w:highlight w:val="none"/>
        </w:rPr>
        <w:t>方</w:t>
      </w:r>
      <w:r>
        <w:rPr>
          <w:rFonts w:hint="default" w:hAnsi="宋体" w:cs="宋体"/>
          <w:color w:val="auto"/>
          <w:spacing w:val="-2"/>
          <w:sz w:val="24"/>
          <w:szCs w:val="24"/>
          <w:highlight w:val="none"/>
        </w:rPr>
        <w:t>有权在要求甲方支付违约金的同时，书面通知甲方解除本合同；</w:t>
      </w:r>
    </w:p>
    <w:p w14:paraId="41C06568">
      <w:pPr>
        <w:spacing w:before="7" w:beforeLines="0" w:afterLines="0" w:line="360" w:lineRule="auto"/>
        <w:ind w:left="11" w:right="199" w:firstLine="495"/>
        <w:rPr>
          <w:rFonts w:hint="default" w:hAnsi="宋体" w:cs="宋体"/>
          <w:color w:val="auto"/>
          <w:sz w:val="24"/>
          <w:szCs w:val="24"/>
          <w:highlight w:val="none"/>
        </w:rPr>
      </w:pPr>
      <w:r>
        <w:rPr>
          <w:rFonts w:hint="default" w:hAnsi="宋体" w:cs="宋体"/>
          <w:color w:val="auto"/>
          <w:spacing w:val="2"/>
          <w:sz w:val="24"/>
          <w:szCs w:val="24"/>
          <w:highlight w:val="none"/>
        </w:rPr>
        <w:t>1.6.</w:t>
      </w:r>
      <w:r>
        <w:rPr>
          <w:rFonts w:hint="default" w:hAnsi="宋体" w:cs="宋体"/>
          <w:color w:val="auto"/>
          <w:spacing w:val="1"/>
          <w:sz w:val="24"/>
          <w:szCs w:val="24"/>
          <w:highlight w:val="none"/>
        </w:rPr>
        <w:t>3 除不可抗力外，任何一方未能履行本合同约定的其他主要义务，经催告</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后在合理期限内仍未履行的，或者任何一方有其他违</w:t>
      </w:r>
      <w:r>
        <w:rPr>
          <w:rFonts w:hint="default" w:hAnsi="宋体" w:cs="宋体"/>
          <w:color w:val="auto"/>
          <w:spacing w:val="1"/>
          <w:sz w:val="24"/>
          <w:szCs w:val="24"/>
          <w:highlight w:val="none"/>
        </w:rPr>
        <w:t>约行为致使不能实现合同目的</w:t>
      </w:r>
      <w:r>
        <w:rPr>
          <w:rFonts w:hint="default" w:hAnsi="宋体" w:cs="宋体"/>
          <w:color w:val="auto"/>
          <w:sz w:val="24"/>
          <w:szCs w:val="24"/>
          <w:highlight w:val="none"/>
        </w:rPr>
        <w:t xml:space="preserve"> </w:t>
      </w:r>
      <w:r>
        <w:rPr>
          <w:rFonts w:hint="default" w:hAnsi="宋体" w:cs="宋体"/>
          <w:color w:val="auto"/>
          <w:spacing w:val="5"/>
          <w:sz w:val="24"/>
          <w:szCs w:val="24"/>
          <w:highlight w:val="none"/>
        </w:rPr>
        <w:t>的，或者任何一方有腐败行为(即：提供或给予或接受或索取任何财物或其他好处</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或者采取其他不正当手段影响对方当事人在合同签订</w:t>
      </w:r>
      <w:r>
        <w:rPr>
          <w:rFonts w:hint="default" w:hAnsi="宋体" w:cs="宋体"/>
          <w:color w:val="auto"/>
          <w:spacing w:val="1"/>
          <w:sz w:val="24"/>
          <w:szCs w:val="24"/>
          <w:highlight w:val="none"/>
        </w:rPr>
        <w:t>、履行过程中的行为) 或者欺</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诈行为(即：以谎报事实或者隐瞒真相的方法来影</w:t>
      </w:r>
      <w:r>
        <w:rPr>
          <w:rFonts w:hint="default" w:hAnsi="宋体" w:cs="宋体"/>
          <w:color w:val="auto"/>
          <w:spacing w:val="1"/>
          <w:sz w:val="24"/>
          <w:szCs w:val="24"/>
          <w:highlight w:val="none"/>
        </w:rPr>
        <w:t>响对方当事人在合同签订、履行</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过程中的行为)的，对方当事人可以书面通知违约方解除本合同；</w:t>
      </w:r>
    </w:p>
    <w:p w14:paraId="0F9D47F5">
      <w:pPr>
        <w:spacing w:before="2" w:beforeLines="0" w:afterLines="0" w:line="360" w:lineRule="auto"/>
        <w:ind w:left="259" w:right="191" w:firstLine="246"/>
        <w:rPr>
          <w:rFonts w:hint="default" w:hAnsi="宋体" w:cs="宋体"/>
          <w:color w:val="auto"/>
          <w:sz w:val="24"/>
          <w:szCs w:val="24"/>
          <w:highlight w:val="none"/>
        </w:rPr>
      </w:pPr>
      <w:r>
        <w:rPr>
          <w:rFonts w:hint="default" w:hAnsi="宋体" w:cs="宋体"/>
          <w:color w:val="auto"/>
          <w:spacing w:val="8"/>
          <w:sz w:val="24"/>
          <w:szCs w:val="24"/>
          <w:highlight w:val="none"/>
        </w:rPr>
        <w:t xml:space="preserve">1.6.4 </w:t>
      </w:r>
      <w:r>
        <w:rPr>
          <w:rFonts w:hint="default" w:hAnsi="宋体" w:cs="宋体"/>
          <w:color w:val="auto"/>
          <w:spacing w:val="5"/>
          <w:sz w:val="24"/>
          <w:szCs w:val="24"/>
          <w:highlight w:val="none"/>
        </w:rPr>
        <w:t>乙</w:t>
      </w:r>
      <w:r>
        <w:rPr>
          <w:rFonts w:hint="default" w:hAnsi="宋体" w:cs="宋体"/>
          <w:color w:val="auto"/>
          <w:spacing w:val="4"/>
          <w:sz w:val="24"/>
          <w:szCs w:val="24"/>
          <w:highlight w:val="none"/>
        </w:rPr>
        <w:t>方在质保期内未按承诺提供售后等服务的，每发生一次向甲方支付</w:t>
      </w:r>
      <w:r>
        <w:rPr>
          <w:rFonts w:hint="default" w:hAnsi="宋体" w:cs="宋体"/>
          <w:color w:val="auto"/>
          <w:sz w:val="24"/>
          <w:szCs w:val="24"/>
          <w:highlight w:val="none"/>
        </w:rPr>
        <w:t xml:space="preserve"> </w:t>
      </w:r>
      <w:r>
        <w:rPr>
          <w:rFonts w:hint="default" w:hAnsi="宋体" w:cs="宋体"/>
          <w:color w:val="auto"/>
          <w:sz w:val="24"/>
          <w:szCs w:val="24"/>
          <w:highlight w:val="none"/>
          <w:u w:val="single"/>
        </w:rPr>
        <w:t xml:space="preserve">  元</w:t>
      </w:r>
      <w:r>
        <w:rPr>
          <w:rFonts w:hint="default" w:hAnsi="宋体" w:cs="宋体"/>
          <w:color w:val="auto"/>
          <w:spacing w:val="-2"/>
          <w:sz w:val="24"/>
          <w:szCs w:val="24"/>
          <w:highlight w:val="none"/>
        </w:rPr>
        <w:t>的违约金。</w:t>
      </w:r>
    </w:p>
    <w:p w14:paraId="0D6208A7">
      <w:pPr>
        <w:spacing w:before="6" w:beforeLines="0" w:afterLines="0" w:line="360" w:lineRule="auto"/>
        <w:ind w:left="15" w:right="199" w:firstLine="491"/>
        <w:rPr>
          <w:rFonts w:hint="default" w:hAnsi="宋体" w:cs="宋体"/>
          <w:color w:val="auto"/>
          <w:sz w:val="24"/>
          <w:szCs w:val="24"/>
          <w:highlight w:val="none"/>
        </w:rPr>
      </w:pPr>
      <w:r>
        <w:rPr>
          <w:rFonts w:hint="default" w:hAnsi="宋体" w:cs="宋体"/>
          <w:color w:val="auto"/>
          <w:spacing w:val="2"/>
          <w:sz w:val="24"/>
          <w:szCs w:val="24"/>
          <w:highlight w:val="none"/>
        </w:rPr>
        <w:t>1.6.</w:t>
      </w:r>
      <w:r>
        <w:rPr>
          <w:rFonts w:hint="default" w:hAnsi="宋体" w:cs="宋体"/>
          <w:color w:val="auto"/>
          <w:spacing w:val="1"/>
          <w:sz w:val="24"/>
          <w:szCs w:val="24"/>
          <w:highlight w:val="none"/>
        </w:rPr>
        <w:t>5 任何一方按照前述约定要求违约方支付违约金的同时，仍有权要求违约</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方继续履行合同、采取补救措施，并有权按照</w:t>
      </w:r>
      <w:r>
        <w:rPr>
          <w:rFonts w:hint="default" w:hAnsi="宋体" w:cs="宋体"/>
          <w:color w:val="auto"/>
          <w:spacing w:val="1"/>
          <w:sz w:val="24"/>
          <w:szCs w:val="24"/>
          <w:highlight w:val="none"/>
        </w:rPr>
        <w:t>己方实际损失情况要求违约方赔偿损</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失；任何一方按照前述约定要求解除本合同的</w:t>
      </w:r>
      <w:r>
        <w:rPr>
          <w:rFonts w:hint="default" w:hAnsi="宋体" w:cs="宋体"/>
          <w:color w:val="auto"/>
          <w:spacing w:val="1"/>
          <w:sz w:val="24"/>
          <w:szCs w:val="24"/>
          <w:highlight w:val="none"/>
        </w:rPr>
        <w:t>同时，仍有权要求违约方支付违约金</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和按照己方实际损失情况要求违约方赔偿损失</w:t>
      </w:r>
      <w:r>
        <w:rPr>
          <w:rFonts w:hint="default" w:hAnsi="宋体" w:cs="宋体"/>
          <w:color w:val="auto"/>
          <w:spacing w:val="1"/>
          <w:sz w:val="24"/>
          <w:szCs w:val="24"/>
          <w:highlight w:val="none"/>
        </w:rPr>
        <w:t>；且守约方行使的任何权利救济方式</w:t>
      </w:r>
      <w:r>
        <w:rPr>
          <w:rFonts w:hint="default" w:hAnsi="宋体" w:cs="宋体"/>
          <w:color w:val="auto"/>
          <w:sz w:val="24"/>
          <w:szCs w:val="24"/>
          <w:highlight w:val="none"/>
        </w:rPr>
        <w:t xml:space="preserve"> </w:t>
      </w:r>
      <w:r>
        <w:rPr>
          <w:rFonts w:hint="default" w:hAnsi="宋体" w:cs="宋体"/>
          <w:color w:val="auto"/>
          <w:spacing w:val="-4"/>
          <w:sz w:val="24"/>
          <w:szCs w:val="24"/>
          <w:highlight w:val="none"/>
        </w:rPr>
        <w:t>均不视为</w:t>
      </w:r>
      <w:r>
        <w:rPr>
          <w:rFonts w:hint="default" w:hAnsi="宋体" w:cs="宋体"/>
          <w:color w:val="auto"/>
          <w:spacing w:val="-2"/>
          <w:sz w:val="24"/>
          <w:szCs w:val="24"/>
          <w:highlight w:val="none"/>
        </w:rPr>
        <w:t>其放弃了其他法定或者约定的权利救济方式；</w:t>
      </w:r>
    </w:p>
    <w:p w14:paraId="7052A8E9">
      <w:pPr>
        <w:spacing w:before="3" w:beforeLines="0" w:afterLines="0" w:line="360" w:lineRule="auto"/>
        <w:ind w:left="8" w:right="200" w:firstLine="498"/>
        <w:rPr>
          <w:rFonts w:hint="default" w:hAnsi="宋体" w:cs="宋体"/>
          <w:color w:val="auto"/>
          <w:sz w:val="24"/>
          <w:szCs w:val="24"/>
          <w:highlight w:val="none"/>
        </w:rPr>
      </w:pPr>
      <w:r>
        <w:rPr>
          <w:rFonts w:hint="default" w:hAnsi="宋体" w:cs="宋体"/>
          <w:color w:val="auto"/>
          <w:spacing w:val="2"/>
          <w:sz w:val="24"/>
          <w:szCs w:val="24"/>
          <w:highlight w:val="none"/>
        </w:rPr>
        <w:t>1.</w:t>
      </w:r>
      <w:r>
        <w:rPr>
          <w:rFonts w:hint="default" w:hAnsi="宋体" w:cs="宋体"/>
          <w:color w:val="auto"/>
          <w:spacing w:val="1"/>
          <w:sz w:val="24"/>
          <w:szCs w:val="24"/>
          <w:highlight w:val="none"/>
        </w:rPr>
        <w:t>6.6 除前述约定外，除不可抗力外，任何一方未能履行本合同约定的义务，</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对方当事人均有权要求继续履行、采取补救措施或者赔偿损</w:t>
      </w:r>
      <w:r>
        <w:rPr>
          <w:rFonts w:hint="default" w:hAnsi="宋体" w:cs="宋体"/>
          <w:color w:val="auto"/>
          <w:spacing w:val="1"/>
          <w:sz w:val="24"/>
          <w:szCs w:val="24"/>
          <w:highlight w:val="none"/>
        </w:rPr>
        <w:t>失等，且对方当事人行</w:t>
      </w:r>
      <w:r>
        <w:rPr>
          <w:rFonts w:hint="default" w:hAnsi="宋体" w:cs="宋体"/>
          <w:color w:val="auto"/>
          <w:spacing w:val="-2"/>
          <w:sz w:val="24"/>
          <w:szCs w:val="24"/>
          <w:highlight w:val="none"/>
        </w:rPr>
        <w:t>使的任何权利救济方式均不视为其</w:t>
      </w:r>
      <w:r>
        <w:rPr>
          <w:rFonts w:hint="default" w:hAnsi="宋体" w:cs="宋体"/>
          <w:color w:val="auto"/>
          <w:spacing w:val="-1"/>
          <w:sz w:val="24"/>
          <w:szCs w:val="24"/>
          <w:highlight w:val="none"/>
        </w:rPr>
        <w:t>放弃了其他法定或者约定的权利救济方式；</w:t>
      </w:r>
    </w:p>
    <w:p w14:paraId="1DB4F4AD">
      <w:pPr>
        <w:spacing w:before="3" w:beforeLines="0" w:afterLines="0" w:line="360" w:lineRule="auto"/>
        <w:ind w:left="4" w:right="199" w:firstLine="501"/>
        <w:rPr>
          <w:rFonts w:hint="default" w:hAnsi="宋体" w:cs="宋体"/>
          <w:color w:val="auto"/>
          <w:sz w:val="24"/>
          <w:szCs w:val="24"/>
          <w:highlight w:val="none"/>
        </w:rPr>
      </w:pPr>
      <w:r>
        <w:rPr>
          <w:rFonts w:hint="default" w:hAnsi="宋体" w:cs="宋体"/>
          <w:color w:val="auto"/>
          <w:spacing w:val="2"/>
          <w:sz w:val="24"/>
          <w:szCs w:val="24"/>
          <w:highlight w:val="none"/>
        </w:rPr>
        <w:t>1.6.</w:t>
      </w:r>
      <w:r>
        <w:rPr>
          <w:rFonts w:hint="default" w:hAnsi="宋体" w:cs="宋体"/>
          <w:color w:val="auto"/>
          <w:spacing w:val="1"/>
          <w:sz w:val="24"/>
          <w:szCs w:val="24"/>
          <w:highlight w:val="none"/>
        </w:rPr>
        <w:t>7 如果出现政府采购监督管理部门在处理投诉事项期间，书面通知甲方暂</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停采购活动的情形，或者询问或质疑事项可能影响中标结果的，导致甲方中</w:t>
      </w:r>
      <w:r>
        <w:rPr>
          <w:rFonts w:hint="default" w:hAnsi="宋体" w:cs="宋体"/>
          <w:color w:val="auto"/>
          <w:spacing w:val="1"/>
          <w:sz w:val="24"/>
          <w:szCs w:val="24"/>
          <w:highlight w:val="none"/>
        </w:rPr>
        <w:t>止</w:t>
      </w:r>
      <w:r>
        <w:rPr>
          <w:rFonts w:hint="default" w:hAnsi="宋体" w:cs="宋体"/>
          <w:color w:val="auto"/>
          <w:sz w:val="24"/>
          <w:szCs w:val="24"/>
          <w:highlight w:val="none"/>
        </w:rPr>
        <w:t xml:space="preserve">履行 </w:t>
      </w:r>
      <w:r>
        <w:rPr>
          <w:rFonts w:hint="default" w:hAnsi="宋体" w:cs="宋体"/>
          <w:color w:val="auto"/>
          <w:spacing w:val="-1"/>
          <w:sz w:val="24"/>
          <w:szCs w:val="24"/>
          <w:highlight w:val="none"/>
        </w:rPr>
        <w:t>合同的</w:t>
      </w:r>
      <w:r>
        <w:rPr>
          <w:rFonts w:hint="default" w:hAnsi="宋体" w:cs="宋体"/>
          <w:color w:val="auto"/>
          <w:sz w:val="24"/>
          <w:szCs w:val="24"/>
          <w:highlight w:val="none"/>
        </w:rPr>
        <w:t>情形，均不视为甲方违约。</w:t>
      </w:r>
    </w:p>
    <w:p w14:paraId="1B908B8E">
      <w:pPr>
        <w:spacing w:before="1" w:beforeLines="0" w:afterLines="0" w:line="360" w:lineRule="auto"/>
        <w:ind w:left="508"/>
        <w:rPr>
          <w:rFonts w:hint="default" w:hAnsi="宋体" w:cs="宋体"/>
          <w:color w:val="auto"/>
          <w:sz w:val="24"/>
          <w:szCs w:val="24"/>
          <w:highlight w:val="none"/>
        </w:rPr>
      </w:pPr>
      <w:r>
        <w:rPr>
          <w:rFonts w:hint="default" w:hAnsi="宋体" w:cs="宋体"/>
          <w:color w:val="auto"/>
          <w:spacing w:val="-4"/>
          <w:sz w:val="24"/>
          <w:szCs w:val="24"/>
          <w:highlight w:val="none"/>
        </w:rPr>
        <w:t>1</w:t>
      </w:r>
      <w:r>
        <w:rPr>
          <w:rFonts w:hint="default" w:hAnsi="宋体" w:cs="宋体"/>
          <w:color w:val="auto"/>
          <w:spacing w:val="-3"/>
          <w:sz w:val="24"/>
          <w:szCs w:val="24"/>
          <w:highlight w:val="none"/>
        </w:rPr>
        <w:t>.</w:t>
      </w:r>
      <w:r>
        <w:rPr>
          <w:rFonts w:hint="default" w:hAnsi="宋体" w:cs="宋体"/>
          <w:color w:val="auto"/>
          <w:spacing w:val="-2"/>
          <w:sz w:val="24"/>
          <w:szCs w:val="24"/>
          <w:highlight w:val="none"/>
        </w:rPr>
        <w:t>7 合同争议的解决</w:t>
      </w:r>
    </w:p>
    <w:p w14:paraId="64F95CFF">
      <w:pPr>
        <w:spacing w:before="77" w:beforeLines="0" w:afterLines="0" w:line="360" w:lineRule="auto"/>
        <w:ind w:left="16" w:right="266" w:firstLine="475"/>
        <w:rPr>
          <w:rFonts w:hint="default" w:hAnsi="宋体" w:cs="宋体"/>
          <w:color w:val="auto"/>
          <w:sz w:val="24"/>
          <w:szCs w:val="24"/>
          <w:highlight w:val="none"/>
        </w:rPr>
      </w:pPr>
      <w:r>
        <w:rPr>
          <w:rFonts w:hint="default" w:hAnsi="宋体" w:cs="宋体"/>
          <w:color w:val="auto"/>
          <w:spacing w:val="-1"/>
          <w:sz w:val="24"/>
          <w:szCs w:val="24"/>
          <w:highlight w:val="none"/>
        </w:rPr>
        <w:t>本合同履行过程</w:t>
      </w:r>
      <w:r>
        <w:rPr>
          <w:rFonts w:hint="default" w:hAnsi="宋体" w:cs="宋体"/>
          <w:color w:val="auto"/>
          <w:sz w:val="24"/>
          <w:szCs w:val="24"/>
          <w:highlight w:val="none"/>
        </w:rPr>
        <w:t>中发生的任何争议，双方当事人均可通过和解或者调解解决；</w:t>
      </w:r>
      <w:r>
        <w:rPr>
          <w:rFonts w:hint="default" w:hAnsi="宋体" w:cs="宋体"/>
          <w:color w:val="auto"/>
          <w:spacing w:val="-1"/>
          <w:sz w:val="24"/>
          <w:szCs w:val="24"/>
          <w:highlight w:val="none"/>
        </w:rPr>
        <w:t>不愿和解、调解或者和解、调解不</w:t>
      </w:r>
      <w:r>
        <w:rPr>
          <w:rFonts w:hint="default" w:hAnsi="宋体" w:cs="宋体"/>
          <w:color w:val="auto"/>
          <w:sz w:val="24"/>
          <w:szCs w:val="24"/>
          <w:highlight w:val="none"/>
        </w:rPr>
        <w:t>成的，可以选择下列第</w:t>
      </w:r>
      <w:r>
        <w:rPr>
          <w:rFonts w:hint="default" w:hAnsi="宋体" w:cs="宋体"/>
          <w:color w:val="auto"/>
          <w:sz w:val="24"/>
          <w:szCs w:val="24"/>
          <w:highlight w:val="none"/>
          <w:u w:val="single" w:color="auto"/>
        </w:rPr>
        <w:t xml:space="preserve">     </w:t>
      </w:r>
      <w:r>
        <w:rPr>
          <w:rFonts w:hint="default" w:hAnsi="宋体" w:cs="宋体"/>
          <w:color w:val="auto"/>
          <w:sz w:val="24"/>
          <w:szCs w:val="24"/>
          <w:highlight w:val="none"/>
        </w:rPr>
        <w:t>种方式解决：</w:t>
      </w:r>
    </w:p>
    <w:p w14:paraId="3AA48614">
      <w:pPr>
        <w:spacing w:before="1" w:beforeLines="0" w:afterLines="0" w:line="360" w:lineRule="auto"/>
        <w:ind w:left="506"/>
        <w:rPr>
          <w:rFonts w:hint="default" w:hAnsi="宋体" w:cs="宋体"/>
          <w:color w:val="auto"/>
          <w:sz w:val="24"/>
          <w:szCs w:val="24"/>
          <w:highlight w:val="none"/>
        </w:rPr>
      </w:pPr>
      <w:r>
        <w:rPr>
          <w:rFonts w:hint="default" w:hAnsi="宋体" w:cs="宋体"/>
          <w:color w:val="auto"/>
          <w:spacing w:val="-1"/>
          <w:sz w:val="24"/>
          <w:szCs w:val="24"/>
          <w:highlight w:val="none"/>
        </w:rPr>
        <w:t>1.7.1 将争议提交</w:t>
      </w:r>
      <w:r>
        <w:rPr>
          <w:rFonts w:hint="default" w:hAnsi="宋体" w:cs="宋体"/>
          <w:color w:val="auto"/>
          <w:spacing w:val="-1"/>
          <w:sz w:val="24"/>
          <w:szCs w:val="24"/>
          <w:highlight w:val="none"/>
          <w:u w:val="single" w:color="auto"/>
        </w:rPr>
        <w:t>当地</w:t>
      </w:r>
      <w:r>
        <w:rPr>
          <w:rFonts w:hint="default" w:hAnsi="宋体" w:cs="宋体"/>
          <w:color w:val="auto"/>
          <w:spacing w:val="-1"/>
          <w:sz w:val="24"/>
          <w:szCs w:val="24"/>
          <w:highlight w:val="none"/>
        </w:rPr>
        <w:t>仲裁委员会依申请仲裁时其</w:t>
      </w:r>
      <w:r>
        <w:rPr>
          <w:rFonts w:hint="default" w:hAnsi="宋体" w:cs="宋体"/>
          <w:color w:val="auto"/>
          <w:sz w:val="24"/>
          <w:szCs w:val="24"/>
          <w:highlight w:val="none"/>
        </w:rPr>
        <w:t>现行有效的仲裁规则裁决；</w:t>
      </w:r>
    </w:p>
    <w:p w14:paraId="6F4AAF44">
      <w:pPr>
        <w:spacing w:before="81" w:beforeLines="0" w:afterLines="0" w:line="360" w:lineRule="auto"/>
        <w:ind w:left="506"/>
        <w:rPr>
          <w:rFonts w:hint="default" w:hAnsi="宋体" w:cs="宋体"/>
          <w:color w:val="auto"/>
          <w:sz w:val="24"/>
          <w:szCs w:val="24"/>
          <w:highlight w:val="none"/>
        </w:rPr>
      </w:pPr>
      <w:r>
        <w:rPr>
          <w:rFonts w:hint="default" w:hAnsi="宋体" w:cs="宋体"/>
          <w:color w:val="auto"/>
          <w:spacing w:val="-10"/>
          <w:sz w:val="24"/>
          <w:szCs w:val="24"/>
          <w:highlight w:val="none"/>
        </w:rPr>
        <w:t>1.7.</w:t>
      </w:r>
      <w:r>
        <w:rPr>
          <w:rFonts w:hint="default" w:hAnsi="宋体" w:cs="宋体"/>
          <w:color w:val="auto"/>
          <w:spacing w:val="-5"/>
          <w:sz w:val="24"/>
          <w:szCs w:val="24"/>
          <w:highlight w:val="none"/>
        </w:rPr>
        <w:t>2 向</w:t>
      </w:r>
      <w:r>
        <w:rPr>
          <w:rFonts w:hint="default" w:hAnsi="宋体" w:cs="宋体"/>
          <w:color w:val="auto"/>
          <w:spacing w:val="-5"/>
          <w:sz w:val="24"/>
          <w:szCs w:val="24"/>
          <w:highlight w:val="none"/>
          <w:u w:val="single" w:color="auto"/>
        </w:rPr>
        <w:t xml:space="preserve">   甲方所在地  </w:t>
      </w:r>
      <w:r>
        <w:rPr>
          <w:rFonts w:hint="default" w:hAnsi="宋体" w:cs="宋体"/>
          <w:color w:val="auto"/>
          <w:spacing w:val="-5"/>
          <w:sz w:val="24"/>
          <w:szCs w:val="24"/>
          <w:highlight w:val="none"/>
        </w:rPr>
        <w:t xml:space="preserve"> 人民法院起诉。</w:t>
      </w:r>
    </w:p>
    <w:p w14:paraId="40B39B08">
      <w:pPr>
        <w:spacing w:before="81" w:beforeLines="0" w:afterLines="0" w:line="360" w:lineRule="auto"/>
        <w:ind w:left="508"/>
        <w:rPr>
          <w:rFonts w:hint="default" w:hAnsi="宋体" w:cs="宋体"/>
          <w:color w:val="auto"/>
          <w:sz w:val="24"/>
          <w:szCs w:val="24"/>
          <w:highlight w:val="none"/>
        </w:rPr>
      </w:pPr>
      <w:r>
        <w:rPr>
          <w:rFonts w:hint="default" w:hAnsi="宋体" w:cs="宋体"/>
          <w:color w:val="auto"/>
          <w:spacing w:val="-4"/>
          <w:sz w:val="24"/>
          <w:szCs w:val="24"/>
          <w:highlight w:val="none"/>
        </w:rPr>
        <w:t>1</w:t>
      </w:r>
      <w:r>
        <w:rPr>
          <w:rFonts w:hint="default" w:hAnsi="宋体" w:cs="宋体"/>
          <w:color w:val="auto"/>
          <w:spacing w:val="-3"/>
          <w:sz w:val="24"/>
          <w:szCs w:val="24"/>
          <w:highlight w:val="none"/>
        </w:rPr>
        <w:t>.8 合同生效</w:t>
      </w:r>
    </w:p>
    <w:p w14:paraId="3339A14D">
      <w:pPr>
        <w:spacing w:beforeLines="0" w:afterLines="0" w:line="360" w:lineRule="auto"/>
        <w:rPr>
          <w:rFonts w:hint="default" w:hAnsi="宋体" w:cs="宋体"/>
          <w:color w:val="auto"/>
          <w:sz w:val="24"/>
          <w:szCs w:val="24"/>
          <w:highlight w:val="none"/>
        </w:rPr>
      </w:pPr>
      <w:r>
        <w:rPr>
          <w:rFonts w:hint="default" w:hAnsi="宋体" w:cs="宋体"/>
          <w:color w:val="auto"/>
          <w:spacing w:val="-1"/>
          <w:sz w:val="24"/>
          <w:szCs w:val="24"/>
          <w:highlight w:val="none"/>
        </w:rPr>
        <w:t>本合同自双方当事人加</w:t>
      </w:r>
      <w:r>
        <w:rPr>
          <w:rFonts w:hint="default" w:hAnsi="宋体" w:cs="宋体"/>
          <w:color w:val="auto"/>
          <w:sz w:val="24"/>
          <w:szCs w:val="24"/>
          <w:highlight w:val="none"/>
        </w:rPr>
        <w:t>盖有效电子公章时生效。</w:t>
      </w:r>
    </w:p>
    <w:p w14:paraId="17660CE5">
      <w:pPr>
        <w:spacing w:beforeLines="0" w:afterLines="0" w:line="360" w:lineRule="auto"/>
        <w:jc w:val="center"/>
        <w:rPr>
          <w:rFonts w:hint="default" w:hAnsi="宋体" w:cs="宋体"/>
          <w:b/>
          <w:color w:val="auto"/>
          <w:sz w:val="24"/>
          <w:szCs w:val="24"/>
          <w:highlight w:val="none"/>
        </w:rPr>
      </w:pPr>
    </w:p>
    <w:tbl>
      <w:tblPr>
        <w:tblStyle w:val="15"/>
        <w:tblW w:w="8452" w:type="dxa"/>
        <w:tblInd w:w="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06"/>
        <w:gridCol w:w="4646"/>
      </w:tblGrid>
      <w:tr w14:paraId="6F0C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3806" w:type="dxa"/>
            <w:tcBorders>
              <w:top w:val="nil"/>
              <w:left w:val="nil"/>
              <w:bottom w:val="nil"/>
              <w:right w:val="nil"/>
              <w:tl2br w:val="nil"/>
              <w:tr2bl w:val="nil"/>
            </w:tcBorders>
            <w:noWrap w:val="0"/>
            <w:vAlign w:val="top"/>
          </w:tcPr>
          <w:p w14:paraId="729FA8A3">
            <w:pPr>
              <w:spacing w:beforeLines="0" w:afterLines="0" w:line="360" w:lineRule="auto"/>
              <w:ind w:left="40"/>
              <w:rPr>
                <w:rFonts w:hint="default" w:hAnsi="宋体" w:cs="宋体"/>
                <w:color w:val="auto"/>
                <w:sz w:val="24"/>
                <w:szCs w:val="24"/>
                <w:highlight w:val="none"/>
              </w:rPr>
            </w:pPr>
            <w:r>
              <w:rPr>
                <w:rFonts w:hint="default" w:hAnsi="宋体" w:cs="宋体"/>
                <w:color w:val="auto"/>
                <w:spacing w:val="-27"/>
                <w:sz w:val="24"/>
                <w:szCs w:val="24"/>
                <w:highlight w:val="none"/>
              </w:rPr>
              <w:t>甲</w:t>
            </w:r>
            <w:r>
              <w:rPr>
                <w:rFonts w:hint="default" w:hAnsi="宋体" w:cs="宋体"/>
                <w:color w:val="auto"/>
                <w:spacing w:val="-25"/>
                <w:sz w:val="24"/>
                <w:szCs w:val="24"/>
                <w:highlight w:val="none"/>
              </w:rPr>
              <w:t>方：</w:t>
            </w:r>
          </w:p>
        </w:tc>
        <w:tc>
          <w:tcPr>
            <w:tcW w:w="4646" w:type="dxa"/>
            <w:tcBorders>
              <w:top w:val="nil"/>
              <w:left w:val="nil"/>
              <w:bottom w:val="nil"/>
              <w:right w:val="nil"/>
              <w:tl2br w:val="nil"/>
              <w:tr2bl w:val="nil"/>
            </w:tcBorders>
            <w:noWrap w:val="0"/>
            <w:vAlign w:val="top"/>
          </w:tcPr>
          <w:p w14:paraId="13D3E4EE">
            <w:pPr>
              <w:spacing w:beforeLines="0" w:afterLines="0" w:line="360" w:lineRule="auto"/>
              <w:ind w:left="1152"/>
              <w:rPr>
                <w:rFonts w:hint="default" w:hAnsi="宋体" w:cs="宋体"/>
                <w:color w:val="auto"/>
                <w:sz w:val="24"/>
                <w:szCs w:val="24"/>
                <w:highlight w:val="none"/>
              </w:rPr>
            </w:pPr>
            <w:r>
              <w:rPr>
                <w:rFonts w:hint="default" w:hAnsi="宋体" w:cs="宋体"/>
                <w:color w:val="auto"/>
                <w:spacing w:val="-27"/>
                <w:sz w:val="24"/>
                <w:szCs w:val="24"/>
                <w:highlight w:val="none"/>
              </w:rPr>
              <w:t>乙</w:t>
            </w:r>
            <w:r>
              <w:rPr>
                <w:rFonts w:hint="default" w:hAnsi="宋体" w:cs="宋体"/>
                <w:color w:val="auto"/>
                <w:spacing w:val="-24"/>
                <w:sz w:val="24"/>
                <w:szCs w:val="24"/>
                <w:highlight w:val="none"/>
              </w:rPr>
              <w:t>方：</w:t>
            </w:r>
          </w:p>
        </w:tc>
      </w:tr>
      <w:tr w14:paraId="253C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806" w:type="dxa"/>
            <w:tcBorders>
              <w:top w:val="nil"/>
              <w:left w:val="nil"/>
              <w:bottom w:val="nil"/>
              <w:right w:val="nil"/>
              <w:tl2br w:val="nil"/>
              <w:tr2bl w:val="nil"/>
            </w:tcBorders>
            <w:noWrap w:val="0"/>
            <w:vAlign w:val="top"/>
          </w:tcPr>
          <w:p w14:paraId="27D81E5D">
            <w:pPr>
              <w:spacing w:before="61" w:beforeLines="0" w:afterLines="0" w:line="360" w:lineRule="auto"/>
              <w:ind w:left="16"/>
              <w:rPr>
                <w:rFonts w:hint="default" w:hAnsi="宋体" w:cs="宋体"/>
                <w:color w:val="auto"/>
                <w:sz w:val="24"/>
                <w:szCs w:val="24"/>
                <w:highlight w:val="none"/>
              </w:rPr>
            </w:pPr>
            <w:r>
              <w:rPr>
                <w:rFonts w:hint="default" w:hAnsi="宋体" w:cs="宋体"/>
                <w:color w:val="auto"/>
                <w:spacing w:val="-13"/>
                <w:sz w:val="24"/>
                <w:szCs w:val="24"/>
                <w:highlight w:val="none"/>
              </w:rPr>
              <w:t>统</w:t>
            </w:r>
            <w:r>
              <w:rPr>
                <w:rFonts w:hint="default" w:hAnsi="宋体" w:cs="宋体"/>
                <w:color w:val="auto"/>
                <w:spacing w:val="-8"/>
                <w:sz w:val="24"/>
                <w:szCs w:val="24"/>
                <w:highlight w:val="none"/>
              </w:rPr>
              <w:t>一社会信用代码：</w:t>
            </w:r>
          </w:p>
        </w:tc>
        <w:tc>
          <w:tcPr>
            <w:tcW w:w="4646" w:type="dxa"/>
            <w:tcBorders>
              <w:top w:val="nil"/>
              <w:left w:val="nil"/>
              <w:bottom w:val="nil"/>
              <w:right w:val="nil"/>
              <w:tl2br w:val="nil"/>
              <w:tr2bl w:val="nil"/>
            </w:tcBorders>
            <w:noWrap w:val="0"/>
            <w:vAlign w:val="top"/>
          </w:tcPr>
          <w:p w14:paraId="53F7FDF0">
            <w:pPr>
              <w:spacing w:before="61" w:beforeLines="0" w:afterLines="0" w:line="360" w:lineRule="auto"/>
              <w:ind w:firstLine="1140" w:firstLineChars="500"/>
              <w:jc w:val="both"/>
              <w:rPr>
                <w:rFonts w:hint="default" w:hAnsi="宋体" w:cs="宋体"/>
                <w:color w:val="auto"/>
                <w:sz w:val="24"/>
                <w:szCs w:val="24"/>
                <w:highlight w:val="none"/>
              </w:rPr>
            </w:pPr>
            <w:r>
              <w:rPr>
                <w:rFonts w:hint="default" w:hAnsi="宋体" w:cs="宋体"/>
                <w:color w:val="auto"/>
                <w:spacing w:val="-6"/>
                <w:sz w:val="24"/>
                <w:szCs w:val="24"/>
                <w:highlight w:val="none"/>
              </w:rPr>
              <w:t>统一社</w:t>
            </w:r>
            <w:r>
              <w:rPr>
                <w:rFonts w:hint="default" w:hAnsi="宋体" w:cs="宋体"/>
                <w:color w:val="auto"/>
                <w:spacing w:val="-5"/>
                <w:sz w:val="24"/>
                <w:szCs w:val="24"/>
                <w:highlight w:val="none"/>
              </w:rPr>
              <w:t>会</w:t>
            </w:r>
            <w:r>
              <w:rPr>
                <w:rFonts w:hint="default" w:hAnsi="宋体" w:cs="宋体"/>
                <w:color w:val="auto"/>
                <w:spacing w:val="-3"/>
                <w:sz w:val="24"/>
                <w:szCs w:val="24"/>
                <w:highlight w:val="none"/>
              </w:rPr>
              <w:t>信用代码：</w:t>
            </w:r>
          </w:p>
        </w:tc>
      </w:tr>
      <w:tr w14:paraId="1BEA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806" w:type="dxa"/>
            <w:tcBorders>
              <w:top w:val="nil"/>
              <w:left w:val="nil"/>
              <w:bottom w:val="nil"/>
              <w:right w:val="nil"/>
              <w:tl2br w:val="nil"/>
              <w:tr2bl w:val="nil"/>
            </w:tcBorders>
            <w:noWrap w:val="0"/>
            <w:vAlign w:val="top"/>
          </w:tcPr>
          <w:p w14:paraId="5596D9B5">
            <w:pPr>
              <w:spacing w:before="241" w:beforeLines="0" w:afterLines="0" w:line="360" w:lineRule="auto"/>
              <w:ind w:left="10"/>
              <w:rPr>
                <w:rFonts w:hint="default" w:hAnsi="宋体" w:cs="宋体"/>
                <w:color w:val="auto"/>
                <w:sz w:val="24"/>
                <w:szCs w:val="24"/>
                <w:highlight w:val="none"/>
              </w:rPr>
            </w:pPr>
            <w:r>
              <w:rPr>
                <w:rFonts w:hint="default" w:hAnsi="宋体" w:cs="宋体"/>
                <w:color w:val="auto"/>
                <w:spacing w:val="-18"/>
                <w:sz w:val="24"/>
                <w:szCs w:val="24"/>
                <w:highlight w:val="none"/>
              </w:rPr>
              <w:t>住</w:t>
            </w:r>
            <w:r>
              <w:rPr>
                <w:rFonts w:hint="default" w:hAnsi="宋体" w:cs="宋体"/>
                <w:color w:val="auto"/>
                <w:spacing w:val="-17"/>
                <w:sz w:val="24"/>
                <w:szCs w:val="24"/>
                <w:highlight w:val="none"/>
              </w:rPr>
              <w:t>所：</w:t>
            </w:r>
          </w:p>
        </w:tc>
        <w:tc>
          <w:tcPr>
            <w:tcW w:w="4646" w:type="dxa"/>
            <w:tcBorders>
              <w:top w:val="nil"/>
              <w:left w:val="nil"/>
              <w:bottom w:val="nil"/>
              <w:right w:val="nil"/>
              <w:tl2br w:val="nil"/>
              <w:tr2bl w:val="nil"/>
            </w:tcBorders>
            <w:noWrap w:val="0"/>
            <w:vAlign w:val="top"/>
          </w:tcPr>
          <w:p w14:paraId="0B0C9BD2">
            <w:pPr>
              <w:spacing w:before="241" w:beforeLines="0" w:afterLines="0" w:line="360" w:lineRule="auto"/>
              <w:ind w:left="1124"/>
              <w:rPr>
                <w:rFonts w:hint="default" w:hAnsi="宋体" w:cs="宋体"/>
                <w:color w:val="auto"/>
                <w:sz w:val="24"/>
                <w:szCs w:val="24"/>
                <w:highlight w:val="none"/>
              </w:rPr>
            </w:pPr>
            <w:r>
              <w:rPr>
                <w:rFonts w:hint="default" w:hAnsi="宋体" w:cs="宋体"/>
                <w:color w:val="auto"/>
                <w:spacing w:val="-18"/>
                <w:sz w:val="24"/>
                <w:szCs w:val="24"/>
                <w:highlight w:val="none"/>
              </w:rPr>
              <w:t>住</w:t>
            </w:r>
            <w:r>
              <w:rPr>
                <w:rFonts w:hint="default" w:hAnsi="宋体" w:cs="宋体"/>
                <w:color w:val="auto"/>
                <w:spacing w:val="-17"/>
                <w:sz w:val="24"/>
                <w:szCs w:val="24"/>
                <w:highlight w:val="none"/>
              </w:rPr>
              <w:t>所：</w:t>
            </w:r>
          </w:p>
        </w:tc>
      </w:tr>
      <w:tr w14:paraId="20A4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6DC985F5">
            <w:pPr>
              <w:spacing w:before="60" w:beforeLines="0" w:afterLines="0" w:line="360" w:lineRule="auto"/>
              <w:ind w:left="13"/>
              <w:rPr>
                <w:rFonts w:hint="default" w:hAnsi="宋体" w:cs="宋体"/>
                <w:color w:val="auto"/>
                <w:sz w:val="24"/>
                <w:szCs w:val="24"/>
                <w:highlight w:val="none"/>
              </w:rPr>
            </w:pPr>
            <w:r>
              <w:rPr>
                <w:rFonts w:hint="default" w:hAnsi="宋体" w:cs="宋体"/>
                <w:color w:val="auto"/>
                <w:spacing w:val="-4"/>
                <w:sz w:val="24"/>
                <w:szCs w:val="24"/>
                <w:highlight w:val="none"/>
              </w:rPr>
              <w:t>法</w:t>
            </w:r>
            <w:r>
              <w:rPr>
                <w:rFonts w:hint="default" w:hAnsi="宋体" w:cs="宋体"/>
                <w:color w:val="auto"/>
                <w:spacing w:val="-3"/>
                <w:sz w:val="24"/>
                <w:szCs w:val="24"/>
                <w:highlight w:val="none"/>
              </w:rPr>
              <w:t>定</w:t>
            </w:r>
            <w:r>
              <w:rPr>
                <w:rFonts w:hint="default" w:hAnsi="宋体" w:cs="宋体"/>
                <w:color w:val="auto"/>
                <w:spacing w:val="-2"/>
                <w:sz w:val="24"/>
                <w:szCs w:val="24"/>
                <w:highlight w:val="none"/>
              </w:rPr>
              <w:t>代表人或</w:t>
            </w:r>
          </w:p>
        </w:tc>
        <w:tc>
          <w:tcPr>
            <w:tcW w:w="4646" w:type="dxa"/>
            <w:tcBorders>
              <w:top w:val="nil"/>
              <w:left w:val="nil"/>
              <w:bottom w:val="nil"/>
              <w:right w:val="nil"/>
              <w:tl2br w:val="nil"/>
              <w:tr2bl w:val="nil"/>
            </w:tcBorders>
            <w:noWrap w:val="0"/>
            <w:vAlign w:val="top"/>
          </w:tcPr>
          <w:p w14:paraId="0BF75DF6">
            <w:pPr>
              <w:spacing w:before="60" w:beforeLines="0" w:afterLines="0" w:line="360" w:lineRule="auto"/>
              <w:ind w:left="1127"/>
              <w:rPr>
                <w:rFonts w:hint="default" w:hAnsi="宋体" w:cs="宋体"/>
                <w:color w:val="auto"/>
                <w:sz w:val="24"/>
                <w:szCs w:val="24"/>
                <w:highlight w:val="none"/>
              </w:rPr>
            </w:pPr>
            <w:r>
              <w:rPr>
                <w:rFonts w:hint="default" w:hAnsi="宋体" w:cs="宋体"/>
                <w:color w:val="auto"/>
                <w:spacing w:val="-3"/>
                <w:sz w:val="24"/>
                <w:szCs w:val="24"/>
                <w:highlight w:val="none"/>
              </w:rPr>
              <w:t>法定代表人</w:t>
            </w:r>
          </w:p>
        </w:tc>
      </w:tr>
      <w:tr w14:paraId="7184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753A6072">
            <w:pPr>
              <w:spacing w:before="61" w:beforeLines="0" w:afterLines="0" w:line="360" w:lineRule="auto"/>
              <w:ind w:left="3"/>
              <w:rPr>
                <w:rFonts w:hint="default" w:hAnsi="宋体" w:cs="宋体"/>
                <w:color w:val="auto"/>
                <w:sz w:val="24"/>
                <w:szCs w:val="24"/>
                <w:highlight w:val="none"/>
              </w:rPr>
            </w:pPr>
            <w:r>
              <w:rPr>
                <w:rFonts w:hint="default" w:hAnsi="宋体" w:cs="宋体"/>
                <w:color w:val="auto"/>
                <w:spacing w:val="14"/>
                <w:sz w:val="24"/>
                <w:szCs w:val="24"/>
                <w:highlight w:val="none"/>
              </w:rPr>
              <w:t>授权代表(签字或盖章)：</w:t>
            </w:r>
          </w:p>
        </w:tc>
        <w:tc>
          <w:tcPr>
            <w:tcW w:w="4646" w:type="dxa"/>
            <w:tcBorders>
              <w:top w:val="nil"/>
              <w:left w:val="nil"/>
              <w:bottom w:val="nil"/>
              <w:right w:val="nil"/>
              <w:tl2br w:val="nil"/>
              <w:tr2bl w:val="nil"/>
            </w:tcBorders>
            <w:noWrap w:val="0"/>
            <w:vAlign w:val="top"/>
          </w:tcPr>
          <w:p w14:paraId="754DAFC5">
            <w:pPr>
              <w:spacing w:before="61" w:beforeLines="0" w:afterLines="0" w:line="360" w:lineRule="auto"/>
              <w:ind w:left="1119"/>
              <w:rPr>
                <w:rFonts w:hint="default" w:hAnsi="宋体" w:cs="宋体"/>
                <w:color w:val="auto"/>
                <w:sz w:val="24"/>
                <w:szCs w:val="24"/>
                <w:highlight w:val="none"/>
              </w:rPr>
            </w:pPr>
            <w:r>
              <w:rPr>
                <w:rFonts w:hint="default" w:hAnsi="宋体" w:cs="宋体"/>
                <w:color w:val="auto"/>
                <w:spacing w:val="9"/>
                <w:sz w:val="24"/>
                <w:szCs w:val="24"/>
                <w:highlight w:val="none"/>
              </w:rPr>
              <w:t xml:space="preserve">或授权代表(签字或盖章) </w:t>
            </w:r>
            <w:r>
              <w:rPr>
                <w:rFonts w:hint="default" w:hAnsi="宋体" w:cs="宋体"/>
                <w:color w:val="auto"/>
                <w:spacing w:val="7"/>
                <w:sz w:val="24"/>
                <w:szCs w:val="24"/>
                <w:highlight w:val="none"/>
              </w:rPr>
              <w:t>:</w:t>
            </w:r>
          </w:p>
        </w:tc>
      </w:tr>
      <w:tr w14:paraId="1CDE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41BC39B7">
            <w:pPr>
              <w:spacing w:before="61" w:beforeLines="0" w:afterLines="0" w:line="360" w:lineRule="auto"/>
              <w:ind w:left="5"/>
              <w:rPr>
                <w:rFonts w:hint="default" w:hAnsi="宋体" w:cs="宋体"/>
                <w:color w:val="auto"/>
                <w:sz w:val="24"/>
                <w:szCs w:val="24"/>
                <w:highlight w:val="none"/>
              </w:rPr>
            </w:pPr>
            <w:r>
              <w:rPr>
                <w:rFonts w:hint="default" w:hAnsi="宋体" w:cs="宋体"/>
                <w:color w:val="auto"/>
                <w:spacing w:val="-16"/>
                <w:sz w:val="24"/>
                <w:szCs w:val="24"/>
                <w:highlight w:val="none"/>
              </w:rPr>
              <w:t>联</w:t>
            </w:r>
            <w:r>
              <w:rPr>
                <w:rFonts w:hint="default" w:hAnsi="宋体" w:cs="宋体"/>
                <w:color w:val="auto"/>
                <w:spacing w:val="-13"/>
                <w:sz w:val="24"/>
                <w:szCs w:val="24"/>
                <w:highlight w:val="none"/>
              </w:rPr>
              <w:t>系人：</w:t>
            </w:r>
          </w:p>
        </w:tc>
        <w:tc>
          <w:tcPr>
            <w:tcW w:w="4646" w:type="dxa"/>
            <w:tcBorders>
              <w:top w:val="nil"/>
              <w:left w:val="nil"/>
              <w:bottom w:val="nil"/>
              <w:right w:val="nil"/>
              <w:tl2br w:val="nil"/>
              <w:tr2bl w:val="nil"/>
            </w:tcBorders>
            <w:noWrap w:val="0"/>
            <w:vAlign w:val="top"/>
          </w:tcPr>
          <w:p w14:paraId="1D9728EC">
            <w:pPr>
              <w:spacing w:before="61" w:beforeLines="0" w:afterLines="0" w:line="360" w:lineRule="auto"/>
              <w:ind w:left="1119"/>
              <w:rPr>
                <w:rFonts w:hint="default" w:hAnsi="宋体" w:cs="宋体"/>
                <w:color w:val="auto"/>
                <w:sz w:val="24"/>
                <w:szCs w:val="24"/>
                <w:highlight w:val="none"/>
              </w:rPr>
            </w:pPr>
            <w:r>
              <w:rPr>
                <w:rFonts w:hint="default" w:hAnsi="宋体" w:cs="宋体"/>
                <w:color w:val="auto"/>
                <w:spacing w:val="-16"/>
                <w:sz w:val="24"/>
                <w:szCs w:val="24"/>
                <w:highlight w:val="none"/>
              </w:rPr>
              <w:t>联</w:t>
            </w:r>
            <w:r>
              <w:rPr>
                <w:rFonts w:hint="default" w:hAnsi="宋体" w:cs="宋体"/>
                <w:color w:val="auto"/>
                <w:spacing w:val="-13"/>
                <w:sz w:val="24"/>
                <w:szCs w:val="24"/>
                <w:highlight w:val="none"/>
              </w:rPr>
              <w:t>系人：</w:t>
            </w:r>
          </w:p>
        </w:tc>
      </w:tr>
      <w:tr w14:paraId="2C56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7C8771C7">
            <w:pPr>
              <w:spacing w:before="61" w:beforeLines="0" w:afterLines="0" w:line="360" w:lineRule="auto"/>
              <w:ind w:left="15"/>
              <w:rPr>
                <w:rFonts w:hint="default" w:hAnsi="宋体" w:cs="宋体"/>
                <w:color w:val="auto"/>
                <w:sz w:val="24"/>
                <w:szCs w:val="24"/>
                <w:highlight w:val="none"/>
              </w:rPr>
            </w:pPr>
            <w:r>
              <w:rPr>
                <w:rFonts w:hint="default" w:hAnsi="宋体" w:cs="宋体"/>
                <w:color w:val="auto"/>
                <w:spacing w:val="-15"/>
                <w:sz w:val="24"/>
                <w:szCs w:val="24"/>
                <w:highlight w:val="none"/>
              </w:rPr>
              <w:t>邮</w:t>
            </w:r>
            <w:r>
              <w:rPr>
                <w:rFonts w:hint="default" w:hAnsi="宋体" w:cs="宋体"/>
                <w:color w:val="auto"/>
                <w:spacing w:val="-13"/>
                <w:sz w:val="24"/>
                <w:szCs w:val="24"/>
                <w:highlight w:val="none"/>
              </w:rPr>
              <w:t>政编码：</w:t>
            </w:r>
          </w:p>
        </w:tc>
        <w:tc>
          <w:tcPr>
            <w:tcW w:w="4646" w:type="dxa"/>
            <w:tcBorders>
              <w:top w:val="nil"/>
              <w:left w:val="nil"/>
              <w:bottom w:val="nil"/>
              <w:right w:val="nil"/>
              <w:tl2br w:val="nil"/>
              <w:tr2bl w:val="nil"/>
            </w:tcBorders>
            <w:noWrap w:val="0"/>
            <w:vAlign w:val="top"/>
          </w:tcPr>
          <w:p w14:paraId="182F6F4D">
            <w:pPr>
              <w:spacing w:before="61" w:beforeLines="0" w:afterLines="0" w:line="360" w:lineRule="auto"/>
              <w:ind w:left="1129"/>
              <w:rPr>
                <w:rFonts w:hint="default" w:hAnsi="宋体" w:cs="宋体"/>
                <w:color w:val="auto"/>
                <w:sz w:val="24"/>
                <w:szCs w:val="24"/>
                <w:highlight w:val="none"/>
              </w:rPr>
            </w:pPr>
            <w:r>
              <w:rPr>
                <w:rFonts w:hint="default" w:hAnsi="宋体" w:cs="宋体"/>
                <w:color w:val="auto"/>
                <w:spacing w:val="-15"/>
                <w:sz w:val="24"/>
                <w:szCs w:val="24"/>
                <w:highlight w:val="none"/>
              </w:rPr>
              <w:t>邮</w:t>
            </w:r>
            <w:r>
              <w:rPr>
                <w:rFonts w:hint="default" w:hAnsi="宋体" w:cs="宋体"/>
                <w:color w:val="auto"/>
                <w:spacing w:val="-13"/>
                <w:sz w:val="24"/>
                <w:szCs w:val="24"/>
                <w:highlight w:val="none"/>
              </w:rPr>
              <w:t>政编码：</w:t>
            </w:r>
          </w:p>
        </w:tc>
      </w:tr>
      <w:tr w14:paraId="104A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267E8837">
            <w:pPr>
              <w:spacing w:before="60" w:beforeLines="0" w:afterLines="0" w:line="360" w:lineRule="auto"/>
              <w:ind w:left="33"/>
              <w:rPr>
                <w:rFonts w:hint="default" w:hAnsi="宋体" w:cs="宋体"/>
                <w:color w:val="auto"/>
                <w:sz w:val="24"/>
                <w:szCs w:val="24"/>
                <w:highlight w:val="none"/>
              </w:rPr>
            </w:pPr>
            <w:r>
              <w:rPr>
                <w:rFonts w:hint="default" w:hAnsi="宋体" w:cs="宋体"/>
                <w:color w:val="auto"/>
                <w:spacing w:val="-14"/>
                <w:sz w:val="24"/>
                <w:szCs w:val="24"/>
                <w:highlight w:val="none"/>
              </w:rPr>
              <w:t>电</w:t>
            </w:r>
            <w:r>
              <w:rPr>
                <w:rFonts w:hint="default" w:hAnsi="宋体" w:cs="宋体"/>
                <w:color w:val="auto"/>
                <w:spacing w:val="-12"/>
                <w:sz w:val="24"/>
                <w:szCs w:val="24"/>
                <w:highlight w:val="none"/>
              </w:rPr>
              <w:t>话:</w:t>
            </w:r>
          </w:p>
        </w:tc>
        <w:tc>
          <w:tcPr>
            <w:tcW w:w="4646" w:type="dxa"/>
            <w:tcBorders>
              <w:top w:val="nil"/>
              <w:left w:val="nil"/>
              <w:bottom w:val="nil"/>
              <w:right w:val="nil"/>
              <w:tl2br w:val="nil"/>
              <w:tr2bl w:val="nil"/>
            </w:tcBorders>
            <w:noWrap w:val="0"/>
            <w:vAlign w:val="top"/>
          </w:tcPr>
          <w:p w14:paraId="4ACA1ADA">
            <w:pPr>
              <w:spacing w:before="60" w:beforeLines="0" w:afterLines="0" w:line="360" w:lineRule="auto"/>
              <w:ind w:left="1147"/>
              <w:rPr>
                <w:rFonts w:hint="default" w:hAnsi="宋体" w:cs="宋体"/>
                <w:color w:val="auto"/>
                <w:sz w:val="24"/>
                <w:szCs w:val="24"/>
                <w:highlight w:val="none"/>
              </w:rPr>
            </w:pPr>
            <w:r>
              <w:rPr>
                <w:rFonts w:hint="default" w:hAnsi="宋体" w:cs="宋体"/>
                <w:color w:val="auto"/>
                <w:spacing w:val="-14"/>
                <w:sz w:val="24"/>
                <w:szCs w:val="24"/>
                <w:highlight w:val="none"/>
              </w:rPr>
              <w:t>电</w:t>
            </w:r>
            <w:r>
              <w:rPr>
                <w:rFonts w:hint="default" w:hAnsi="宋体" w:cs="宋体"/>
                <w:color w:val="auto"/>
                <w:spacing w:val="-12"/>
                <w:sz w:val="24"/>
                <w:szCs w:val="24"/>
                <w:highlight w:val="none"/>
              </w:rPr>
              <w:t>话:</w:t>
            </w:r>
          </w:p>
        </w:tc>
      </w:tr>
      <w:tr w14:paraId="096B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0DD98386">
            <w:pPr>
              <w:spacing w:before="60" w:beforeLines="0" w:afterLines="0" w:line="360" w:lineRule="auto"/>
              <w:ind w:left="33"/>
              <w:rPr>
                <w:rFonts w:hint="default" w:hAnsi="宋体" w:cs="宋体"/>
                <w:color w:val="auto"/>
                <w:sz w:val="24"/>
                <w:szCs w:val="24"/>
                <w:highlight w:val="none"/>
              </w:rPr>
            </w:pPr>
            <w:r>
              <w:rPr>
                <w:rFonts w:hint="default" w:hAnsi="宋体" w:cs="宋体"/>
                <w:color w:val="auto"/>
                <w:spacing w:val="-10"/>
                <w:sz w:val="24"/>
                <w:szCs w:val="24"/>
                <w:highlight w:val="none"/>
              </w:rPr>
              <w:t>电</w:t>
            </w:r>
            <w:r>
              <w:rPr>
                <w:rFonts w:hint="default" w:hAnsi="宋体" w:cs="宋体"/>
                <w:color w:val="auto"/>
                <w:spacing w:val="-7"/>
                <w:sz w:val="24"/>
                <w:szCs w:val="24"/>
                <w:highlight w:val="none"/>
              </w:rPr>
              <w:t>子邮箱：</w:t>
            </w:r>
          </w:p>
        </w:tc>
        <w:tc>
          <w:tcPr>
            <w:tcW w:w="4646" w:type="dxa"/>
            <w:tcBorders>
              <w:top w:val="nil"/>
              <w:left w:val="nil"/>
              <w:bottom w:val="nil"/>
              <w:right w:val="nil"/>
              <w:tl2br w:val="nil"/>
              <w:tr2bl w:val="nil"/>
            </w:tcBorders>
            <w:noWrap w:val="0"/>
            <w:vAlign w:val="top"/>
          </w:tcPr>
          <w:p w14:paraId="28D77A5A">
            <w:pPr>
              <w:spacing w:before="60" w:beforeLines="0" w:afterLines="0" w:line="360" w:lineRule="auto"/>
              <w:ind w:left="1147"/>
              <w:rPr>
                <w:rFonts w:hint="default" w:hAnsi="宋体" w:cs="宋体"/>
                <w:color w:val="auto"/>
                <w:sz w:val="24"/>
                <w:szCs w:val="24"/>
                <w:highlight w:val="none"/>
              </w:rPr>
            </w:pPr>
            <w:r>
              <w:rPr>
                <w:rFonts w:hint="default" w:hAnsi="宋体" w:cs="宋体"/>
                <w:color w:val="auto"/>
                <w:spacing w:val="-10"/>
                <w:sz w:val="24"/>
                <w:szCs w:val="24"/>
                <w:highlight w:val="none"/>
              </w:rPr>
              <w:t>电</w:t>
            </w:r>
            <w:r>
              <w:rPr>
                <w:rFonts w:hint="default" w:hAnsi="宋体" w:cs="宋体"/>
                <w:color w:val="auto"/>
                <w:spacing w:val="-7"/>
                <w:sz w:val="24"/>
                <w:szCs w:val="24"/>
                <w:highlight w:val="none"/>
              </w:rPr>
              <w:t>子邮箱：</w:t>
            </w:r>
          </w:p>
        </w:tc>
      </w:tr>
      <w:tr w14:paraId="4929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2BFF377D">
            <w:pPr>
              <w:spacing w:before="60" w:beforeLines="0" w:afterLines="0" w:line="360" w:lineRule="auto"/>
              <w:ind w:left="12"/>
              <w:rPr>
                <w:rFonts w:hint="default" w:hAnsi="宋体" w:cs="宋体"/>
                <w:color w:val="auto"/>
                <w:sz w:val="24"/>
                <w:szCs w:val="24"/>
                <w:highlight w:val="none"/>
              </w:rPr>
            </w:pPr>
            <w:r>
              <w:rPr>
                <w:rFonts w:hint="default" w:hAnsi="宋体" w:cs="宋体"/>
                <w:color w:val="auto"/>
                <w:spacing w:val="-13"/>
                <w:sz w:val="24"/>
                <w:szCs w:val="24"/>
                <w:highlight w:val="none"/>
              </w:rPr>
              <w:t>开</w:t>
            </w:r>
            <w:r>
              <w:rPr>
                <w:rFonts w:hint="default" w:hAnsi="宋体" w:cs="宋体"/>
                <w:color w:val="auto"/>
                <w:spacing w:val="-9"/>
                <w:sz w:val="24"/>
                <w:szCs w:val="24"/>
                <w:highlight w:val="none"/>
              </w:rPr>
              <w:t>户银行：</w:t>
            </w:r>
          </w:p>
        </w:tc>
        <w:tc>
          <w:tcPr>
            <w:tcW w:w="4646" w:type="dxa"/>
            <w:tcBorders>
              <w:top w:val="nil"/>
              <w:left w:val="nil"/>
              <w:bottom w:val="nil"/>
              <w:right w:val="nil"/>
              <w:tl2br w:val="nil"/>
              <w:tr2bl w:val="nil"/>
            </w:tcBorders>
            <w:noWrap w:val="0"/>
            <w:vAlign w:val="top"/>
          </w:tcPr>
          <w:p w14:paraId="6410EF06">
            <w:pPr>
              <w:spacing w:before="60" w:beforeLines="0" w:afterLines="0" w:line="360" w:lineRule="auto"/>
              <w:ind w:left="1126"/>
              <w:rPr>
                <w:rFonts w:hint="default" w:hAnsi="宋体" w:cs="宋体"/>
                <w:color w:val="auto"/>
                <w:sz w:val="24"/>
                <w:szCs w:val="24"/>
                <w:highlight w:val="none"/>
              </w:rPr>
            </w:pPr>
            <w:r>
              <w:rPr>
                <w:rFonts w:hint="default" w:hAnsi="宋体" w:cs="宋体"/>
                <w:color w:val="auto"/>
                <w:spacing w:val="-13"/>
                <w:sz w:val="24"/>
                <w:szCs w:val="24"/>
                <w:highlight w:val="none"/>
              </w:rPr>
              <w:t>开</w:t>
            </w:r>
            <w:r>
              <w:rPr>
                <w:rFonts w:hint="default" w:hAnsi="宋体" w:cs="宋体"/>
                <w:color w:val="auto"/>
                <w:spacing w:val="-9"/>
                <w:sz w:val="24"/>
                <w:szCs w:val="24"/>
                <w:highlight w:val="none"/>
              </w:rPr>
              <w:t>户银行：</w:t>
            </w:r>
          </w:p>
        </w:tc>
      </w:tr>
      <w:tr w14:paraId="28D2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06" w:type="dxa"/>
            <w:tcBorders>
              <w:top w:val="nil"/>
              <w:left w:val="nil"/>
              <w:bottom w:val="nil"/>
              <w:right w:val="nil"/>
              <w:tl2br w:val="nil"/>
              <w:tr2bl w:val="nil"/>
            </w:tcBorders>
            <w:noWrap w:val="0"/>
            <w:vAlign w:val="top"/>
          </w:tcPr>
          <w:p w14:paraId="3335E0E3">
            <w:pPr>
              <w:spacing w:before="60" w:beforeLines="0" w:afterLines="0" w:line="360" w:lineRule="auto"/>
              <w:ind w:left="12"/>
              <w:rPr>
                <w:rFonts w:hint="default" w:hAnsi="宋体" w:cs="宋体"/>
                <w:color w:val="auto"/>
                <w:sz w:val="24"/>
                <w:szCs w:val="24"/>
                <w:highlight w:val="none"/>
              </w:rPr>
            </w:pPr>
            <w:r>
              <w:rPr>
                <w:rFonts w:hint="default" w:hAnsi="宋体" w:cs="宋体"/>
                <w:color w:val="auto"/>
                <w:spacing w:val="-12"/>
                <w:sz w:val="24"/>
                <w:szCs w:val="24"/>
                <w:highlight w:val="none"/>
              </w:rPr>
              <w:t>开户名称：</w:t>
            </w:r>
          </w:p>
        </w:tc>
        <w:tc>
          <w:tcPr>
            <w:tcW w:w="4646" w:type="dxa"/>
            <w:tcBorders>
              <w:top w:val="nil"/>
              <w:left w:val="nil"/>
              <w:bottom w:val="nil"/>
              <w:right w:val="nil"/>
              <w:tl2br w:val="nil"/>
              <w:tr2bl w:val="nil"/>
            </w:tcBorders>
            <w:noWrap w:val="0"/>
            <w:vAlign w:val="top"/>
          </w:tcPr>
          <w:p w14:paraId="40E17FBC">
            <w:pPr>
              <w:spacing w:before="60" w:beforeLines="0" w:afterLines="0" w:line="360" w:lineRule="auto"/>
              <w:ind w:left="1126"/>
              <w:rPr>
                <w:rFonts w:hint="default" w:hAnsi="宋体" w:cs="宋体"/>
                <w:color w:val="auto"/>
                <w:sz w:val="24"/>
                <w:szCs w:val="24"/>
                <w:highlight w:val="none"/>
              </w:rPr>
            </w:pPr>
            <w:r>
              <w:rPr>
                <w:rFonts w:hint="default" w:hAnsi="宋体" w:cs="宋体"/>
                <w:color w:val="auto"/>
                <w:spacing w:val="-12"/>
                <w:sz w:val="24"/>
                <w:szCs w:val="24"/>
                <w:highlight w:val="none"/>
              </w:rPr>
              <w:t>开户名称：</w:t>
            </w:r>
          </w:p>
        </w:tc>
      </w:tr>
      <w:tr w14:paraId="3C25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806" w:type="dxa"/>
            <w:tcBorders>
              <w:top w:val="nil"/>
              <w:left w:val="nil"/>
              <w:bottom w:val="nil"/>
              <w:right w:val="nil"/>
              <w:tl2br w:val="nil"/>
              <w:tr2bl w:val="nil"/>
            </w:tcBorders>
            <w:noWrap w:val="0"/>
            <w:vAlign w:val="top"/>
          </w:tcPr>
          <w:p w14:paraId="36ECDAB0">
            <w:pPr>
              <w:spacing w:before="61" w:beforeLines="0" w:afterLines="0" w:line="360" w:lineRule="auto"/>
              <w:ind w:left="12"/>
              <w:rPr>
                <w:rFonts w:hint="default" w:hAnsi="宋体" w:cs="宋体"/>
                <w:color w:val="auto"/>
                <w:sz w:val="24"/>
                <w:szCs w:val="24"/>
                <w:highlight w:val="none"/>
              </w:rPr>
            </w:pPr>
            <w:r>
              <w:rPr>
                <w:rFonts w:hint="default" w:hAnsi="宋体" w:cs="宋体"/>
                <w:color w:val="auto"/>
                <w:spacing w:val="-4"/>
                <w:sz w:val="24"/>
                <w:szCs w:val="24"/>
                <w:highlight w:val="none"/>
              </w:rPr>
              <w:t>开</w:t>
            </w:r>
            <w:r>
              <w:rPr>
                <w:rFonts w:hint="default" w:hAnsi="宋体" w:cs="宋体"/>
                <w:color w:val="auto"/>
                <w:spacing w:val="-2"/>
                <w:sz w:val="24"/>
                <w:szCs w:val="24"/>
                <w:highlight w:val="none"/>
              </w:rPr>
              <w:t>户账号：</w:t>
            </w:r>
          </w:p>
        </w:tc>
        <w:tc>
          <w:tcPr>
            <w:tcW w:w="4646" w:type="dxa"/>
            <w:tcBorders>
              <w:top w:val="nil"/>
              <w:left w:val="nil"/>
              <w:bottom w:val="nil"/>
              <w:right w:val="nil"/>
              <w:tl2br w:val="nil"/>
              <w:tr2bl w:val="nil"/>
            </w:tcBorders>
            <w:noWrap w:val="0"/>
            <w:vAlign w:val="top"/>
          </w:tcPr>
          <w:p w14:paraId="2C34082F">
            <w:pPr>
              <w:spacing w:before="61" w:beforeLines="0" w:afterLines="0" w:line="360" w:lineRule="auto"/>
              <w:ind w:left="1126"/>
              <w:rPr>
                <w:rFonts w:hint="default" w:hAnsi="宋体" w:cs="宋体"/>
                <w:color w:val="auto"/>
                <w:sz w:val="24"/>
                <w:szCs w:val="24"/>
                <w:highlight w:val="none"/>
              </w:rPr>
            </w:pPr>
            <w:r>
              <w:rPr>
                <w:rFonts w:hint="default" w:hAnsi="宋体" w:cs="宋体"/>
                <w:color w:val="auto"/>
                <w:spacing w:val="-4"/>
                <w:sz w:val="24"/>
                <w:szCs w:val="24"/>
                <w:highlight w:val="none"/>
              </w:rPr>
              <w:t>开</w:t>
            </w:r>
            <w:r>
              <w:rPr>
                <w:rFonts w:hint="default" w:hAnsi="宋体" w:cs="宋体"/>
                <w:color w:val="auto"/>
                <w:spacing w:val="-2"/>
                <w:sz w:val="24"/>
                <w:szCs w:val="24"/>
                <w:highlight w:val="none"/>
              </w:rPr>
              <w:t>户账号：</w:t>
            </w:r>
          </w:p>
        </w:tc>
      </w:tr>
    </w:tbl>
    <w:p w14:paraId="10111AC9">
      <w:pPr>
        <w:spacing w:beforeLines="0" w:afterLines="0" w:line="360" w:lineRule="auto"/>
        <w:jc w:val="center"/>
        <w:rPr>
          <w:rFonts w:hint="default" w:hAnsi="宋体" w:cs="宋体"/>
          <w:b/>
          <w:color w:val="auto"/>
          <w:sz w:val="24"/>
          <w:szCs w:val="24"/>
          <w:highlight w:val="none"/>
        </w:rPr>
      </w:pPr>
    </w:p>
    <w:p w14:paraId="6B46F782">
      <w:pPr>
        <w:spacing w:before="91" w:beforeLines="0" w:afterLines="0" w:line="360" w:lineRule="auto"/>
        <w:ind w:left="3371"/>
        <w:outlineLvl w:val="1"/>
        <w:rPr>
          <w:rFonts w:hint="default" w:hAnsi="宋体" w:cs="宋体"/>
          <w:color w:val="auto"/>
          <w:sz w:val="24"/>
          <w:szCs w:val="24"/>
          <w:highlight w:val="none"/>
        </w:rPr>
      </w:pPr>
      <w:r>
        <w:rPr>
          <w:rFonts w:hint="default" w:hAnsi="宋体" w:cs="宋体"/>
          <w:b/>
          <w:bCs/>
          <w:color w:val="auto"/>
          <w:spacing w:val="-4"/>
          <w:sz w:val="28"/>
          <w:szCs w:val="28"/>
          <w:highlight w:val="none"/>
        </w:rPr>
        <w:t>第二</w:t>
      </w:r>
      <w:r>
        <w:rPr>
          <w:rFonts w:hint="default" w:hAnsi="宋体" w:cs="宋体"/>
          <w:b/>
          <w:bCs/>
          <w:color w:val="auto"/>
          <w:spacing w:val="-2"/>
          <w:sz w:val="28"/>
          <w:szCs w:val="28"/>
          <w:highlight w:val="none"/>
        </w:rPr>
        <w:t>部分 合同一般条款</w:t>
      </w:r>
    </w:p>
    <w:p w14:paraId="3048A8B5">
      <w:pPr>
        <w:spacing w:before="208" w:beforeLines="0" w:afterLines="0" w:line="360" w:lineRule="auto"/>
        <w:ind w:left="502"/>
        <w:rPr>
          <w:rFonts w:hint="default" w:hAnsi="宋体" w:cs="宋体"/>
          <w:color w:val="auto"/>
          <w:sz w:val="24"/>
          <w:szCs w:val="24"/>
          <w:highlight w:val="none"/>
        </w:rPr>
      </w:pPr>
      <w:r>
        <w:rPr>
          <w:rFonts w:hint="default" w:hAnsi="宋体" w:cs="宋体"/>
          <w:color w:val="auto"/>
          <w:spacing w:val="-4"/>
          <w:sz w:val="24"/>
          <w:szCs w:val="24"/>
          <w:highlight w:val="none"/>
        </w:rPr>
        <w:t>2</w:t>
      </w:r>
      <w:r>
        <w:rPr>
          <w:rFonts w:hint="default" w:hAnsi="宋体" w:cs="宋体"/>
          <w:color w:val="auto"/>
          <w:spacing w:val="-3"/>
          <w:sz w:val="24"/>
          <w:szCs w:val="24"/>
          <w:highlight w:val="none"/>
        </w:rPr>
        <w:t>.1 定义</w:t>
      </w:r>
    </w:p>
    <w:p w14:paraId="436E6053">
      <w:pPr>
        <w:spacing w:before="72" w:beforeLines="0" w:afterLines="0" w:line="360" w:lineRule="auto"/>
        <w:ind w:left="491"/>
        <w:rPr>
          <w:rFonts w:hint="default" w:hAnsi="宋体" w:cs="宋体"/>
          <w:color w:val="auto"/>
          <w:sz w:val="24"/>
          <w:szCs w:val="24"/>
          <w:highlight w:val="none"/>
        </w:rPr>
      </w:pPr>
      <w:r>
        <w:rPr>
          <w:rFonts w:hint="default" w:hAnsi="宋体" w:cs="宋体"/>
          <w:color w:val="auto"/>
          <w:spacing w:val="-1"/>
          <w:sz w:val="24"/>
          <w:szCs w:val="24"/>
          <w:highlight w:val="none"/>
        </w:rPr>
        <w:t>本合同中的下列词语应</w:t>
      </w:r>
      <w:r>
        <w:rPr>
          <w:rFonts w:hint="default" w:hAnsi="宋体" w:cs="宋体"/>
          <w:color w:val="auto"/>
          <w:sz w:val="24"/>
          <w:szCs w:val="24"/>
          <w:highlight w:val="none"/>
        </w:rPr>
        <w:t>按以下内容进行解释：</w:t>
      </w:r>
    </w:p>
    <w:p w14:paraId="2E615CD0">
      <w:pPr>
        <w:spacing w:before="79" w:beforeLines="0" w:afterLines="0" w:line="360" w:lineRule="auto"/>
        <w:ind w:left="3" w:right="54" w:firstLine="496"/>
        <w:rPr>
          <w:rFonts w:hint="default" w:hAnsi="宋体" w:cs="宋体"/>
          <w:color w:val="auto"/>
          <w:sz w:val="24"/>
          <w:szCs w:val="24"/>
          <w:highlight w:val="none"/>
        </w:rPr>
      </w:pPr>
      <w:r>
        <w:rPr>
          <w:rFonts w:hint="default" w:hAnsi="宋体" w:cs="宋体"/>
          <w:color w:val="auto"/>
          <w:spacing w:val="-2"/>
          <w:sz w:val="24"/>
          <w:szCs w:val="24"/>
          <w:highlight w:val="none"/>
        </w:rPr>
        <w:t>2.1.1  “合同”系指采购人和中标人签订的载明双方当事人所达成的协议，</w:t>
      </w:r>
      <w:r>
        <w:rPr>
          <w:rFonts w:hint="default" w:hAnsi="宋体" w:cs="宋体"/>
          <w:color w:val="auto"/>
          <w:spacing w:val="-1"/>
          <w:sz w:val="24"/>
          <w:szCs w:val="24"/>
          <w:highlight w:val="none"/>
        </w:rPr>
        <w:t>并</w:t>
      </w:r>
      <w:r>
        <w:rPr>
          <w:rFonts w:hint="default" w:hAnsi="宋体" w:cs="宋体"/>
          <w:color w:val="auto"/>
          <w:spacing w:val="-14"/>
          <w:sz w:val="24"/>
          <w:szCs w:val="24"/>
          <w:highlight w:val="none"/>
        </w:rPr>
        <w:t>包</w:t>
      </w:r>
      <w:r>
        <w:rPr>
          <w:rFonts w:hint="default" w:hAnsi="宋体" w:cs="宋体"/>
          <w:color w:val="auto"/>
          <w:spacing w:val="-11"/>
          <w:sz w:val="24"/>
          <w:szCs w:val="24"/>
          <w:highlight w:val="none"/>
        </w:rPr>
        <w:t>括</w:t>
      </w:r>
      <w:r>
        <w:rPr>
          <w:rFonts w:hint="default" w:hAnsi="宋体" w:cs="宋体"/>
          <w:color w:val="auto"/>
          <w:spacing w:val="-7"/>
          <w:sz w:val="24"/>
          <w:szCs w:val="24"/>
          <w:highlight w:val="none"/>
        </w:rPr>
        <w:t>所有的附件、 附录和构成合同的其他文件。</w:t>
      </w:r>
    </w:p>
    <w:p w14:paraId="18F82086">
      <w:pPr>
        <w:spacing w:before="2" w:beforeLines="0" w:afterLines="0" w:line="360" w:lineRule="auto"/>
        <w:ind w:left="17" w:right="55" w:firstLine="483"/>
        <w:rPr>
          <w:rFonts w:hint="default" w:hAnsi="宋体" w:cs="宋体"/>
          <w:color w:val="auto"/>
          <w:sz w:val="24"/>
          <w:szCs w:val="24"/>
          <w:highlight w:val="none"/>
        </w:rPr>
      </w:pPr>
      <w:r>
        <w:rPr>
          <w:rFonts w:hint="default" w:hAnsi="宋体" w:cs="宋体"/>
          <w:color w:val="auto"/>
          <w:spacing w:val="-2"/>
          <w:sz w:val="24"/>
          <w:szCs w:val="24"/>
          <w:highlight w:val="none"/>
        </w:rPr>
        <w:t>2.1.2  “合同价”系指根据合同约定，中标人在完全履行合同义务后，采购人</w:t>
      </w:r>
      <w:r>
        <w:rPr>
          <w:rFonts w:hint="default" w:hAnsi="宋体" w:cs="宋体"/>
          <w:color w:val="auto"/>
          <w:spacing w:val="-6"/>
          <w:sz w:val="24"/>
          <w:szCs w:val="24"/>
          <w:highlight w:val="none"/>
        </w:rPr>
        <w:t>应支</w:t>
      </w:r>
      <w:r>
        <w:rPr>
          <w:rFonts w:hint="default" w:hAnsi="宋体" w:cs="宋体"/>
          <w:color w:val="auto"/>
          <w:spacing w:val="-4"/>
          <w:sz w:val="24"/>
          <w:szCs w:val="24"/>
          <w:highlight w:val="none"/>
        </w:rPr>
        <w:t>付</w:t>
      </w:r>
      <w:r>
        <w:rPr>
          <w:rFonts w:hint="default" w:hAnsi="宋体" w:cs="宋体"/>
          <w:color w:val="auto"/>
          <w:spacing w:val="-3"/>
          <w:sz w:val="24"/>
          <w:szCs w:val="24"/>
          <w:highlight w:val="none"/>
        </w:rPr>
        <w:t>给中标人的价格。</w:t>
      </w:r>
    </w:p>
    <w:p w14:paraId="60D70D5A">
      <w:pPr>
        <w:spacing w:before="4" w:beforeLines="0" w:afterLines="0" w:line="360" w:lineRule="auto"/>
        <w:ind w:left="9" w:right="28" w:firstLine="491"/>
        <w:rPr>
          <w:rFonts w:hint="default" w:hAnsi="宋体" w:cs="宋体"/>
          <w:color w:val="auto"/>
          <w:sz w:val="24"/>
          <w:szCs w:val="24"/>
          <w:highlight w:val="none"/>
        </w:rPr>
      </w:pPr>
      <w:r>
        <w:rPr>
          <w:rFonts w:hint="default" w:hAnsi="宋体" w:cs="宋体"/>
          <w:color w:val="auto"/>
          <w:spacing w:val="-2"/>
          <w:sz w:val="24"/>
          <w:szCs w:val="24"/>
          <w:highlight w:val="none"/>
        </w:rPr>
        <w:t>2.1.3  “标的物”系指中标人根据合同约定应向采购人交付的一切各种形态</w:t>
      </w:r>
      <w:r>
        <w:rPr>
          <w:rFonts w:hint="default" w:hAnsi="宋体" w:cs="宋体"/>
          <w:color w:val="auto"/>
          <w:spacing w:val="-1"/>
          <w:sz w:val="24"/>
          <w:szCs w:val="24"/>
          <w:highlight w:val="none"/>
        </w:rPr>
        <w:t>和</w:t>
      </w:r>
      <w:r>
        <w:rPr>
          <w:rFonts w:hint="default" w:hAnsi="宋体" w:cs="宋体"/>
          <w:color w:val="auto"/>
          <w:spacing w:val="-30"/>
          <w:sz w:val="24"/>
          <w:szCs w:val="24"/>
          <w:highlight w:val="none"/>
        </w:rPr>
        <w:t>种</w:t>
      </w:r>
      <w:r>
        <w:rPr>
          <w:rFonts w:hint="default" w:hAnsi="宋体" w:cs="宋体"/>
          <w:color w:val="auto"/>
          <w:spacing w:val="-16"/>
          <w:sz w:val="24"/>
          <w:szCs w:val="24"/>
          <w:highlight w:val="none"/>
        </w:rPr>
        <w:t>类的货物、服务和工程，包括但不限于原材料、燃料、设备、机械、仪表、备件、计算</w:t>
      </w:r>
      <w:r>
        <w:rPr>
          <w:rFonts w:hint="default" w:hAnsi="宋体" w:cs="宋体"/>
          <w:color w:val="auto"/>
          <w:sz w:val="24"/>
          <w:szCs w:val="24"/>
          <w:highlight w:val="none"/>
        </w:rPr>
        <w:t xml:space="preserve"> </w:t>
      </w:r>
      <w:r>
        <w:rPr>
          <w:rFonts w:hint="default" w:hAnsi="宋体" w:cs="宋体"/>
          <w:color w:val="auto"/>
          <w:spacing w:val="-24"/>
          <w:sz w:val="24"/>
          <w:szCs w:val="24"/>
          <w:highlight w:val="none"/>
        </w:rPr>
        <w:t>机</w:t>
      </w:r>
      <w:r>
        <w:rPr>
          <w:rFonts w:hint="default" w:hAnsi="宋体" w:cs="宋体"/>
          <w:color w:val="auto"/>
          <w:spacing w:val="-13"/>
          <w:sz w:val="24"/>
          <w:szCs w:val="24"/>
          <w:highlight w:val="none"/>
        </w:rPr>
        <w:t>软件、信息化系统、信息化维保、物业服务、产品等， 并包括工具、手册等其他相关</w:t>
      </w:r>
      <w:r>
        <w:rPr>
          <w:rFonts w:hint="default" w:hAnsi="宋体" w:cs="宋体"/>
          <w:color w:val="auto"/>
          <w:sz w:val="24"/>
          <w:szCs w:val="24"/>
          <w:highlight w:val="none"/>
        </w:rPr>
        <w:t xml:space="preserve"> </w:t>
      </w:r>
      <w:r>
        <w:rPr>
          <w:rFonts w:hint="default" w:hAnsi="宋体" w:cs="宋体"/>
          <w:color w:val="auto"/>
          <w:spacing w:val="-14"/>
          <w:sz w:val="24"/>
          <w:szCs w:val="24"/>
          <w:highlight w:val="none"/>
        </w:rPr>
        <w:t>资</w:t>
      </w:r>
      <w:r>
        <w:rPr>
          <w:rFonts w:hint="default" w:hAnsi="宋体" w:cs="宋体"/>
          <w:color w:val="auto"/>
          <w:spacing w:val="-12"/>
          <w:sz w:val="24"/>
          <w:szCs w:val="24"/>
          <w:highlight w:val="none"/>
        </w:rPr>
        <w:t>料。</w:t>
      </w:r>
    </w:p>
    <w:p w14:paraId="52BFA321">
      <w:pPr>
        <w:spacing w:before="3" w:beforeLines="0" w:afterLines="0" w:line="360" w:lineRule="auto"/>
        <w:ind w:left="24" w:right="56" w:firstLine="476"/>
        <w:rPr>
          <w:rFonts w:hint="default" w:hAnsi="宋体" w:cs="宋体"/>
          <w:color w:val="auto"/>
          <w:sz w:val="24"/>
          <w:szCs w:val="24"/>
          <w:highlight w:val="none"/>
        </w:rPr>
      </w:pPr>
      <w:r>
        <w:rPr>
          <w:rFonts w:hint="default" w:hAnsi="宋体" w:cs="宋体"/>
          <w:color w:val="auto"/>
          <w:spacing w:val="-3"/>
          <w:sz w:val="24"/>
          <w:szCs w:val="24"/>
          <w:highlight w:val="none"/>
        </w:rPr>
        <w:t>2</w:t>
      </w:r>
      <w:r>
        <w:rPr>
          <w:rFonts w:hint="default" w:hAnsi="宋体" w:cs="宋体"/>
          <w:color w:val="auto"/>
          <w:spacing w:val="-2"/>
          <w:sz w:val="24"/>
          <w:szCs w:val="24"/>
          <w:highlight w:val="none"/>
        </w:rPr>
        <w:t>.1.4  “甲方”系指与中标人签署合同的采购人；采购人委托采购机构代表其与乙方签订合同的，采购人的授权委托书作为合同附</w:t>
      </w:r>
      <w:r>
        <w:rPr>
          <w:rFonts w:hint="default" w:hAnsi="宋体" w:cs="宋体"/>
          <w:color w:val="auto"/>
          <w:spacing w:val="-1"/>
          <w:sz w:val="24"/>
          <w:szCs w:val="24"/>
          <w:highlight w:val="none"/>
        </w:rPr>
        <w:t>件</w:t>
      </w:r>
      <w:r>
        <w:rPr>
          <w:rFonts w:hint="default" w:hAnsi="宋体" w:cs="宋体"/>
          <w:color w:val="auto"/>
          <w:sz w:val="24"/>
          <w:szCs w:val="24"/>
          <w:highlight w:val="none"/>
        </w:rPr>
        <w:t>。</w:t>
      </w:r>
    </w:p>
    <w:p w14:paraId="062401DE">
      <w:pPr>
        <w:spacing w:before="4" w:beforeLines="0" w:afterLines="0" w:line="360" w:lineRule="auto"/>
        <w:ind w:left="14" w:right="48" w:firstLine="486"/>
        <w:rPr>
          <w:rFonts w:hint="default" w:hAnsi="宋体" w:cs="宋体"/>
          <w:color w:val="auto"/>
          <w:sz w:val="24"/>
          <w:szCs w:val="24"/>
          <w:highlight w:val="none"/>
        </w:rPr>
      </w:pPr>
      <w:r>
        <w:rPr>
          <w:rFonts w:hint="default" w:hAnsi="宋体" w:cs="宋体"/>
          <w:color w:val="auto"/>
          <w:spacing w:val="-4"/>
          <w:sz w:val="24"/>
          <w:szCs w:val="24"/>
          <w:highlight w:val="none"/>
        </w:rPr>
        <w:t>2</w:t>
      </w:r>
      <w:r>
        <w:rPr>
          <w:rFonts w:hint="default" w:hAnsi="宋体" w:cs="宋体"/>
          <w:color w:val="auto"/>
          <w:spacing w:val="-3"/>
          <w:sz w:val="24"/>
          <w:szCs w:val="24"/>
          <w:highlight w:val="none"/>
        </w:rPr>
        <w:t>.</w:t>
      </w:r>
      <w:r>
        <w:rPr>
          <w:rFonts w:hint="default" w:hAnsi="宋体" w:cs="宋体"/>
          <w:color w:val="auto"/>
          <w:spacing w:val="-2"/>
          <w:sz w:val="24"/>
          <w:szCs w:val="24"/>
          <w:highlight w:val="none"/>
        </w:rPr>
        <w:t>1.5  “乙方”系指根据合同约定交付标的物的中标人；两个以上的自然人、法人或者其他组织组成一个联合体， 以一个供应商的身份共同</w:t>
      </w:r>
      <w:r>
        <w:rPr>
          <w:rFonts w:hint="default" w:hAnsi="宋体" w:cs="宋体"/>
          <w:color w:val="auto"/>
          <w:spacing w:val="-1"/>
          <w:sz w:val="24"/>
          <w:szCs w:val="24"/>
          <w:highlight w:val="none"/>
        </w:rPr>
        <w:t>参加政府采购的，联</w:t>
      </w:r>
      <w:r>
        <w:rPr>
          <w:rFonts w:hint="default" w:hAnsi="宋体" w:cs="宋体"/>
          <w:color w:val="auto"/>
          <w:spacing w:val="2"/>
          <w:sz w:val="24"/>
          <w:szCs w:val="24"/>
          <w:highlight w:val="none"/>
        </w:rPr>
        <w:t>合体各方均应为乙方或者与乙方相同地位的合同</w:t>
      </w:r>
      <w:r>
        <w:rPr>
          <w:rFonts w:hint="default" w:hAnsi="宋体" w:cs="宋体"/>
          <w:color w:val="auto"/>
          <w:spacing w:val="1"/>
          <w:sz w:val="24"/>
          <w:szCs w:val="24"/>
          <w:highlight w:val="none"/>
        </w:rPr>
        <w:t>当事人，并就合同约定的事项对甲</w:t>
      </w:r>
      <w:r>
        <w:rPr>
          <w:rFonts w:hint="default" w:hAnsi="宋体" w:cs="宋体"/>
          <w:color w:val="auto"/>
          <w:spacing w:val="-2"/>
          <w:sz w:val="24"/>
          <w:szCs w:val="24"/>
          <w:highlight w:val="none"/>
        </w:rPr>
        <w:t>方承担连带</w:t>
      </w:r>
      <w:r>
        <w:rPr>
          <w:rFonts w:hint="default" w:hAnsi="宋体" w:cs="宋体"/>
          <w:color w:val="auto"/>
          <w:spacing w:val="-1"/>
          <w:sz w:val="24"/>
          <w:szCs w:val="24"/>
          <w:highlight w:val="none"/>
        </w:rPr>
        <w:t>责任。</w:t>
      </w:r>
    </w:p>
    <w:p w14:paraId="44B4723D">
      <w:pPr>
        <w:spacing w:before="1" w:beforeLines="0" w:afterLines="0" w:line="360" w:lineRule="auto"/>
        <w:ind w:left="500"/>
        <w:rPr>
          <w:rFonts w:hint="default" w:hAnsi="宋体" w:cs="宋体"/>
          <w:color w:val="auto"/>
          <w:sz w:val="24"/>
          <w:szCs w:val="24"/>
          <w:highlight w:val="none"/>
        </w:rPr>
      </w:pPr>
      <w:r>
        <w:rPr>
          <w:rFonts w:hint="default" w:hAnsi="宋体" w:cs="宋体"/>
          <w:color w:val="auto"/>
          <w:spacing w:val="-4"/>
          <w:sz w:val="24"/>
          <w:szCs w:val="24"/>
          <w:highlight w:val="none"/>
        </w:rPr>
        <w:t>2.1.6  “现场”系指合同约定标的物将要运至或者实施或者安装的地</w:t>
      </w:r>
      <w:r>
        <w:rPr>
          <w:rFonts w:hint="default" w:hAnsi="宋体" w:cs="宋体"/>
          <w:color w:val="auto"/>
          <w:spacing w:val="-3"/>
          <w:sz w:val="24"/>
          <w:szCs w:val="24"/>
          <w:highlight w:val="none"/>
        </w:rPr>
        <w:t>点</w:t>
      </w:r>
      <w:r>
        <w:rPr>
          <w:rFonts w:hint="default" w:hAnsi="宋体" w:cs="宋体"/>
          <w:color w:val="auto"/>
          <w:sz w:val="24"/>
          <w:szCs w:val="24"/>
          <w:highlight w:val="none"/>
        </w:rPr>
        <w:t>。</w:t>
      </w:r>
    </w:p>
    <w:p w14:paraId="522F5811">
      <w:pPr>
        <w:spacing w:before="80"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2.2 技术规范</w:t>
      </w:r>
    </w:p>
    <w:p w14:paraId="43CB91C2">
      <w:pPr>
        <w:spacing w:before="78" w:beforeLines="0" w:afterLines="0" w:line="360" w:lineRule="auto"/>
        <w:ind w:left="9" w:right="32" w:firstLine="480"/>
        <w:rPr>
          <w:rFonts w:hint="default" w:hAnsi="宋体" w:cs="宋体"/>
          <w:color w:val="auto"/>
          <w:sz w:val="24"/>
          <w:szCs w:val="24"/>
          <w:highlight w:val="none"/>
        </w:rPr>
      </w:pPr>
      <w:r>
        <w:rPr>
          <w:rFonts w:hint="default" w:hAnsi="宋体" w:cs="宋体"/>
          <w:color w:val="auto"/>
          <w:spacing w:val="4"/>
          <w:sz w:val="24"/>
          <w:szCs w:val="24"/>
          <w:highlight w:val="none"/>
        </w:rPr>
        <w:t>标的物所</w:t>
      </w:r>
      <w:r>
        <w:rPr>
          <w:rFonts w:hint="default" w:hAnsi="宋体" w:cs="宋体"/>
          <w:color w:val="auto"/>
          <w:spacing w:val="2"/>
          <w:sz w:val="24"/>
          <w:szCs w:val="24"/>
          <w:highlight w:val="none"/>
        </w:rPr>
        <w:t>应遵守的技术规范应与采购文件规定的技术规范和技术规范附件 (如</w:t>
      </w:r>
      <w:r>
        <w:rPr>
          <w:rFonts w:hint="default" w:hAnsi="宋体" w:cs="宋体"/>
          <w:color w:val="auto"/>
          <w:sz w:val="24"/>
          <w:szCs w:val="24"/>
          <w:highlight w:val="none"/>
        </w:rPr>
        <w:t xml:space="preserve"> </w:t>
      </w:r>
      <w:r>
        <w:rPr>
          <w:rFonts w:hint="default" w:hAnsi="宋体" w:cs="宋体"/>
          <w:color w:val="auto"/>
          <w:spacing w:val="8"/>
          <w:sz w:val="24"/>
          <w:szCs w:val="24"/>
          <w:highlight w:val="none"/>
        </w:rPr>
        <w:t>果</w:t>
      </w:r>
      <w:r>
        <w:rPr>
          <w:rFonts w:hint="default" w:hAnsi="宋体" w:cs="宋体"/>
          <w:color w:val="auto"/>
          <w:spacing w:val="5"/>
          <w:sz w:val="24"/>
          <w:szCs w:val="24"/>
          <w:highlight w:val="none"/>
        </w:rPr>
        <w:t>有的话)及其技术规范偏差表(如果被甲方接受的话)相一致；如果采购文件中没</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有技术规范的相应说明，应以国家有关</w:t>
      </w:r>
      <w:r>
        <w:rPr>
          <w:rFonts w:hint="default" w:hAnsi="宋体" w:cs="宋体"/>
          <w:color w:val="auto"/>
          <w:spacing w:val="-1"/>
          <w:sz w:val="24"/>
          <w:szCs w:val="24"/>
          <w:highlight w:val="none"/>
        </w:rPr>
        <w:t>部门最新颁布的相应标准和规范为准。</w:t>
      </w:r>
    </w:p>
    <w:p w14:paraId="549E4D72">
      <w:pPr>
        <w:spacing w:beforeLines="0" w:afterLines="0" w:line="360" w:lineRule="auto"/>
        <w:ind w:left="502"/>
        <w:rPr>
          <w:rFonts w:hint="default" w:hAnsi="宋体" w:cs="宋体"/>
          <w:color w:val="auto"/>
          <w:sz w:val="24"/>
          <w:szCs w:val="24"/>
          <w:highlight w:val="none"/>
        </w:rPr>
      </w:pPr>
      <w:r>
        <w:rPr>
          <w:rFonts w:hint="default" w:hAnsi="宋体" w:cs="宋体"/>
          <w:color w:val="auto"/>
          <w:spacing w:val="-4"/>
          <w:sz w:val="24"/>
          <w:szCs w:val="24"/>
          <w:highlight w:val="none"/>
        </w:rPr>
        <w:t>2</w:t>
      </w:r>
      <w:r>
        <w:rPr>
          <w:rFonts w:hint="default" w:hAnsi="宋体" w:cs="宋体"/>
          <w:color w:val="auto"/>
          <w:spacing w:val="-3"/>
          <w:sz w:val="24"/>
          <w:szCs w:val="24"/>
          <w:highlight w:val="none"/>
        </w:rPr>
        <w:t>.</w:t>
      </w:r>
      <w:r>
        <w:rPr>
          <w:rFonts w:hint="default" w:hAnsi="宋体" w:cs="宋体"/>
          <w:color w:val="auto"/>
          <w:spacing w:val="-2"/>
          <w:sz w:val="24"/>
          <w:szCs w:val="24"/>
          <w:highlight w:val="none"/>
        </w:rPr>
        <w:t>3 知识产权</w:t>
      </w:r>
    </w:p>
    <w:p w14:paraId="1538AB4E">
      <w:pPr>
        <w:spacing w:before="77" w:beforeLines="0" w:afterLines="0" w:line="360" w:lineRule="auto"/>
        <w:ind w:left="14" w:right="30" w:firstLine="486"/>
        <w:rPr>
          <w:rFonts w:hint="default" w:hAnsi="宋体" w:cs="宋体"/>
          <w:color w:val="auto"/>
          <w:sz w:val="24"/>
          <w:szCs w:val="24"/>
          <w:highlight w:val="none"/>
        </w:rPr>
      </w:pPr>
      <w:r>
        <w:rPr>
          <w:rFonts w:hint="default" w:hAnsi="宋体" w:cs="宋体"/>
          <w:color w:val="auto"/>
          <w:spacing w:val="2"/>
          <w:sz w:val="24"/>
          <w:szCs w:val="24"/>
          <w:highlight w:val="none"/>
        </w:rPr>
        <w:t>2.3.1 乙方应保</w:t>
      </w:r>
      <w:r>
        <w:rPr>
          <w:rFonts w:hint="default" w:hAnsi="宋体" w:cs="宋体"/>
          <w:color w:val="auto"/>
          <w:spacing w:val="1"/>
          <w:sz w:val="24"/>
          <w:szCs w:val="24"/>
          <w:highlight w:val="none"/>
        </w:rPr>
        <w:t>证甲方在使用该标的物或其任何一部分时不受任何第三方提出</w:t>
      </w:r>
      <w:r>
        <w:rPr>
          <w:rFonts w:hint="default" w:hAnsi="宋体" w:cs="宋体"/>
          <w:color w:val="auto"/>
          <w:sz w:val="24"/>
          <w:szCs w:val="24"/>
          <w:highlight w:val="none"/>
        </w:rPr>
        <w:t xml:space="preserve"> </w:t>
      </w:r>
      <w:r>
        <w:rPr>
          <w:rFonts w:hint="default" w:hAnsi="宋体" w:cs="宋体"/>
          <w:color w:val="auto"/>
          <w:spacing w:val="-8"/>
          <w:sz w:val="24"/>
          <w:szCs w:val="24"/>
          <w:highlight w:val="none"/>
        </w:rPr>
        <w:t>的侵犯其</w:t>
      </w:r>
      <w:r>
        <w:rPr>
          <w:rFonts w:hint="default" w:hAnsi="宋体" w:cs="宋体"/>
          <w:color w:val="auto"/>
          <w:spacing w:val="-5"/>
          <w:sz w:val="24"/>
          <w:szCs w:val="24"/>
          <w:highlight w:val="none"/>
        </w:rPr>
        <w:t>著</w:t>
      </w:r>
      <w:r>
        <w:rPr>
          <w:rFonts w:hint="default" w:hAnsi="宋体" w:cs="宋体"/>
          <w:color w:val="auto"/>
          <w:spacing w:val="-4"/>
          <w:sz w:val="24"/>
          <w:szCs w:val="24"/>
          <w:highlight w:val="none"/>
        </w:rPr>
        <w:t>作权、商标权、专利权等知识产权方面的起诉；如果任何第三方提出侵权</w:t>
      </w:r>
      <w:r>
        <w:rPr>
          <w:rFonts w:hint="default" w:hAnsi="宋体" w:cs="宋体"/>
          <w:color w:val="auto"/>
          <w:spacing w:val="-5"/>
          <w:sz w:val="24"/>
          <w:szCs w:val="24"/>
          <w:highlight w:val="none"/>
        </w:rPr>
        <w:t>指</w:t>
      </w:r>
      <w:r>
        <w:rPr>
          <w:rFonts w:hint="default" w:hAnsi="宋体" w:cs="宋体"/>
          <w:color w:val="auto"/>
          <w:spacing w:val="-4"/>
          <w:sz w:val="24"/>
          <w:szCs w:val="24"/>
          <w:highlight w:val="none"/>
        </w:rPr>
        <w:t>控， 乙方须与该第三方交涉并承担由此发生的一切责任、费用和赔偿；</w:t>
      </w:r>
    </w:p>
    <w:p w14:paraId="6D9174AA">
      <w:pPr>
        <w:spacing w:before="3" w:beforeLines="0" w:afterLines="0" w:line="360" w:lineRule="auto"/>
        <w:ind w:left="4" w:firstLine="496"/>
        <w:rPr>
          <w:rFonts w:hint="default" w:hAnsi="宋体" w:cs="宋体"/>
          <w:color w:val="auto"/>
          <w:sz w:val="24"/>
          <w:szCs w:val="24"/>
          <w:highlight w:val="none"/>
        </w:rPr>
      </w:pPr>
      <w:r>
        <w:rPr>
          <w:rFonts w:hint="default" w:hAnsi="宋体" w:cs="宋体"/>
          <w:color w:val="auto"/>
          <w:spacing w:val="4"/>
          <w:sz w:val="24"/>
          <w:szCs w:val="24"/>
          <w:highlight w:val="none"/>
        </w:rPr>
        <w:t>2.3.2 具有知识产权的</w:t>
      </w:r>
      <w:r>
        <w:rPr>
          <w:rFonts w:hint="default" w:hAnsi="宋体" w:cs="宋体"/>
          <w:color w:val="auto"/>
          <w:spacing w:val="2"/>
          <w:sz w:val="24"/>
          <w:szCs w:val="24"/>
          <w:highlight w:val="none"/>
        </w:rPr>
        <w:t>计算机软件等标的物的知识产权归属，详见</w:t>
      </w:r>
      <w:r>
        <w:rPr>
          <w:rFonts w:hint="default" w:hAnsi="宋体" w:cs="宋体"/>
          <w:i/>
          <w:color w:val="auto"/>
          <w:spacing w:val="2"/>
          <w:sz w:val="24"/>
          <w:szCs w:val="24"/>
          <w:highlight w:val="none"/>
          <w:u w:val="single" w:color="auto"/>
        </w:rPr>
        <w:t>合同专用条</w:t>
      </w:r>
      <w:r>
        <w:rPr>
          <w:rFonts w:hint="default" w:hAnsi="宋体" w:cs="宋体"/>
          <w:color w:val="auto"/>
          <w:sz w:val="24"/>
          <w:szCs w:val="24"/>
          <w:highlight w:val="none"/>
        </w:rPr>
        <w:t xml:space="preserve"> </w:t>
      </w:r>
      <w:r>
        <w:rPr>
          <w:rFonts w:hint="default" w:hAnsi="宋体" w:cs="宋体"/>
          <w:i/>
          <w:color w:val="auto"/>
          <w:spacing w:val="26"/>
          <w:sz w:val="24"/>
          <w:szCs w:val="24"/>
          <w:highlight w:val="none"/>
          <w:u w:val="single" w:color="auto"/>
        </w:rPr>
        <w:t>款</w:t>
      </w:r>
      <w:r>
        <w:rPr>
          <w:rFonts w:hint="default" w:hAnsi="宋体" w:cs="宋体"/>
          <w:color w:val="auto"/>
          <w:spacing w:val="26"/>
          <w:sz w:val="24"/>
          <w:szCs w:val="24"/>
          <w:highlight w:val="none"/>
        </w:rPr>
        <w:t>。</w:t>
      </w:r>
    </w:p>
    <w:p w14:paraId="5C2BF1C2">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3"/>
          <w:sz w:val="24"/>
          <w:szCs w:val="24"/>
          <w:highlight w:val="none"/>
        </w:rPr>
        <w:t>2</w:t>
      </w:r>
      <w:r>
        <w:rPr>
          <w:rFonts w:hint="default" w:hAnsi="宋体" w:cs="宋体"/>
          <w:color w:val="auto"/>
          <w:spacing w:val="-2"/>
          <w:sz w:val="24"/>
          <w:szCs w:val="24"/>
          <w:highlight w:val="none"/>
        </w:rPr>
        <w:t>.4 包装和装运</w:t>
      </w:r>
    </w:p>
    <w:p w14:paraId="25239699">
      <w:pPr>
        <w:spacing w:before="76" w:beforeLines="0" w:afterLines="0" w:line="360" w:lineRule="auto"/>
        <w:ind w:left="3" w:right="30" w:firstLine="496"/>
        <w:rPr>
          <w:rFonts w:hint="default" w:hAnsi="宋体" w:cs="宋体"/>
          <w:color w:val="auto"/>
          <w:sz w:val="24"/>
          <w:szCs w:val="24"/>
          <w:highlight w:val="none"/>
        </w:rPr>
      </w:pPr>
      <w:r>
        <w:rPr>
          <w:rFonts w:hint="default" w:hAnsi="宋体" w:cs="宋体"/>
          <w:color w:val="auto"/>
          <w:spacing w:val="2"/>
          <w:sz w:val="24"/>
          <w:szCs w:val="24"/>
          <w:highlight w:val="none"/>
        </w:rPr>
        <w:t>2.4.1 除</w:t>
      </w:r>
      <w:r>
        <w:rPr>
          <w:rFonts w:hint="default" w:hAnsi="宋体" w:cs="宋体"/>
          <w:i/>
          <w:color w:val="auto"/>
          <w:spacing w:val="2"/>
          <w:sz w:val="24"/>
          <w:szCs w:val="24"/>
          <w:highlight w:val="none"/>
          <w:u w:val="single" w:color="auto"/>
        </w:rPr>
        <w:t>合同专用条款</w:t>
      </w:r>
      <w:r>
        <w:rPr>
          <w:rFonts w:hint="default" w:hAnsi="宋体" w:cs="宋体"/>
          <w:color w:val="auto"/>
          <w:spacing w:val="2"/>
          <w:sz w:val="24"/>
          <w:szCs w:val="24"/>
          <w:highlight w:val="none"/>
        </w:rPr>
        <w:t>另有约</w:t>
      </w:r>
      <w:r>
        <w:rPr>
          <w:rFonts w:hint="default" w:hAnsi="宋体" w:cs="宋体"/>
          <w:color w:val="auto"/>
          <w:spacing w:val="1"/>
          <w:sz w:val="24"/>
          <w:szCs w:val="24"/>
          <w:highlight w:val="none"/>
        </w:rPr>
        <w:t>定外,乙方交付的全部标的物,均应采用本行业通</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用的方式进行包装，没有通用方式的，应当采取足以保护标的物的包装方式</w:t>
      </w:r>
      <w:r>
        <w:rPr>
          <w:rFonts w:hint="default" w:hAnsi="宋体" w:cs="宋体"/>
          <w:color w:val="auto"/>
          <w:spacing w:val="1"/>
          <w:sz w:val="24"/>
          <w:szCs w:val="24"/>
          <w:highlight w:val="none"/>
        </w:rPr>
        <w:t>，</w:t>
      </w:r>
      <w:r>
        <w:rPr>
          <w:rFonts w:hint="default" w:hAnsi="宋体" w:cs="宋体"/>
          <w:color w:val="auto"/>
          <w:sz w:val="24"/>
          <w:szCs w:val="24"/>
          <w:highlight w:val="none"/>
        </w:rPr>
        <w:t>且该</w:t>
      </w:r>
      <w:r>
        <w:rPr>
          <w:rFonts w:hint="default" w:hAnsi="宋体" w:cs="宋体"/>
          <w:color w:val="auto"/>
          <w:spacing w:val="-14"/>
          <w:sz w:val="24"/>
          <w:szCs w:val="24"/>
          <w:highlight w:val="none"/>
        </w:rPr>
        <w:t>包</w:t>
      </w:r>
      <w:r>
        <w:rPr>
          <w:rFonts w:hint="default" w:hAnsi="宋体" w:cs="宋体"/>
          <w:color w:val="auto"/>
          <w:spacing w:val="-8"/>
          <w:sz w:val="24"/>
          <w:szCs w:val="24"/>
          <w:highlight w:val="none"/>
        </w:rPr>
        <w:t>装</w:t>
      </w:r>
      <w:r>
        <w:rPr>
          <w:rFonts w:hint="default" w:hAnsi="宋体" w:cs="宋体"/>
          <w:color w:val="auto"/>
          <w:spacing w:val="-7"/>
          <w:sz w:val="24"/>
          <w:szCs w:val="24"/>
          <w:highlight w:val="none"/>
        </w:rPr>
        <w:t>应符合国家有关包装的法律、法规的规定。如有必要，包装应适用于远距离运输</w:t>
      </w:r>
      <w:r>
        <w:rPr>
          <w:rFonts w:hint="default" w:hAnsi="宋体" w:cs="宋体"/>
          <w:color w:val="auto"/>
          <w:spacing w:val="-8"/>
          <w:sz w:val="24"/>
          <w:szCs w:val="24"/>
          <w:highlight w:val="none"/>
        </w:rPr>
        <w:t>防</w:t>
      </w:r>
      <w:r>
        <w:rPr>
          <w:rFonts w:hint="default" w:hAnsi="宋体" w:cs="宋体"/>
          <w:color w:val="auto"/>
          <w:spacing w:val="-6"/>
          <w:sz w:val="24"/>
          <w:szCs w:val="24"/>
          <w:highlight w:val="none"/>
        </w:rPr>
        <w:t>潮</w:t>
      </w:r>
      <w:r>
        <w:rPr>
          <w:rFonts w:hint="default" w:hAnsi="宋体" w:cs="宋体"/>
          <w:color w:val="auto"/>
          <w:spacing w:val="-4"/>
          <w:sz w:val="24"/>
          <w:szCs w:val="24"/>
          <w:highlight w:val="none"/>
        </w:rPr>
        <w:t>、防震、防锈和防粗暴装卸，确保标的物安全无损地运抵现场。由于包装不善所</w:t>
      </w:r>
      <w:r>
        <w:rPr>
          <w:rFonts w:hint="default" w:hAnsi="宋体" w:cs="宋体"/>
          <w:color w:val="auto"/>
          <w:sz w:val="24"/>
          <w:szCs w:val="24"/>
          <w:highlight w:val="none"/>
        </w:rPr>
        <w:t xml:space="preserve"> </w:t>
      </w:r>
      <w:r>
        <w:rPr>
          <w:rFonts w:hint="default" w:hAnsi="宋体" w:cs="宋体"/>
          <w:color w:val="auto"/>
          <w:spacing w:val="-1"/>
          <w:sz w:val="24"/>
          <w:szCs w:val="24"/>
          <w:highlight w:val="none"/>
        </w:rPr>
        <w:t>引起</w:t>
      </w:r>
      <w:r>
        <w:rPr>
          <w:rFonts w:hint="default" w:hAnsi="宋体" w:cs="宋体"/>
          <w:color w:val="auto"/>
          <w:sz w:val="24"/>
          <w:szCs w:val="24"/>
          <w:highlight w:val="none"/>
        </w:rPr>
        <w:t>的标的物锈蚀、损坏和损失等一切风险均由乙方承担。</w:t>
      </w:r>
    </w:p>
    <w:p w14:paraId="6928CBC8">
      <w:pPr>
        <w:spacing w:before="1" w:beforeLines="0" w:afterLines="0" w:line="360" w:lineRule="auto"/>
        <w:ind w:left="500"/>
        <w:rPr>
          <w:rFonts w:hint="default" w:hAnsi="宋体" w:cs="宋体"/>
          <w:color w:val="auto"/>
          <w:sz w:val="24"/>
          <w:szCs w:val="24"/>
          <w:highlight w:val="none"/>
        </w:rPr>
      </w:pPr>
      <w:r>
        <w:rPr>
          <w:rFonts w:hint="default" w:hAnsi="宋体" w:cs="宋体"/>
          <w:color w:val="auto"/>
          <w:spacing w:val="-3"/>
          <w:sz w:val="24"/>
          <w:szCs w:val="24"/>
          <w:highlight w:val="none"/>
        </w:rPr>
        <w:t>2.4.2 装运标的物的要求和通知， 详见</w:t>
      </w:r>
      <w:r>
        <w:rPr>
          <w:rFonts w:hint="default" w:hAnsi="宋体" w:cs="宋体"/>
          <w:i/>
          <w:color w:val="auto"/>
          <w:spacing w:val="-3"/>
          <w:sz w:val="24"/>
          <w:szCs w:val="24"/>
          <w:highlight w:val="none"/>
          <w:u w:val="single" w:color="auto"/>
        </w:rPr>
        <w:t>合同专用条款</w:t>
      </w:r>
      <w:r>
        <w:rPr>
          <w:rFonts w:hint="default" w:hAnsi="宋体" w:cs="宋体"/>
          <w:color w:val="auto"/>
          <w:spacing w:val="-3"/>
          <w:sz w:val="24"/>
          <w:szCs w:val="24"/>
          <w:highlight w:val="none"/>
        </w:rPr>
        <w:t>。</w:t>
      </w:r>
    </w:p>
    <w:p w14:paraId="0FD3E47A">
      <w:pPr>
        <w:spacing w:before="79"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2.5 履约</w:t>
      </w:r>
      <w:r>
        <w:rPr>
          <w:rFonts w:hint="default" w:hAnsi="宋体" w:cs="宋体"/>
          <w:color w:val="auto"/>
          <w:spacing w:val="-1"/>
          <w:sz w:val="24"/>
          <w:szCs w:val="24"/>
          <w:highlight w:val="none"/>
        </w:rPr>
        <w:t>检查和问题反馈</w:t>
      </w:r>
    </w:p>
    <w:p w14:paraId="4DCBD4B7">
      <w:pPr>
        <w:spacing w:before="81" w:beforeLines="0" w:afterLines="0" w:line="360" w:lineRule="auto"/>
        <w:ind w:left="500"/>
        <w:rPr>
          <w:rFonts w:hint="default" w:hAnsi="宋体" w:cs="宋体"/>
          <w:color w:val="auto"/>
          <w:spacing w:val="-2"/>
          <w:sz w:val="24"/>
          <w:szCs w:val="24"/>
          <w:highlight w:val="none"/>
        </w:rPr>
      </w:pPr>
      <w:r>
        <w:rPr>
          <w:rFonts w:hint="default" w:hAnsi="宋体" w:cs="宋体"/>
          <w:color w:val="auto"/>
          <w:spacing w:val="2"/>
          <w:sz w:val="24"/>
          <w:szCs w:val="24"/>
          <w:highlight w:val="none"/>
        </w:rPr>
        <w:t>2.5.1 甲方有权在其认为必要时，对乙方是否能够按照合</w:t>
      </w:r>
      <w:r>
        <w:rPr>
          <w:rFonts w:hint="default" w:hAnsi="宋体" w:cs="宋体"/>
          <w:color w:val="auto"/>
          <w:spacing w:val="1"/>
          <w:sz w:val="24"/>
          <w:szCs w:val="24"/>
          <w:highlight w:val="none"/>
        </w:rPr>
        <w:t>同约定交付标的物进</w:t>
      </w:r>
      <w:r>
        <w:rPr>
          <w:rFonts w:hint="default" w:hAnsi="宋体" w:cs="宋体"/>
          <w:color w:val="auto"/>
          <w:spacing w:val="-2"/>
          <w:sz w:val="24"/>
          <w:szCs w:val="24"/>
          <w:highlight w:val="none"/>
        </w:rPr>
        <w:t>行</w:t>
      </w:r>
    </w:p>
    <w:p w14:paraId="741B460C">
      <w:pPr>
        <w:spacing w:before="81" w:beforeLines="0" w:afterLines="0" w:line="360" w:lineRule="auto"/>
        <w:rPr>
          <w:rFonts w:hint="default" w:hAnsi="宋体" w:cs="宋体"/>
          <w:color w:val="auto"/>
          <w:sz w:val="24"/>
          <w:szCs w:val="24"/>
          <w:highlight w:val="none"/>
        </w:rPr>
      </w:pPr>
      <w:r>
        <w:rPr>
          <w:rFonts w:hint="default" w:hAnsi="宋体" w:cs="宋体"/>
          <w:color w:val="auto"/>
          <w:spacing w:val="-2"/>
          <w:sz w:val="24"/>
          <w:szCs w:val="24"/>
          <w:highlight w:val="none"/>
        </w:rPr>
        <w:t>履约检查，以确保乙方所交付的标的物能够依约</w:t>
      </w:r>
      <w:r>
        <w:rPr>
          <w:rFonts w:hint="default" w:hAnsi="宋体" w:cs="宋体"/>
          <w:color w:val="auto"/>
          <w:spacing w:val="-1"/>
          <w:sz w:val="24"/>
          <w:szCs w:val="24"/>
          <w:highlight w:val="none"/>
        </w:rPr>
        <w:t>满足甲方之项目需求，但不得因</w:t>
      </w:r>
      <w:r>
        <w:rPr>
          <w:rFonts w:hint="default" w:hAnsi="宋体" w:cs="宋体"/>
          <w:color w:val="auto"/>
          <w:spacing w:val="-2"/>
          <w:sz w:val="24"/>
          <w:szCs w:val="24"/>
          <w:highlight w:val="none"/>
        </w:rPr>
        <w:t>履约检查妨碍乙方的正常工作，乙方应</w:t>
      </w:r>
      <w:r>
        <w:rPr>
          <w:rFonts w:hint="default" w:hAnsi="宋体" w:cs="宋体"/>
          <w:color w:val="auto"/>
          <w:spacing w:val="-1"/>
          <w:sz w:val="24"/>
          <w:szCs w:val="24"/>
          <w:highlight w:val="none"/>
        </w:rPr>
        <w:t>予积极配合；</w:t>
      </w:r>
    </w:p>
    <w:p w14:paraId="5CCE6BCC">
      <w:pPr>
        <w:spacing w:before="78" w:beforeLines="0" w:afterLines="0" w:line="360" w:lineRule="auto"/>
        <w:ind w:left="18"/>
        <w:rPr>
          <w:rFonts w:hint="default" w:hAnsi="宋体" w:cs="宋体"/>
          <w:color w:val="auto"/>
          <w:sz w:val="24"/>
          <w:szCs w:val="24"/>
          <w:highlight w:val="none"/>
        </w:rPr>
      </w:pPr>
      <w:r>
        <w:rPr>
          <w:rFonts w:hint="default" w:hAnsi="宋体" w:cs="宋体"/>
          <w:color w:val="auto"/>
          <w:spacing w:val="-2"/>
          <w:sz w:val="24"/>
          <w:szCs w:val="24"/>
          <w:highlight w:val="none"/>
        </w:rPr>
        <w:t>2.5.2 合同履行期间，甲方有权将履行过程中出现的问题反馈给乙方，双</w:t>
      </w:r>
      <w:r>
        <w:rPr>
          <w:rFonts w:hint="default" w:hAnsi="宋体" w:cs="宋体"/>
          <w:color w:val="auto"/>
          <w:spacing w:val="-1"/>
          <w:sz w:val="24"/>
          <w:szCs w:val="24"/>
          <w:highlight w:val="none"/>
        </w:rPr>
        <w:t>方</w:t>
      </w:r>
      <w:r>
        <w:rPr>
          <w:rFonts w:hint="default" w:hAnsi="宋体" w:cs="宋体"/>
          <w:color w:val="auto"/>
          <w:sz w:val="24"/>
          <w:szCs w:val="24"/>
          <w:highlight w:val="none"/>
        </w:rPr>
        <w:t>当</w:t>
      </w:r>
      <w:r>
        <w:rPr>
          <w:rFonts w:hint="default" w:hAnsi="宋体" w:cs="宋体"/>
          <w:color w:val="auto"/>
          <w:spacing w:val="-1"/>
          <w:sz w:val="24"/>
          <w:szCs w:val="24"/>
          <w:highlight w:val="none"/>
        </w:rPr>
        <w:t>事人应以书面形式约定需要完善和改进</w:t>
      </w:r>
      <w:r>
        <w:rPr>
          <w:rFonts w:hint="default" w:hAnsi="宋体" w:cs="宋体"/>
          <w:color w:val="auto"/>
          <w:sz w:val="24"/>
          <w:szCs w:val="24"/>
          <w:highlight w:val="none"/>
        </w:rPr>
        <w:t>的内容。</w:t>
      </w:r>
    </w:p>
    <w:p w14:paraId="1A886311">
      <w:pPr>
        <w:spacing w:before="78" w:beforeLines="0" w:afterLines="0" w:line="360" w:lineRule="auto"/>
        <w:ind w:left="498" w:right="5789" w:firstLine="3"/>
        <w:rPr>
          <w:rFonts w:hint="default" w:hAnsi="宋体" w:cs="宋体"/>
          <w:color w:val="auto"/>
          <w:sz w:val="24"/>
          <w:szCs w:val="24"/>
          <w:highlight w:val="none"/>
        </w:rPr>
      </w:pPr>
      <w:r>
        <w:rPr>
          <w:rFonts w:hint="default" w:hAnsi="宋体" w:cs="宋体"/>
          <w:color w:val="auto"/>
          <w:spacing w:val="-2"/>
          <w:sz w:val="24"/>
          <w:szCs w:val="24"/>
          <w:highlight w:val="none"/>
        </w:rPr>
        <w:t>2.6 结算</w:t>
      </w:r>
      <w:r>
        <w:rPr>
          <w:rFonts w:hint="default" w:hAnsi="宋体" w:cs="宋体"/>
          <w:color w:val="auto"/>
          <w:spacing w:val="-1"/>
          <w:sz w:val="24"/>
          <w:szCs w:val="24"/>
          <w:highlight w:val="none"/>
        </w:rPr>
        <w:t>方式和付款条件</w:t>
      </w:r>
      <w:r>
        <w:rPr>
          <w:rFonts w:hint="default" w:hAnsi="宋体" w:cs="宋体"/>
          <w:color w:val="auto"/>
          <w:sz w:val="24"/>
          <w:szCs w:val="24"/>
          <w:highlight w:val="none"/>
        </w:rPr>
        <w:t xml:space="preserve"> </w:t>
      </w:r>
      <w:r>
        <w:rPr>
          <w:rFonts w:hint="default" w:hAnsi="宋体" w:cs="宋体"/>
          <w:color w:val="auto"/>
          <w:spacing w:val="6"/>
          <w:sz w:val="24"/>
          <w:szCs w:val="24"/>
          <w:highlight w:val="none"/>
        </w:rPr>
        <w:t>详</w:t>
      </w:r>
      <w:r>
        <w:rPr>
          <w:rFonts w:hint="default" w:hAnsi="宋体" w:cs="宋体"/>
          <w:color w:val="auto"/>
          <w:spacing w:val="4"/>
          <w:sz w:val="24"/>
          <w:szCs w:val="24"/>
          <w:highlight w:val="none"/>
        </w:rPr>
        <w:t>见</w:t>
      </w:r>
      <w:r>
        <w:rPr>
          <w:rFonts w:hint="default" w:hAnsi="宋体" w:cs="宋体"/>
          <w:i/>
          <w:color w:val="auto"/>
          <w:spacing w:val="4"/>
          <w:sz w:val="24"/>
          <w:szCs w:val="24"/>
          <w:highlight w:val="none"/>
          <w:u w:val="single" w:color="auto"/>
        </w:rPr>
        <w:t>合同专用条款</w:t>
      </w:r>
      <w:r>
        <w:rPr>
          <w:rFonts w:hint="default" w:hAnsi="宋体" w:cs="宋体"/>
          <w:color w:val="auto"/>
          <w:spacing w:val="4"/>
          <w:sz w:val="24"/>
          <w:szCs w:val="24"/>
          <w:highlight w:val="none"/>
        </w:rPr>
        <w:t>。</w:t>
      </w:r>
    </w:p>
    <w:p w14:paraId="75DACE38">
      <w:pPr>
        <w:spacing w:before="79"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2.7 技术</w:t>
      </w:r>
      <w:r>
        <w:rPr>
          <w:rFonts w:hint="default" w:hAnsi="宋体" w:cs="宋体"/>
          <w:color w:val="auto"/>
          <w:spacing w:val="-1"/>
          <w:sz w:val="24"/>
          <w:szCs w:val="24"/>
          <w:highlight w:val="none"/>
        </w:rPr>
        <w:t>资料和保密义务</w:t>
      </w:r>
    </w:p>
    <w:p w14:paraId="428D751F">
      <w:pPr>
        <w:spacing w:before="80" w:beforeLines="0" w:afterLines="0" w:line="360" w:lineRule="auto"/>
        <w:ind w:left="15" w:right="205" w:firstLine="485"/>
        <w:rPr>
          <w:rFonts w:hint="default" w:hAnsi="宋体" w:cs="宋体"/>
          <w:color w:val="auto"/>
          <w:sz w:val="24"/>
          <w:szCs w:val="24"/>
          <w:highlight w:val="none"/>
        </w:rPr>
      </w:pPr>
      <w:r>
        <w:rPr>
          <w:rFonts w:hint="default" w:hAnsi="宋体" w:cs="宋体"/>
          <w:color w:val="auto"/>
          <w:spacing w:val="2"/>
          <w:sz w:val="24"/>
          <w:szCs w:val="24"/>
          <w:highlight w:val="none"/>
        </w:rPr>
        <w:t>2.7.1 乙方有</w:t>
      </w:r>
      <w:r>
        <w:rPr>
          <w:rFonts w:hint="default" w:hAnsi="宋体" w:cs="宋体"/>
          <w:color w:val="auto"/>
          <w:spacing w:val="1"/>
          <w:sz w:val="24"/>
          <w:szCs w:val="24"/>
          <w:highlight w:val="none"/>
        </w:rPr>
        <w:t>权依据合同约定和项目需要，向甲方了解有关情况，调阅有关资</w:t>
      </w:r>
      <w:r>
        <w:rPr>
          <w:rFonts w:hint="default" w:hAnsi="宋体" w:cs="宋体"/>
          <w:color w:val="auto"/>
          <w:spacing w:val="-21"/>
          <w:sz w:val="24"/>
          <w:szCs w:val="24"/>
          <w:highlight w:val="none"/>
        </w:rPr>
        <w:t>料</w:t>
      </w:r>
      <w:r>
        <w:rPr>
          <w:rFonts w:hint="default" w:hAnsi="宋体" w:cs="宋体"/>
          <w:color w:val="auto"/>
          <w:spacing w:val="-12"/>
          <w:sz w:val="24"/>
          <w:szCs w:val="24"/>
          <w:highlight w:val="none"/>
        </w:rPr>
        <w:t>等， 甲方应予积极配合；</w:t>
      </w:r>
    </w:p>
    <w:p w14:paraId="1F3BEC50">
      <w:pPr>
        <w:spacing w:before="1" w:beforeLines="0" w:afterLines="0" w:line="360" w:lineRule="auto"/>
        <w:ind w:left="500"/>
        <w:rPr>
          <w:rFonts w:hint="default" w:hAnsi="宋体" w:cs="宋体"/>
          <w:color w:val="auto"/>
          <w:sz w:val="24"/>
          <w:szCs w:val="24"/>
          <w:highlight w:val="none"/>
        </w:rPr>
      </w:pPr>
      <w:r>
        <w:rPr>
          <w:rFonts w:hint="default" w:hAnsi="宋体" w:cs="宋体"/>
          <w:color w:val="auto"/>
          <w:spacing w:val="-4"/>
          <w:sz w:val="24"/>
          <w:szCs w:val="24"/>
          <w:highlight w:val="none"/>
        </w:rPr>
        <w:t>2.7</w:t>
      </w:r>
      <w:r>
        <w:rPr>
          <w:rFonts w:hint="default" w:hAnsi="宋体" w:cs="宋体"/>
          <w:color w:val="auto"/>
          <w:spacing w:val="-3"/>
          <w:sz w:val="24"/>
          <w:szCs w:val="24"/>
          <w:highlight w:val="none"/>
        </w:rPr>
        <w:t>.</w:t>
      </w:r>
      <w:r>
        <w:rPr>
          <w:rFonts w:hint="default" w:hAnsi="宋体" w:cs="宋体"/>
          <w:color w:val="auto"/>
          <w:spacing w:val="-2"/>
          <w:sz w:val="24"/>
          <w:szCs w:val="24"/>
          <w:highlight w:val="none"/>
        </w:rPr>
        <w:t>2 乙方有义务妥善保管和保护由甲方提供的前款信息和资料等；</w:t>
      </w:r>
    </w:p>
    <w:p w14:paraId="0AF2E003">
      <w:pPr>
        <w:spacing w:before="80" w:beforeLines="0" w:afterLines="0" w:line="360" w:lineRule="auto"/>
        <w:ind w:left="14" w:right="183" w:firstLine="486"/>
        <w:rPr>
          <w:rFonts w:hint="default" w:hAnsi="宋体" w:cs="宋体"/>
          <w:color w:val="auto"/>
          <w:sz w:val="24"/>
          <w:szCs w:val="24"/>
          <w:highlight w:val="none"/>
        </w:rPr>
      </w:pPr>
      <w:r>
        <w:rPr>
          <w:rFonts w:hint="default" w:hAnsi="宋体" w:cs="宋体"/>
          <w:color w:val="auto"/>
          <w:spacing w:val="2"/>
          <w:sz w:val="24"/>
          <w:szCs w:val="24"/>
          <w:highlight w:val="none"/>
        </w:rPr>
        <w:t>2.7.3 除非依</w:t>
      </w:r>
      <w:r>
        <w:rPr>
          <w:rFonts w:hint="default" w:hAnsi="宋体" w:cs="宋体"/>
          <w:color w:val="auto"/>
          <w:spacing w:val="1"/>
          <w:sz w:val="24"/>
          <w:szCs w:val="24"/>
          <w:highlight w:val="none"/>
        </w:rPr>
        <w:t>照法律规定或者对方当事人的书面同意，任何一方均应保证不向</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任何第三方提供或披露有关合同的或者履行合同</w:t>
      </w:r>
      <w:r>
        <w:rPr>
          <w:rFonts w:hint="default" w:hAnsi="宋体" w:cs="宋体"/>
          <w:color w:val="auto"/>
          <w:spacing w:val="1"/>
          <w:sz w:val="24"/>
          <w:szCs w:val="24"/>
          <w:highlight w:val="none"/>
        </w:rPr>
        <w:t>过程中知悉的对方当事人任何未公</w:t>
      </w:r>
      <w:r>
        <w:rPr>
          <w:rFonts w:hint="default" w:hAnsi="宋体" w:cs="宋体"/>
          <w:color w:val="auto"/>
          <w:sz w:val="24"/>
          <w:szCs w:val="24"/>
          <w:highlight w:val="none"/>
        </w:rPr>
        <w:t xml:space="preserve"> </w:t>
      </w:r>
      <w:r>
        <w:rPr>
          <w:rFonts w:hint="default" w:hAnsi="宋体" w:cs="宋体"/>
          <w:color w:val="auto"/>
          <w:spacing w:val="-20"/>
          <w:sz w:val="24"/>
          <w:szCs w:val="24"/>
          <w:highlight w:val="none"/>
        </w:rPr>
        <w:t>开</w:t>
      </w:r>
      <w:r>
        <w:rPr>
          <w:rFonts w:hint="default" w:hAnsi="宋体" w:cs="宋体"/>
          <w:color w:val="auto"/>
          <w:spacing w:val="-15"/>
          <w:sz w:val="24"/>
          <w:szCs w:val="24"/>
          <w:highlight w:val="none"/>
        </w:rPr>
        <w:t>的</w:t>
      </w:r>
      <w:r>
        <w:rPr>
          <w:rFonts w:hint="default" w:hAnsi="宋体" w:cs="宋体"/>
          <w:color w:val="auto"/>
          <w:spacing w:val="-10"/>
          <w:sz w:val="24"/>
          <w:szCs w:val="24"/>
          <w:highlight w:val="none"/>
        </w:rPr>
        <w:t>信息和资料，包括但不限于技术情报、技术资料、商业秘密和商业信息等，并采</w:t>
      </w:r>
      <w:r>
        <w:rPr>
          <w:rFonts w:hint="default" w:hAnsi="宋体" w:cs="宋体"/>
          <w:color w:val="auto"/>
          <w:spacing w:val="2"/>
          <w:sz w:val="24"/>
          <w:szCs w:val="24"/>
          <w:highlight w:val="none"/>
        </w:rPr>
        <w:t>取一切合理和必要措施及方式防止任何第三方接</w:t>
      </w:r>
      <w:r>
        <w:rPr>
          <w:rFonts w:hint="default" w:hAnsi="宋体" w:cs="宋体"/>
          <w:color w:val="auto"/>
          <w:spacing w:val="1"/>
          <w:sz w:val="24"/>
          <w:szCs w:val="24"/>
          <w:highlight w:val="none"/>
        </w:rPr>
        <w:t>触到对方当事人的上述保密信息和</w:t>
      </w:r>
      <w:r>
        <w:rPr>
          <w:rFonts w:hint="default" w:hAnsi="宋体" w:cs="宋体"/>
          <w:color w:val="auto"/>
          <w:spacing w:val="-15"/>
          <w:sz w:val="24"/>
          <w:szCs w:val="24"/>
          <w:highlight w:val="none"/>
        </w:rPr>
        <w:t>资</w:t>
      </w:r>
      <w:r>
        <w:rPr>
          <w:rFonts w:hint="default" w:hAnsi="宋体" w:cs="宋体"/>
          <w:color w:val="auto"/>
          <w:spacing w:val="-13"/>
          <w:sz w:val="24"/>
          <w:szCs w:val="24"/>
          <w:highlight w:val="none"/>
        </w:rPr>
        <w:t>料。</w:t>
      </w:r>
    </w:p>
    <w:p w14:paraId="5BA88C1C">
      <w:pPr>
        <w:spacing w:beforeLines="0" w:afterLines="0" w:line="360" w:lineRule="auto"/>
        <w:ind w:left="502"/>
        <w:rPr>
          <w:rFonts w:hint="default" w:hAnsi="宋体" w:cs="宋体"/>
          <w:color w:val="auto"/>
          <w:sz w:val="24"/>
          <w:szCs w:val="24"/>
          <w:highlight w:val="none"/>
        </w:rPr>
      </w:pPr>
      <w:r>
        <w:rPr>
          <w:rFonts w:hint="default" w:hAnsi="宋体" w:cs="宋体"/>
          <w:color w:val="auto"/>
          <w:spacing w:val="-4"/>
          <w:sz w:val="24"/>
          <w:szCs w:val="24"/>
          <w:highlight w:val="none"/>
        </w:rPr>
        <w:t>2</w:t>
      </w:r>
      <w:r>
        <w:rPr>
          <w:rFonts w:hint="default" w:hAnsi="宋体" w:cs="宋体"/>
          <w:color w:val="auto"/>
          <w:spacing w:val="-3"/>
          <w:sz w:val="24"/>
          <w:szCs w:val="24"/>
          <w:highlight w:val="none"/>
        </w:rPr>
        <w:t>.</w:t>
      </w:r>
      <w:r>
        <w:rPr>
          <w:rFonts w:hint="default" w:hAnsi="宋体" w:cs="宋体"/>
          <w:color w:val="auto"/>
          <w:spacing w:val="-2"/>
          <w:sz w:val="24"/>
          <w:szCs w:val="24"/>
          <w:highlight w:val="none"/>
        </w:rPr>
        <w:t>8 质量保证</w:t>
      </w:r>
    </w:p>
    <w:p w14:paraId="2C22B592">
      <w:pPr>
        <w:spacing w:before="80" w:beforeLines="0" w:afterLines="0" w:line="360" w:lineRule="auto"/>
        <w:ind w:left="18" w:right="205" w:firstLine="481"/>
        <w:rPr>
          <w:rFonts w:hint="default" w:hAnsi="宋体" w:cs="宋体"/>
          <w:color w:val="auto"/>
          <w:sz w:val="24"/>
          <w:szCs w:val="24"/>
          <w:highlight w:val="none"/>
        </w:rPr>
      </w:pPr>
      <w:r>
        <w:rPr>
          <w:rFonts w:hint="default" w:hAnsi="宋体" w:cs="宋体"/>
          <w:color w:val="auto"/>
          <w:spacing w:val="2"/>
          <w:sz w:val="24"/>
          <w:szCs w:val="24"/>
          <w:highlight w:val="none"/>
        </w:rPr>
        <w:t>2.8.1 乙方应建</w:t>
      </w:r>
      <w:r>
        <w:rPr>
          <w:rFonts w:hint="default" w:hAnsi="宋体" w:cs="宋体"/>
          <w:color w:val="auto"/>
          <w:spacing w:val="1"/>
          <w:sz w:val="24"/>
          <w:szCs w:val="24"/>
          <w:highlight w:val="none"/>
        </w:rPr>
        <w:t>立和完善履行合同的内部质量保证体系，并提供相关内部规章</w:t>
      </w:r>
      <w:r>
        <w:rPr>
          <w:rFonts w:hint="default" w:hAnsi="宋体" w:cs="宋体"/>
          <w:color w:val="auto"/>
          <w:sz w:val="24"/>
          <w:szCs w:val="24"/>
          <w:highlight w:val="none"/>
        </w:rPr>
        <w:t xml:space="preserve"> </w:t>
      </w:r>
      <w:r>
        <w:rPr>
          <w:rFonts w:hint="default" w:hAnsi="宋体" w:cs="宋体"/>
          <w:color w:val="auto"/>
          <w:spacing w:val="-14"/>
          <w:sz w:val="24"/>
          <w:szCs w:val="24"/>
          <w:highlight w:val="none"/>
        </w:rPr>
        <w:t>制</w:t>
      </w:r>
      <w:r>
        <w:rPr>
          <w:rFonts w:hint="default" w:hAnsi="宋体" w:cs="宋体"/>
          <w:color w:val="auto"/>
          <w:spacing w:val="-11"/>
          <w:sz w:val="24"/>
          <w:szCs w:val="24"/>
          <w:highlight w:val="none"/>
        </w:rPr>
        <w:t>度</w:t>
      </w:r>
      <w:r>
        <w:rPr>
          <w:rFonts w:hint="default" w:hAnsi="宋体" w:cs="宋体"/>
          <w:color w:val="auto"/>
          <w:spacing w:val="-7"/>
          <w:sz w:val="24"/>
          <w:szCs w:val="24"/>
          <w:highlight w:val="none"/>
        </w:rPr>
        <w:t>给甲方，以便甲方进行监督检查；</w:t>
      </w:r>
    </w:p>
    <w:p w14:paraId="6F3763B7">
      <w:pPr>
        <w:spacing w:before="2" w:beforeLines="0" w:afterLines="0" w:line="360" w:lineRule="auto"/>
        <w:ind w:left="11" w:right="177" w:firstLine="489"/>
        <w:rPr>
          <w:rFonts w:hint="default" w:hAnsi="宋体" w:cs="宋体"/>
          <w:color w:val="auto"/>
          <w:sz w:val="24"/>
          <w:szCs w:val="24"/>
          <w:highlight w:val="none"/>
        </w:rPr>
      </w:pPr>
      <w:r>
        <w:rPr>
          <w:rFonts w:hint="default" w:hAnsi="宋体" w:cs="宋体"/>
          <w:color w:val="auto"/>
          <w:spacing w:val="-8"/>
          <w:sz w:val="24"/>
          <w:szCs w:val="24"/>
          <w:highlight w:val="none"/>
        </w:rPr>
        <w:t>2.8</w:t>
      </w:r>
      <w:r>
        <w:rPr>
          <w:rFonts w:hint="default" w:hAnsi="宋体" w:cs="宋体"/>
          <w:color w:val="auto"/>
          <w:spacing w:val="-5"/>
          <w:sz w:val="24"/>
          <w:szCs w:val="24"/>
          <w:highlight w:val="none"/>
        </w:rPr>
        <w:t>.</w:t>
      </w:r>
      <w:r>
        <w:rPr>
          <w:rFonts w:hint="default" w:hAnsi="宋体" w:cs="宋体"/>
          <w:color w:val="auto"/>
          <w:spacing w:val="-4"/>
          <w:sz w:val="24"/>
          <w:szCs w:val="24"/>
          <w:highlight w:val="none"/>
        </w:rPr>
        <w:t>2 乙方应保证履行合同的人员数量和素质、软件和硬件设备的配置、场地、</w:t>
      </w:r>
      <w:r>
        <w:rPr>
          <w:rFonts w:hint="default" w:hAnsi="宋体" w:cs="宋体"/>
          <w:color w:val="auto"/>
          <w:spacing w:val="-8"/>
          <w:sz w:val="24"/>
          <w:szCs w:val="24"/>
          <w:highlight w:val="none"/>
        </w:rPr>
        <w:t>环</w:t>
      </w:r>
      <w:r>
        <w:rPr>
          <w:rFonts w:hint="default" w:hAnsi="宋体" w:cs="宋体"/>
          <w:color w:val="auto"/>
          <w:spacing w:val="-6"/>
          <w:sz w:val="24"/>
          <w:szCs w:val="24"/>
          <w:highlight w:val="none"/>
        </w:rPr>
        <w:t>境</w:t>
      </w:r>
      <w:r>
        <w:rPr>
          <w:rFonts w:hint="default" w:hAnsi="宋体" w:cs="宋体"/>
          <w:color w:val="auto"/>
          <w:spacing w:val="-4"/>
          <w:sz w:val="24"/>
          <w:szCs w:val="24"/>
          <w:highlight w:val="none"/>
        </w:rPr>
        <w:t>和设施等满足全面履行合同的要求，并应接受甲方的监督检查。</w:t>
      </w:r>
    </w:p>
    <w:p w14:paraId="7391D813">
      <w:pPr>
        <w:spacing w:before="1" w:beforeLines="0" w:afterLines="0" w:line="360" w:lineRule="auto"/>
        <w:ind w:left="500"/>
        <w:rPr>
          <w:rFonts w:hint="default" w:hAnsi="宋体" w:cs="宋体"/>
          <w:color w:val="auto"/>
          <w:spacing w:val="-2"/>
          <w:sz w:val="24"/>
          <w:szCs w:val="24"/>
          <w:highlight w:val="none"/>
        </w:rPr>
      </w:pPr>
      <w:r>
        <w:rPr>
          <w:rFonts w:hint="default" w:hAnsi="宋体" w:cs="宋体"/>
          <w:color w:val="auto"/>
          <w:spacing w:val="-8"/>
          <w:sz w:val="24"/>
          <w:szCs w:val="24"/>
          <w:highlight w:val="none"/>
        </w:rPr>
        <w:t>2.8.</w:t>
      </w:r>
      <w:r>
        <w:rPr>
          <w:rFonts w:hint="default" w:hAnsi="宋体" w:cs="宋体"/>
          <w:color w:val="auto"/>
          <w:spacing w:val="-7"/>
          <w:sz w:val="24"/>
          <w:szCs w:val="24"/>
          <w:highlight w:val="none"/>
        </w:rPr>
        <w:t>3</w:t>
      </w:r>
      <w:r>
        <w:rPr>
          <w:rFonts w:hint="default" w:hAnsi="宋体" w:cs="宋体"/>
          <w:color w:val="auto"/>
          <w:spacing w:val="-4"/>
          <w:sz w:val="24"/>
          <w:szCs w:val="24"/>
          <w:highlight w:val="none"/>
        </w:rPr>
        <w:t xml:space="preserve"> 乙方应确保项目技术人员的数量和水平与投标文件一致。未经甲方书面同</w:t>
      </w:r>
      <w:r>
        <w:rPr>
          <w:rFonts w:hint="default" w:hAnsi="宋体" w:cs="宋体"/>
          <w:color w:val="auto"/>
          <w:spacing w:val="-2"/>
          <w:sz w:val="24"/>
          <w:szCs w:val="24"/>
          <w:highlight w:val="none"/>
        </w:rPr>
        <w:t xml:space="preserve">意， </w:t>
      </w:r>
    </w:p>
    <w:p w14:paraId="29BD7018">
      <w:pPr>
        <w:spacing w:before="1" w:beforeLines="0" w:afterLines="0" w:line="360" w:lineRule="auto"/>
        <w:rPr>
          <w:rFonts w:hint="default" w:hAnsi="宋体" w:cs="宋体"/>
          <w:color w:val="auto"/>
          <w:sz w:val="24"/>
          <w:szCs w:val="24"/>
          <w:highlight w:val="none"/>
        </w:rPr>
      </w:pPr>
      <w:r>
        <w:rPr>
          <w:rFonts w:hint="default" w:hAnsi="宋体" w:cs="宋体"/>
          <w:color w:val="auto"/>
          <w:spacing w:val="-2"/>
          <w:sz w:val="24"/>
          <w:szCs w:val="24"/>
          <w:highlight w:val="none"/>
        </w:rPr>
        <w:t>乙方不得擅自更换投标文件中注明的项目经理和</w:t>
      </w:r>
      <w:r>
        <w:rPr>
          <w:rFonts w:hint="default" w:hAnsi="宋体" w:cs="宋体"/>
          <w:color w:val="auto"/>
          <w:spacing w:val="-1"/>
          <w:sz w:val="24"/>
          <w:szCs w:val="24"/>
          <w:highlight w:val="none"/>
        </w:rPr>
        <w:t>技术负责人。否则甲方有权放</w:t>
      </w:r>
      <w:r>
        <w:rPr>
          <w:rFonts w:hint="default" w:hAnsi="宋体" w:cs="宋体"/>
          <w:color w:val="auto"/>
          <w:spacing w:val="-11"/>
          <w:sz w:val="24"/>
          <w:szCs w:val="24"/>
          <w:highlight w:val="none"/>
        </w:rPr>
        <w:t>弃</w:t>
      </w:r>
      <w:r>
        <w:rPr>
          <w:rFonts w:hint="default" w:hAnsi="宋体" w:cs="宋体"/>
          <w:color w:val="auto"/>
          <w:spacing w:val="-7"/>
          <w:sz w:val="24"/>
          <w:szCs w:val="24"/>
          <w:highlight w:val="none"/>
        </w:rPr>
        <w:t>或终止合同。</w:t>
      </w:r>
    </w:p>
    <w:p w14:paraId="30356CD5">
      <w:pPr>
        <w:spacing w:before="4" w:beforeLines="0" w:afterLines="0" w:line="360" w:lineRule="auto"/>
        <w:ind w:left="22" w:right="187" w:firstLine="478"/>
        <w:rPr>
          <w:rFonts w:hint="default" w:hAnsi="宋体" w:cs="宋体"/>
          <w:color w:val="auto"/>
          <w:sz w:val="24"/>
          <w:szCs w:val="24"/>
          <w:highlight w:val="none"/>
        </w:rPr>
      </w:pPr>
      <w:r>
        <w:rPr>
          <w:rFonts w:hint="default" w:hAnsi="宋体" w:cs="宋体"/>
          <w:color w:val="auto"/>
          <w:spacing w:val="2"/>
          <w:sz w:val="24"/>
          <w:szCs w:val="24"/>
          <w:highlight w:val="none"/>
        </w:rPr>
        <w:t>2.8.4 因乙方原因造成甲方其他系统不能正常运行，酿</w:t>
      </w:r>
      <w:r>
        <w:rPr>
          <w:rFonts w:hint="default" w:hAnsi="宋体" w:cs="宋体"/>
          <w:color w:val="auto"/>
          <w:spacing w:val="1"/>
          <w:sz w:val="24"/>
          <w:szCs w:val="24"/>
          <w:highlight w:val="none"/>
        </w:rPr>
        <w:t>成重大事故(工作日系</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统中断一天以上) 的，乙方应承担全部法律责任，并赔偿经济损失，赔偿金额</w:t>
      </w:r>
      <w:r>
        <w:rPr>
          <w:rFonts w:hint="default" w:hAnsi="宋体" w:cs="宋体"/>
          <w:color w:val="auto"/>
          <w:sz w:val="24"/>
          <w:szCs w:val="24"/>
          <w:highlight w:val="none"/>
        </w:rPr>
        <w:t>为项</w:t>
      </w:r>
      <w:r>
        <w:rPr>
          <w:rFonts w:hint="default" w:hAnsi="宋体" w:cs="宋体"/>
          <w:color w:val="auto"/>
          <w:spacing w:val="-14"/>
          <w:sz w:val="24"/>
          <w:szCs w:val="24"/>
          <w:highlight w:val="none"/>
        </w:rPr>
        <w:t>目</w:t>
      </w:r>
      <w:r>
        <w:rPr>
          <w:rFonts w:hint="default" w:hAnsi="宋体" w:cs="宋体"/>
          <w:color w:val="auto"/>
          <w:spacing w:val="-9"/>
          <w:sz w:val="24"/>
          <w:szCs w:val="24"/>
          <w:highlight w:val="none"/>
        </w:rPr>
        <w:t>总价的</w:t>
      </w:r>
      <w:r>
        <w:rPr>
          <w:rFonts w:hint="default" w:hAnsi="宋体" w:cs="宋体"/>
          <w:color w:val="auto"/>
          <w:spacing w:val="-9"/>
          <w:sz w:val="24"/>
          <w:szCs w:val="24"/>
          <w:highlight w:val="none"/>
          <w:u w:val="single" w:color="auto"/>
        </w:rPr>
        <w:t xml:space="preserve">  30%  </w:t>
      </w:r>
      <w:r>
        <w:rPr>
          <w:rFonts w:hint="default" w:hAnsi="宋体" w:cs="宋体"/>
          <w:color w:val="auto"/>
          <w:spacing w:val="-9"/>
          <w:sz w:val="24"/>
          <w:szCs w:val="24"/>
          <w:highlight w:val="none"/>
        </w:rPr>
        <w:t xml:space="preserve"> 。</w:t>
      </w:r>
    </w:p>
    <w:p w14:paraId="03ECC072">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2.9 标的物</w:t>
      </w:r>
      <w:r>
        <w:rPr>
          <w:rFonts w:hint="default" w:hAnsi="宋体" w:cs="宋体"/>
          <w:color w:val="auto"/>
          <w:spacing w:val="-1"/>
          <w:sz w:val="24"/>
          <w:szCs w:val="24"/>
          <w:highlight w:val="none"/>
        </w:rPr>
        <w:t>的风险负担</w:t>
      </w:r>
    </w:p>
    <w:p w14:paraId="00303080">
      <w:pPr>
        <w:spacing w:before="79" w:beforeLines="0" w:afterLines="0" w:line="360" w:lineRule="auto"/>
        <w:ind w:left="14" w:right="205" w:firstLine="475"/>
        <w:rPr>
          <w:rFonts w:hint="default" w:hAnsi="宋体" w:cs="宋体"/>
          <w:color w:val="auto"/>
          <w:sz w:val="24"/>
          <w:szCs w:val="24"/>
          <w:highlight w:val="none"/>
        </w:rPr>
      </w:pPr>
      <w:r>
        <w:rPr>
          <w:rFonts w:hint="default" w:hAnsi="宋体" w:cs="宋体"/>
          <w:color w:val="auto"/>
          <w:spacing w:val="2"/>
          <w:sz w:val="24"/>
          <w:szCs w:val="24"/>
          <w:highlight w:val="none"/>
        </w:rPr>
        <w:t>标的物或者在途标的物或者交付给第一承运人后的标的</w:t>
      </w:r>
      <w:r>
        <w:rPr>
          <w:rFonts w:hint="default" w:hAnsi="宋体" w:cs="宋体"/>
          <w:color w:val="auto"/>
          <w:spacing w:val="1"/>
          <w:sz w:val="24"/>
          <w:szCs w:val="24"/>
          <w:highlight w:val="none"/>
        </w:rPr>
        <w:t>物毁损、灭失的风险负</w:t>
      </w:r>
      <w:r>
        <w:rPr>
          <w:rFonts w:hint="default" w:hAnsi="宋体" w:cs="宋体"/>
          <w:color w:val="auto"/>
          <w:sz w:val="24"/>
          <w:szCs w:val="24"/>
          <w:highlight w:val="none"/>
        </w:rPr>
        <w:t xml:space="preserve"> </w:t>
      </w:r>
      <w:r>
        <w:rPr>
          <w:rFonts w:hint="default" w:hAnsi="宋体" w:cs="宋体"/>
          <w:color w:val="auto"/>
          <w:spacing w:val="6"/>
          <w:sz w:val="24"/>
          <w:szCs w:val="24"/>
          <w:highlight w:val="none"/>
        </w:rPr>
        <w:t>担</w:t>
      </w:r>
      <w:r>
        <w:rPr>
          <w:rFonts w:hint="default" w:hAnsi="宋体" w:cs="宋体"/>
          <w:color w:val="auto"/>
          <w:spacing w:val="4"/>
          <w:sz w:val="24"/>
          <w:szCs w:val="24"/>
          <w:highlight w:val="none"/>
        </w:rPr>
        <w:t>详见</w:t>
      </w:r>
      <w:r>
        <w:rPr>
          <w:rFonts w:hint="default" w:hAnsi="宋体" w:cs="宋体"/>
          <w:i/>
          <w:color w:val="auto"/>
          <w:spacing w:val="4"/>
          <w:sz w:val="24"/>
          <w:szCs w:val="24"/>
          <w:highlight w:val="none"/>
          <w:u w:val="single" w:color="auto"/>
        </w:rPr>
        <w:t>合同专用条款</w:t>
      </w:r>
      <w:r>
        <w:rPr>
          <w:rFonts w:hint="default" w:hAnsi="宋体" w:cs="宋体"/>
          <w:color w:val="auto"/>
          <w:spacing w:val="4"/>
          <w:sz w:val="24"/>
          <w:szCs w:val="24"/>
          <w:highlight w:val="none"/>
        </w:rPr>
        <w:t>。</w:t>
      </w:r>
    </w:p>
    <w:p w14:paraId="0B7D88C1">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2.10 延迟</w:t>
      </w:r>
      <w:r>
        <w:rPr>
          <w:rFonts w:hint="default" w:hAnsi="宋体" w:cs="宋体"/>
          <w:color w:val="auto"/>
          <w:spacing w:val="-1"/>
          <w:sz w:val="24"/>
          <w:szCs w:val="24"/>
          <w:highlight w:val="none"/>
        </w:rPr>
        <w:t>交货/交付</w:t>
      </w:r>
    </w:p>
    <w:p w14:paraId="65B06CDD">
      <w:pPr>
        <w:spacing w:before="76" w:beforeLines="0" w:afterLines="0" w:line="360" w:lineRule="auto"/>
        <w:ind w:left="4" w:firstLine="489"/>
        <w:rPr>
          <w:rFonts w:hint="default" w:hAnsi="宋体" w:cs="宋体"/>
          <w:color w:val="auto"/>
          <w:sz w:val="24"/>
          <w:szCs w:val="24"/>
          <w:highlight w:val="none"/>
        </w:rPr>
      </w:pPr>
      <w:r>
        <w:rPr>
          <w:rFonts w:hint="default" w:hAnsi="宋体" w:cs="宋体"/>
          <w:color w:val="auto"/>
          <w:spacing w:val="2"/>
          <w:sz w:val="24"/>
          <w:szCs w:val="24"/>
          <w:highlight w:val="none"/>
        </w:rPr>
        <w:t>在合同履行过程中，如果乙方遇到不能按时</w:t>
      </w:r>
      <w:r>
        <w:rPr>
          <w:rFonts w:hint="default" w:hAnsi="宋体" w:cs="宋体"/>
          <w:color w:val="auto"/>
          <w:spacing w:val="1"/>
          <w:sz w:val="24"/>
          <w:szCs w:val="24"/>
          <w:highlight w:val="none"/>
        </w:rPr>
        <w:t>交付标的物的情况，应及时以书面</w:t>
      </w:r>
      <w:r>
        <w:rPr>
          <w:rFonts w:hint="default" w:hAnsi="宋体" w:cs="宋体"/>
          <w:color w:val="auto"/>
          <w:sz w:val="24"/>
          <w:szCs w:val="24"/>
          <w:highlight w:val="none"/>
        </w:rPr>
        <w:t xml:space="preserve"> </w:t>
      </w:r>
      <w:r>
        <w:rPr>
          <w:rFonts w:hint="default" w:hAnsi="宋体" w:cs="宋体"/>
          <w:color w:val="auto"/>
          <w:spacing w:val="-4"/>
          <w:sz w:val="24"/>
          <w:szCs w:val="24"/>
          <w:highlight w:val="none"/>
        </w:rPr>
        <w:t>形式将不能按时交</w:t>
      </w:r>
      <w:r>
        <w:rPr>
          <w:rFonts w:hint="default" w:hAnsi="宋体" w:cs="宋体"/>
          <w:color w:val="auto"/>
          <w:spacing w:val="-2"/>
          <w:sz w:val="24"/>
          <w:szCs w:val="24"/>
          <w:highlight w:val="none"/>
        </w:rPr>
        <w:t>付标的物的理由、预期延误时间通知甲方；甲方收到乙方通知后，</w:t>
      </w:r>
      <w:r>
        <w:rPr>
          <w:rFonts w:hint="default" w:hAnsi="宋体" w:cs="宋体"/>
          <w:color w:val="auto"/>
          <w:spacing w:val="-1"/>
          <w:sz w:val="24"/>
          <w:szCs w:val="24"/>
          <w:highlight w:val="none"/>
        </w:rPr>
        <w:t>认为其</w:t>
      </w:r>
      <w:r>
        <w:rPr>
          <w:rFonts w:hint="default" w:hAnsi="宋体" w:cs="宋体"/>
          <w:color w:val="auto"/>
          <w:sz w:val="24"/>
          <w:szCs w:val="24"/>
          <w:highlight w:val="none"/>
        </w:rPr>
        <w:t>理由正当的，可以书面形式酌情同意乙方可以延长交货的具体时间。</w:t>
      </w:r>
    </w:p>
    <w:p w14:paraId="4C6AFE48">
      <w:pPr>
        <w:spacing w:beforeLines="0" w:afterLines="0" w:line="360" w:lineRule="auto"/>
        <w:ind w:left="502"/>
        <w:rPr>
          <w:rFonts w:hint="default" w:hAnsi="宋体" w:cs="宋体"/>
          <w:color w:val="auto"/>
          <w:sz w:val="24"/>
          <w:szCs w:val="24"/>
          <w:highlight w:val="none"/>
        </w:rPr>
      </w:pPr>
      <w:r>
        <w:rPr>
          <w:rFonts w:hint="default" w:hAnsi="宋体" w:cs="宋体"/>
          <w:color w:val="auto"/>
          <w:spacing w:val="-3"/>
          <w:sz w:val="24"/>
          <w:szCs w:val="24"/>
          <w:highlight w:val="none"/>
        </w:rPr>
        <w:t>2</w:t>
      </w:r>
      <w:r>
        <w:rPr>
          <w:rFonts w:hint="default" w:hAnsi="宋体" w:cs="宋体"/>
          <w:color w:val="auto"/>
          <w:spacing w:val="-2"/>
          <w:sz w:val="24"/>
          <w:szCs w:val="24"/>
          <w:highlight w:val="none"/>
        </w:rPr>
        <w:t>.11 合同变更</w:t>
      </w:r>
    </w:p>
    <w:p w14:paraId="64E52544">
      <w:pPr>
        <w:spacing w:before="76" w:beforeLines="0" w:afterLines="0" w:line="360" w:lineRule="auto"/>
        <w:ind w:left="14" w:right="191" w:firstLine="486"/>
        <w:rPr>
          <w:rFonts w:hint="default" w:hAnsi="宋体" w:cs="宋体"/>
          <w:color w:val="auto"/>
          <w:sz w:val="24"/>
          <w:szCs w:val="24"/>
          <w:highlight w:val="none"/>
        </w:rPr>
      </w:pPr>
      <w:r>
        <w:rPr>
          <w:rFonts w:hint="default" w:hAnsi="宋体" w:cs="宋体"/>
          <w:color w:val="auto"/>
          <w:spacing w:val="-8"/>
          <w:sz w:val="24"/>
          <w:szCs w:val="24"/>
          <w:highlight w:val="none"/>
        </w:rPr>
        <w:t>2.11.</w:t>
      </w:r>
      <w:r>
        <w:rPr>
          <w:rFonts w:hint="default" w:hAnsi="宋体" w:cs="宋体"/>
          <w:color w:val="auto"/>
          <w:spacing w:val="-7"/>
          <w:sz w:val="24"/>
          <w:szCs w:val="24"/>
          <w:highlight w:val="none"/>
        </w:rPr>
        <w:t>1</w:t>
      </w:r>
      <w:r>
        <w:rPr>
          <w:rFonts w:hint="default" w:hAnsi="宋体" w:cs="宋体"/>
          <w:color w:val="auto"/>
          <w:spacing w:val="-4"/>
          <w:sz w:val="24"/>
          <w:szCs w:val="24"/>
          <w:highlight w:val="none"/>
        </w:rPr>
        <w:t xml:space="preserve"> 双方当事人协商一致，可以签订书面补充合同的形式变更合同，但不得</w:t>
      </w:r>
      <w:r>
        <w:rPr>
          <w:rFonts w:hint="default" w:hAnsi="宋体" w:cs="宋体"/>
          <w:color w:val="auto"/>
          <w:spacing w:val="2"/>
          <w:sz w:val="24"/>
          <w:szCs w:val="24"/>
          <w:highlight w:val="none"/>
        </w:rPr>
        <w:t>违背采购文件确定的事项。如果系追加与合同</w:t>
      </w:r>
      <w:r>
        <w:rPr>
          <w:rFonts w:hint="default" w:hAnsi="宋体" w:cs="宋体"/>
          <w:color w:val="auto"/>
          <w:spacing w:val="1"/>
          <w:sz w:val="24"/>
          <w:szCs w:val="24"/>
          <w:highlight w:val="none"/>
        </w:rPr>
        <w:t>标的相同的标的物的，那么需经采购</w:t>
      </w:r>
      <w:r>
        <w:rPr>
          <w:rFonts w:hint="default" w:hAnsi="宋体" w:cs="宋体"/>
          <w:color w:val="auto"/>
          <w:spacing w:val="-4"/>
          <w:sz w:val="24"/>
          <w:szCs w:val="24"/>
          <w:highlight w:val="none"/>
        </w:rPr>
        <w:t>监督管理部门同</w:t>
      </w:r>
      <w:r>
        <w:rPr>
          <w:rFonts w:hint="default" w:hAnsi="宋体" w:cs="宋体"/>
          <w:color w:val="auto"/>
          <w:spacing w:val="-3"/>
          <w:sz w:val="24"/>
          <w:szCs w:val="24"/>
          <w:highlight w:val="none"/>
        </w:rPr>
        <w:t>意</w:t>
      </w:r>
      <w:r>
        <w:rPr>
          <w:rFonts w:hint="default" w:hAnsi="宋体" w:cs="宋体"/>
          <w:color w:val="auto"/>
          <w:spacing w:val="-2"/>
          <w:sz w:val="24"/>
          <w:szCs w:val="24"/>
          <w:highlight w:val="none"/>
        </w:rPr>
        <w:t>，且所有补充合同的采购金额不得超过原合同价的 10%；</w:t>
      </w:r>
    </w:p>
    <w:p w14:paraId="48B909D8">
      <w:pPr>
        <w:spacing w:before="3" w:beforeLines="0" w:afterLines="0" w:line="360" w:lineRule="auto"/>
        <w:ind w:left="24" w:right="201" w:firstLine="476"/>
        <w:rPr>
          <w:rFonts w:hint="default" w:hAnsi="宋体" w:cs="宋体"/>
          <w:color w:val="auto"/>
          <w:sz w:val="24"/>
          <w:szCs w:val="24"/>
          <w:highlight w:val="none"/>
        </w:rPr>
      </w:pPr>
      <w:r>
        <w:rPr>
          <w:rFonts w:hint="default" w:hAnsi="宋体" w:cs="宋体"/>
          <w:color w:val="auto"/>
          <w:spacing w:val="8"/>
          <w:sz w:val="24"/>
          <w:szCs w:val="24"/>
          <w:highlight w:val="none"/>
        </w:rPr>
        <w:t>2.11.</w:t>
      </w:r>
      <w:r>
        <w:rPr>
          <w:rFonts w:hint="default" w:hAnsi="宋体" w:cs="宋体"/>
          <w:color w:val="auto"/>
          <w:spacing w:val="5"/>
          <w:sz w:val="24"/>
          <w:szCs w:val="24"/>
          <w:highlight w:val="none"/>
        </w:rPr>
        <w:t>2</w:t>
      </w:r>
      <w:r>
        <w:rPr>
          <w:rFonts w:hint="default" w:hAnsi="宋体" w:cs="宋体"/>
          <w:color w:val="auto"/>
          <w:spacing w:val="4"/>
          <w:sz w:val="24"/>
          <w:szCs w:val="24"/>
          <w:highlight w:val="none"/>
        </w:rPr>
        <w:t xml:space="preserve"> 合同继续履行将损害国家利益和社会公共利益的，双方当事人应当以</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书面形式变更合同。有过</w:t>
      </w:r>
      <w:r>
        <w:rPr>
          <w:rFonts w:hint="default" w:hAnsi="宋体" w:cs="宋体"/>
          <w:color w:val="auto"/>
          <w:spacing w:val="1"/>
          <w:sz w:val="24"/>
          <w:szCs w:val="24"/>
          <w:highlight w:val="none"/>
        </w:rPr>
        <w:t>错的一方应当承担赔偿责任，双方当事人都有过错的，各</w:t>
      </w:r>
      <w:r>
        <w:rPr>
          <w:rFonts w:hint="default" w:hAnsi="宋体" w:cs="宋体"/>
          <w:color w:val="auto"/>
          <w:spacing w:val="-4"/>
          <w:sz w:val="24"/>
          <w:szCs w:val="24"/>
          <w:highlight w:val="none"/>
        </w:rPr>
        <w:t>自承</w:t>
      </w:r>
      <w:r>
        <w:rPr>
          <w:rFonts w:hint="default" w:hAnsi="宋体" w:cs="宋体"/>
          <w:color w:val="auto"/>
          <w:spacing w:val="-3"/>
          <w:sz w:val="24"/>
          <w:szCs w:val="24"/>
          <w:highlight w:val="none"/>
        </w:rPr>
        <w:t>担</w:t>
      </w:r>
      <w:r>
        <w:rPr>
          <w:rFonts w:hint="default" w:hAnsi="宋体" w:cs="宋体"/>
          <w:color w:val="auto"/>
          <w:spacing w:val="-2"/>
          <w:sz w:val="24"/>
          <w:szCs w:val="24"/>
          <w:highlight w:val="none"/>
        </w:rPr>
        <w:t>相应的责任。</w:t>
      </w:r>
    </w:p>
    <w:p w14:paraId="5600050A">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2.12 合同</w:t>
      </w:r>
      <w:r>
        <w:rPr>
          <w:rFonts w:hint="default" w:hAnsi="宋体" w:cs="宋体"/>
          <w:color w:val="auto"/>
          <w:spacing w:val="-1"/>
          <w:sz w:val="24"/>
          <w:szCs w:val="24"/>
          <w:highlight w:val="none"/>
        </w:rPr>
        <w:t>转让和分包</w:t>
      </w:r>
    </w:p>
    <w:p w14:paraId="09E9DDE1">
      <w:pPr>
        <w:spacing w:before="78" w:beforeLines="0" w:afterLines="0" w:line="360" w:lineRule="auto"/>
        <w:ind w:left="3" w:right="53" w:firstLine="13"/>
        <w:rPr>
          <w:rFonts w:hint="default" w:hAnsi="宋体" w:cs="宋体"/>
          <w:color w:val="auto"/>
          <w:sz w:val="24"/>
          <w:szCs w:val="24"/>
          <w:highlight w:val="none"/>
        </w:rPr>
      </w:pPr>
      <w:r>
        <w:rPr>
          <w:rFonts w:hint="default" w:hAnsi="宋体" w:cs="宋体"/>
          <w:color w:val="auto"/>
          <w:spacing w:val="-2"/>
          <w:sz w:val="24"/>
          <w:szCs w:val="24"/>
          <w:highlight w:val="none"/>
        </w:rPr>
        <w:t>合同的权利义务依法不得转让，但经甲方书面同意， 乙方可以依法采取分</w:t>
      </w:r>
      <w:r>
        <w:rPr>
          <w:rFonts w:hint="default" w:hAnsi="宋体" w:cs="宋体"/>
          <w:color w:val="auto"/>
          <w:spacing w:val="-1"/>
          <w:sz w:val="24"/>
          <w:szCs w:val="24"/>
          <w:highlight w:val="none"/>
        </w:rPr>
        <w:t>包</w:t>
      </w:r>
      <w:r>
        <w:rPr>
          <w:rFonts w:hint="default" w:hAnsi="宋体" w:cs="宋体"/>
          <w:color w:val="auto"/>
          <w:sz w:val="24"/>
          <w:szCs w:val="24"/>
          <w:highlight w:val="none"/>
        </w:rPr>
        <w:t>方</w:t>
      </w:r>
      <w:r>
        <w:rPr>
          <w:rFonts w:hint="default" w:hAnsi="宋体" w:cs="宋体"/>
          <w:color w:val="auto"/>
          <w:spacing w:val="2"/>
          <w:sz w:val="24"/>
          <w:szCs w:val="24"/>
          <w:highlight w:val="none"/>
        </w:rPr>
        <w:t>式履行合同，</w:t>
      </w:r>
      <w:r>
        <w:rPr>
          <w:rFonts w:hint="default" w:hAnsi="宋体" w:cs="宋体"/>
          <w:color w:val="auto"/>
          <w:spacing w:val="1"/>
          <w:sz w:val="24"/>
          <w:szCs w:val="24"/>
          <w:highlight w:val="none"/>
        </w:rPr>
        <w:t>即：依法可以将合同项下的部分非主体、非关键性工作分包给他人完</w:t>
      </w:r>
      <w:r>
        <w:rPr>
          <w:rFonts w:hint="default" w:hAnsi="宋体" w:cs="宋体"/>
          <w:color w:val="auto"/>
          <w:spacing w:val="2"/>
          <w:sz w:val="24"/>
          <w:szCs w:val="24"/>
          <w:highlight w:val="none"/>
        </w:rPr>
        <w:t>成，接受分包的供应商应当具备相应的资</w:t>
      </w:r>
      <w:r>
        <w:rPr>
          <w:rFonts w:hint="default" w:hAnsi="宋体" w:cs="宋体"/>
          <w:color w:val="auto"/>
          <w:spacing w:val="1"/>
          <w:sz w:val="24"/>
          <w:szCs w:val="24"/>
          <w:highlight w:val="none"/>
        </w:rPr>
        <w:t>格条件，并不得再次分包，且乙方应就分</w:t>
      </w:r>
      <w:r>
        <w:rPr>
          <w:rFonts w:hint="default" w:hAnsi="宋体" w:cs="宋体"/>
          <w:color w:val="auto"/>
          <w:spacing w:val="-1"/>
          <w:sz w:val="24"/>
          <w:szCs w:val="24"/>
          <w:highlight w:val="none"/>
        </w:rPr>
        <w:t>包项</w:t>
      </w:r>
      <w:r>
        <w:rPr>
          <w:rFonts w:hint="default" w:hAnsi="宋体" w:cs="宋体"/>
          <w:color w:val="auto"/>
          <w:sz w:val="24"/>
          <w:szCs w:val="24"/>
          <w:highlight w:val="none"/>
        </w:rPr>
        <w:t>目向甲方负责，并与分包供应商就分包项目向甲方承担连带责任。</w:t>
      </w:r>
    </w:p>
    <w:p w14:paraId="58D8F844">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3"/>
          <w:sz w:val="24"/>
          <w:szCs w:val="24"/>
          <w:highlight w:val="none"/>
        </w:rPr>
        <w:t>2</w:t>
      </w:r>
      <w:r>
        <w:rPr>
          <w:rFonts w:hint="default" w:hAnsi="宋体" w:cs="宋体"/>
          <w:color w:val="auto"/>
          <w:spacing w:val="-2"/>
          <w:sz w:val="24"/>
          <w:szCs w:val="24"/>
          <w:highlight w:val="none"/>
        </w:rPr>
        <w:t>.13 不可抗力</w:t>
      </w:r>
    </w:p>
    <w:p w14:paraId="333C299B">
      <w:pPr>
        <w:spacing w:before="76" w:beforeLines="0" w:afterLines="0" w:line="360" w:lineRule="auto"/>
        <w:ind w:left="35" w:right="43" w:firstLine="464"/>
        <w:rPr>
          <w:rFonts w:hint="default" w:hAnsi="宋体" w:cs="宋体"/>
          <w:color w:val="auto"/>
          <w:sz w:val="24"/>
          <w:szCs w:val="24"/>
          <w:highlight w:val="none"/>
        </w:rPr>
      </w:pPr>
      <w:r>
        <w:rPr>
          <w:rFonts w:hint="default" w:hAnsi="宋体" w:cs="宋体"/>
          <w:color w:val="auto"/>
          <w:spacing w:val="-8"/>
          <w:sz w:val="24"/>
          <w:szCs w:val="24"/>
          <w:highlight w:val="none"/>
        </w:rPr>
        <w:t>2.13.1</w:t>
      </w:r>
      <w:r>
        <w:rPr>
          <w:rFonts w:hint="default" w:hAnsi="宋体" w:cs="宋体"/>
          <w:color w:val="auto"/>
          <w:spacing w:val="-4"/>
          <w:sz w:val="24"/>
          <w:szCs w:val="24"/>
          <w:highlight w:val="none"/>
        </w:rPr>
        <w:t xml:space="preserve"> 如果任何一方遭遇法律规定的不可抗力，致使合同履行受阻时，履行合</w:t>
      </w:r>
      <w:r>
        <w:rPr>
          <w:rFonts w:hint="default" w:hAnsi="宋体" w:cs="宋体"/>
          <w:color w:val="auto"/>
          <w:spacing w:val="-2"/>
          <w:sz w:val="24"/>
          <w:szCs w:val="24"/>
          <w:highlight w:val="none"/>
        </w:rPr>
        <w:t>同的期限应</w:t>
      </w:r>
      <w:r>
        <w:rPr>
          <w:rFonts w:hint="default" w:hAnsi="宋体" w:cs="宋体"/>
          <w:color w:val="auto"/>
          <w:spacing w:val="-1"/>
          <w:sz w:val="24"/>
          <w:szCs w:val="24"/>
          <w:highlight w:val="none"/>
        </w:rPr>
        <w:t>予延长，延长的期限应相当于不可抗力所影响的时间；</w:t>
      </w:r>
    </w:p>
    <w:p w14:paraId="00F3E914">
      <w:pPr>
        <w:spacing w:before="3" w:beforeLines="0" w:afterLines="0" w:line="360" w:lineRule="auto"/>
        <w:ind w:left="18" w:right="36" w:firstLine="481"/>
        <w:rPr>
          <w:rFonts w:hint="default" w:hAnsi="宋体" w:cs="宋体"/>
          <w:color w:val="auto"/>
          <w:sz w:val="24"/>
          <w:szCs w:val="24"/>
          <w:highlight w:val="none"/>
        </w:rPr>
      </w:pPr>
      <w:r>
        <w:rPr>
          <w:rFonts w:hint="default" w:hAnsi="宋体" w:cs="宋体"/>
          <w:color w:val="auto"/>
          <w:spacing w:val="-2"/>
          <w:sz w:val="24"/>
          <w:szCs w:val="24"/>
          <w:highlight w:val="none"/>
        </w:rPr>
        <w:t>2.13.2 受不可抗力影响的</w:t>
      </w:r>
      <w:r>
        <w:rPr>
          <w:rFonts w:hint="default" w:hAnsi="宋体" w:cs="宋体"/>
          <w:color w:val="auto"/>
          <w:spacing w:val="-1"/>
          <w:sz w:val="24"/>
          <w:szCs w:val="24"/>
          <w:highlight w:val="none"/>
        </w:rPr>
        <w:t>一方在不可抗力发生后，应在</w:t>
      </w:r>
      <w:r>
        <w:rPr>
          <w:rFonts w:hint="default" w:hAnsi="宋体" w:cs="宋体"/>
          <w:i/>
          <w:color w:val="auto"/>
          <w:spacing w:val="-1"/>
          <w:sz w:val="24"/>
          <w:szCs w:val="24"/>
          <w:highlight w:val="none"/>
          <w:u w:val="single" w:color="auto"/>
        </w:rPr>
        <w:t>合同专用条款</w:t>
      </w:r>
      <w:r>
        <w:rPr>
          <w:rFonts w:hint="default" w:hAnsi="宋体" w:cs="宋体"/>
          <w:color w:val="auto"/>
          <w:spacing w:val="-1"/>
          <w:sz w:val="24"/>
          <w:szCs w:val="24"/>
          <w:highlight w:val="none"/>
        </w:rPr>
        <w:t>约定时间</w:t>
      </w:r>
      <w:r>
        <w:rPr>
          <w:rFonts w:hint="default" w:hAnsi="宋体" w:cs="宋体"/>
          <w:color w:val="auto"/>
          <w:spacing w:val="2"/>
          <w:sz w:val="24"/>
          <w:szCs w:val="24"/>
          <w:highlight w:val="none"/>
        </w:rPr>
        <w:t>内以书面形式通知对方当事人，并在</w:t>
      </w:r>
      <w:r>
        <w:rPr>
          <w:rFonts w:hint="default" w:hAnsi="宋体" w:cs="宋体"/>
          <w:i/>
          <w:color w:val="auto"/>
          <w:spacing w:val="2"/>
          <w:sz w:val="24"/>
          <w:szCs w:val="24"/>
          <w:highlight w:val="none"/>
          <w:u w:val="single" w:color="auto"/>
        </w:rPr>
        <w:t>合同专用条款</w:t>
      </w:r>
      <w:r>
        <w:rPr>
          <w:rFonts w:hint="default" w:hAnsi="宋体" w:cs="宋体"/>
          <w:color w:val="auto"/>
          <w:spacing w:val="2"/>
          <w:sz w:val="24"/>
          <w:szCs w:val="24"/>
          <w:highlight w:val="none"/>
        </w:rPr>
        <w:t>约定时间内</w:t>
      </w:r>
      <w:r>
        <w:rPr>
          <w:rFonts w:hint="default" w:hAnsi="宋体" w:cs="宋体"/>
          <w:color w:val="auto"/>
          <w:spacing w:val="1"/>
          <w:sz w:val="24"/>
          <w:szCs w:val="24"/>
          <w:highlight w:val="none"/>
        </w:rPr>
        <w:t>，将有关部门出具的</w:t>
      </w:r>
      <w:r>
        <w:rPr>
          <w:rFonts w:hint="default" w:hAnsi="宋体" w:cs="宋体"/>
          <w:color w:val="auto"/>
          <w:spacing w:val="-6"/>
          <w:sz w:val="24"/>
          <w:szCs w:val="24"/>
          <w:highlight w:val="none"/>
        </w:rPr>
        <w:t>证</w:t>
      </w:r>
      <w:r>
        <w:rPr>
          <w:rFonts w:hint="default" w:hAnsi="宋体" w:cs="宋体"/>
          <w:color w:val="auto"/>
          <w:spacing w:val="-4"/>
          <w:sz w:val="24"/>
          <w:szCs w:val="24"/>
          <w:highlight w:val="none"/>
        </w:rPr>
        <w:t>明文件送达对方当事人。</w:t>
      </w:r>
    </w:p>
    <w:p w14:paraId="7D114A72">
      <w:pPr>
        <w:spacing w:beforeLines="0" w:afterLines="0" w:line="360" w:lineRule="auto"/>
        <w:ind w:left="500"/>
        <w:rPr>
          <w:rFonts w:hint="default" w:hAnsi="宋体" w:cs="宋体"/>
          <w:color w:val="auto"/>
          <w:sz w:val="24"/>
          <w:szCs w:val="24"/>
          <w:highlight w:val="none"/>
        </w:rPr>
      </w:pPr>
      <w:r>
        <w:rPr>
          <w:rFonts w:hint="default" w:hAnsi="宋体" w:cs="宋体"/>
          <w:color w:val="auto"/>
          <w:spacing w:val="-10"/>
          <w:sz w:val="24"/>
          <w:szCs w:val="24"/>
          <w:highlight w:val="none"/>
        </w:rPr>
        <w:t>2.</w:t>
      </w:r>
      <w:r>
        <w:rPr>
          <w:rFonts w:hint="default" w:hAnsi="宋体" w:cs="宋体"/>
          <w:color w:val="auto"/>
          <w:spacing w:val="-6"/>
          <w:sz w:val="24"/>
          <w:szCs w:val="24"/>
          <w:highlight w:val="none"/>
        </w:rPr>
        <w:t>1</w:t>
      </w:r>
      <w:r>
        <w:rPr>
          <w:rFonts w:hint="default" w:hAnsi="宋体" w:cs="宋体"/>
          <w:color w:val="auto"/>
          <w:spacing w:val="-5"/>
          <w:sz w:val="24"/>
          <w:szCs w:val="24"/>
          <w:highlight w:val="none"/>
        </w:rPr>
        <w:t>3.3 因不可抗力致使不能实现合同目的的，当事人可以解除合同；</w:t>
      </w:r>
    </w:p>
    <w:p w14:paraId="6F7BFF96">
      <w:pPr>
        <w:spacing w:before="79" w:beforeLines="0" w:afterLines="0" w:line="360" w:lineRule="auto"/>
        <w:ind w:left="14" w:right="36" w:firstLine="486"/>
        <w:rPr>
          <w:rFonts w:hint="default" w:hAnsi="宋体" w:cs="宋体"/>
          <w:color w:val="auto"/>
          <w:sz w:val="24"/>
          <w:szCs w:val="24"/>
          <w:highlight w:val="none"/>
        </w:rPr>
      </w:pPr>
      <w:r>
        <w:rPr>
          <w:rFonts w:hint="default" w:hAnsi="宋体" w:cs="宋体"/>
          <w:color w:val="auto"/>
          <w:spacing w:val="7"/>
          <w:sz w:val="24"/>
          <w:szCs w:val="24"/>
          <w:highlight w:val="none"/>
        </w:rPr>
        <w:t>2</w:t>
      </w:r>
      <w:r>
        <w:rPr>
          <w:rFonts w:hint="default" w:hAnsi="宋体" w:cs="宋体"/>
          <w:color w:val="auto"/>
          <w:spacing w:val="5"/>
          <w:sz w:val="24"/>
          <w:szCs w:val="24"/>
          <w:highlight w:val="none"/>
        </w:rPr>
        <w:t>.13.4 因不可抗力致使合同有变更必要的，双方当事人应在</w:t>
      </w:r>
      <w:r>
        <w:rPr>
          <w:rFonts w:hint="default" w:hAnsi="宋体" w:cs="宋体"/>
          <w:i/>
          <w:color w:val="auto"/>
          <w:spacing w:val="5"/>
          <w:sz w:val="24"/>
          <w:szCs w:val="24"/>
          <w:highlight w:val="none"/>
          <w:u w:val="single" w:color="auto"/>
        </w:rPr>
        <w:t>合同专用条款</w:t>
      </w:r>
      <w:r>
        <w:rPr>
          <w:rFonts w:hint="default" w:hAnsi="宋体" w:cs="宋体"/>
          <w:color w:val="auto"/>
          <w:spacing w:val="5"/>
          <w:sz w:val="24"/>
          <w:szCs w:val="24"/>
          <w:highlight w:val="none"/>
        </w:rPr>
        <w:t>约</w:t>
      </w:r>
      <w:r>
        <w:rPr>
          <w:rFonts w:hint="default" w:hAnsi="宋体" w:cs="宋体"/>
          <w:color w:val="auto"/>
          <w:sz w:val="24"/>
          <w:szCs w:val="24"/>
          <w:highlight w:val="none"/>
        </w:rPr>
        <w:t xml:space="preserve"> </w:t>
      </w:r>
      <w:r>
        <w:rPr>
          <w:rFonts w:hint="default" w:hAnsi="宋体" w:cs="宋体"/>
          <w:color w:val="auto"/>
          <w:spacing w:val="-4"/>
          <w:sz w:val="24"/>
          <w:szCs w:val="24"/>
          <w:highlight w:val="none"/>
        </w:rPr>
        <w:t>定时间内以书面形式变更合同</w:t>
      </w:r>
      <w:r>
        <w:rPr>
          <w:rFonts w:hint="default" w:hAnsi="宋体" w:cs="宋体"/>
          <w:color w:val="auto"/>
          <w:spacing w:val="-3"/>
          <w:sz w:val="24"/>
          <w:szCs w:val="24"/>
          <w:highlight w:val="none"/>
        </w:rPr>
        <w:t>；</w:t>
      </w:r>
    </w:p>
    <w:p w14:paraId="74796401">
      <w:pPr>
        <w:spacing w:beforeLines="0" w:afterLines="0" w:line="360" w:lineRule="auto"/>
        <w:ind w:left="502"/>
        <w:rPr>
          <w:rFonts w:hint="default" w:hAnsi="宋体" w:cs="宋体"/>
          <w:color w:val="auto"/>
          <w:sz w:val="24"/>
          <w:szCs w:val="24"/>
          <w:highlight w:val="none"/>
        </w:rPr>
      </w:pPr>
      <w:r>
        <w:rPr>
          <w:rFonts w:hint="default" w:hAnsi="宋体" w:cs="宋体"/>
          <w:color w:val="auto"/>
          <w:spacing w:val="-4"/>
          <w:sz w:val="24"/>
          <w:szCs w:val="24"/>
          <w:highlight w:val="none"/>
        </w:rPr>
        <w:t>2.</w:t>
      </w:r>
      <w:r>
        <w:rPr>
          <w:rFonts w:hint="default" w:hAnsi="宋体" w:cs="宋体"/>
          <w:color w:val="auto"/>
          <w:spacing w:val="-3"/>
          <w:sz w:val="24"/>
          <w:szCs w:val="24"/>
          <w:highlight w:val="none"/>
        </w:rPr>
        <w:t>1</w:t>
      </w:r>
      <w:r>
        <w:rPr>
          <w:rFonts w:hint="default" w:hAnsi="宋体" w:cs="宋体"/>
          <w:color w:val="auto"/>
          <w:spacing w:val="-2"/>
          <w:sz w:val="24"/>
          <w:szCs w:val="24"/>
          <w:highlight w:val="none"/>
        </w:rPr>
        <w:t>4 税费</w:t>
      </w:r>
    </w:p>
    <w:p w14:paraId="0F389A66">
      <w:pPr>
        <w:spacing w:before="78" w:beforeLines="0" w:afterLines="0" w:line="360" w:lineRule="auto"/>
        <w:ind w:left="504"/>
        <w:rPr>
          <w:rFonts w:hint="default" w:hAnsi="宋体" w:cs="宋体"/>
          <w:color w:val="auto"/>
          <w:sz w:val="24"/>
          <w:szCs w:val="24"/>
          <w:highlight w:val="none"/>
        </w:rPr>
      </w:pPr>
      <w:r>
        <w:rPr>
          <w:rFonts w:hint="default" w:hAnsi="宋体" w:cs="宋体"/>
          <w:color w:val="auto"/>
          <w:spacing w:val="-4"/>
          <w:sz w:val="24"/>
          <w:szCs w:val="24"/>
          <w:highlight w:val="none"/>
        </w:rPr>
        <w:t>与</w:t>
      </w:r>
      <w:r>
        <w:rPr>
          <w:rFonts w:hint="default" w:hAnsi="宋体" w:cs="宋体"/>
          <w:color w:val="auto"/>
          <w:spacing w:val="-2"/>
          <w:sz w:val="24"/>
          <w:szCs w:val="24"/>
          <w:highlight w:val="none"/>
        </w:rPr>
        <w:t>合同有关的一切税费，均按照中华人民共和国法律的相关规定执行。</w:t>
      </w:r>
    </w:p>
    <w:p w14:paraId="66512743">
      <w:pPr>
        <w:spacing w:before="77" w:beforeLines="0" w:afterLines="0" w:line="360" w:lineRule="auto"/>
        <w:ind w:left="502"/>
        <w:rPr>
          <w:rFonts w:hint="default" w:hAnsi="宋体" w:cs="宋体"/>
          <w:color w:val="auto"/>
          <w:sz w:val="24"/>
          <w:szCs w:val="24"/>
          <w:highlight w:val="none"/>
        </w:rPr>
      </w:pPr>
      <w:r>
        <w:rPr>
          <w:rFonts w:hint="default" w:hAnsi="宋体" w:cs="宋体"/>
          <w:color w:val="auto"/>
          <w:spacing w:val="-3"/>
          <w:sz w:val="24"/>
          <w:szCs w:val="24"/>
          <w:highlight w:val="none"/>
        </w:rPr>
        <w:t>2</w:t>
      </w:r>
      <w:r>
        <w:rPr>
          <w:rFonts w:hint="default" w:hAnsi="宋体" w:cs="宋体"/>
          <w:color w:val="auto"/>
          <w:spacing w:val="-2"/>
          <w:sz w:val="24"/>
          <w:szCs w:val="24"/>
          <w:highlight w:val="none"/>
        </w:rPr>
        <w:t>.15 乙方破产</w:t>
      </w:r>
    </w:p>
    <w:p w14:paraId="698EB891">
      <w:pPr>
        <w:spacing w:before="75" w:beforeLines="0" w:afterLines="0" w:line="360" w:lineRule="auto"/>
        <w:ind w:left="21" w:right="53" w:firstLine="477"/>
        <w:rPr>
          <w:rFonts w:hint="default" w:hAnsi="宋体" w:cs="宋体"/>
          <w:color w:val="auto"/>
          <w:sz w:val="24"/>
          <w:szCs w:val="24"/>
          <w:highlight w:val="none"/>
        </w:rPr>
      </w:pPr>
      <w:r>
        <w:rPr>
          <w:rFonts w:hint="default" w:hAnsi="宋体" w:cs="宋体"/>
          <w:color w:val="auto"/>
          <w:spacing w:val="-3"/>
          <w:sz w:val="24"/>
          <w:szCs w:val="24"/>
          <w:highlight w:val="none"/>
        </w:rPr>
        <w:t>如</w:t>
      </w:r>
      <w:r>
        <w:rPr>
          <w:rFonts w:hint="default" w:hAnsi="宋体" w:cs="宋体"/>
          <w:color w:val="auto"/>
          <w:spacing w:val="-2"/>
          <w:sz w:val="24"/>
          <w:szCs w:val="24"/>
          <w:highlight w:val="none"/>
        </w:rPr>
        <w:t>果乙方破产导致合同无法履行时， 甲方可以书面形式通知乙方终止合同且不</w:t>
      </w:r>
      <w:r>
        <w:rPr>
          <w:rFonts w:hint="default" w:hAnsi="宋体" w:cs="宋体"/>
          <w:color w:val="auto"/>
          <w:spacing w:val="2"/>
          <w:sz w:val="24"/>
          <w:szCs w:val="24"/>
          <w:highlight w:val="none"/>
        </w:rPr>
        <w:t>给予乙方任何补偿和赔偿，但合</w:t>
      </w:r>
      <w:r>
        <w:rPr>
          <w:rFonts w:hint="default" w:hAnsi="宋体" w:cs="宋体"/>
          <w:color w:val="auto"/>
          <w:spacing w:val="1"/>
          <w:sz w:val="24"/>
          <w:szCs w:val="24"/>
          <w:highlight w:val="none"/>
        </w:rPr>
        <w:t>同的终止不损害或不影响甲方已经采取或将要采取</w:t>
      </w:r>
      <w:r>
        <w:rPr>
          <w:rFonts w:hint="default" w:hAnsi="宋体" w:cs="宋体"/>
          <w:color w:val="auto"/>
          <w:sz w:val="24"/>
          <w:szCs w:val="24"/>
          <w:highlight w:val="none"/>
        </w:rPr>
        <w:t xml:space="preserve"> </w:t>
      </w:r>
      <w:r>
        <w:rPr>
          <w:rFonts w:hint="default" w:hAnsi="宋体" w:cs="宋体"/>
          <w:color w:val="auto"/>
          <w:spacing w:val="-8"/>
          <w:sz w:val="24"/>
          <w:szCs w:val="24"/>
          <w:highlight w:val="none"/>
        </w:rPr>
        <w:t>的任何要</w:t>
      </w:r>
      <w:r>
        <w:rPr>
          <w:rFonts w:hint="default" w:hAnsi="宋体" w:cs="宋体"/>
          <w:color w:val="auto"/>
          <w:spacing w:val="-4"/>
          <w:sz w:val="24"/>
          <w:szCs w:val="24"/>
          <w:highlight w:val="none"/>
        </w:rPr>
        <w:t>求乙方支付违约金、赔偿损失等的行动或补救措施的权利。</w:t>
      </w:r>
    </w:p>
    <w:p w14:paraId="247A9F70">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w:t>
      </w:r>
      <w:r>
        <w:rPr>
          <w:rFonts w:hint="default" w:hAnsi="宋体" w:cs="宋体"/>
          <w:color w:val="auto"/>
          <w:spacing w:val="-1"/>
          <w:sz w:val="24"/>
          <w:szCs w:val="24"/>
          <w:highlight w:val="none"/>
        </w:rPr>
        <w:t>16 合同中止、终止</w:t>
      </w:r>
    </w:p>
    <w:p w14:paraId="3463F7F9">
      <w:pPr>
        <w:spacing w:before="77" w:beforeLines="0" w:afterLines="0" w:line="360" w:lineRule="auto"/>
        <w:ind w:left="500"/>
        <w:rPr>
          <w:rFonts w:hint="default" w:hAnsi="宋体" w:cs="宋体"/>
          <w:color w:val="auto"/>
          <w:sz w:val="24"/>
          <w:szCs w:val="24"/>
          <w:highlight w:val="none"/>
        </w:rPr>
      </w:pPr>
      <w:r>
        <w:rPr>
          <w:rFonts w:hint="default" w:hAnsi="宋体" w:cs="宋体"/>
          <w:color w:val="auto"/>
          <w:spacing w:val="-4"/>
          <w:sz w:val="24"/>
          <w:szCs w:val="24"/>
          <w:highlight w:val="none"/>
        </w:rPr>
        <w:t>2.16.</w:t>
      </w:r>
      <w:r>
        <w:rPr>
          <w:rFonts w:hint="default" w:hAnsi="宋体" w:cs="宋体"/>
          <w:color w:val="auto"/>
          <w:spacing w:val="-3"/>
          <w:sz w:val="24"/>
          <w:szCs w:val="24"/>
          <w:highlight w:val="none"/>
        </w:rPr>
        <w:t>1</w:t>
      </w:r>
      <w:r>
        <w:rPr>
          <w:rFonts w:hint="default" w:hAnsi="宋体" w:cs="宋体"/>
          <w:color w:val="auto"/>
          <w:spacing w:val="-2"/>
          <w:sz w:val="24"/>
          <w:szCs w:val="24"/>
          <w:highlight w:val="none"/>
        </w:rPr>
        <w:t xml:space="preserve"> 双方当事人不得擅自中止或者终止合同；</w:t>
      </w:r>
    </w:p>
    <w:p w14:paraId="736136B9">
      <w:pPr>
        <w:spacing w:before="78" w:beforeLines="0" w:afterLines="0" w:line="360" w:lineRule="auto"/>
        <w:ind w:left="500"/>
        <w:rPr>
          <w:rFonts w:hint="default" w:hAnsi="宋体" w:cs="宋体"/>
          <w:color w:val="auto"/>
          <w:spacing w:val="2"/>
          <w:sz w:val="24"/>
          <w:szCs w:val="24"/>
          <w:highlight w:val="none"/>
        </w:rPr>
      </w:pPr>
      <w:r>
        <w:rPr>
          <w:rFonts w:hint="default" w:hAnsi="宋体" w:cs="宋体"/>
          <w:color w:val="auto"/>
          <w:spacing w:val="-8"/>
          <w:sz w:val="24"/>
          <w:szCs w:val="24"/>
          <w:highlight w:val="none"/>
        </w:rPr>
        <w:t>2.16.</w:t>
      </w:r>
      <w:r>
        <w:rPr>
          <w:rFonts w:hint="default" w:hAnsi="宋体" w:cs="宋体"/>
          <w:color w:val="auto"/>
          <w:spacing w:val="-7"/>
          <w:sz w:val="24"/>
          <w:szCs w:val="24"/>
          <w:highlight w:val="none"/>
        </w:rPr>
        <w:t>2</w:t>
      </w:r>
      <w:r>
        <w:rPr>
          <w:rFonts w:hint="default" w:hAnsi="宋体" w:cs="宋体"/>
          <w:color w:val="auto"/>
          <w:spacing w:val="-4"/>
          <w:sz w:val="24"/>
          <w:szCs w:val="24"/>
          <w:highlight w:val="none"/>
        </w:rPr>
        <w:t xml:space="preserve"> 合同继续履行将损害国家利益和社会公共利益的，双方当事人应当中止</w:t>
      </w:r>
      <w:r>
        <w:rPr>
          <w:rFonts w:hint="default" w:hAnsi="宋体" w:cs="宋体"/>
          <w:color w:val="auto"/>
          <w:spacing w:val="2"/>
          <w:sz w:val="24"/>
          <w:szCs w:val="24"/>
          <w:highlight w:val="none"/>
        </w:rPr>
        <w:t>或者</w:t>
      </w:r>
    </w:p>
    <w:p w14:paraId="13C07698">
      <w:pPr>
        <w:spacing w:before="78" w:beforeLines="0" w:afterLines="0" w:line="360" w:lineRule="auto"/>
        <w:rPr>
          <w:rFonts w:hint="default" w:hAnsi="宋体" w:cs="宋体"/>
          <w:color w:val="auto"/>
          <w:sz w:val="24"/>
          <w:szCs w:val="24"/>
          <w:highlight w:val="none"/>
        </w:rPr>
      </w:pPr>
      <w:r>
        <w:rPr>
          <w:rFonts w:hint="default" w:hAnsi="宋体" w:cs="宋体"/>
          <w:color w:val="auto"/>
          <w:spacing w:val="2"/>
          <w:sz w:val="24"/>
          <w:szCs w:val="24"/>
          <w:highlight w:val="none"/>
        </w:rPr>
        <w:t>终止合同。有过错的一方应当承担赔偿责任，双方</w:t>
      </w:r>
      <w:r>
        <w:rPr>
          <w:rFonts w:hint="default" w:hAnsi="宋体" w:cs="宋体"/>
          <w:color w:val="auto"/>
          <w:spacing w:val="1"/>
          <w:sz w:val="24"/>
          <w:szCs w:val="24"/>
          <w:highlight w:val="none"/>
        </w:rPr>
        <w:t>当事人都有过错的，各自承</w:t>
      </w:r>
      <w:r>
        <w:rPr>
          <w:rFonts w:hint="default" w:hAnsi="宋体" w:cs="宋体"/>
          <w:color w:val="auto"/>
          <w:spacing w:val="-2"/>
          <w:sz w:val="24"/>
          <w:szCs w:val="24"/>
          <w:highlight w:val="none"/>
        </w:rPr>
        <w:t>担相应的责任</w:t>
      </w:r>
      <w:r>
        <w:rPr>
          <w:rFonts w:hint="default" w:hAnsi="宋体" w:cs="宋体"/>
          <w:color w:val="auto"/>
          <w:spacing w:val="-1"/>
          <w:sz w:val="24"/>
          <w:szCs w:val="24"/>
          <w:highlight w:val="none"/>
        </w:rPr>
        <w:t>。</w:t>
      </w:r>
    </w:p>
    <w:p w14:paraId="5F2BEAEB">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2.17 检验和验</w:t>
      </w:r>
      <w:r>
        <w:rPr>
          <w:rFonts w:hint="default" w:hAnsi="宋体" w:cs="宋体"/>
          <w:color w:val="auto"/>
          <w:spacing w:val="-1"/>
          <w:sz w:val="24"/>
          <w:szCs w:val="24"/>
          <w:highlight w:val="none"/>
        </w:rPr>
        <w:t>收</w:t>
      </w:r>
    </w:p>
    <w:p w14:paraId="48899920">
      <w:pPr>
        <w:spacing w:before="81" w:beforeLines="0" w:afterLines="0" w:line="360" w:lineRule="auto"/>
        <w:ind w:left="8" w:right="2" w:firstLine="492"/>
        <w:rPr>
          <w:rFonts w:hint="default" w:hAnsi="宋体" w:cs="宋体"/>
          <w:color w:val="auto"/>
          <w:sz w:val="24"/>
          <w:szCs w:val="24"/>
          <w:highlight w:val="none"/>
        </w:rPr>
      </w:pPr>
      <w:r>
        <w:rPr>
          <w:rFonts w:hint="default" w:hAnsi="宋体" w:cs="宋体"/>
          <w:color w:val="auto"/>
          <w:spacing w:val="-8"/>
          <w:sz w:val="24"/>
          <w:szCs w:val="24"/>
          <w:highlight w:val="none"/>
        </w:rPr>
        <w:t>2.17.1</w:t>
      </w:r>
      <w:r>
        <w:rPr>
          <w:rFonts w:hint="default" w:hAnsi="宋体" w:cs="宋体"/>
          <w:color w:val="auto"/>
          <w:spacing w:val="-4"/>
          <w:sz w:val="24"/>
          <w:szCs w:val="24"/>
          <w:highlight w:val="none"/>
        </w:rPr>
        <w:t xml:space="preserve"> </w:t>
      </w:r>
      <w:r>
        <w:rPr>
          <w:rFonts w:hint="default" w:hAnsi="宋体" w:cs="宋体"/>
          <w:color w:val="auto"/>
          <w:spacing w:val="-4"/>
          <w:sz w:val="24"/>
          <w:szCs w:val="24"/>
          <w:highlight w:val="none"/>
          <w:lang w:val="en-US" w:eastAsia="en-US"/>
        </w:rPr>
        <w:t>政府采购合同及投标承诺是政府采购项目验收的依据，是采购人和投标人之间的权利和义务。投标人、采购人应按照采购合同的约定，全面履行合同。任何一方当事人在履行合同过程中均不得擅自变更、中止或终止合同</w:t>
      </w:r>
      <w:r>
        <w:rPr>
          <w:rFonts w:hint="default" w:hAnsi="宋体" w:cs="宋体"/>
          <w:color w:val="auto"/>
          <w:spacing w:val="-4"/>
          <w:sz w:val="24"/>
          <w:szCs w:val="24"/>
          <w:highlight w:val="none"/>
        </w:rPr>
        <w:t>。</w:t>
      </w:r>
    </w:p>
    <w:p w14:paraId="20933ED4">
      <w:pPr>
        <w:spacing w:before="3" w:beforeLines="0" w:afterLines="0" w:line="360" w:lineRule="auto"/>
        <w:ind w:left="14" w:right="42" w:firstLine="486"/>
        <w:rPr>
          <w:rFonts w:hint="default" w:hAnsi="宋体" w:cs="宋体"/>
          <w:color w:val="auto"/>
          <w:sz w:val="24"/>
          <w:szCs w:val="24"/>
          <w:highlight w:val="none"/>
        </w:rPr>
      </w:pPr>
      <w:r>
        <w:rPr>
          <w:rFonts w:hint="default" w:hAnsi="宋体" w:cs="宋体"/>
          <w:color w:val="auto"/>
          <w:spacing w:val="-2"/>
          <w:sz w:val="24"/>
          <w:szCs w:val="24"/>
          <w:highlight w:val="none"/>
        </w:rPr>
        <w:t xml:space="preserve">2.17.2 </w:t>
      </w:r>
      <w:r>
        <w:rPr>
          <w:rFonts w:hint="eastAsia" w:hAnsi="宋体" w:eastAsia="宋体" w:cs="宋体"/>
          <w:color w:val="auto"/>
          <w:spacing w:val="-2"/>
          <w:sz w:val="24"/>
          <w:szCs w:val="24"/>
          <w:highlight w:val="none"/>
          <w:lang w:val="en-US" w:eastAsia="zh-CN"/>
        </w:rPr>
        <w:t xml:space="preserve"> 采购人应当成立验收小组,按照采购合同的约定对投标人履约情况进行验收。验收时,应当按照采购合同的约定对每一项技术、服务、安全标准的履约情况进行确认。</w:t>
      </w:r>
    </w:p>
    <w:p w14:paraId="31318875">
      <w:pPr>
        <w:spacing w:before="3" w:beforeLines="0" w:afterLines="0" w:line="360" w:lineRule="auto"/>
        <w:ind w:left="5" w:firstLine="495"/>
        <w:rPr>
          <w:rFonts w:hint="eastAsia" w:hAnsi="宋体" w:eastAsia="宋体" w:cs="宋体"/>
          <w:color w:val="auto"/>
          <w:spacing w:val="-4"/>
          <w:sz w:val="24"/>
          <w:szCs w:val="24"/>
          <w:highlight w:val="none"/>
          <w:lang w:val="en-US" w:eastAsia="zh-CN"/>
        </w:rPr>
      </w:pPr>
      <w:r>
        <w:rPr>
          <w:rFonts w:hint="default" w:hAnsi="宋体" w:cs="宋体"/>
          <w:color w:val="auto"/>
          <w:spacing w:val="-6"/>
          <w:sz w:val="24"/>
          <w:szCs w:val="24"/>
          <w:highlight w:val="none"/>
        </w:rPr>
        <w:t>2.17.3</w:t>
      </w:r>
      <w:r>
        <w:rPr>
          <w:rFonts w:hint="default" w:hAnsi="宋体" w:cs="宋体"/>
          <w:color w:val="auto"/>
          <w:spacing w:val="-4"/>
          <w:sz w:val="24"/>
          <w:szCs w:val="24"/>
          <w:highlight w:val="none"/>
        </w:rPr>
        <w:t xml:space="preserve"> </w:t>
      </w:r>
      <w:r>
        <w:rPr>
          <w:rFonts w:hint="default" w:hAnsi="宋体" w:cs="宋体"/>
          <w:color w:val="auto"/>
          <w:spacing w:val="-4"/>
          <w:sz w:val="24"/>
          <w:szCs w:val="24"/>
          <w:highlight w:val="none"/>
          <w:lang w:val="en-US" w:eastAsia="en-US"/>
        </w:rPr>
        <w:t>验收结束后,应当出具验收书,列明各项标准的验收情况及项目总体评价,由验收双方共同签署。验收结果应当与采购合同约定的资金支付及履约保证金返还条件挂钩。履约验收的各项资料应当存档备查</w:t>
      </w:r>
      <w:r>
        <w:rPr>
          <w:rFonts w:hint="eastAsia" w:hAnsi="宋体" w:eastAsia="宋体" w:cs="宋体"/>
          <w:color w:val="auto"/>
          <w:spacing w:val="-4"/>
          <w:sz w:val="24"/>
          <w:szCs w:val="24"/>
          <w:highlight w:val="none"/>
          <w:lang w:val="en-US" w:eastAsia="zh-CN"/>
        </w:rPr>
        <w:t>。</w:t>
      </w:r>
    </w:p>
    <w:p w14:paraId="06222C65">
      <w:pPr>
        <w:spacing w:before="3" w:beforeLines="0" w:afterLines="0" w:line="360" w:lineRule="auto"/>
        <w:ind w:left="5" w:firstLine="495"/>
        <w:rPr>
          <w:rFonts w:hint="default" w:hAnsi="宋体" w:cs="宋体"/>
          <w:color w:val="auto"/>
          <w:spacing w:val="-4"/>
          <w:sz w:val="24"/>
          <w:szCs w:val="24"/>
          <w:highlight w:val="none"/>
          <w:lang w:val="en-US" w:eastAsia="en-US"/>
        </w:rPr>
      </w:pPr>
    </w:p>
    <w:p w14:paraId="289085DD">
      <w:pPr>
        <w:spacing w:before="3" w:beforeLines="0" w:afterLines="0" w:line="360" w:lineRule="auto"/>
        <w:ind w:left="5" w:firstLine="495"/>
        <w:rPr>
          <w:rFonts w:hint="default" w:hAnsi="宋体" w:eastAsia="宋体" w:cs="宋体"/>
          <w:color w:val="auto"/>
          <w:spacing w:val="-2"/>
          <w:sz w:val="24"/>
          <w:szCs w:val="24"/>
          <w:highlight w:val="none"/>
          <w:lang w:val="en-US" w:eastAsia="zh-CN"/>
        </w:rPr>
      </w:pPr>
      <w:r>
        <w:rPr>
          <w:rFonts w:hint="eastAsia" w:hAnsi="宋体" w:eastAsia="宋体" w:cs="宋体"/>
          <w:i/>
          <w:color w:val="auto"/>
          <w:spacing w:val="17"/>
          <w:sz w:val="24"/>
          <w:szCs w:val="24"/>
          <w:highlight w:val="none"/>
          <w:lang w:val="en-US" w:eastAsia="zh-CN"/>
        </w:rPr>
        <w:t>2.17.4</w:t>
      </w:r>
      <w:r>
        <w:rPr>
          <w:rFonts w:hint="eastAsia" w:hAnsi="宋体" w:eastAsia="宋体" w:cs="宋体"/>
          <w:color w:val="auto"/>
          <w:spacing w:val="-2"/>
          <w:sz w:val="24"/>
          <w:szCs w:val="24"/>
          <w:highlight w:val="none"/>
          <w:lang w:val="en-US" w:eastAsia="zh-CN"/>
        </w:rPr>
        <w:t>对于采购人和使用人分离的采购项目,应当邀请实际使用人参与验收。采购人可以邀请参加本项目的其他投标人或第三方专业机构及专家参与验收,相关验收意见作为验收书的参考资料。政府向社会公众提供的公共服务项目,验收时应当邀请服务对象参与并出具意见,验收结果应当向社会公告。</w:t>
      </w:r>
    </w:p>
    <w:p w14:paraId="1467F04B">
      <w:pPr>
        <w:spacing w:before="1" w:beforeLines="0" w:afterLines="0" w:line="360" w:lineRule="auto"/>
        <w:ind w:left="502"/>
        <w:rPr>
          <w:rFonts w:hint="default" w:hAnsi="宋体" w:cs="宋体"/>
          <w:color w:val="auto"/>
          <w:sz w:val="24"/>
          <w:szCs w:val="24"/>
          <w:highlight w:val="none"/>
        </w:rPr>
      </w:pPr>
      <w:r>
        <w:rPr>
          <w:rFonts w:hint="default" w:hAnsi="宋体" w:cs="宋体"/>
          <w:color w:val="auto"/>
          <w:spacing w:val="-2"/>
          <w:sz w:val="24"/>
          <w:szCs w:val="24"/>
          <w:highlight w:val="none"/>
        </w:rPr>
        <w:t>2.18 通知和送</w:t>
      </w:r>
      <w:r>
        <w:rPr>
          <w:rFonts w:hint="default" w:hAnsi="宋体" w:cs="宋体"/>
          <w:color w:val="auto"/>
          <w:spacing w:val="-1"/>
          <w:sz w:val="24"/>
          <w:szCs w:val="24"/>
          <w:highlight w:val="none"/>
        </w:rPr>
        <w:t>达</w:t>
      </w:r>
    </w:p>
    <w:p w14:paraId="5C488038">
      <w:pPr>
        <w:spacing w:before="76" w:beforeLines="0" w:afterLines="0" w:line="360" w:lineRule="auto"/>
        <w:ind w:left="16" w:right="34" w:firstLine="484"/>
        <w:rPr>
          <w:rFonts w:hint="default" w:hAnsi="宋体" w:cs="宋体"/>
          <w:color w:val="auto"/>
          <w:sz w:val="24"/>
          <w:szCs w:val="24"/>
          <w:highlight w:val="none"/>
        </w:rPr>
      </w:pPr>
      <w:r>
        <w:rPr>
          <w:rFonts w:hint="default" w:hAnsi="宋体" w:cs="宋体"/>
          <w:color w:val="auto"/>
          <w:spacing w:val="15"/>
          <w:sz w:val="24"/>
          <w:szCs w:val="24"/>
          <w:highlight w:val="none"/>
        </w:rPr>
        <w:t>2</w:t>
      </w:r>
      <w:r>
        <w:rPr>
          <w:rFonts w:hint="default" w:hAnsi="宋体" w:cs="宋体"/>
          <w:color w:val="auto"/>
          <w:spacing w:val="8"/>
          <w:sz w:val="24"/>
          <w:szCs w:val="24"/>
          <w:highlight w:val="none"/>
        </w:rPr>
        <w:t>.18.1 任何一方因履行合同而以合同第一部分尾部所列明的</w:t>
      </w:r>
      <w:r>
        <w:rPr>
          <w:rFonts w:hint="default" w:hAnsi="宋体" w:cs="宋体"/>
          <w:color w:val="auto"/>
          <w:spacing w:val="8"/>
          <w:sz w:val="24"/>
          <w:szCs w:val="24"/>
          <w:highlight w:val="none"/>
          <w:u w:val="single" w:color="auto"/>
        </w:rPr>
        <w:t>“约定送达地</w:t>
      </w:r>
      <w:r>
        <w:rPr>
          <w:rFonts w:hint="default" w:hAnsi="宋体" w:cs="宋体"/>
          <w:color w:val="auto"/>
          <w:sz w:val="24"/>
          <w:szCs w:val="24"/>
          <w:highlight w:val="none"/>
        </w:rPr>
        <w:t xml:space="preserve"> </w:t>
      </w:r>
      <w:r>
        <w:rPr>
          <w:rFonts w:hint="default" w:hAnsi="宋体" w:cs="宋体"/>
          <w:color w:val="auto"/>
          <w:spacing w:val="-14"/>
          <w:sz w:val="24"/>
          <w:szCs w:val="24"/>
          <w:highlight w:val="none"/>
          <w:u w:val="single" w:color="auto"/>
        </w:rPr>
        <w:t>址”</w:t>
      </w:r>
      <w:r>
        <w:rPr>
          <w:rFonts w:hint="default" w:hAnsi="宋体" w:cs="宋体"/>
          <w:color w:val="auto"/>
          <w:spacing w:val="-14"/>
          <w:sz w:val="24"/>
          <w:szCs w:val="24"/>
          <w:highlight w:val="none"/>
        </w:rPr>
        <w:t>为</w:t>
      </w:r>
      <w:r>
        <w:rPr>
          <w:rFonts w:hint="default" w:hAnsi="宋体" w:cs="宋体"/>
          <w:color w:val="auto"/>
          <w:spacing w:val="-7"/>
          <w:sz w:val="24"/>
          <w:szCs w:val="24"/>
          <w:highlight w:val="none"/>
        </w:rPr>
        <w:t>收件地址的所有通知、文件、材料， 均视为已向对方当事人送达；任何一方变</w:t>
      </w:r>
      <w:r>
        <w:rPr>
          <w:rFonts w:hint="default" w:hAnsi="宋体" w:cs="宋体"/>
          <w:color w:val="auto"/>
          <w:spacing w:val="2"/>
          <w:sz w:val="24"/>
          <w:szCs w:val="24"/>
          <w:highlight w:val="none"/>
        </w:rPr>
        <w:t>更上述送达方式或者地址的，应于</w:t>
      </w:r>
      <w:r>
        <w:rPr>
          <w:rFonts w:hint="default" w:hAnsi="宋体" w:cs="宋体"/>
          <w:color w:val="auto"/>
          <w:spacing w:val="2"/>
          <w:sz w:val="24"/>
          <w:szCs w:val="24"/>
          <w:highlight w:val="none"/>
          <w:u w:val="single" w:color="auto"/>
        </w:rPr>
        <w:t xml:space="preserve">    </w:t>
      </w:r>
      <w:r>
        <w:rPr>
          <w:rFonts w:hint="default" w:hAnsi="宋体" w:cs="宋体"/>
          <w:color w:val="auto"/>
          <w:spacing w:val="2"/>
          <w:sz w:val="24"/>
          <w:szCs w:val="24"/>
          <w:highlight w:val="none"/>
        </w:rPr>
        <w:t>个工作日内</w:t>
      </w:r>
      <w:r>
        <w:rPr>
          <w:rFonts w:hint="default" w:hAnsi="宋体" w:cs="宋体"/>
          <w:color w:val="auto"/>
          <w:spacing w:val="1"/>
          <w:sz w:val="24"/>
          <w:szCs w:val="24"/>
          <w:highlight w:val="none"/>
        </w:rPr>
        <w:t>书面通知</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对方当事人，在对方当事人收到有关变更通</w:t>
      </w:r>
      <w:r>
        <w:rPr>
          <w:rFonts w:hint="default" w:hAnsi="宋体" w:cs="宋体"/>
          <w:color w:val="auto"/>
          <w:spacing w:val="1"/>
          <w:sz w:val="24"/>
          <w:szCs w:val="24"/>
          <w:highlight w:val="none"/>
        </w:rPr>
        <w:t>知之前，变更前的约定送达方式或者地</w:t>
      </w:r>
      <w:r>
        <w:rPr>
          <w:rFonts w:hint="default" w:hAnsi="宋体" w:cs="宋体"/>
          <w:color w:val="auto"/>
          <w:sz w:val="24"/>
          <w:szCs w:val="24"/>
          <w:highlight w:val="none"/>
        </w:rPr>
        <w:t xml:space="preserve"> </w:t>
      </w:r>
      <w:r>
        <w:rPr>
          <w:rFonts w:hint="default" w:hAnsi="宋体" w:cs="宋体"/>
          <w:color w:val="auto"/>
          <w:spacing w:val="-3"/>
          <w:sz w:val="24"/>
          <w:szCs w:val="24"/>
          <w:highlight w:val="none"/>
        </w:rPr>
        <w:t>址</w:t>
      </w:r>
      <w:r>
        <w:rPr>
          <w:rFonts w:hint="default" w:hAnsi="宋体" w:cs="宋体"/>
          <w:color w:val="auto"/>
          <w:spacing w:val="-2"/>
          <w:sz w:val="24"/>
          <w:szCs w:val="24"/>
          <w:highlight w:val="none"/>
        </w:rPr>
        <w:t>仍视为有效。</w:t>
      </w:r>
    </w:p>
    <w:p w14:paraId="632BFD2B">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pacing w:val="-5"/>
          <w:sz w:val="24"/>
          <w:szCs w:val="24"/>
          <w:highlight w:val="none"/>
        </w:rPr>
        <w:t>2.18.2 以当面交付方式送达的，交付之时视为送达； 以电子邮件方式送达</w:t>
      </w:r>
      <w:r>
        <w:rPr>
          <w:rFonts w:hint="default" w:hAnsi="宋体" w:cs="宋体"/>
          <w:color w:val="auto"/>
          <w:spacing w:val="-4"/>
          <w:sz w:val="24"/>
          <w:szCs w:val="24"/>
          <w:highlight w:val="none"/>
        </w:rPr>
        <w:t>的</w:t>
      </w:r>
      <w:r>
        <w:rPr>
          <w:rFonts w:hint="default" w:hAnsi="宋体" w:cs="宋体"/>
          <w:color w:val="auto"/>
          <w:sz w:val="24"/>
          <w:szCs w:val="24"/>
          <w:highlight w:val="none"/>
        </w:rPr>
        <w:t>，</w:t>
      </w:r>
      <w:r>
        <w:rPr>
          <w:rFonts w:hint="default" w:hAnsi="宋体" w:cs="宋体"/>
          <w:color w:val="auto"/>
          <w:spacing w:val="-8"/>
          <w:sz w:val="24"/>
          <w:szCs w:val="24"/>
          <w:highlight w:val="none"/>
        </w:rPr>
        <w:t>发出电子邮件之</w:t>
      </w:r>
      <w:r>
        <w:rPr>
          <w:rFonts w:hint="default" w:hAnsi="宋体" w:cs="宋体"/>
          <w:color w:val="auto"/>
          <w:spacing w:val="-4"/>
          <w:sz w:val="24"/>
          <w:szCs w:val="24"/>
          <w:highlight w:val="none"/>
        </w:rPr>
        <w:t>时视为送达； 以传真方式送达的，发出传真之时视为送达； 以邮寄</w:t>
      </w:r>
      <w:r>
        <w:rPr>
          <w:rFonts w:hint="default" w:hAnsi="宋体" w:cs="宋体"/>
          <w:color w:val="auto"/>
          <w:spacing w:val="-1"/>
          <w:sz w:val="24"/>
          <w:szCs w:val="24"/>
          <w:highlight w:val="none"/>
        </w:rPr>
        <w:t>方式送达的，邮件挂号</w:t>
      </w:r>
      <w:r>
        <w:rPr>
          <w:rFonts w:hint="default" w:hAnsi="宋体" w:cs="宋体"/>
          <w:color w:val="auto"/>
          <w:sz w:val="24"/>
          <w:szCs w:val="24"/>
          <w:highlight w:val="none"/>
        </w:rPr>
        <w:t>寄出或者交邮之日之次日视为送达。</w:t>
      </w:r>
    </w:p>
    <w:p w14:paraId="3E79FED1">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2.19 计量单位</w:t>
      </w:r>
    </w:p>
    <w:p w14:paraId="4C96AFC5">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除技术规范中另有规定外,合同的计量单位均使用国家法定计量单位。</w:t>
      </w:r>
    </w:p>
    <w:p w14:paraId="510A8A6D">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2.20 合同使用的文字和适用的法律</w:t>
      </w:r>
    </w:p>
    <w:p w14:paraId="481FAEB1">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2.20.1 合同使用汉语书就、变更和解释；</w:t>
      </w:r>
    </w:p>
    <w:p w14:paraId="725AFE09">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2.20.2 合同适用中华人民共和国法律。</w:t>
      </w:r>
    </w:p>
    <w:p w14:paraId="350B7F27">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2.21 履约保证金</w:t>
      </w:r>
    </w:p>
    <w:p w14:paraId="4F57C0B7">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2.22 合同份数</w:t>
      </w:r>
    </w:p>
    <w:p w14:paraId="30B01CBA">
      <w:pPr>
        <w:spacing w:before="83" w:beforeLines="0" w:afterLines="0" w:line="360" w:lineRule="auto"/>
        <w:ind w:left="29" w:right="201" w:firstLine="465"/>
        <w:rPr>
          <w:rFonts w:hint="default" w:hAnsi="宋体" w:cs="宋体"/>
          <w:color w:val="auto"/>
          <w:sz w:val="24"/>
          <w:szCs w:val="24"/>
          <w:highlight w:val="none"/>
        </w:rPr>
      </w:pPr>
      <w:r>
        <w:rPr>
          <w:rFonts w:hint="default" w:hAnsi="宋体" w:cs="宋体"/>
          <w:color w:val="auto"/>
          <w:sz w:val="24"/>
          <w:szCs w:val="24"/>
          <w:highlight w:val="none"/>
        </w:rPr>
        <w:t>本合同壹式   份， 甲方执   份， 乙方执   份。 每份均具有同等法律效力。</w:t>
      </w:r>
    </w:p>
    <w:p w14:paraId="753BF788">
      <w:pPr>
        <w:spacing w:beforeLines="0" w:afterLines="0" w:line="360" w:lineRule="auto"/>
        <w:rPr>
          <w:rFonts w:hint="default" w:hAnsi="宋体" w:cs="宋体"/>
          <w:color w:val="auto"/>
          <w:sz w:val="24"/>
          <w:szCs w:val="24"/>
          <w:highlight w:val="none"/>
        </w:rPr>
      </w:pPr>
    </w:p>
    <w:p w14:paraId="4DA17A88">
      <w:pPr>
        <w:spacing w:before="91" w:beforeLines="0" w:afterLines="0" w:line="360" w:lineRule="auto"/>
        <w:ind w:left="3301"/>
        <w:outlineLvl w:val="1"/>
        <w:rPr>
          <w:rFonts w:hint="default" w:hAnsi="宋体" w:cs="宋体"/>
          <w:color w:val="auto"/>
          <w:sz w:val="24"/>
          <w:szCs w:val="24"/>
          <w:highlight w:val="none"/>
        </w:rPr>
      </w:pPr>
      <w:r>
        <w:rPr>
          <w:rFonts w:hint="default" w:hAnsi="宋体" w:cs="宋体"/>
          <w:b/>
          <w:bCs/>
          <w:color w:val="auto"/>
          <w:spacing w:val="-4"/>
          <w:sz w:val="28"/>
          <w:szCs w:val="28"/>
          <w:highlight w:val="none"/>
        </w:rPr>
        <w:t>第</w:t>
      </w:r>
      <w:r>
        <w:rPr>
          <w:rFonts w:hint="default" w:hAnsi="宋体" w:cs="宋体"/>
          <w:b/>
          <w:bCs/>
          <w:color w:val="auto"/>
          <w:spacing w:val="-2"/>
          <w:sz w:val="28"/>
          <w:szCs w:val="28"/>
          <w:highlight w:val="none"/>
        </w:rPr>
        <w:t>三部分  合同专用条款</w:t>
      </w:r>
    </w:p>
    <w:p w14:paraId="172A14A1">
      <w:pPr>
        <w:spacing w:before="208" w:beforeLines="0" w:afterLines="0" w:line="360" w:lineRule="auto"/>
        <w:ind w:left="13" w:right="18" w:firstLine="478"/>
        <w:rPr>
          <w:rFonts w:hint="default" w:hAnsi="宋体" w:cs="宋体"/>
          <w:color w:val="auto"/>
          <w:sz w:val="24"/>
          <w:szCs w:val="24"/>
          <w:highlight w:val="none"/>
        </w:rPr>
      </w:pPr>
      <w:r>
        <w:rPr>
          <w:rFonts w:hint="default" w:hAnsi="宋体" w:cs="宋体"/>
          <w:color w:val="auto"/>
          <w:spacing w:val="2"/>
          <w:sz w:val="24"/>
          <w:szCs w:val="24"/>
          <w:highlight w:val="none"/>
        </w:rPr>
        <w:t>本部分是对前两部分的补充和修改，如果前两部分</w:t>
      </w:r>
      <w:r>
        <w:rPr>
          <w:rFonts w:hint="default" w:hAnsi="宋体" w:cs="宋体"/>
          <w:color w:val="auto"/>
          <w:spacing w:val="1"/>
          <w:sz w:val="24"/>
          <w:szCs w:val="24"/>
          <w:highlight w:val="none"/>
        </w:rPr>
        <w:t>和本部分的约定不一致，应</w:t>
      </w:r>
      <w:r>
        <w:rPr>
          <w:rFonts w:hint="default" w:hAnsi="宋体" w:cs="宋体"/>
          <w:color w:val="auto"/>
          <w:spacing w:val="2"/>
          <w:sz w:val="24"/>
          <w:szCs w:val="24"/>
          <w:highlight w:val="none"/>
        </w:rPr>
        <w:t>以本部分的约定为准。本部分的条款号应与前两部</w:t>
      </w:r>
      <w:r>
        <w:rPr>
          <w:rFonts w:hint="default" w:hAnsi="宋体" w:cs="宋体"/>
          <w:color w:val="auto"/>
          <w:spacing w:val="1"/>
          <w:sz w:val="24"/>
          <w:szCs w:val="24"/>
          <w:highlight w:val="none"/>
        </w:rPr>
        <w:t>分的条款号保持对应；与前两部</w:t>
      </w:r>
      <w:r>
        <w:rPr>
          <w:rFonts w:hint="default" w:hAnsi="宋体" w:cs="宋体"/>
          <w:color w:val="auto"/>
          <w:sz w:val="24"/>
          <w:szCs w:val="24"/>
          <w:highlight w:val="none"/>
        </w:rPr>
        <w:t xml:space="preserve"> </w:t>
      </w:r>
      <w:r>
        <w:rPr>
          <w:rFonts w:hint="default" w:hAnsi="宋体" w:cs="宋体"/>
          <w:color w:val="auto"/>
          <w:spacing w:val="-2"/>
          <w:sz w:val="24"/>
          <w:szCs w:val="24"/>
          <w:highlight w:val="none"/>
        </w:rPr>
        <w:t>分无对应关系的内容可另行编制条款号。</w:t>
      </w:r>
    </w:p>
    <w:p w14:paraId="2112520A">
      <w:pPr>
        <w:spacing w:beforeLines="0" w:afterLines="0" w:line="360" w:lineRule="auto"/>
        <w:ind w:left="500"/>
        <w:rPr>
          <w:rFonts w:hint="default" w:hAnsi="宋体" w:cs="宋体"/>
          <w:color w:val="auto"/>
          <w:sz w:val="24"/>
          <w:szCs w:val="24"/>
          <w:highlight w:val="none"/>
        </w:rPr>
      </w:pPr>
      <w:r>
        <w:rPr>
          <w:rFonts w:hint="default" w:hAnsi="宋体" w:cs="宋体"/>
          <w:color w:val="auto"/>
          <w:spacing w:val="-10"/>
          <w:sz w:val="24"/>
          <w:szCs w:val="24"/>
          <w:highlight w:val="none"/>
        </w:rPr>
        <w:t>2</w:t>
      </w:r>
      <w:r>
        <w:rPr>
          <w:rFonts w:hint="default" w:hAnsi="宋体" w:cs="宋体"/>
          <w:color w:val="auto"/>
          <w:spacing w:val="-8"/>
          <w:sz w:val="24"/>
          <w:szCs w:val="24"/>
          <w:highlight w:val="none"/>
        </w:rPr>
        <w:t>.</w:t>
      </w:r>
      <w:r>
        <w:rPr>
          <w:rFonts w:hint="default" w:hAnsi="宋体" w:cs="宋体"/>
          <w:color w:val="auto"/>
          <w:spacing w:val="-5"/>
          <w:sz w:val="24"/>
          <w:szCs w:val="24"/>
          <w:highlight w:val="none"/>
        </w:rPr>
        <w:t>3.2 具有知识产权的标的物知识产权归属：</w:t>
      </w:r>
    </w:p>
    <w:p w14:paraId="35E99FC5">
      <w:pPr>
        <w:spacing w:before="108" w:beforeLines="0" w:afterLines="0" w:line="360" w:lineRule="auto"/>
        <w:ind w:left="500"/>
        <w:rPr>
          <w:rFonts w:hint="default" w:hAnsi="宋体" w:cs="宋体"/>
          <w:color w:val="auto"/>
          <w:sz w:val="24"/>
          <w:szCs w:val="24"/>
          <w:highlight w:val="none"/>
        </w:rPr>
      </w:pPr>
      <w:r>
        <w:rPr>
          <w:rFonts w:hint="default" w:hAnsi="宋体" w:cs="宋体"/>
          <w:color w:val="auto"/>
          <w:spacing w:val="-2"/>
          <w:sz w:val="24"/>
          <w:szCs w:val="24"/>
          <w:highlight w:val="none"/>
        </w:rPr>
        <w:t>2.4.1 包装和装运专用</w:t>
      </w:r>
      <w:r>
        <w:rPr>
          <w:rFonts w:hint="default" w:hAnsi="宋体" w:cs="宋体"/>
          <w:color w:val="auto"/>
          <w:spacing w:val="-1"/>
          <w:sz w:val="24"/>
          <w:szCs w:val="24"/>
          <w:highlight w:val="none"/>
        </w:rPr>
        <w:t>条款 (如果有)：</w:t>
      </w:r>
    </w:p>
    <w:p w14:paraId="2F31B5B9">
      <w:pPr>
        <w:spacing w:before="96" w:beforeLines="0" w:afterLines="0" w:line="360" w:lineRule="auto"/>
        <w:ind w:left="500"/>
        <w:rPr>
          <w:rFonts w:hint="default" w:hAnsi="宋体" w:cs="宋体"/>
          <w:color w:val="auto"/>
          <w:sz w:val="24"/>
          <w:szCs w:val="24"/>
          <w:highlight w:val="none"/>
        </w:rPr>
      </w:pPr>
      <w:r>
        <w:rPr>
          <w:rFonts w:hint="default" w:hAnsi="宋体" w:cs="宋体"/>
          <w:color w:val="auto"/>
          <w:spacing w:val="-8"/>
          <w:sz w:val="24"/>
          <w:szCs w:val="24"/>
          <w:highlight w:val="none"/>
        </w:rPr>
        <w:t>2.4.2 装运标的物的要求和通知</w:t>
      </w:r>
      <w:r>
        <w:rPr>
          <w:rFonts w:hint="default" w:hAnsi="宋体" w:cs="宋体"/>
          <w:color w:val="auto"/>
          <w:spacing w:val="-6"/>
          <w:sz w:val="24"/>
          <w:szCs w:val="24"/>
          <w:highlight w:val="none"/>
        </w:rPr>
        <w:t>：</w:t>
      </w:r>
    </w:p>
    <w:p w14:paraId="3502DA82">
      <w:pPr>
        <w:spacing w:before="97" w:beforeLines="0" w:afterLines="0" w:line="360" w:lineRule="auto"/>
        <w:ind w:left="500"/>
        <w:rPr>
          <w:rFonts w:hint="default" w:hAnsi="宋体" w:cs="宋体"/>
          <w:color w:val="auto"/>
          <w:sz w:val="24"/>
          <w:szCs w:val="24"/>
          <w:highlight w:val="none"/>
        </w:rPr>
      </w:pPr>
      <w:r>
        <w:rPr>
          <w:rFonts w:hint="default" w:hAnsi="宋体" w:cs="宋体"/>
          <w:color w:val="auto"/>
          <w:spacing w:val="-7"/>
          <w:sz w:val="24"/>
          <w:szCs w:val="24"/>
          <w:highlight w:val="none"/>
        </w:rPr>
        <w:t>2.6 结算方式和付款条件</w:t>
      </w:r>
    </w:p>
    <w:p w14:paraId="61F4612D">
      <w:pPr>
        <w:spacing w:before="79" w:beforeLines="0" w:afterLines="0" w:line="360" w:lineRule="auto"/>
        <w:ind w:left="491"/>
        <w:rPr>
          <w:rFonts w:hint="default" w:hAnsi="宋体" w:cs="宋体"/>
          <w:color w:val="auto"/>
          <w:sz w:val="24"/>
          <w:szCs w:val="24"/>
          <w:highlight w:val="none"/>
        </w:rPr>
      </w:pPr>
      <w:r>
        <w:rPr>
          <w:rFonts w:hint="default" w:hAnsi="宋体" w:cs="宋体"/>
          <w:color w:val="auto"/>
          <w:spacing w:val="-10"/>
          <w:sz w:val="24"/>
          <w:szCs w:val="24"/>
          <w:highlight w:val="none"/>
        </w:rPr>
        <w:t>本</w:t>
      </w:r>
      <w:r>
        <w:rPr>
          <w:rFonts w:hint="default" w:hAnsi="宋体" w:cs="宋体"/>
          <w:color w:val="auto"/>
          <w:spacing w:val="-6"/>
          <w:sz w:val="24"/>
          <w:szCs w:val="24"/>
          <w:highlight w:val="none"/>
        </w:rPr>
        <w:t xml:space="preserve">次项目合同总价为大写人民币 </w:t>
      </w:r>
      <w:r>
        <w:rPr>
          <w:rFonts w:hint="default" w:hAnsi="宋体" w:cs="宋体"/>
          <w:color w:val="auto"/>
          <w:spacing w:val="-6"/>
          <w:sz w:val="24"/>
          <w:szCs w:val="24"/>
          <w:highlight w:val="none"/>
          <w:u w:val="single" w:color="auto"/>
        </w:rPr>
        <w:t xml:space="preserve">             ( </w:t>
      </w:r>
      <w:r>
        <w:rPr>
          <w:rFonts w:hint="default" w:hAnsi="宋体" w:cs="宋体"/>
          <w:color w:val="auto"/>
          <w:spacing w:val="-6"/>
          <w:sz w:val="24"/>
          <w:szCs w:val="24"/>
          <w:highlight w:val="none"/>
        </w:rPr>
        <w:t xml:space="preserve"> ￥    元) 。本项目采用以下</w:t>
      </w:r>
      <w:r>
        <w:rPr>
          <w:rFonts w:hint="default" w:hAnsi="宋体" w:cs="宋体"/>
          <w:color w:val="auto"/>
          <w:spacing w:val="-2"/>
          <w:sz w:val="24"/>
          <w:szCs w:val="24"/>
          <w:highlight w:val="none"/>
        </w:rPr>
        <w:t>勾选结算方式进行支付</w:t>
      </w:r>
      <w:r>
        <w:rPr>
          <w:rFonts w:hint="default" w:hAnsi="宋体" w:cs="宋体"/>
          <w:color w:val="auto"/>
          <w:spacing w:val="-1"/>
          <w:sz w:val="24"/>
          <w:szCs w:val="24"/>
          <w:highlight w:val="none"/>
        </w:rPr>
        <w:t>：</w:t>
      </w:r>
    </w:p>
    <w:p w14:paraId="1E8BCEC4">
      <w:pPr>
        <w:spacing w:before="80" w:beforeLines="0" w:afterLines="0" w:line="360" w:lineRule="auto"/>
        <w:ind w:left="519"/>
        <w:rPr>
          <w:rFonts w:hint="default" w:hAnsi="宋体" w:cs="宋体"/>
          <w:color w:val="auto"/>
          <w:sz w:val="24"/>
          <w:szCs w:val="24"/>
          <w:highlight w:val="none"/>
        </w:rPr>
      </w:pPr>
      <w:r>
        <w:rPr>
          <w:rFonts w:hint="default" w:hAnsi="宋体" w:cs="宋体"/>
          <w:color w:val="auto"/>
          <w:spacing w:val="-24"/>
          <w:sz w:val="24"/>
          <w:szCs w:val="24"/>
          <w:highlight w:val="none"/>
        </w:rPr>
        <w:t>□</w:t>
      </w:r>
      <w:r>
        <w:rPr>
          <w:rFonts w:hint="default" w:hAnsi="宋体" w:cs="宋体"/>
          <w:color w:val="auto"/>
          <w:spacing w:val="-16"/>
          <w:sz w:val="24"/>
          <w:szCs w:val="24"/>
          <w:highlight w:val="none"/>
        </w:rPr>
        <w:t>采用一次性支付方式， 付款条件为：</w:t>
      </w:r>
      <w:r>
        <w:rPr>
          <w:rFonts w:hint="default" w:hAnsi="宋体" w:cs="宋体"/>
          <w:color w:val="auto"/>
          <w:sz w:val="24"/>
          <w:szCs w:val="24"/>
          <w:highlight w:val="none"/>
          <w:u w:val="single" w:color="auto"/>
        </w:rPr>
        <w:t xml:space="preserve">            </w:t>
      </w:r>
    </w:p>
    <w:p w14:paraId="1159D711">
      <w:pPr>
        <w:spacing w:before="81" w:beforeLines="0" w:afterLines="0" w:line="360" w:lineRule="auto"/>
        <w:ind w:left="519"/>
        <w:rPr>
          <w:rFonts w:hint="default" w:hAnsi="宋体" w:cs="宋体"/>
          <w:color w:val="auto"/>
          <w:sz w:val="24"/>
          <w:szCs w:val="24"/>
          <w:highlight w:val="none"/>
        </w:rPr>
      </w:pPr>
      <w:r>
        <w:rPr>
          <w:rFonts w:hint="default" w:hAnsi="宋体" w:cs="宋体"/>
          <w:color w:val="auto"/>
          <w:spacing w:val="-14"/>
          <w:sz w:val="24"/>
          <w:szCs w:val="24"/>
          <w:highlight w:val="none"/>
        </w:rPr>
        <w:t>□</w:t>
      </w:r>
      <w:r>
        <w:rPr>
          <w:rFonts w:hint="default" w:hAnsi="宋体" w:cs="宋体"/>
          <w:color w:val="auto"/>
          <w:spacing w:val="-9"/>
          <w:sz w:val="24"/>
          <w:szCs w:val="24"/>
          <w:highlight w:val="none"/>
        </w:rPr>
        <w:t>采用分期付款方式， 付款条件为：</w:t>
      </w:r>
    </w:p>
    <w:p w14:paraId="2B451AB3">
      <w:pPr>
        <w:spacing w:before="77" w:beforeLines="0" w:afterLines="0" w:line="360" w:lineRule="auto"/>
        <w:ind w:left="503"/>
        <w:rPr>
          <w:rFonts w:hint="default" w:hAnsi="宋体" w:cs="宋体"/>
          <w:color w:val="auto"/>
          <w:sz w:val="24"/>
          <w:szCs w:val="24"/>
          <w:highlight w:val="none"/>
        </w:rPr>
      </w:pPr>
      <w:r>
        <w:rPr>
          <w:rFonts w:hint="default" w:hAnsi="宋体" w:cs="宋体"/>
          <w:color w:val="auto"/>
          <w:spacing w:val="-8"/>
          <w:sz w:val="24"/>
          <w:szCs w:val="24"/>
          <w:highlight w:val="none"/>
        </w:rPr>
        <w:t>第</w:t>
      </w:r>
      <w:r>
        <w:rPr>
          <w:rFonts w:hint="default" w:hAnsi="宋体" w:cs="宋体"/>
          <w:color w:val="auto"/>
          <w:spacing w:val="-5"/>
          <w:sz w:val="24"/>
          <w:szCs w:val="24"/>
          <w:highlight w:val="none"/>
        </w:rPr>
        <w:t>一期付款：</w:t>
      </w:r>
      <w:r>
        <w:rPr>
          <w:rFonts w:hint="default" w:hAnsi="宋体" w:cs="宋体"/>
          <w:color w:val="auto"/>
          <w:sz w:val="24"/>
          <w:szCs w:val="24"/>
          <w:highlight w:val="none"/>
          <w:u w:val="single" w:color="auto"/>
        </w:rPr>
        <w:t xml:space="preserve">                               </w:t>
      </w:r>
    </w:p>
    <w:p w14:paraId="3F06B703">
      <w:pPr>
        <w:spacing w:beforeLines="0" w:afterLines="0" w:line="360" w:lineRule="auto"/>
        <w:ind w:left="503"/>
        <w:rPr>
          <w:rFonts w:hint="default" w:hAnsi="宋体" w:cs="宋体"/>
          <w:color w:val="auto"/>
          <w:sz w:val="24"/>
          <w:szCs w:val="24"/>
          <w:highlight w:val="none"/>
        </w:rPr>
      </w:pPr>
      <w:r>
        <w:rPr>
          <w:rFonts w:hint="default" w:hAnsi="宋体" w:cs="宋体"/>
          <w:color w:val="auto"/>
          <w:spacing w:val="-8"/>
          <w:sz w:val="24"/>
          <w:szCs w:val="24"/>
          <w:highlight w:val="none"/>
        </w:rPr>
        <w:t>第</w:t>
      </w:r>
      <w:r>
        <w:rPr>
          <w:rFonts w:hint="default" w:hAnsi="宋体" w:cs="宋体"/>
          <w:color w:val="auto"/>
          <w:spacing w:val="-5"/>
          <w:sz w:val="24"/>
          <w:szCs w:val="24"/>
          <w:highlight w:val="none"/>
        </w:rPr>
        <w:t>二期付款：</w:t>
      </w:r>
      <w:r>
        <w:rPr>
          <w:rFonts w:hint="default" w:hAnsi="宋体" w:cs="宋体"/>
          <w:color w:val="auto"/>
          <w:sz w:val="24"/>
          <w:szCs w:val="24"/>
          <w:highlight w:val="none"/>
          <w:u w:val="single" w:color="auto"/>
        </w:rPr>
        <w:t xml:space="preserve">                                         </w:t>
      </w:r>
    </w:p>
    <w:p w14:paraId="2B661E69">
      <w:pPr>
        <w:spacing w:before="230" w:beforeLines="0" w:afterLines="0" w:line="360" w:lineRule="auto"/>
        <w:ind w:left="521"/>
        <w:rPr>
          <w:rFonts w:hint="default" w:hAnsi="宋体" w:cs="宋体"/>
          <w:color w:val="auto"/>
          <w:sz w:val="24"/>
          <w:szCs w:val="24"/>
          <w:highlight w:val="none"/>
        </w:rPr>
      </w:pPr>
      <w:r>
        <w:rPr>
          <w:rFonts w:hint="default" w:hAnsi="宋体" w:cs="宋体"/>
          <w:color w:val="auto"/>
          <w:spacing w:val="-10"/>
          <w:position w:val="-3"/>
          <w:sz w:val="24"/>
          <w:szCs w:val="24"/>
          <w:highlight w:val="none"/>
        </w:rPr>
        <w:t>……</w:t>
      </w:r>
    </w:p>
    <w:p w14:paraId="1987732D">
      <w:pPr>
        <w:spacing w:before="17" w:beforeLines="0" w:afterLines="0" w:line="360" w:lineRule="auto"/>
        <w:ind w:left="19" w:right="2" w:firstLine="506"/>
        <w:rPr>
          <w:rFonts w:hint="default" w:hAnsi="宋体" w:cs="宋体"/>
          <w:color w:val="auto"/>
          <w:sz w:val="24"/>
          <w:szCs w:val="24"/>
          <w:highlight w:val="none"/>
        </w:rPr>
      </w:pPr>
      <w:r>
        <w:rPr>
          <w:rFonts w:hint="default" w:hAnsi="宋体" w:cs="宋体"/>
          <w:color w:val="auto"/>
          <w:spacing w:val="2"/>
          <w:sz w:val="24"/>
          <w:szCs w:val="24"/>
          <w:highlight w:val="none"/>
        </w:rPr>
        <w:t>甲方无故逾期支</w:t>
      </w:r>
      <w:r>
        <w:rPr>
          <w:rFonts w:hint="default" w:hAnsi="宋体" w:cs="宋体"/>
          <w:color w:val="auto"/>
          <w:spacing w:val="1"/>
          <w:sz w:val="24"/>
          <w:szCs w:val="24"/>
          <w:highlight w:val="none"/>
        </w:rPr>
        <w:t>付费用的，按照每逾期一日支付欠付服务费额度的</w:t>
      </w:r>
      <w:r>
        <w:rPr>
          <w:rFonts w:hint="default" w:hAnsi="宋体" w:cs="宋体"/>
          <w:color w:val="auto"/>
          <w:spacing w:val="1"/>
          <w:sz w:val="24"/>
          <w:szCs w:val="24"/>
          <w:highlight w:val="none"/>
          <w:u w:val="single" w:color="auto"/>
        </w:rPr>
        <w:t>万分之</w:t>
      </w:r>
      <w:r>
        <w:rPr>
          <w:rFonts w:hint="default" w:hAnsi="宋体" w:cs="宋体"/>
          <w:color w:val="auto"/>
          <w:spacing w:val="-2"/>
          <w:sz w:val="24"/>
          <w:szCs w:val="24"/>
          <w:highlight w:val="none"/>
          <w:u w:val="single" w:color="auto"/>
        </w:rPr>
        <w:t>五</w:t>
      </w:r>
      <w:r>
        <w:rPr>
          <w:rFonts w:hint="default" w:hAnsi="宋体" w:cs="宋体"/>
          <w:color w:val="auto"/>
          <w:spacing w:val="-2"/>
          <w:sz w:val="24"/>
          <w:szCs w:val="24"/>
          <w:highlight w:val="none"/>
        </w:rPr>
        <w:t xml:space="preserve"> </w:t>
      </w:r>
      <w:r>
        <w:rPr>
          <w:rFonts w:hint="default" w:hAnsi="宋体" w:cs="宋体"/>
          <w:color w:val="auto"/>
          <w:spacing w:val="-1"/>
          <w:sz w:val="24"/>
          <w:szCs w:val="24"/>
          <w:highlight w:val="none"/>
        </w:rPr>
        <w:t>承担违约责任，违约金上限按照《合同</w:t>
      </w:r>
      <w:r>
        <w:rPr>
          <w:rFonts w:hint="default" w:hAnsi="宋体" w:cs="宋体"/>
          <w:color w:val="auto"/>
          <w:spacing w:val="-28"/>
          <w:sz w:val="24"/>
          <w:szCs w:val="24"/>
          <w:highlight w:val="none"/>
        </w:rPr>
        <w:t>书</w:t>
      </w:r>
      <w:r>
        <w:rPr>
          <w:rFonts w:hint="default" w:hAnsi="宋体" w:cs="宋体"/>
          <w:color w:val="auto"/>
          <w:spacing w:val="-21"/>
          <w:sz w:val="24"/>
          <w:szCs w:val="24"/>
          <w:highlight w:val="none"/>
        </w:rPr>
        <w:t>》 约定执行。</w:t>
      </w:r>
    </w:p>
    <w:p w14:paraId="3164A044">
      <w:pPr>
        <w:spacing w:before="1" w:beforeLines="0" w:afterLines="0" w:line="360" w:lineRule="auto"/>
        <w:ind w:left="500"/>
        <w:rPr>
          <w:rFonts w:hint="default" w:hAnsi="宋体" w:cs="宋体"/>
          <w:color w:val="auto"/>
          <w:sz w:val="24"/>
          <w:szCs w:val="24"/>
          <w:highlight w:val="none"/>
        </w:rPr>
      </w:pPr>
      <w:r>
        <w:rPr>
          <w:rFonts w:hint="default" w:hAnsi="宋体" w:cs="宋体"/>
          <w:color w:val="auto"/>
          <w:spacing w:val="-14"/>
          <w:sz w:val="24"/>
          <w:szCs w:val="24"/>
          <w:highlight w:val="none"/>
        </w:rPr>
        <w:t>2</w:t>
      </w:r>
      <w:r>
        <w:rPr>
          <w:rFonts w:hint="default" w:hAnsi="宋体" w:cs="宋体"/>
          <w:color w:val="auto"/>
          <w:spacing w:val="-7"/>
          <w:sz w:val="24"/>
          <w:szCs w:val="24"/>
          <w:highlight w:val="none"/>
        </w:rPr>
        <w:t>.9 标的物的风险负担</w:t>
      </w:r>
    </w:p>
    <w:p w14:paraId="5841AF15">
      <w:pPr>
        <w:spacing w:before="79" w:beforeLines="0" w:afterLines="0" w:line="360" w:lineRule="auto"/>
        <w:ind w:left="14" w:right="21" w:firstLine="475"/>
        <w:rPr>
          <w:rFonts w:hint="default" w:hAnsi="宋体" w:cs="宋体"/>
          <w:color w:val="auto"/>
          <w:sz w:val="24"/>
          <w:szCs w:val="24"/>
          <w:highlight w:val="none"/>
        </w:rPr>
      </w:pPr>
      <w:r>
        <w:rPr>
          <w:rFonts w:hint="default" w:hAnsi="宋体" w:cs="宋体"/>
          <w:color w:val="auto"/>
          <w:spacing w:val="2"/>
          <w:sz w:val="24"/>
          <w:szCs w:val="24"/>
          <w:highlight w:val="none"/>
        </w:rPr>
        <w:t>标的物或者在途标的物或者交付给第一承运人后的标的</w:t>
      </w:r>
      <w:r>
        <w:rPr>
          <w:rFonts w:hint="default" w:hAnsi="宋体" w:cs="宋体"/>
          <w:color w:val="auto"/>
          <w:spacing w:val="1"/>
          <w:sz w:val="24"/>
          <w:szCs w:val="24"/>
          <w:highlight w:val="none"/>
        </w:rPr>
        <w:t>物毁损、灭失的风险负</w:t>
      </w:r>
      <w:r>
        <w:rPr>
          <w:rFonts w:hint="default" w:hAnsi="宋体" w:cs="宋体"/>
          <w:color w:val="auto"/>
          <w:sz w:val="24"/>
          <w:szCs w:val="24"/>
          <w:highlight w:val="none"/>
        </w:rPr>
        <w:t xml:space="preserve"> </w:t>
      </w:r>
      <w:r>
        <w:rPr>
          <w:rFonts w:hint="default" w:hAnsi="宋体" w:cs="宋体"/>
          <w:color w:val="auto"/>
          <w:spacing w:val="-7"/>
          <w:sz w:val="24"/>
          <w:szCs w:val="24"/>
          <w:highlight w:val="none"/>
        </w:rPr>
        <w:t>担</w:t>
      </w:r>
      <w:r>
        <w:rPr>
          <w:rFonts w:hint="default" w:hAnsi="宋体" w:cs="宋体"/>
          <w:color w:val="auto"/>
          <w:spacing w:val="-6"/>
          <w:sz w:val="24"/>
          <w:szCs w:val="24"/>
          <w:highlight w:val="none"/>
        </w:rPr>
        <w:t>：</w:t>
      </w:r>
    </w:p>
    <w:p w14:paraId="6F7E5117">
      <w:pPr>
        <w:spacing w:before="1" w:beforeLines="0" w:afterLines="0" w:line="360" w:lineRule="auto"/>
        <w:ind w:left="524"/>
        <w:rPr>
          <w:rFonts w:hint="default" w:hAnsi="宋体" w:cs="宋体"/>
          <w:color w:val="auto"/>
          <w:sz w:val="24"/>
          <w:szCs w:val="24"/>
          <w:highlight w:val="none"/>
        </w:rPr>
      </w:pPr>
      <w:r>
        <w:rPr>
          <w:rFonts w:hint="default" w:hAnsi="宋体" w:cs="宋体"/>
          <w:color w:val="auto"/>
          <w:spacing w:val="-22"/>
          <w:sz w:val="24"/>
          <w:szCs w:val="24"/>
          <w:highlight w:val="none"/>
          <w:u w:val="single" w:color="auto"/>
        </w:rPr>
        <w:t>乙</w:t>
      </w:r>
      <w:r>
        <w:rPr>
          <w:rFonts w:hint="default" w:hAnsi="宋体" w:cs="宋体"/>
          <w:color w:val="auto"/>
          <w:spacing w:val="-21"/>
          <w:sz w:val="24"/>
          <w:szCs w:val="24"/>
          <w:highlight w:val="none"/>
          <w:u w:val="single" w:color="auto"/>
        </w:rPr>
        <w:t>方</w:t>
      </w:r>
    </w:p>
    <w:p w14:paraId="6B5FB160">
      <w:pPr>
        <w:spacing w:before="74" w:beforeLines="0" w:afterLines="0" w:line="360" w:lineRule="auto"/>
        <w:ind w:left="21" w:right="4" w:firstLine="479"/>
        <w:rPr>
          <w:rFonts w:hint="default" w:hAnsi="宋体" w:cs="宋体"/>
          <w:color w:val="auto"/>
          <w:sz w:val="24"/>
          <w:szCs w:val="24"/>
          <w:highlight w:val="none"/>
        </w:rPr>
      </w:pPr>
      <w:r>
        <w:rPr>
          <w:rFonts w:hint="default" w:hAnsi="宋体" w:cs="宋体"/>
          <w:color w:val="auto"/>
          <w:spacing w:val="-2"/>
          <w:sz w:val="24"/>
          <w:szCs w:val="24"/>
          <w:highlight w:val="none"/>
        </w:rPr>
        <w:t>2.13.2 受不可抗力影响</w:t>
      </w:r>
      <w:r>
        <w:rPr>
          <w:rFonts w:hint="default" w:hAnsi="宋体" w:cs="宋体"/>
          <w:color w:val="auto"/>
          <w:spacing w:val="-1"/>
          <w:sz w:val="24"/>
          <w:szCs w:val="24"/>
          <w:highlight w:val="none"/>
        </w:rPr>
        <w:t>的一方在不可抗力发生后，应在</w:t>
      </w:r>
      <w:r>
        <w:rPr>
          <w:rFonts w:hint="default" w:hAnsi="宋体" w:cs="宋体"/>
          <w:color w:val="auto"/>
          <w:spacing w:val="-1"/>
          <w:sz w:val="24"/>
          <w:szCs w:val="24"/>
          <w:highlight w:val="none"/>
          <w:u w:val="single" w:color="auto"/>
        </w:rPr>
        <w:t xml:space="preserve">    </w:t>
      </w:r>
      <w:r>
        <w:rPr>
          <w:rFonts w:hint="default" w:hAnsi="宋体" w:cs="宋体"/>
          <w:color w:val="auto"/>
          <w:spacing w:val="-1"/>
          <w:sz w:val="24"/>
          <w:szCs w:val="24"/>
          <w:highlight w:val="none"/>
        </w:rPr>
        <w:t>日内</w:t>
      </w:r>
      <w:r>
        <w:rPr>
          <w:rFonts w:hint="default" w:hAnsi="宋体" w:cs="宋体"/>
          <w:color w:val="auto"/>
          <w:spacing w:val="-2"/>
          <w:sz w:val="24"/>
          <w:szCs w:val="24"/>
          <w:highlight w:val="none"/>
        </w:rPr>
        <w:t>以书面形式通知对</w:t>
      </w:r>
      <w:r>
        <w:rPr>
          <w:rFonts w:hint="default" w:hAnsi="宋体" w:cs="宋体"/>
          <w:color w:val="auto"/>
          <w:spacing w:val="-1"/>
          <w:sz w:val="24"/>
          <w:szCs w:val="24"/>
          <w:highlight w:val="none"/>
        </w:rPr>
        <w:t>方当事人，并在</w:t>
      </w:r>
      <w:r>
        <w:rPr>
          <w:rFonts w:hint="default" w:hAnsi="宋体" w:cs="宋体"/>
          <w:color w:val="auto"/>
          <w:spacing w:val="-1"/>
          <w:sz w:val="24"/>
          <w:szCs w:val="24"/>
          <w:highlight w:val="none"/>
          <w:u w:val="single" w:color="auto"/>
        </w:rPr>
        <w:t xml:space="preserve">   </w:t>
      </w:r>
      <w:r>
        <w:rPr>
          <w:rFonts w:hint="default" w:hAnsi="宋体" w:cs="宋体"/>
          <w:color w:val="auto"/>
          <w:spacing w:val="-1"/>
          <w:sz w:val="24"/>
          <w:szCs w:val="24"/>
          <w:highlight w:val="none"/>
        </w:rPr>
        <w:t>日内，将有</w:t>
      </w:r>
      <w:r>
        <w:rPr>
          <w:rFonts w:hint="default" w:hAnsi="宋体" w:cs="宋体"/>
          <w:color w:val="auto"/>
          <w:spacing w:val="-3"/>
          <w:sz w:val="24"/>
          <w:szCs w:val="24"/>
          <w:highlight w:val="none"/>
        </w:rPr>
        <w:t>关部门出具的证明文件送达对方当事人</w:t>
      </w:r>
      <w:r>
        <w:rPr>
          <w:rFonts w:hint="default" w:hAnsi="宋体" w:cs="宋体"/>
          <w:color w:val="auto"/>
          <w:spacing w:val="-2"/>
          <w:sz w:val="24"/>
          <w:szCs w:val="24"/>
          <w:highlight w:val="none"/>
        </w:rPr>
        <w:t>。</w:t>
      </w:r>
    </w:p>
    <w:p w14:paraId="01E0E46F">
      <w:pPr>
        <w:spacing w:before="3" w:beforeLines="0" w:afterLines="0" w:line="360" w:lineRule="auto"/>
        <w:ind w:left="54" w:right="1" w:firstLine="446"/>
        <w:rPr>
          <w:rFonts w:hint="default" w:hAnsi="宋体" w:cs="宋体"/>
          <w:color w:val="auto"/>
          <w:sz w:val="24"/>
          <w:szCs w:val="24"/>
          <w:highlight w:val="none"/>
        </w:rPr>
      </w:pPr>
      <w:r>
        <w:rPr>
          <w:rFonts w:hint="default" w:hAnsi="宋体" w:cs="宋体"/>
          <w:color w:val="auto"/>
          <w:spacing w:val="-8"/>
          <w:sz w:val="24"/>
          <w:szCs w:val="24"/>
          <w:highlight w:val="none"/>
        </w:rPr>
        <w:t>2</w:t>
      </w:r>
      <w:r>
        <w:rPr>
          <w:rFonts w:hint="default" w:hAnsi="宋体" w:cs="宋体"/>
          <w:color w:val="auto"/>
          <w:spacing w:val="-5"/>
          <w:sz w:val="24"/>
          <w:szCs w:val="24"/>
          <w:highlight w:val="none"/>
        </w:rPr>
        <w:t>.</w:t>
      </w:r>
      <w:r>
        <w:rPr>
          <w:rFonts w:hint="default" w:hAnsi="宋体" w:cs="宋体"/>
          <w:color w:val="auto"/>
          <w:spacing w:val="-4"/>
          <w:sz w:val="24"/>
          <w:szCs w:val="24"/>
          <w:highlight w:val="none"/>
        </w:rPr>
        <w:t>13.4 因不可抗力致使合同有变更必要的，双方当事人应在</w:t>
      </w:r>
      <w:r>
        <w:rPr>
          <w:rFonts w:hint="default" w:hAnsi="宋体" w:cs="宋体"/>
          <w:color w:val="auto"/>
          <w:spacing w:val="-4"/>
          <w:sz w:val="24"/>
          <w:szCs w:val="24"/>
          <w:highlight w:val="none"/>
          <w:u w:val="single" w:color="auto"/>
        </w:rPr>
        <w:t xml:space="preserve">    </w:t>
      </w:r>
      <w:r>
        <w:rPr>
          <w:rFonts w:hint="default" w:hAnsi="宋体" w:cs="宋体"/>
          <w:color w:val="auto"/>
          <w:spacing w:val="-4"/>
          <w:sz w:val="24"/>
          <w:szCs w:val="24"/>
          <w:highlight w:val="none"/>
        </w:rPr>
        <w:t>日内</w:t>
      </w:r>
      <w:r>
        <w:rPr>
          <w:rFonts w:hint="default" w:hAnsi="宋体" w:cs="宋体"/>
          <w:color w:val="auto"/>
          <w:spacing w:val="-5"/>
          <w:sz w:val="24"/>
          <w:szCs w:val="24"/>
          <w:highlight w:val="none"/>
        </w:rPr>
        <w:t>以书面形式变更合同；</w:t>
      </w:r>
    </w:p>
    <w:p w14:paraId="111B2296">
      <w:pPr>
        <w:spacing w:before="2" w:beforeLines="0" w:afterLines="0" w:line="360" w:lineRule="auto"/>
        <w:ind w:left="8" w:right="5" w:firstLine="492"/>
        <w:rPr>
          <w:rFonts w:hint="default" w:hAnsi="宋体" w:cs="宋体"/>
          <w:color w:val="auto"/>
          <w:sz w:val="24"/>
          <w:szCs w:val="24"/>
          <w:highlight w:val="none"/>
        </w:rPr>
      </w:pPr>
      <w:r>
        <w:rPr>
          <w:rFonts w:hint="default" w:hAnsi="宋体" w:cs="宋体"/>
          <w:color w:val="auto"/>
          <w:spacing w:val="-8"/>
          <w:sz w:val="24"/>
          <w:szCs w:val="24"/>
          <w:highlight w:val="none"/>
        </w:rPr>
        <w:t>2.17.1</w:t>
      </w:r>
      <w:r>
        <w:rPr>
          <w:rFonts w:hint="default" w:hAnsi="宋体" w:cs="宋体"/>
          <w:color w:val="auto"/>
          <w:spacing w:val="-4"/>
          <w:sz w:val="24"/>
          <w:szCs w:val="24"/>
          <w:highlight w:val="none"/>
        </w:rPr>
        <w:t xml:space="preserve"> 标的物交付前，乙方应对标的物的质量、数量等方面进行详细、全面的</w:t>
      </w:r>
      <w:r>
        <w:rPr>
          <w:rFonts w:hint="default" w:hAnsi="宋体" w:cs="宋体"/>
          <w:color w:val="auto"/>
          <w:spacing w:val="16"/>
          <w:sz w:val="24"/>
          <w:szCs w:val="24"/>
          <w:highlight w:val="none"/>
        </w:rPr>
        <w:t>检验，</w:t>
      </w:r>
      <w:r>
        <w:rPr>
          <w:rFonts w:hint="default" w:hAnsi="宋体" w:cs="宋体"/>
          <w:color w:val="auto"/>
          <w:spacing w:val="11"/>
          <w:sz w:val="24"/>
          <w:szCs w:val="24"/>
          <w:highlight w:val="none"/>
        </w:rPr>
        <w:t>并</w:t>
      </w:r>
      <w:r>
        <w:rPr>
          <w:rFonts w:hint="default" w:hAnsi="宋体" w:cs="宋体"/>
          <w:color w:val="auto"/>
          <w:spacing w:val="8"/>
          <w:sz w:val="24"/>
          <w:szCs w:val="24"/>
          <w:highlight w:val="none"/>
        </w:rPr>
        <w:t>向 甲方出具证明标的物符合合同约定的文件；标的物交付时，乙方在</w:t>
      </w:r>
      <w:r>
        <w:rPr>
          <w:rFonts w:hint="default" w:hAnsi="宋体" w:cs="宋体"/>
          <w:color w:val="auto"/>
          <w:spacing w:val="1"/>
          <w:sz w:val="24"/>
          <w:szCs w:val="24"/>
          <w:highlight w:val="none"/>
          <w:u w:val="single"/>
        </w:rPr>
        <w:t>日</w:t>
      </w:r>
      <w:r>
        <w:rPr>
          <w:rFonts w:hint="default" w:hAnsi="宋体" w:cs="宋体"/>
          <w:color w:val="auto"/>
          <w:spacing w:val="1"/>
          <w:sz w:val="24"/>
          <w:szCs w:val="24"/>
          <w:highlight w:val="none"/>
        </w:rPr>
        <w:t>内发起验收，</w:t>
      </w:r>
      <w:r>
        <w:rPr>
          <w:rFonts w:hint="default" w:hAnsi="宋体" w:cs="宋体"/>
          <w:color w:val="auto"/>
          <w:sz w:val="24"/>
          <w:szCs w:val="24"/>
          <w:highlight w:val="none"/>
        </w:rPr>
        <w:t>并可依法邀请相关方参加，验收应出具验收</w:t>
      </w:r>
      <w:r>
        <w:rPr>
          <w:rFonts w:hint="default" w:hAnsi="宋体" w:cs="宋体"/>
          <w:color w:val="auto"/>
          <w:spacing w:val="-18"/>
          <w:sz w:val="24"/>
          <w:szCs w:val="24"/>
          <w:highlight w:val="none"/>
        </w:rPr>
        <w:t>书。</w:t>
      </w:r>
    </w:p>
    <w:p w14:paraId="7EB2356F">
      <w:pPr>
        <w:spacing w:beforeLines="0" w:afterLines="0" w:line="360" w:lineRule="auto"/>
        <w:ind w:firstLine="452" w:firstLineChars="200"/>
        <w:rPr>
          <w:rFonts w:hint="default" w:hAnsi="宋体" w:cs="宋体"/>
          <w:color w:val="auto"/>
          <w:spacing w:val="-4"/>
          <w:sz w:val="24"/>
          <w:szCs w:val="24"/>
          <w:highlight w:val="none"/>
        </w:rPr>
      </w:pPr>
      <w:r>
        <w:rPr>
          <w:rFonts w:hint="default" w:hAnsi="宋体" w:cs="宋体"/>
          <w:color w:val="auto"/>
          <w:spacing w:val="-7"/>
          <w:sz w:val="24"/>
          <w:szCs w:val="24"/>
          <w:highlight w:val="none"/>
        </w:rPr>
        <w:t>2</w:t>
      </w:r>
      <w:r>
        <w:rPr>
          <w:rFonts w:hint="default" w:hAnsi="宋体" w:cs="宋体"/>
          <w:color w:val="auto"/>
          <w:spacing w:val="-4"/>
          <w:sz w:val="24"/>
          <w:szCs w:val="24"/>
          <w:highlight w:val="none"/>
        </w:rPr>
        <w:t>.17.3 检验和验收标准、程序等具体内容以及前述验收书的效力。</w:t>
      </w:r>
    </w:p>
    <w:p w14:paraId="3ACD0E13">
      <w:pPr>
        <w:rPr>
          <w:rFonts w:hint="default" w:hAnsi="宋体" w:cs="宋体"/>
          <w:color w:val="auto"/>
          <w:spacing w:val="-4"/>
          <w:sz w:val="24"/>
          <w:szCs w:val="24"/>
          <w:highlight w:val="none"/>
        </w:rPr>
      </w:pPr>
      <w:r>
        <w:rPr>
          <w:rFonts w:hint="default" w:hAnsi="宋体" w:cs="宋体"/>
          <w:color w:val="auto"/>
          <w:spacing w:val="-4"/>
          <w:sz w:val="24"/>
          <w:szCs w:val="24"/>
          <w:highlight w:val="none"/>
        </w:rPr>
        <w:br w:type="page"/>
      </w:r>
    </w:p>
    <w:p w14:paraId="13A4388A">
      <w:pPr>
        <w:spacing w:beforeLines="0" w:afterLines="0" w:line="360" w:lineRule="auto"/>
        <w:ind w:firstLine="464" w:firstLineChars="200"/>
        <w:rPr>
          <w:rFonts w:hint="default" w:hAnsi="宋体" w:cs="宋体"/>
          <w:color w:val="auto"/>
          <w:spacing w:val="-4"/>
          <w:sz w:val="24"/>
          <w:szCs w:val="24"/>
          <w:highlight w:val="none"/>
        </w:rPr>
      </w:pPr>
    </w:p>
    <w:p w14:paraId="4F222DE1">
      <w:pPr>
        <w:rPr>
          <w:rFonts w:hint="eastAsia" w:ascii="宋体" w:hAnsi="宋体" w:eastAsia="宋体" w:cs="宋体"/>
          <w:b/>
          <w:bCs/>
          <w:color w:val="auto"/>
          <w:spacing w:val="2"/>
          <w:sz w:val="35"/>
          <w:szCs w:val="35"/>
          <w:highlight w:val="none"/>
        </w:rPr>
      </w:pPr>
    </w:p>
    <w:p w14:paraId="37EBDE6F">
      <w:pPr>
        <w:spacing w:before="113" w:line="225" w:lineRule="auto"/>
        <w:ind w:left="3236"/>
        <w:outlineLvl w:val="0"/>
        <w:rPr>
          <w:rFonts w:hint="eastAsia" w:ascii="宋体" w:hAnsi="宋体" w:eastAsia="宋体" w:cs="宋体"/>
          <w:color w:val="auto"/>
          <w:sz w:val="35"/>
          <w:szCs w:val="35"/>
          <w:highlight w:val="none"/>
        </w:rPr>
      </w:pPr>
      <w:bookmarkStart w:id="77" w:name="_Toc28919"/>
      <w:bookmarkStart w:id="78" w:name="_Toc29309"/>
      <w:r>
        <w:rPr>
          <w:rFonts w:hint="eastAsia" w:ascii="宋体" w:hAnsi="宋体" w:eastAsia="宋体" w:cs="宋体"/>
          <w:b/>
          <w:bCs/>
          <w:color w:val="auto"/>
          <w:spacing w:val="2"/>
          <w:sz w:val="35"/>
          <w:szCs w:val="35"/>
          <w:highlight w:val="none"/>
        </w:rPr>
        <w:t>第六章</w:t>
      </w:r>
      <w:r>
        <w:rPr>
          <w:rFonts w:hint="eastAsia" w:ascii="宋体" w:hAnsi="宋体" w:eastAsia="宋体" w:cs="宋体"/>
          <w:color w:val="auto"/>
          <w:spacing w:val="73"/>
          <w:sz w:val="35"/>
          <w:szCs w:val="35"/>
          <w:highlight w:val="none"/>
        </w:rPr>
        <w:t xml:space="preserve">  </w:t>
      </w:r>
      <w:r>
        <w:rPr>
          <w:rFonts w:hint="eastAsia" w:ascii="宋体" w:hAnsi="宋体" w:eastAsia="宋体" w:cs="宋体"/>
          <w:b/>
          <w:bCs/>
          <w:color w:val="auto"/>
          <w:spacing w:val="2"/>
          <w:sz w:val="35"/>
          <w:szCs w:val="35"/>
          <w:highlight w:val="none"/>
        </w:rPr>
        <w:t>响应文件格式</w:t>
      </w:r>
      <w:bookmarkEnd w:id="77"/>
      <w:bookmarkEnd w:id="78"/>
    </w:p>
    <w:p w14:paraId="6E805AAD">
      <w:pPr>
        <w:pStyle w:val="4"/>
        <w:spacing w:line="399" w:lineRule="auto"/>
        <w:rPr>
          <w:rFonts w:hint="eastAsia" w:ascii="宋体" w:hAnsi="宋体" w:eastAsia="宋体" w:cs="宋体"/>
          <w:color w:val="auto"/>
          <w:highlight w:val="none"/>
        </w:rPr>
      </w:pPr>
    </w:p>
    <w:p w14:paraId="5DA81CCE">
      <w:pPr>
        <w:spacing w:before="101" w:line="225" w:lineRule="auto"/>
        <w:outlineLvl w:val="9"/>
        <w:rPr>
          <w:rFonts w:hint="eastAsia" w:ascii="宋体" w:hAnsi="宋体" w:eastAsia="宋体" w:cs="宋体"/>
          <w:color w:val="auto"/>
          <w:sz w:val="31"/>
          <w:szCs w:val="31"/>
          <w:highlight w:val="none"/>
        </w:rPr>
      </w:pPr>
      <w:bookmarkStart w:id="79" w:name="bookmark55"/>
      <w:bookmarkEnd w:id="79"/>
      <w:r>
        <w:rPr>
          <w:rFonts w:hint="eastAsia" w:ascii="宋体" w:hAnsi="宋体" w:eastAsia="宋体" w:cs="宋体"/>
          <w:b/>
          <w:bCs/>
          <w:color w:val="auto"/>
          <w:spacing w:val="5"/>
          <w:sz w:val="31"/>
          <w:szCs w:val="31"/>
          <w:highlight w:val="none"/>
        </w:rPr>
        <w:t>第一节：封面</w:t>
      </w:r>
    </w:p>
    <w:p w14:paraId="062DA26E">
      <w:pPr>
        <w:pStyle w:val="4"/>
        <w:spacing w:line="244" w:lineRule="auto"/>
        <w:rPr>
          <w:rFonts w:hint="eastAsia" w:ascii="宋体" w:hAnsi="宋体" w:eastAsia="宋体" w:cs="宋体"/>
          <w:color w:val="auto"/>
          <w:highlight w:val="none"/>
        </w:rPr>
      </w:pPr>
    </w:p>
    <w:p w14:paraId="451866FE">
      <w:pPr>
        <w:spacing w:before="114" w:line="529" w:lineRule="auto"/>
        <w:ind w:left="2257" w:right="4591" w:firstLine="1"/>
        <w:jc w:val="both"/>
        <w:rPr>
          <w:rFonts w:hint="eastAsia" w:ascii="宋体" w:hAnsi="宋体" w:eastAsia="宋体" w:cs="宋体"/>
          <w:color w:val="auto"/>
          <w:spacing w:val="-37"/>
          <w:sz w:val="35"/>
          <w:szCs w:val="35"/>
          <w:highlight w:val="none"/>
        </w:rPr>
      </w:pPr>
      <w:r>
        <w:rPr>
          <w:rFonts w:hint="eastAsia" w:ascii="宋体" w:hAnsi="宋体" w:eastAsia="宋体" w:cs="宋体"/>
          <w:color w:val="auto"/>
          <w:spacing w:val="-37"/>
          <w:sz w:val="35"/>
          <w:szCs w:val="35"/>
          <w:highlight w:val="none"/>
        </w:rPr>
        <w:t>项</w:t>
      </w:r>
      <w:r>
        <w:rPr>
          <w:rFonts w:hint="eastAsia" w:ascii="宋体" w:hAnsi="宋体" w:eastAsia="宋体" w:cs="宋体"/>
          <w:color w:val="auto"/>
          <w:spacing w:val="91"/>
          <w:sz w:val="35"/>
          <w:szCs w:val="35"/>
          <w:highlight w:val="none"/>
        </w:rPr>
        <w:t xml:space="preserve"> </w:t>
      </w:r>
      <w:r>
        <w:rPr>
          <w:rFonts w:hint="eastAsia" w:ascii="宋体" w:hAnsi="宋体" w:eastAsia="宋体" w:cs="宋体"/>
          <w:color w:val="auto"/>
          <w:spacing w:val="-37"/>
          <w:sz w:val="35"/>
          <w:szCs w:val="35"/>
          <w:highlight w:val="none"/>
        </w:rPr>
        <w:t>目</w:t>
      </w:r>
      <w:r>
        <w:rPr>
          <w:rFonts w:hint="eastAsia" w:ascii="宋体" w:hAnsi="宋体" w:eastAsia="宋体" w:cs="宋体"/>
          <w:color w:val="auto"/>
          <w:spacing w:val="22"/>
          <w:sz w:val="35"/>
          <w:szCs w:val="35"/>
          <w:highlight w:val="none"/>
        </w:rPr>
        <w:t xml:space="preserve"> </w:t>
      </w:r>
      <w:r>
        <w:rPr>
          <w:rFonts w:hint="eastAsia" w:ascii="宋体" w:hAnsi="宋体" w:eastAsia="宋体" w:cs="宋体"/>
          <w:color w:val="auto"/>
          <w:spacing w:val="-37"/>
          <w:sz w:val="35"/>
          <w:szCs w:val="35"/>
          <w:highlight w:val="none"/>
        </w:rPr>
        <w:t>编</w:t>
      </w:r>
      <w:r>
        <w:rPr>
          <w:rFonts w:hint="eastAsia" w:ascii="宋体" w:hAnsi="宋体" w:eastAsia="宋体" w:cs="宋体"/>
          <w:color w:val="auto"/>
          <w:spacing w:val="28"/>
          <w:sz w:val="35"/>
          <w:szCs w:val="35"/>
          <w:highlight w:val="none"/>
        </w:rPr>
        <w:t xml:space="preserve"> </w:t>
      </w:r>
      <w:r>
        <w:rPr>
          <w:rFonts w:hint="eastAsia" w:ascii="宋体" w:hAnsi="宋体" w:eastAsia="宋体" w:cs="宋体"/>
          <w:color w:val="auto"/>
          <w:spacing w:val="-37"/>
          <w:sz w:val="35"/>
          <w:szCs w:val="35"/>
          <w:highlight w:val="none"/>
        </w:rPr>
        <w:t>号：</w:t>
      </w:r>
    </w:p>
    <w:p w14:paraId="392F180D">
      <w:pPr>
        <w:spacing w:before="114" w:line="529" w:lineRule="auto"/>
        <w:ind w:left="2257" w:right="4591" w:firstLine="1"/>
        <w:jc w:val="both"/>
        <w:rPr>
          <w:rFonts w:hint="eastAsia" w:ascii="宋体" w:hAnsi="宋体" w:eastAsia="宋体" w:cs="宋体"/>
          <w:color w:val="auto"/>
          <w:sz w:val="35"/>
          <w:szCs w:val="35"/>
          <w:highlight w:val="none"/>
        </w:rPr>
      </w:pPr>
      <w:r>
        <w:rPr>
          <w:rFonts w:hint="eastAsia" w:ascii="宋体" w:hAnsi="宋体" w:eastAsia="宋体" w:cs="宋体"/>
          <w:color w:val="auto"/>
          <w:spacing w:val="-34"/>
          <w:sz w:val="35"/>
          <w:szCs w:val="35"/>
          <w:highlight w:val="none"/>
        </w:rPr>
        <w:t>项</w:t>
      </w:r>
      <w:r>
        <w:rPr>
          <w:rFonts w:hint="eastAsia" w:ascii="宋体" w:hAnsi="宋体" w:eastAsia="宋体" w:cs="宋体"/>
          <w:color w:val="auto"/>
          <w:spacing w:val="87"/>
          <w:sz w:val="35"/>
          <w:szCs w:val="35"/>
          <w:highlight w:val="none"/>
        </w:rPr>
        <w:t xml:space="preserve"> </w:t>
      </w:r>
      <w:r>
        <w:rPr>
          <w:rFonts w:hint="eastAsia" w:ascii="宋体" w:hAnsi="宋体" w:eastAsia="宋体" w:cs="宋体"/>
          <w:color w:val="auto"/>
          <w:spacing w:val="-34"/>
          <w:sz w:val="35"/>
          <w:szCs w:val="35"/>
          <w:highlight w:val="none"/>
        </w:rPr>
        <w:t>目</w:t>
      </w:r>
      <w:r>
        <w:rPr>
          <w:rFonts w:hint="eastAsia" w:ascii="宋体" w:hAnsi="宋体" w:eastAsia="宋体" w:cs="宋体"/>
          <w:color w:val="auto"/>
          <w:spacing w:val="23"/>
          <w:sz w:val="35"/>
          <w:szCs w:val="35"/>
          <w:highlight w:val="none"/>
        </w:rPr>
        <w:t xml:space="preserve"> </w:t>
      </w:r>
      <w:r>
        <w:rPr>
          <w:rFonts w:hint="eastAsia" w:ascii="宋体" w:hAnsi="宋体" w:eastAsia="宋体" w:cs="宋体"/>
          <w:color w:val="auto"/>
          <w:spacing w:val="-34"/>
          <w:sz w:val="35"/>
          <w:szCs w:val="35"/>
          <w:highlight w:val="none"/>
        </w:rPr>
        <w:t>名</w:t>
      </w:r>
      <w:r>
        <w:rPr>
          <w:rFonts w:hint="eastAsia" w:ascii="宋体" w:hAnsi="宋体" w:eastAsia="宋体" w:cs="宋体"/>
          <w:color w:val="auto"/>
          <w:spacing w:val="17"/>
          <w:sz w:val="35"/>
          <w:szCs w:val="35"/>
          <w:highlight w:val="none"/>
        </w:rPr>
        <w:t xml:space="preserve"> </w:t>
      </w:r>
      <w:r>
        <w:rPr>
          <w:rFonts w:hint="eastAsia" w:ascii="宋体" w:hAnsi="宋体" w:eastAsia="宋体" w:cs="宋体"/>
          <w:color w:val="auto"/>
          <w:spacing w:val="-34"/>
          <w:sz w:val="35"/>
          <w:szCs w:val="35"/>
          <w:highlight w:val="none"/>
        </w:rPr>
        <w:t>称：</w:t>
      </w:r>
    </w:p>
    <w:p w14:paraId="59F9179C">
      <w:pPr>
        <w:pStyle w:val="4"/>
        <w:spacing w:line="267" w:lineRule="auto"/>
        <w:rPr>
          <w:rFonts w:hint="eastAsia" w:ascii="宋体" w:hAnsi="宋体" w:eastAsia="宋体" w:cs="宋体"/>
          <w:color w:val="auto"/>
          <w:highlight w:val="none"/>
        </w:rPr>
      </w:pPr>
    </w:p>
    <w:p w14:paraId="490C1A1D">
      <w:pPr>
        <w:pStyle w:val="4"/>
        <w:spacing w:line="268" w:lineRule="auto"/>
        <w:rPr>
          <w:rFonts w:hint="eastAsia" w:ascii="宋体" w:hAnsi="宋体" w:eastAsia="宋体" w:cs="宋体"/>
          <w:color w:val="auto"/>
          <w:highlight w:val="none"/>
        </w:rPr>
      </w:pPr>
    </w:p>
    <w:p w14:paraId="69AFB1D2">
      <w:pPr>
        <w:pStyle w:val="4"/>
        <w:spacing w:line="268" w:lineRule="auto"/>
        <w:rPr>
          <w:rFonts w:hint="eastAsia" w:ascii="宋体" w:hAnsi="宋体" w:eastAsia="宋体" w:cs="宋体"/>
          <w:color w:val="auto"/>
          <w:highlight w:val="none"/>
        </w:rPr>
      </w:pPr>
    </w:p>
    <w:p w14:paraId="074AC74C">
      <w:pPr>
        <w:pStyle w:val="4"/>
        <w:rPr>
          <w:rFonts w:hint="eastAsia" w:ascii="宋体" w:hAnsi="宋体" w:eastAsia="宋体" w:cs="宋体"/>
          <w:color w:val="auto"/>
          <w:highlight w:val="none"/>
        </w:rPr>
      </w:pPr>
    </w:p>
    <w:p w14:paraId="5D4987C2">
      <w:pPr>
        <w:pStyle w:val="4"/>
        <w:rPr>
          <w:rFonts w:hint="eastAsia" w:ascii="宋体" w:hAnsi="宋体" w:eastAsia="宋体" w:cs="宋体"/>
          <w:color w:val="auto"/>
          <w:highlight w:val="none"/>
        </w:rPr>
      </w:pPr>
    </w:p>
    <w:p w14:paraId="194FF460">
      <w:pPr>
        <w:pStyle w:val="4"/>
        <w:rPr>
          <w:rFonts w:hint="eastAsia" w:ascii="宋体" w:hAnsi="宋体" w:eastAsia="宋体" w:cs="宋体"/>
          <w:color w:val="auto"/>
          <w:highlight w:val="none"/>
        </w:rPr>
      </w:pPr>
    </w:p>
    <w:p w14:paraId="4897F77D">
      <w:pPr>
        <w:pStyle w:val="4"/>
        <w:rPr>
          <w:rFonts w:hint="eastAsia" w:ascii="宋体" w:hAnsi="宋体" w:eastAsia="宋体" w:cs="宋体"/>
          <w:color w:val="auto"/>
          <w:highlight w:val="none"/>
        </w:rPr>
      </w:pPr>
    </w:p>
    <w:p w14:paraId="1B950E8D">
      <w:pPr>
        <w:pStyle w:val="4"/>
        <w:spacing w:line="241" w:lineRule="auto"/>
        <w:rPr>
          <w:rFonts w:hint="eastAsia" w:ascii="宋体" w:hAnsi="宋体" w:eastAsia="宋体" w:cs="宋体"/>
          <w:color w:val="auto"/>
          <w:highlight w:val="none"/>
        </w:rPr>
      </w:pPr>
    </w:p>
    <w:p w14:paraId="1C2D9B24">
      <w:pPr>
        <w:spacing w:before="178" w:line="223" w:lineRule="auto"/>
        <w:ind w:left="3935"/>
        <w:rPr>
          <w:rFonts w:hint="eastAsia" w:ascii="宋体" w:hAnsi="宋体" w:eastAsia="宋体" w:cs="宋体"/>
          <w:color w:val="auto"/>
          <w:sz w:val="55"/>
          <w:szCs w:val="55"/>
          <w:highlight w:val="none"/>
        </w:rPr>
      </w:pPr>
      <w:r>
        <w:rPr>
          <w:rFonts w:hint="eastAsia" w:ascii="宋体" w:hAnsi="宋体" w:eastAsia="宋体" w:cs="宋体"/>
          <w:color w:val="auto"/>
          <w:spacing w:val="-3"/>
          <w:sz w:val="55"/>
          <w:szCs w:val="55"/>
          <w:highlight w:val="none"/>
        </w:rPr>
        <w:t>响应文件</w:t>
      </w:r>
    </w:p>
    <w:p w14:paraId="0E911391">
      <w:pPr>
        <w:pStyle w:val="4"/>
        <w:spacing w:line="258" w:lineRule="auto"/>
        <w:rPr>
          <w:rFonts w:hint="eastAsia" w:ascii="宋体" w:hAnsi="宋体" w:eastAsia="宋体" w:cs="宋体"/>
          <w:color w:val="auto"/>
          <w:highlight w:val="none"/>
        </w:rPr>
      </w:pPr>
    </w:p>
    <w:p w14:paraId="23230136">
      <w:pPr>
        <w:pStyle w:val="4"/>
        <w:spacing w:line="259" w:lineRule="auto"/>
        <w:rPr>
          <w:rFonts w:hint="eastAsia" w:ascii="宋体" w:hAnsi="宋体" w:eastAsia="宋体" w:cs="宋体"/>
          <w:color w:val="auto"/>
          <w:highlight w:val="none"/>
        </w:rPr>
      </w:pPr>
    </w:p>
    <w:p w14:paraId="460F61E9">
      <w:pPr>
        <w:pStyle w:val="4"/>
        <w:spacing w:line="259" w:lineRule="auto"/>
        <w:rPr>
          <w:rFonts w:hint="eastAsia" w:ascii="宋体" w:hAnsi="宋体" w:eastAsia="宋体" w:cs="宋体"/>
          <w:color w:val="auto"/>
          <w:highlight w:val="none"/>
        </w:rPr>
      </w:pPr>
    </w:p>
    <w:p w14:paraId="2DB996CB">
      <w:pPr>
        <w:pStyle w:val="4"/>
        <w:spacing w:line="259" w:lineRule="auto"/>
        <w:rPr>
          <w:rFonts w:hint="eastAsia" w:ascii="宋体" w:hAnsi="宋体" w:eastAsia="宋体" w:cs="宋体"/>
          <w:color w:val="auto"/>
          <w:highlight w:val="none"/>
        </w:rPr>
      </w:pPr>
    </w:p>
    <w:p w14:paraId="1031A8C5">
      <w:pPr>
        <w:spacing w:before="114" w:line="225" w:lineRule="auto"/>
        <w:ind w:left="2252"/>
        <w:rPr>
          <w:rFonts w:hint="eastAsia" w:ascii="宋体" w:hAnsi="宋体" w:eastAsia="宋体" w:cs="宋体"/>
          <w:color w:val="auto"/>
          <w:sz w:val="35"/>
          <w:szCs w:val="35"/>
          <w:highlight w:val="none"/>
        </w:rPr>
      </w:pPr>
      <w:r>
        <w:rPr>
          <w:rFonts w:hint="eastAsia" w:ascii="宋体" w:hAnsi="宋体" w:eastAsia="宋体" w:cs="宋体"/>
          <w:color w:val="auto"/>
          <w:spacing w:val="15"/>
          <w:sz w:val="35"/>
          <w:szCs w:val="35"/>
          <w:highlight w:val="none"/>
        </w:rPr>
        <w:t>供 应</w:t>
      </w:r>
      <w:r>
        <w:rPr>
          <w:rFonts w:hint="eastAsia" w:ascii="宋体" w:hAnsi="宋体" w:eastAsia="宋体" w:cs="宋体"/>
          <w:color w:val="auto"/>
          <w:spacing w:val="27"/>
          <w:sz w:val="35"/>
          <w:szCs w:val="35"/>
          <w:highlight w:val="none"/>
        </w:rPr>
        <w:t xml:space="preserve"> </w:t>
      </w:r>
      <w:r>
        <w:rPr>
          <w:rFonts w:hint="eastAsia" w:ascii="宋体" w:hAnsi="宋体" w:eastAsia="宋体" w:cs="宋体"/>
          <w:color w:val="auto"/>
          <w:spacing w:val="15"/>
          <w:sz w:val="35"/>
          <w:szCs w:val="35"/>
          <w:highlight w:val="none"/>
        </w:rPr>
        <w:t>商</w:t>
      </w:r>
      <w:r>
        <w:rPr>
          <w:rFonts w:hint="eastAsia" w:ascii="宋体" w:hAnsi="宋体" w:eastAsia="宋体" w:cs="宋体"/>
          <w:color w:val="auto"/>
          <w:spacing w:val="-45"/>
          <w:sz w:val="35"/>
          <w:szCs w:val="35"/>
          <w:highlight w:val="none"/>
        </w:rPr>
        <w:t>：</w:t>
      </w:r>
      <w:r>
        <w:rPr>
          <w:rFonts w:hint="eastAsia" w:ascii="宋体" w:hAnsi="宋体" w:eastAsia="宋体" w:cs="宋体"/>
          <w:color w:val="auto"/>
          <w:spacing w:val="7"/>
          <w:sz w:val="35"/>
          <w:szCs w:val="35"/>
          <w:highlight w:val="none"/>
        </w:rPr>
        <w:t xml:space="preserve">      </w:t>
      </w:r>
      <w:r>
        <w:rPr>
          <w:rFonts w:hint="eastAsia" w:ascii="宋体" w:hAnsi="宋体" w:eastAsia="宋体" w:cs="宋体"/>
          <w:color w:val="auto"/>
          <w:spacing w:val="-45"/>
          <w:sz w:val="35"/>
          <w:szCs w:val="35"/>
          <w:highlight w:val="none"/>
        </w:rPr>
        <w:t>（</w:t>
      </w:r>
      <w:r>
        <w:rPr>
          <w:rFonts w:hint="eastAsia" w:ascii="宋体" w:hAnsi="宋体" w:eastAsia="宋体" w:cs="宋体"/>
          <w:color w:val="auto"/>
          <w:spacing w:val="15"/>
          <w:sz w:val="35"/>
          <w:szCs w:val="35"/>
          <w:highlight w:val="none"/>
        </w:rPr>
        <w:t>电子签章）</w:t>
      </w:r>
    </w:p>
    <w:p w14:paraId="0E1F18A9">
      <w:pPr>
        <w:pStyle w:val="4"/>
        <w:spacing w:line="479" w:lineRule="auto"/>
        <w:rPr>
          <w:rFonts w:hint="eastAsia" w:ascii="宋体" w:hAnsi="宋体" w:eastAsia="宋体" w:cs="宋体"/>
          <w:color w:val="auto"/>
          <w:highlight w:val="none"/>
        </w:rPr>
      </w:pPr>
    </w:p>
    <w:p w14:paraId="3F1C36F2">
      <w:pPr>
        <w:spacing w:before="114" w:line="225" w:lineRule="auto"/>
        <w:ind w:left="2254"/>
        <w:rPr>
          <w:rFonts w:hint="eastAsia" w:ascii="宋体" w:hAnsi="宋体" w:eastAsia="宋体" w:cs="宋体"/>
          <w:color w:val="auto"/>
          <w:sz w:val="35"/>
          <w:szCs w:val="35"/>
          <w:highlight w:val="none"/>
        </w:rPr>
      </w:pPr>
      <w:r>
        <w:rPr>
          <w:rFonts w:hint="eastAsia" w:ascii="宋体" w:hAnsi="宋体" w:eastAsia="宋体" w:cs="宋体"/>
          <w:color w:val="auto"/>
          <w:spacing w:val="12"/>
          <w:sz w:val="35"/>
          <w:szCs w:val="35"/>
          <w:highlight w:val="none"/>
        </w:rPr>
        <w:t>法定代表人</w:t>
      </w:r>
      <w:r>
        <w:rPr>
          <w:rFonts w:hint="eastAsia" w:ascii="宋体" w:hAnsi="宋体" w:eastAsia="宋体" w:cs="宋体"/>
          <w:color w:val="auto"/>
          <w:spacing w:val="-21"/>
          <w:sz w:val="35"/>
          <w:szCs w:val="35"/>
          <w:highlight w:val="none"/>
        </w:rPr>
        <w:t>：</w:t>
      </w:r>
      <w:r>
        <w:rPr>
          <w:rFonts w:hint="eastAsia" w:ascii="宋体" w:hAnsi="宋体" w:eastAsia="宋体" w:cs="宋体"/>
          <w:color w:val="auto"/>
          <w:spacing w:val="7"/>
          <w:sz w:val="35"/>
          <w:szCs w:val="35"/>
          <w:highlight w:val="none"/>
        </w:rPr>
        <w:t xml:space="preserve">      </w:t>
      </w:r>
      <w:r>
        <w:rPr>
          <w:rFonts w:hint="eastAsia" w:ascii="宋体" w:hAnsi="宋体" w:eastAsia="宋体" w:cs="宋体"/>
          <w:color w:val="auto"/>
          <w:spacing w:val="-21"/>
          <w:sz w:val="35"/>
          <w:szCs w:val="35"/>
          <w:highlight w:val="none"/>
        </w:rPr>
        <w:t>（</w:t>
      </w:r>
      <w:r>
        <w:rPr>
          <w:rFonts w:hint="eastAsia" w:ascii="宋体" w:hAnsi="宋体" w:eastAsia="宋体" w:cs="宋体"/>
          <w:color w:val="auto"/>
          <w:spacing w:val="12"/>
          <w:sz w:val="35"/>
          <w:szCs w:val="35"/>
          <w:highlight w:val="none"/>
        </w:rPr>
        <w:t>电子签章）</w:t>
      </w:r>
    </w:p>
    <w:p w14:paraId="3551CED3">
      <w:pPr>
        <w:pStyle w:val="4"/>
        <w:spacing w:line="477" w:lineRule="auto"/>
        <w:rPr>
          <w:rFonts w:hint="eastAsia" w:ascii="宋体" w:hAnsi="宋体" w:eastAsia="宋体" w:cs="宋体"/>
          <w:color w:val="auto"/>
          <w:highlight w:val="none"/>
        </w:rPr>
      </w:pPr>
    </w:p>
    <w:p w14:paraId="0D76D353">
      <w:pPr>
        <w:spacing w:before="115" w:line="226" w:lineRule="auto"/>
        <w:ind w:left="2314"/>
        <w:rPr>
          <w:rFonts w:hint="eastAsia" w:ascii="宋体" w:hAnsi="宋体" w:eastAsia="宋体" w:cs="宋体"/>
          <w:color w:val="auto"/>
          <w:sz w:val="35"/>
          <w:szCs w:val="35"/>
          <w:highlight w:val="none"/>
        </w:rPr>
      </w:pPr>
      <w:r>
        <w:rPr>
          <w:rFonts w:hint="eastAsia" w:ascii="宋体" w:hAnsi="宋体" w:eastAsia="宋体" w:cs="宋体"/>
          <w:color w:val="auto"/>
          <w:spacing w:val="-25"/>
          <w:sz w:val="35"/>
          <w:szCs w:val="35"/>
          <w:highlight w:val="none"/>
        </w:rPr>
        <w:t>日</w:t>
      </w:r>
      <w:r>
        <w:rPr>
          <w:rFonts w:hint="eastAsia" w:ascii="宋体" w:hAnsi="宋体" w:eastAsia="宋体" w:cs="宋体"/>
          <w:color w:val="auto"/>
          <w:spacing w:val="23"/>
          <w:sz w:val="35"/>
          <w:szCs w:val="35"/>
          <w:highlight w:val="none"/>
        </w:rPr>
        <w:t xml:space="preserve"> </w:t>
      </w:r>
      <w:r>
        <w:rPr>
          <w:rFonts w:hint="eastAsia" w:ascii="宋体" w:hAnsi="宋体" w:eastAsia="宋体" w:cs="宋体"/>
          <w:color w:val="auto"/>
          <w:spacing w:val="-25"/>
          <w:sz w:val="35"/>
          <w:szCs w:val="35"/>
          <w:highlight w:val="none"/>
        </w:rPr>
        <w:t>期：</w:t>
      </w:r>
    </w:p>
    <w:p w14:paraId="1A057916">
      <w:pPr>
        <w:spacing w:line="226" w:lineRule="auto"/>
        <w:rPr>
          <w:rFonts w:hint="eastAsia" w:ascii="宋体" w:hAnsi="宋体" w:eastAsia="宋体" w:cs="宋体"/>
          <w:color w:val="auto"/>
          <w:sz w:val="35"/>
          <w:szCs w:val="35"/>
          <w:highlight w:val="none"/>
        </w:rPr>
      </w:pPr>
    </w:p>
    <w:p w14:paraId="7B4A9B90">
      <w:pPr>
        <w:pStyle w:val="4"/>
        <w:rPr>
          <w:rFonts w:hint="eastAsia" w:ascii="宋体" w:hAnsi="宋体" w:eastAsia="宋体" w:cs="宋体"/>
          <w:color w:val="auto"/>
          <w:highlight w:val="none"/>
        </w:rPr>
        <w:sectPr>
          <w:footerReference r:id="rId7" w:type="default"/>
          <w:pgSz w:w="11906" w:h="16839"/>
          <w:pgMar w:top="1440" w:right="1080" w:bottom="1440" w:left="1080" w:header="0" w:footer="0" w:gutter="0"/>
          <w:pgNumType w:fmt="decimal"/>
          <w:cols w:space="720" w:num="1"/>
        </w:sectPr>
      </w:pPr>
    </w:p>
    <w:p w14:paraId="263DE6AF">
      <w:pPr>
        <w:spacing w:before="101" w:line="225" w:lineRule="auto"/>
        <w:outlineLvl w:val="9"/>
        <w:rPr>
          <w:rFonts w:hint="eastAsia" w:ascii="宋体" w:hAnsi="宋体" w:eastAsia="宋体" w:cs="宋体"/>
          <w:color w:val="auto"/>
          <w:sz w:val="31"/>
          <w:szCs w:val="31"/>
          <w:highlight w:val="none"/>
        </w:rPr>
      </w:pPr>
      <w:bookmarkStart w:id="80" w:name="bookmark57"/>
      <w:bookmarkEnd w:id="80"/>
      <w:r>
        <w:rPr>
          <w:rFonts w:hint="eastAsia" w:ascii="宋体" w:hAnsi="宋体" w:eastAsia="宋体" w:cs="宋体"/>
          <w:b/>
          <w:bCs/>
          <w:color w:val="auto"/>
          <w:spacing w:val="6"/>
          <w:sz w:val="31"/>
          <w:szCs w:val="31"/>
          <w:highlight w:val="none"/>
        </w:rPr>
        <w:t>第二节：资格证明文件格式</w:t>
      </w:r>
    </w:p>
    <w:p w14:paraId="76E2C315">
      <w:pPr>
        <w:pStyle w:val="4"/>
        <w:spacing w:line="242" w:lineRule="auto"/>
        <w:rPr>
          <w:rFonts w:hint="eastAsia" w:ascii="宋体" w:hAnsi="宋体" w:eastAsia="宋体" w:cs="宋体"/>
          <w:color w:val="auto"/>
          <w:highlight w:val="none"/>
        </w:rPr>
      </w:pPr>
    </w:p>
    <w:p w14:paraId="6A7989BA">
      <w:pPr>
        <w:pStyle w:val="4"/>
        <w:spacing w:line="243" w:lineRule="auto"/>
        <w:rPr>
          <w:rFonts w:hint="eastAsia" w:ascii="宋体" w:hAnsi="宋体" w:eastAsia="宋体" w:cs="宋体"/>
          <w:color w:val="auto"/>
          <w:highlight w:val="none"/>
        </w:rPr>
      </w:pPr>
    </w:p>
    <w:p w14:paraId="4F6F13B5">
      <w:pPr>
        <w:spacing w:before="101" w:line="225" w:lineRule="auto"/>
        <w:ind w:left="3745"/>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rPr>
        <w:t>资格证明文件目录</w:t>
      </w:r>
    </w:p>
    <w:p w14:paraId="7A40986D">
      <w:pPr>
        <w:pStyle w:val="4"/>
        <w:spacing w:line="446" w:lineRule="auto"/>
        <w:rPr>
          <w:rFonts w:hint="eastAsia" w:ascii="宋体" w:hAnsi="宋体" w:eastAsia="宋体" w:cs="宋体"/>
          <w:color w:val="auto"/>
          <w:highlight w:val="none"/>
        </w:rPr>
      </w:pPr>
    </w:p>
    <w:p w14:paraId="5ABF0713">
      <w:pPr>
        <w:spacing w:before="78" w:line="220" w:lineRule="auto"/>
        <w:ind w:left="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pacing w:val="-1"/>
          <w:sz w:val="24"/>
          <w:szCs w:val="24"/>
          <w:highlight w:val="none"/>
        </w:rPr>
        <w:t>...........................页码</w:t>
      </w:r>
    </w:p>
    <w:p w14:paraId="27EF844A">
      <w:pPr>
        <w:pStyle w:val="4"/>
        <w:spacing w:line="274" w:lineRule="auto"/>
        <w:rPr>
          <w:rFonts w:hint="eastAsia" w:ascii="宋体" w:hAnsi="宋体" w:eastAsia="宋体" w:cs="宋体"/>
          <w:color w:val="auto"/>
          <w:highlight w:val="none"/>
        </w:rPr>
      </w:pPr>
    </w:p>
    <w:p w14:paraId="30942C0A">
      <w:pPr>
        <w:pStyle w:val="4"/>
        <w:spacing w:line="275" w:lineRule="auto"/>
        <w:rPr>
          <w:rFonts w:hint="eastAsia" w:ascii="宋体" w:hAnsi="宋体" w:eastAsia="宋体" w:cs="宋体"/>
          <w:color w:val="auto"/>
          <w:highlight w:val="none"/>
        </w:rPr>
      </w:pPr>
    </w:p>
    <w:p w14:paraId="0C613EB6">
      <w:pPr>
        <w:spacing w:before="78" w:line="219" w:lineRule="auto"/>
        <w:ind w:left="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eastAsia="宋体" w:cs="宋体"/>
          <w:color w:val="auto"/>
          <w:spacing w:val="-1"/>
          <w:sz w:val="24"/>
          <w:szCs w:val="24"/>
          <w:highlight w:val="none"/>
        </w:rPr>
        <w:t>............页码</w:t>
      </w:r>
    </w:p>
    <w:p w14:paraId="50429D67">
      <w:pPr>
        <w:pStyle w:val="4"/>
        <w:spacing w:line="275" w:lineRule="auto"/>
        <w:rPr>
          <w:rFonts w:hint="eastAsia" w:ascii="宋体" w:hAnsi="宋体" w:eastAsia="宋体" w:cs="宋体"/>
          <w:color w:val="auto"/>
          <w:highlight w:val="none"/>
        </w:rPr>
      </w:pPr>
    </w:p>
    <w:p w14:paraId="71123006">
      <w:pPr>
        <w:pStyle w:val="4"/>
        <w:spacing w:line="275" w:lineRule="auto"/>
        <w:rPr>
          <w:rFonts w:hint="eastAsia" w:ascii="宋体" w:hAnsi="宋体" w:eastAsia="宋体" w:cs="宋体"/>
          <w:color w:val="auto"/>
          <w:highlight w:val="none"/>
        </w:rPr>
      </w:pPr>
    </w:p>
    <w:p w14:paraId="007C0CA5">
      <w:pPr>
        <w:spacing w:before="78"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pacing w:val="-1"/>
          <w:sz w:val="24"/>
          <w:szCs w:val="24"/>
          <w:highlight w:val="none"/>
        </w:rPr>
        <w:t>..............页码</w:t>
      </w:r>
    </w:p>
    <w:p w14:paraId="1058A779">
      <w:pPr>
        <w:pStyle w:val="4"/>
        <w:spacing w:line="276" w:lineRule="auto"/>
        <w:rPr>
          <w:rFonts w:hint="eastAsia" w:ascii="宋体" w:hAnsi="宋体" w:eastAsia="宋体" w:cs="宋体"/>
          <w:color w:val="auto"/>
          <w:highlight w:val="none"/>
        </w:rPr>
      </w:pPr>
    </w:p>
    <w:p w14:paraId="46A21C36">
      <w:pPr>
        <w:pStyle w:val="4"/>
        <w:spacing w:line="276" w:lineRule="auto"/>
        <w:rPr>
          <w:rFonts w:hint="eastAsia" w:ascii="宋体" w:hAnsi="宋体" w:eastAsia="宋体" w:cs="宋体"/>
          <w:color w:val="auto"/>
          <w:highlight w:val="none"/>
        </w:rPr>
      </w:pPr>
    </w:p>
    <w:p w14:paraId="22A5EB1B">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w:t>
      </w:r>
      <w:r>
        <w:rPr>
          <w:rFonts w:hint="eastAsia" w:ascii="宋体" w:hAnsi="宋体" w:eastAsia="宋体" w:cs="宋体"/>
          <w:color w:val="auto"/>
          <w:sz w:val="24"/>
          <w:szCs w:val="24"/>
          <w:highlight w:val="none"/>
          <w:lang w:eastAsia="zh-CN"/>
        </w:rPr>
        <w:t>记录</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........页码</w:t>
      </w:r>
    </w:p>
    <w:p w14:paraId="7910825C">
      <w:pPr>
        <w:pStyle w:val="4"/>
        <w:spacing w:line="275" w:lineRule="auto"/>
        <w:rPr>
          <w:rFonts w:hint="eastAsia" w:ascii="宋体" w:hAnsi="宋体" w:eastAsia="宋体" w:cs="宋体"/>
          <w:color w:val="auto"/>
          <w:highlight w:val="none"/>
        </w:rPr>
      </w:pPr>
    </w:p>
    <w:p w14:paraId="11E04448">
      <w:pPr>
        <w:pStyle w:val="4"/>
        <w:spacing w:line="275" w:lineRule="auto"/>
        <w:rPr>
          <w:rFonts w:hint="eastAsia" w:ascii="宋体" w:hAnsi="宋体" w:eastAsia="宋体" w:cs="宋体"/>
          <w:color w:val="auto"/>
          <w:highlight w:val="none"/>
        </w:rPr>
      </w:pPr>
    </w:p>
    <w:p w14:paraId="78FBB1A1">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5、政府采购政策................................................</w:t>
      </w:r>
      <w:r>
        <w:rPr>
          <w:rFonts w:hint="eastAsia" w:ascii="宋体" w:hAnsi="宋体" w:eastAsia="宋体" w:cs="宋体"/>
          <w:color w:val="auto"/>
          <w:spacing w:val="-1"/>
          <w:sz w:val="24"/>
          <w:szCs w:val="24"/>
          <w:highlight w:val="none"/>
        </w:rPr>
        <w:t>..............页码</w:t>
      </w:r>
    </w:p>
    <w:p w14:paraId="5444B055">
      <w:pPr>
        <w:pStyle w:val="4"/>
        <w:spacing w:line="275" w:lineRule="auto"/>
        <w:rPr>
          <w:rFonts w:hint="eastAsia" w:ascii="宋体" w:hAnsi="宋体" w:eastAsia="宋体" w:cs="宋体"/>
          <w:color w:val="auto"/>
          <w:highlight w:val="none"/>
        </w:rPr>
      </w:pPr>
    </w:p>
    <w:p w14:paraId="5EFB9984">
      <w:pPr>
        <w:pStyle w:val="4"/>
        <w:spacing w:line="275" w:lineRule="auto"/>
        <w:rPr>
          <w:rFonts w:hint="eastAsia" w:ascii="宋体" w:hAnsi="宋体" w:eastAsia="宋体" w:cs="宋体"/>
          <w:color w:val="auto"/>
          <w:highlight w:val="none"/>
        </w:rPr>
      </w:pPr>
    </w:p>
    <w:p w14:paraId="7FD75575">
      <w:pPr>
        <w:spacing w:before="79"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6、特定资格要求...................................................</w:t>
      </w:r>
      <w:r>
        <w:rPr>
          <w:rFonts w:hint="eastAsia" w:ascii="宋体" w:hAnsi="宋体" w:eastAsia="宋体" w:cs="宋体"/>
          <w:color w:val="auto"/>
          <w:spacing w:val="-1"/>
          <w:sz w:val="24"/>
          <w:szCs w:val="24"/>
          <w:highlight w:val="none"/>
        </w:rPr>
        <w:t>...........页码</w:t>
      </w:r>
    </w:p>
    <w:p w14:paraId="5A0B7801">
      <w:pPr>
        <w:pStyle w:val="4"/>
        <w:spacing w:line="276" w:lineRule="auto"/>
        <w:rPr>
          <w:rFonts w:hint="eastAsia" w:ascii="宋体" w:hAnsi="宋体" w:eastAsia="宋体" w:cs="宋体"/>
          <w:color w:val="auto"/>
          <w:highlight w:val="none"/>
        </w:rPr>
      </w:pPr>
    </w:p>
    <w:p w14:paraId="40D32791">
      <w:pPr>
        <w:pStyle w:val="4"/>
        <w:spacing w:line="276" w:lineRule="auto"/>
        <w:rPr>
          <w:rFonts w:hint="eastAsia" w:ascii="宋体" w:hAnsi="宋体" w:eastAsia="宋体" w:cs="宋体"/>
          <w:color w:val="auto"/>
          <w:highlight w:val="none"/>
        </w:rPr>
      </w:pPr>
    </w:p>
    <w:p w14:paraId="5D63CBA2">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7、参加政府采购活动前三年内在经营活动中没有重大违法记录.......</w:t>
      </w:r>
      <w:r>
        <w:rPr>
          <w:rFonts w:hint="eastAsia" w:ascii="宋体" w:hAnsi="宋体" w:eastAsia="宋体" w:cs="宋体"/>
          <w:color w:val="auto"/>
          <w:spacing w:val="-1"/>
          <w:sz w:val="24"/>
          <w:szCs w:val="24"/>
          <w:highlight w:val="none"/>
        </w:rPr>
        <w:t>...............页码</w:t>
      </w:r>
    </w:p>
    <w:p w14:paraId="26AE1100">
      <w:pPr>
        <w:pStyle w:val="4"/>
        <w:spacing w:line="275" w:lineRule="auto"/>
        <w:rPr>
          <w:rFonts w:hint="eastAsia" w:ascii="宋体" w:hAnsi="宋体" w:eastAsia="宋体" w:cs="宋体"/>
          <w:color w:val="auto"/>
          <w:highlight w:val="none"/>
        </w:rPr>
      </w:pPr>
    </w:p>
    <w:p w14:paraId="5DB163AE">
      <w:pPr>
        <w:pStyle w:val="4"/>
        <w:spacing w:line="275" w:lineRule="auto"/>
        <w:rPr>
          <w:rFonts w:hint="eastAsia" w:ascii="宋体" w:hAnsi="宋体" w:eastAsia="宋体" w:cs="宋体"/>
          <w:color w:val="auto"/>
          <w:highlight w:val="none"/>
        </w:rPr>
      </w:pPr>
    </w:p>
    <w:p w14:paraId="1494399A">
      <w:pPr>
        <w:spacing w:before="79" w:line="219"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8、供应商直接控股、管理关系信息表的证明材料.......................</w:t>
      </w:r>
      <w:r>
        <w:rPr>
          <w:rFonts w:hint="eastAsia" w:ascii="宋体" w:hAnsi="宋体" w:eastAsia="宋体" w:cs="宋体"/>
          <w:color w:val="auto"/>
          <w:spacing w:val="-1"/>
          <w:sz w:val="24"/>
          <w:szCs w:val="24"/>
          <w:highlight w:val="none"/>
        </w:rPr>
        <w:t>..........页码</w:t>
      </w:r>
    </w:p>
    <w:p w14:paraId="58B9940B">
      <w:pPr>
        <w:pStyle w:val="4"/>
        <w:spacing w:line="275" w:lineRule="auto"/>
        <w:rPr>
          <w:rFonts w:hint="eastAsia" w:ascii="宋体" w:hAnsi="宋体" w:eastAsia="宋体" w:cs="宋体"/>
          <w:color w:val="auto"/>
          <w:highlight w:val="none"/>
        </w:rPr>
      </w:pPr>
    </w:p>
    <w:p w14:paraId="2181017D">
      <w:pPr>
        <w:pStyle w:val="4"/>
        <w:spacing w:line="275" w:lineRule="auto"/>
        <w:rPr>
          <w:rFonts w:hint="eastAsia" w:ascii="宋体" w:hAnsi="宋体" w:eastAsia="宋体" w:cs="宋体"/>
          <w:color w:val="auto"/>
          <w:highlight w:val="none"/>
        </w:rPr>
      </w:pPr>
    </w:p>
    <w:p w14:paraId="0B7A5CD4">
      <w:pPr>
        <w:spacing w:before="78" w:line="220" w:lineRule="auto"/>
        <w:ind w:left="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9、资格声明函.....................................................</w:t>
      </w:r>
      <w:r>
        <w:rPr>
          <w:rFonts w:hint="eastAsia" w:ascii="宋体" w:hAnsi="宋体" w:eastAsia="宋体" w:cs="宋体"/>
          <w:color w:val="auto"/>
          <w:spacing w:val="-1"/>
          <w:sz w:val="24"/>
          <w:szCs w:val="24"/>
          <w:highlight w:val="none"/>
        </w:rPr>
        <w:t>..........页码</w:t>
      </w:r>
    </w:p>
    <w:p w14:paraId="2AD158FB">
      <w:pPr>
        <w:pStyle w:val="4"/>
        <w:spacing w:line="274" w:lineRule="auto"/>
        <w:rPr>
          <w:rFonts w:hint="eastAsia" w:ascii="宋体" w:hAnsi="宋体" w:eastAsia="宋体" w:cs="宋体"/>
          <w:color w:val="auto"/>
          <w:highlight w:val="none"/>
        </w:rPr>
      </w:pPr>
    </w:p>
    <w:p w14:paraId="1773ECA0">
      <w:pPr>
        <w:pStyle w:val="4"/>
        <w:spacing w:line="275" w:lineRule="auto"/>
        <w:rPr>
          <w:rFonts w:hint="eastAsia" w:ascii="宋体" w:hAnsi="宋体" w:eastAsia="宋体" w:cs="宋体"/>
          <w:color w:val="auto"/>
          <w:highlight w:val="none"/>
        </w:rPr>
      </w:pPr>
    </w:p>
    <w:p w14:paraId="474A5212">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10、除采购文件规定必须提供以外，供应商认为需要提供的其他证明材料；...........页码</w:t>
      </w:r>
    </w:p>
    <w:p w14:paraId="5BEE533F">
      <w:pPr>
        <w:pStyle w:val="4"/>
        <w:spacing w:line="277" w:lineRule="auto"/>
        <w:rPr>
          <w:rFonts w:hint="eastAsia" w:ascii="宋体" w:hAnsi="宋体" w:eastAsia="宋体" w:cs="宋体"/>
          <w:color w:val="auto"/>
          <w:highlight w:val="none"/>
        </w:rPr>
      </w:pPr>
    </w:p>
    <w:p w14:paraId="5A7CE445">
      <w:pPr>
        <w:pStyle w:val="4"/>
        <w:spacing w:line="277" w:lineRule="auto"/>
        <w:rPr>
          <w:rFonts w:hint="eastAsia" w:ascii="宋体" w:hAnsi="宋体" w:eastAsia="宋体" w:cs="宋体"/>
          <w:color w:val="auto"/>
          <w:highlight w:val="none"/>
        </w:rPr>
      </w:pPr>
    </w:p>
    <w:p w14:paraId="1729A04E">
      <w:pPr>
        <w:spacing w:before="71" w:line="220" w:lineRule="auto"/>
        <w:ind w:left="22"/>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注：</w:t>
      </w:r>
      <w:r>
        <w:rPr>
          <w:rFonts w:hint="eastAsia" w:ascii="宋体" w:hAnsi="宋体" w:eastAsia="宋体" w:cs="宋体"/>
          <w:color w:val="auto"/>
          <w:spacing w:val="48"/>
          <w:sz w:val="22"/>
          <w:szCs w:val="22"/>
          <w:highlight w:val="none"/>
        </w:rPr>
        <w:t xml:space="preserve"> </w:t>
      </w:r>
      <w:r>
        <w:rPr>
          <w:rFonts w:hint="eastAsia" w:ascii="宋体" w:hAnsi="宋体" w:eastAsia="宋体" w:cs="宋体"/>
          <w:b/>
          <w:bCs/>
          <w:color w:val="auto"/>
          <w:spacing w:val="-3"/>
          <w:sz w:val="22"/>
          <w:szCs w:val="22"/>
          <w:highlight w:val="none"/>
        </w:rPr>
        <w:t>以上目录是基本格式要求，各供应商可根据自身情况进一步向下增加内容或细化</w:t>
      </w:r>
    </w:p>
    <w:p w14:paraId="17AD16FE">
      <w:pPr>
        <w:spacing w:line="220" w:lineRule="auto"/>
        <w:rPr>
          <w:rFonts w:hint="eastAsia" w:ascii="宋体" w:hAnsi="宋体" w:eastAsia="宋体" w:cs="宋体"/>
          <w:color w:val="auto"/>
          <w:sz w:val="22"/>
          <w:szCs w:val="22"/>
          <w:highlight w:val="none"/>
        </w:rPr>
      </w:pPr>
    </w:p>
    <w:p w14:paraId="4B553A85">
      <w:pPr>
        <w:pStyle w:val="4"/>
        <w:rPr>
          <w:rFonts w:hint="eastAsia" w:ascii="宋体" w:hAnsi="宋体" w:eastAsia="宋体" w:cs="宋体"/>
          <w:color w:val="auto"/>
          <w:highlight w:val="none"/>
        </w:rPr>
        <w:sectPr>
          <w:pgSz w:w="11906" w:h="16839"/>
          <w:pgMar w:top="1440" w:right="1080" w:bottom="1440" w:left="1080" w:header="0" w:footer="0" w:gutter="0"/>
          <w:pgNumType w:fmt="decimal"/>
          <w:cols w:space="720" w:num="1"/>
        </w:sectPr>
      </w:pPr>
    </w:p>
    <w:p w14:paraId="758F7854">
      <w:pPr>
        <w:spacing w:before="71" w:line="221" w:lineRule="auto"/>
        <w:ind w:left="17"/>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1、具有独立承担民事责任的能力</w:t>
      </w:r>
    </w:p>
    <w:p w14:paraId="2D81F34F">
      <w:pPr>
        <w:pStyle w:val="4"/>
        <w:spacing w:line="338" w:lineRule="auto"/>
        <w:rPr>
          <w:rFonts w:hint="eastAsia" w:ascii="宋体" w:hAnsi="宋体" w:eastAsia="宋体" w:cs="宋体"/>
          <w:color w:val="auto"/>
          <w:highlight w:val="none"/>
        </w:rPr>
      </w:pPr>
    </w:p>
    <w:p w14:paraId="05DC3F3A">
      <w:pPr>
        <w:spacing w:before="71" w:line="218" w:lineRule="auto"/>
        <w:ind w:firstLine="6"/>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营业执照(或事业法人登记证或其他工商等登记证明材料) 原件扫</w:t>
      </w:r>
      <w:r>
        <w:rPr>
          <w:rFonts w:hint="eastAsia" w:ascii="宋体" w:hAnsi="宋体" w:eastAsia="宋体" w:cs="宋体"/>
          <w:color w:val="auto"/>
          <w:spacing w:val="-7"/>
          <w:sz w:val="22"/>
          <w:szCs w:val="22"/>
          <w:highlight w:val="none"/>
        </w:rPr>
        <w:t>描件(供应商为自然人的，提供自然人的身</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份证明)</w:t>
      </w:r>
    </w:p>
    <w:p w14:paraId="4B3725C6">
      <w:pPr>
        <w:pStyle w:val="4"/>
        <w:spacing w:line="333" w:lineRule="auto"/>
        <w:rPr>
          <w:rFonts w:hint="eastAsia" w:ascii="宋体" w:hAnsi="宋体" w:eastAsia="宋体" w:cs="宋体"/>
          <w:color w:val="auto"/>
          <w:highlight w:val="none"/>
        </w:rPr>
      </w:pPr>
    </w:p>
    <w:p w14:paraId="26808F23">
      <w:pPr>
        <w:pStyle w:val="4"/>
        <w:spacing w:line="334" w:lineRule="auto"/>
        <w:rPr>
          <w:rFonts w:hint="eastAsia" w:ascii="宋体" w:hAnsi="宋体" w:eastAsia="宋体" w:cs="宋体"/>
          <w:color w:val="auto"/>
          <w:highlight w:val="none"/>
        </w:rPr>
      </w:pPr>
    </w:p>
    <w:p w14:paraId="51CF308A">
      <w:pPr>
        <w:spacing w:before="72" w:line="268" w:lineRule="auto"/>
        <w:ind w:right="912"/>
        <w:jc w:val="right"/>
        <w:rPr>
          <w:rFonts w:hint="eastAsia" w:ascii="宋体" w:hAnsi="宋体" w:eastAsia="宋体" w:cs="宋体"/>
          <w:color w:val="auto"/>
          <w:spacing w:val="-15"/>
          <w:sz w:val="22"/>
          <w:szCs w:val="22"/>
          <w:highlight w:val="none"/>
        </w:rPr>
      </w:pPr>
      <w:r>
        <w:rPr>
          <w:rFonts w:hint="eastAsia" w:ascii="宋体" w:hAnsi="宋体" w:eastAsia="宋体" w:cs="宋体"/>
          <w:color w:val="auto"/>
          <w:spacing w:val="-15"/>
          <w:sz w:val="22"/>
          <w:szCs w:val="22"/>
          <w:highlight w:val="none"/>
        </w:rPr>
        <w:t>供应商名称(电子签章)：</w:t>
      </w:r>
    </w:p>
    <w:p w14:paraId="5D227F02">
      <w:pPr>
        <w:spacing w:before="72" w:line="268" w:lineRule="auto"/>
        <w:ind w:right="912"/>
        <w:jc w:val="righ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16"/>
          <w:sz w:val="22"/>
          <w:szCs w:val="22"/>
          <w:highlight w:val="none"/>
        </w:rPr>
        <w:t>月   日</w:t>
      </w:r>
    </w:p>
    <w:p w14:paraId="502168C7">
      <w:pPr>
        <w:pStyle w:val="4"/>
        <w:spacing w:line="246" w:lineRule="auto"/>
        <w:rPr>
          <w:rFonts w:hint="eastAsia" w:ascii="宋体" w:hAnsi="宋体" w:eastAsia="宋体" w:cs="宋体"/>
          <w:color w:val="auto"/>
          <w:highlight w:val="none"/>
        </w:rPr>
      </w:pPr>
    </w:p>
    <w:p w14:paraId="4B07E47E">
      <w:pPr>
        <w:pStyle w:val="4"/>
        <w:spacing w:line="246" w:lineRule="auto"/>
        <w:rPr>
          <w:rFonts w:hint="eastAsia" w:ascii="宋体" w:hAnsi="宋体" w:eastAsia="宋体" w:cs="宋体"/>
          <w:color w:val="auto"/>
          <w:highlight w:val="none"/>
        </w:rPr>
      </w:pPr>
    </w:p>
    <w:p w14:paraId="012B91C2">
      <w:pPr>
        <w:pStyle w:val="4"/>
        <w:spacing w:line="246" w:lineRule="auto"/>
        <w:rPr>
          <w:rFonts w:hint="eastAsia" w:ascii="宋体" w:hAnsi="宋体" w:eastAsia="宋体" w:cs="宋体"/>
          <w:color w:val="auto"/>
          <w:highlight w:val="none"/>
        </w:rPr>
      </w:pPr>
    </w:p>
    <w:p w14:paraId="049E57C1">
      <w:pPr>
        <w:pStyle w:val="4"/>
        <w:spacing w:line="246" w:lineRule="auto"/>
        <w:rPr>
          <w:rFonts w:hint="eastAsia" w:ascii="宋体" w:hAnsi="宋体" w:eastAsia="宋体" w:cs="宋体"/>
          <w:color w:val="auto"/>
          <w:highlight w:val="none"/>
        </w:rPr>
      </w:pPr>
    </w:p>
    <w:p w14:paraId="006AECAF">
      <w:pPr>
        <w:spacing w:before="71" w:line="220" w:lineRule="auto"/>
        <w:ind w:left="3"/>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2、具有良好的商业信誉和健全的财务会计制度证明材料</w:t>
      </w:r>
    </w:p>
    <w:p w14:paraId="58F919A4">
      <w:pPr>
        <w:pStyle w:val="4"/>
        <w:spacing w:line="313" w:lineRule="auto"/>
        <w:rPr>
          <w:rFonts w:hint="eastAsia" w:ascii="宋体" w:hAnsi="宋体" w:eastAsia="宋体" w:cs="宋体"/>
          <w:color w:val="auto"/>
          <w:highlight w:val="none"/>
        </w:rPr>
      </w:pPr>
    </w:p>
    <w:p w14:paraId="04368FA6">
      <w:pPr>
        <w:pStyle w:val="4"/>
        <w:spacing w:line="313" w:lineRule="auto"/>
        <w:rPr>
          <w:rFonts w:hint="eastAsia" w:ascii="宋体" w:hAnsi="宋体" w:eastAsia="宋体" w:cs="宋体"/>
          <w:color w:val="auto"/>
          <w:highlight w:val="none"/>
        </w:rPr>
      </w:pPr>
    </w:p>
    <w:p w14:paraId="5D986140">
      <w:pPr>
        <w:pStyle w:val="4"/>
        <w:spacing w:line="314" w:lineRule="auto"/>
        <w:rPr>
          <w:rFonts w:hint="eastAsia" w:ascii="宋体" w:hAnsi="宋体" w:eastAsia="宋体" w:cs="宋体"/>
          <w:color w:val="auto"/>
          <w:highlight w:val="none"/>
        </w:rPr>
      </w:pPr>
    </w:p>
    <w:p w14:paraId="130415E3">
      <w:pPr>
        <w:spacing w:before="72" w:line="268" w:lineRule="auto"/>
        <w:ind w:right="912"/>
        <w:jc w:val="right"/>
        <w:rPr>
          <w:rFonts w:hint="eastAsia" w:ascii="宋体" w:hAnsi="宋体" w:eastAsia="宋体" w:cs="宋体"/>
          <w:color w:val="auto"/>
          <w:spacing w:val="-15"/>
          <w:sz w:val="22"/>
          <w:szCs w:val="22"/>
          <w:highlight w:val="none"/>
        </w:rPr>
      </w:pPr>
      <w:r>
        <w:rPr>
          <w:rFonts w:hint="eastAsia" w:ascii="宋体" w:hAnsi="宋体" w:eastAsia="宋体" w:cs="宋体"/>
          <w:color w:val="auto"/>
          <w:spacing w:val="-15"/>
          <w:sz w:val="22"/>
          <w:szCs w:val="22"/>
          <w:highlight w:val="none"/>
        </w:rPr>
        <w:t>供应商名称(</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15"/>
          <w:sz w:val="22"/>
          <w:szCs w:val="22"/>
          <w:highlight w:val="none"/>
        </w:rPr>
        <w:t>电子签章 )：</w:t>
      </w:r>
    </w:p>
    <w:p w14:paraId="579DA115">
      <w:pPr>
        <w:spacing w:before="72" w:line="268" w:lineRule="auto"/>
        <w:ind w:right="912"/>
        <w:jc w:val="righ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16"/>
          <w:sz w:val="22"/>
          <w:szCs w:val="22"/>
          <w:highlight w:val="none"/>
        </w:rPr>
        <w:t>月   日</w:t>
      </w:r>
    </w:p>
    <w:p w14:paraId="2203E501">
      <w:pPr>
        <w:pStyle w:val="4"/>
        <w:spacing w:line="262" w:lineRule="auto"/>
        <w:rPr>
          <w:rFonts w:hint="eastAsia" w:ascii="宋体" w:hAnsi="宋体" w:eastAsia="宋体" w:cs="宋体"/>
          <w:color w:val="auto"/>
          <w:highlight w:val="none"/>
        </w:rPr>
      </w:pPr>
    </w:p>
    <w:p w14:paraId="3D0C8A3E">
      <w:pPr>
        <w:pStyle w:val="4"/>
        <w:spacing w:line="263" w:lineRule="auto"/>
        <w:rPr>
          <w:rFonts w:hint="eastAsia" w:ascii="宋体" w:hAnsi="宋体" w:eastAsia="宋体" w:cs="宋体"/>
          <w:color w:val="auto"/>
          <w:highlight w:val="none"/>
        </w:rPr>
      </w:pPr>
    </w:p>
    <w:p w14:paraId="703A3302">
      <w:pPr>
        <w:pStyle w:val="4"/>
        <w:spacing w:line="263" w:lineRule="auto"/>
        <w:rPr>
          <w:rFonts w:hint="eastAsia" w:ascii="宋体" w:hAnsi="宋体" w:eastAsia="宋体" w:cs="宋体"/>
          <w:color w:val="auto"/>
          <w:highlight w:val="none"/>
        </w:rPr>
      </w:pPr>
    </w:p>
    <w:p w14:paraId="368A265F">
      <w:pPr>
        <w:spacing w:before="72" w:line="220" w:lineRule="auto"/>
        <w:ind w:left="5"/>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3、具有履行合同所必需的设备和专业技术能力，提供承诺书（格式自拟）</w:t>
      </w:r>
    </w:p>
    <w:p w14:paraId="3D24748A">
      <w:pPr>
        <w:pStyle w:val="4"/>
        <w:spacing w:line="463" w:lineRule="auto"/>
        <w:rPr>
          <w:rFonts w:hint="eastAsia" w:ascii="宋体" w:hAnsi="宋体" w:eastAsia="宋体" w:cs="宋体"/>
          <w:color w:val="auto"/>
          <w:highlight w:val="none"/>
        </w:rPr>
      </w:pPr>
    </w:p>
    <w:p w14:paraId="0D6F5410">
      <w:pPr>
        <w:spacing w:before="72" w:line="268" w:lineRule="auto"/>
        <w:ind w:right="912"/>
        <w:jc w:val="right"/>
        <w:rPr>
          <w:rFonts w:hint="eastAsia" w:ascii="宋体" w:hAnsi="宋体" w:eastAsia="宋体" w:cs="宋体"/>
          <w:color w:val="auto"/>
          <w:spacing w:val="-15"/>
          <w:sz w:val="22"/>
          <w:szCs w:val="22"/>
          <w:highlight w:val="none"/>
        </w:rPr>
      </w:pPr>
      <w:r>
        <w:rPr>
          <w:rFonts w:hint="eastAsia" w:ascii="宋体" w:hAnsi="宋体" w:eastAsia="宋体" w:cs="宋体"/>
          <w:color w:val="auto"/>
          <w:spacing w:val="-15"/>
          <w:sz w:val="22"/>
          <w:szCs w:val="22"/>
          <w:highlight w:val="none"/>
        </w:rPr>
        <w:t>供应商名称(</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15"/>
          <w:sz w:val="22"/>
          <w:szCs w:val="22"/>
          <w:highlight w:val="none"/>
        </w:rPr>
        <w:t>电子签章 )：</w:t>
      </w:r>
    </w:p>
    <w:p w14:paraId="779EFD01">
      <w:pPr>
        <w:spacing w:before="72" w:line="268" w:lineRule="auto"/>
        <w:ind w:right="912"/>
        <w:jc w:val="righ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16"/>
          <w:sz w:val="22"/>
          <w:szCs w:val="22"/>
          <w:highlight w:val="none"/>
        </w:rPr>
        <w:t>月   日</w:t>
      </w:r>
    </w:p>
    <w:p w14:paraId="2699319D">
      <w:pPr>
        <w:pStyle w:val="4"/>
        <w:spacing w:line="246" w:lineRule="auto"/>
        <w:rPr>
          <w:rFonts w:hint="eastAsia" w:ascii="宋体" w:hAnsi="宋体" w:eastAsia="宋体" w:cs="宋体"/>
          <w:color w:val="auto"/>
          <w:highlight w:val="none"/>
        </w:rPr>
      </w:pPr>
    </w:p>
    <w:p w14:paraId="518A15B9">
      <w:pPr>
        <w:pStyle w:val="4"/>
        <w:spacing w:line="246" w:lineRule="auto"/>
        <w:rPr>
          <w:rFonts w:hint="eastAsia" w:ascii="宋体" w:hAnsi="宋体" w:eastAsia="宋体" w:cs="宋体"/>
          <w:color w:val="auto"/>
          <w:highlight w:val="none"/>
        </w:rPr>
      </w:pPr>
    </w:p>
    <w:p w14:paraId="371A4638">
      <w:pPr>
        <w:pStyle w:val="4"/>
        <w:spacing w:line="246" w:lineRule="auto"/>
        <w:rPr>
          <w:rFonts w:hint="eastAsia" w:ascii="宋体" w:hAnsi="宋体" w:eastAsia="宋体" w:cs="宋体"/>
          <w:color w:val="auto"/>
          <w:highlight w:val="none"/>
        </w:rPr>
      </w:pPr>
    </w:p>
    <w:p w14:paraId="49E54B9E">
      <w:pPr>
        <w:pStyle w:val="4"/>
        <w:spacing w:line="246" w:lineRule="auto"/>
        <w:rPr>
          <w:rFonts w:hint="eastAsia" w:ascii="宋体" w:hAnsi="宋体" w:eastAsia="宋体" w:cs="宋体"/>
          <w:color w:val="auto"/>
          <w:highlight w:val="none"/>
        </w:rPr>
      </w:pPr>
    </w:p>
    <w:p w14:paraId="430DFEE7">
      <w:pPr>
        <w:pStyle w:val="4"/>
        <w:spacing w:line="246" w:lineRule="auto"/>
        <w:rPr>
          <w:rFonts w:hint="eastAsia" w:ascii="宋体" w:hAnsi="宋体" w:eastAsia="宋体" w:cs="宋体"/>
          <w:color w:val="auto"/>
          <w:highlight w:val="none"/>
        </w:rPr>
      </w:pPr>
    </w:p>
    <w:p w14:paraId="486F7840">
      <w:pPr>
        <w:spacing w:before="72" w:line="220" w:lineRule="auto"/>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4、具有依法缴纳税收和社会保障资金的良好</w:t>
      </w:r>
      <w:r>
        <w:rPr>
          <w:rFonts w:hint="eastAsia" w:ascii="宋体" w:hAnsi="宋体" w:eastAsia="宋体" w:cs="宋体"/>
          <w:b/>
          <w:bCs/>
          <w:color w:val="auto"/>
          <w:spacing w:val="-3"/>
          <w:sz w:val="22"/>
          <w:szCs w:val="22"/>
          <w:highlight w:val="none"/>
          <w:lang w:eastAsia="zh-CN"/>
        </w:rPr>
        <w:t>记录</w:t>
      </w:r>
      <w:r>
        <w:rPr>
          <w:rFonts w:hint="eastAsia" w:ascii="宋体" w:hAnsi="宋体" w:eastAsia="宋体" w:cs="宋体"/>
          <w:color w:val="auto"/>
          <w:spacing w:val="37"/>
          <w:sz w:val="22"/>
          <w:szCs w:val="22"/>
          <w:highlight w:val="none"/>
        </w:rPr>
        <w:t xml:space="preserve"> </w:t>
      </w:r>
      <w:r>
        <w:rPr>
          <w:rFonts w:hint="eastAsia" w:ascii="宋体" w:hAnsi="宋体" w:eastAsia="宋体" w:cs="宋体"/>
          <w:b/>
          <w:bCs/>
          <w:color w:val="auto"/>
          <w:spacing w:val="-3"/>
          <w:sz w:val="22"/>
          <w:szCs w:val="22"/>
          <w:highlight w:val="none"/>
        </w:rPr>
        <w:t>；提供证明材料</w:t>
      </w:r>
    </w:p>
    <w:p w14:paraId="4BF36CE4">
      <w:pPr>
        <w:pStyle w:val="4"/>
        <w:spacing w:line="282" w:lineRule="auto"/>
        <w:rPr>
          <w:rFonts w:hint="eastAsia" w:ascii="宋体" w:hAnsi="宋体" w:eastAsia="宋体" w:cs="宋体"/>
          <w:color w:val="auto"/>
          <w:highlight w:val="none"/>
        </w:rPr>
      </w:pPr>
    </w:p>
    <w:p w14:paraId="17B2A3D8">
      <w:pPr>
        <w:pStyle w:val="4"/>
        <w:spacing w:line="283" w:lineRule="auto"/>
        <w:rPr>
          <w:rFonts w:hint="eastAsia" w:ascii="宋体" w:hAnsi="宋体" w:eastAsia="宋体" w:cs="宋体"/>
          <w:color w:val="auto"/>
          <w:highlight w:val="none"/>
        </w:rPr>
      </w:pPr>
    </w:p>
    <w:p w14:paraId="2E7C08F0">
      <w:pPr>
        <w:spacing w:before="72" w:line="268" w:lineRule="auto"/>
        <w:ind w:right="912"/>
        <w:jc w:val="right"/>
        <w:rPr>
          <w:rFonts w:hint="eastAsia" w:ascii="宋体" w:hAnsi="宋体" w:eastAsia="宋体" w:cs="宋体"/>
          <w:color w:val="auto"/>
          <w:spacing w:val="-15"/>
          <w:sz w:val="22"/>
          <w:szCs w:val="22"/>
          <w:highlight w:val="none"/>
        </w:rPr>
      </w:pPr>
      <w:r>
        <w:rPr>
          <w:rFonts w:hint="eastAsia" w:ascii="宋体" w:hAnsi="宋体" w:eastAsia="宋体" w:cs="宋体"/>
          <w:color w:val="auto"/>
          <w:spacing w:val="-15"/>
          <w:sz w:val="22"/>
          <w:szCs w:val="22"/>
          <w:highlight w:val="none"/>
        </w:rPr>
        <w:t>供应商名称(</w:t>
      </w:r>
      <w:r>
        <w:rPr>
          <w:rFonts w:hint="eastAsia" w:ascii="宋体" w:hAnsi="宋体" w:eastAsia="宋体" w:cs="宋体"/>
          <w:color w:val="auto"/>
          <w:spacing w:val="26"/>
          <w:sz w:val="22"/>
          <w:szCs w:val="22"/>
          <w:highlight w:val="none"/>
        </w:rPr>
        <w:t xml:space="preserve"> </w:t>
      </w:r>
      <w:r>
        <w:rPr>
          <w:rFonts w:hint="eastAsia" w:ascii="宋体" w:hAnsi="宋体" w:eastAsia="宋体" w:cs="宋体"/>
          <w:color w:val="auto"/>
          <w:spacing w:val="-15"/>
          <w:sz w:val="22"/>
          <w:szCs w:val="22"/>
          <w:highlight w:val="none"/>
        </w:rPr>
        <w:t>电子签章 )：</w:t>
      </w:r>
    </w:p>
    <w:p w14:paraId="586CE682">
      <w:pPr>
        <w:spacing w:before="72" w:line="268" w:lineRule="auto"/>
        <w:ind w:right="912"/>
        <w:jc w:val="right"/>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日期：</w:t>
      </w:r>
      <w:r>
        <w:rPr>
          <w:rFonts w:hint="eastAsia" w:ascii="宋体" w:hAnsi="宋体" w:eastAsia="宋体" w:cs="宋体"/>
          <w:color w:val="auto"/>
          <w:spacing w:val="31"/>
          <w:sz w:val="22"/>
          <w:szCs w:val="22"/>
          <w:highlight w:val="none"/>
        </w:rPr>
        <w:t xml:space="preserve">  </w:t>
      </w:r>
      <w:r>
        <w:rPr>
          <w:rFonts w:hint="eastAsia" w:ascii="宋体" w:hAnsi="宋体" w:eastAsia="宋体" w:cs="宋体"/>
          <w:color w:val="auto"/>
          <w:spacing w:val="-16"/>
          <w:sz w:val="22"/>
          <w:szCs w:val="22"/>
          <w:highlight w:val="none"/>
        </w:rPr>
        <w:t>年</w:t>
      </w:r>
      <w:r>
        <w:rPr>
          <w:rFonts w:hint="eastAsia" w:ascii="宋体" w:hAnsi="宋体" w:eastAsia="宋体" w:cs="宋体"/>
          <w:color w:val="auto"/>
          <w:spacing w:val="75"/>
          <w:sz w:val="22"/>
          <w:szCs w:val="22"/>
          <w:highlight w:val="none"/>
        </w:rPr>
        <w:t xml:space="preserve"> </w:t>
      </w:r>
      <w:r>
        <w:rPr>
          <w:rFonts w:hint="eastAsia" w:ascii="宋体" w:hAnsi="宋体" w:eastAsia="宋体" w:cs="宋体"/>
          <w:color w:val="auto"/>
          <w:spacing w:val="-16"/>
          <w:sz w:val="22"/>
          <w:szCs w:val="22"/>
          <w:highlight w:val="none"/>
        </w:rPr>
        <w:t>月   日</w:t>
      </w:r>
    </w:p>
    <w:p w14:paraId="4ED25CE9">
      <w:pPr>
        <w:spacing w:line="268" w:lineRule="auto"/>
        <w:rPr>
          <w:rFonts w:hint="eastAsia" w:ascii="宋体" w:hAnsi="宋体" w:eastAsia="宋体" w:cs="宋体"/>
          <w:color w:val="auto"/>
          <w:sz w:val="22"/>
          <w:szCs w:val="22"/>
          <w:highlight w:val="none"/>
        </w:rPr>
      </w:pPr>
    </w:p>
    <w:p w14:paraId="5749E260">
      <w:pPr>
        <w:pStyle w:val="4"/>
        <w:rPr>
          <w:rFonts w:hint="eastAsia" w:ascii="宋体" w:hAnsi="宋体" w:eastAsia="宋体" w:cs="宋体"/>
          <w:color w:val="auto"/>
          <w:highlight w:val="none"/>
        </w:rPr>
        <w:sectPr>
          <w:pgSz w:w="11906" w:h="16839"/>
          <w:pgMar w:top="1440" w:right="1080" w:bottom="1440" w:left="1080" w:header="0" w:footer="0" w:gutter="0"/>
          <w:pgNumType w:fmt="decimal"/>
          <w:cols w:space="720" w:num="1"/>
        </w:sectPr>
      </w:pPr>
    </w:p>
    <w:p w14:paraId="646E8FB4">
      <w:pPr>
        <w:spacing w:before="71" w:line="220" w:lineRule="auto"/>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5、政府采购政策</w:t>
      </w:r>
    </w:p>
    <w:p w14:paraId="56AD6242">
      <w:pPr>
        <w:spacing w:before="304" w:line="220" w:lineRule="auto"/>
        <w:ind w:left="12"/>
        <w:outlineLvl w:val="9"/>
        <w:rPr>
          <w:rFonts w:hint="eastAsia" w:ascii="宋体" w:hAnsi="宋体" w:eastAsia="宋体" w:cs="宋体"/>
          <w:color w:val="auto"/>
          <w:sz w:val="22"/>
          <w:szCs w:val="22"/>
          <w:highlight w:val="none"/>
        </w:rPr>
      </w:pPr>
      <w:r>
        <w:rPr>
          <w:rFonts w:hint="eastAsia" w:ascii="宋体" w:hAnsi="宋体" w:eastAsia="宋体" w:cs="宋体"/>
          <w:b/>
          <w:bCs/>
          <w:color w:val="auto"/>
          <w:spacing w:val="-15"/>
          <w:sz w:val="22"/>
          <w:szCs w:val="22"/>
          <w:highlight w:val="none"/>
        </w:rPr>
        <w:t>附表</w:t>
      </w:r>
      <w:r>
        <w:rPr>
          <w:rFonts w:hint="eastAsia" w:ascii="宋体" w:hAnsi="宋体" w:eastAsia="宋体" w:cs="宋体"/>
          <w:color w:val="auto"/>
          <w:spacing w:val="-29"/>
          <w:sz w:val="22"/>
          <w:szCs w:val="22"/>
          <w:highlight w:val="none"/>
        </w:rPr>
        <w:t xml:space="preserve"> </w:t>
      </w:r>
      <w:r>
        <w:rPr>
          <w:rFonts w:hint="eastAsia" w:ascii="宋体" w:hAnsi="宋体" w:eastAsia="宋体" w:cs="宋体"/>
          <w:b/>
          <w:bCs/>
          <w:color w:val="auto"/>
          <w:spacing w:val="-15"/>
          <w:sz w:val="22"/>
          <w:szCs w:val="22"/>
          <w:highlight w:val="none"/>
        </w:rPr>
        <w:t>1：</w:t>
      </w:r>
    </w:p>
    <w:p w14:paraId="0580D1E9">
      <w:pPr>
        <w:pStyle w:val="4"/>
        <w:spacing w:line="396" w:lineRule="auto"/>
        <w:rPr>
          <w:rFonts w:hint="eastAsia" w:ascii="宋体" w:hAnsi="宋体" w:eastAsia="宋体" w:cs="宋体"/>
          <w:color w:val="auto"/>
          <w:highlight w:val="none"/>
        </w:rPr>
      </w:pPr>
    </w:p>
    <w:p w14:paraId="443904F0">
      <w:pPr>
        <w:pStyle w:val="19"/>
        <w:numPr>
          <w:ilvl w:val="0"/>
          <w:numId w:val="0"/>
        </w:numPr>
        <w:ind w:left="420" w:leftChars="0" w:hanging="420" w:firstLine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中小企业声明函</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货物</w:t>
      </w:r>
      <w:r>
        <w:rPr>
          <w:rFonts w:hint="eastAsia" w:ascii="宋体" w:hAnsi="宋体" w:eastAsia="宋体" w:cs="宋体"/>
          <w:b/>
          <w:bCs/>
          <w:color w:val="auto"/>
          <w:sz w:val="32"/>
          <w:szCs w:val="32"/>
          <w:highlight w:val="none"/>
          <w:lang w:eastAsia="zh-CN"/>
        </w:rPr>
        <w:t>）</w:t>
      </w:r>
    </w:p>
    <w:p w14:paraId="392DA2D5">
      <w:pPr>
        <w:pStyle w:val="19"/>
        <w:numPr>
          <w:ilvl w:val="0"/>
          <w:numId w:val="0"/>
        </w:numPr>
        <w:ind w:left="420" w:leftChars="0" w:hanging="420" w:firstLineChars="0"/>
        <w:jc w:val="center"/>
        <w:rPr>
          <w:rFonts w:hint="eastAsia" w:ascii="宋体" w:hAnsi="宋体" w:eastAsia="宋体" w:cs="宋体"/>
          <w:b/>
          <w:bCs/>
          <w:color w:val="auto"/>
          <w:sz w:val="32"/>
          <w:szCs w:val="32"/>
          <w:highlight w:val="none"/>
        </w:rPr>
      </w:pPr>
    </w:p>
    <w:p w14:paraId="7A0DCB82">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 （单位名称）</w:t>
      </w:r>
      <w:r>
        <w:rPr>
          <w:rFonts w:hint="eastAsia" w:ascii="宋体" w:hAnsi="宋体" w:eastAsia="宋体" w:cs="宋体"/>
          <w:color w:val="auto"/>
          <w:spacing w:val="6"/>
          <w:sz w:val="24"/>
          <w:szCs w:val="24"/>
          <w:highlight w:val="none"/>
        </w:rPr>
        <w:t xml:space="preserve"> 的</w:t>
      </w:r>
      <w:r>
        <w:rPr>
          <w:rFonts w:hint="eastAsia" w:ascii="宋体" w:hAnsi="宋体" w:eastAsia="宋体" w:cs="宋体"/>
          <w:color w:val="auto"/>
          <w:spacing w:val="6"/>
          <w:sz w:val="24"/>
          <w:szCs w:val="24"/>
          <w:highlight w:val="none"/>
          <w:u w:val="single"/>
        </w:rPr>
        <w:t xml:space="preserve"> （项目名称） </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w:t>
      </w:r>
      <w:r>
        <w:rPr>
          <w:rFonts w:hint="eastAsia" w:ascii="宋体" w:hAnsi="宋体" w:eastAsia="宋体" w:cs="宋体"/>
          <w:color w:val="auto"/>
          <w:spacing w:val="6"/>
          <w:sz w:val="24"/>
          <w:szCs w:val="24"/>
          <w:highlight w:val="none"/>
          <w:lang w:val="en-US" w:eastAsia="zh-CN"/>
        </w:rPr>
        <w:t>书</w:t>
      </w:r>
      <w:r>
        <w:rPr>
          <w:rFonts w:hint="eastAsia" w:ascii="宋体" w:hAnsi="宋体" w:eastAsia="宋体" w:cs="宋体"/>
          <w:color w:val="auto"/>
          <w:spacing w:val="6"/>
          <w:sz w:val="24"/>
          <w:szCs w:val="24"/>
          <w:highlight w:val="none"/>
        </w:rPr>
        <w:t>的中小企业）的具体情况如下：</w:t>
      </w:r>
    </w:p>
    <w:p w14:paraId="7C54FE63">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 xml:space="preserve"> （标的名称） </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 xml:space="preserve"> （采购文件中明确的所属行业）</w:t>
      </w:r>
      <w:r>
        <w:rPr>
          <w:rFonts w:hint="eastAsia" w:ascii="宋体" w:hAnsi="宋体" w:eastAsia="宋体" w:cs="宋体"/>
          <w:color w:val="auto"/>
          <w:spacing w:val="6"/>
          <w:sz w:val="24"/>
          <w:szCs w:val="24"/>
          <w:highlight w:val="none"/>
        </w:rPr>
        <w:t>行业 ；制造商为</w:t>
      </w:r>
      <w:r>
        <w:rPr>
          <w:rFonts w:hint="eastAsia" w:ascii="宋体" w:hAnsi="宋体" w:eastAsia="宋体" w:cs="宋体"/>
          <w:color w:val="auto"/>
          <w:spacing w:val="6"/>
          <w:sz w:val="24"/>
          <w:szCs w:val="24"/>
          <w:highlight w:val="none"/>
          <w:u w:val="single"/>
        </w:rPr>
        <w:t xml:space="preserve"> （企业名称） </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 xml:space="preserve"> （中型企业、小型企业</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微型企业</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w:t>
      </w:r>
    </w:p>
    <w:p w14:paraId="40827C1A">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 xml:space="preserve"> （标的名称） </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 xml:space="preserve"> （采购文件中明确的所属行业）</w:t>
      </w:r>
      <w:r>
        <w:rPr>
          <w:rFonts w:hint="eastAsia" w:ascii="宋体" w:hAnsi="宋体" w:eastAsia="宋体" w:cs="宋体"/>
          <w:color w:val="auto"/>
          <w:spacing w:val="6"/>
          <w:sz w:val="24"/>
          <w:szCs w:val="24"/>
          <w:highlight w:val="none"/>
        </w:rPr>
        <w:t>行业 ；制造商为</w:t>
      </w:r>
      <w:r>
        <w:rPr>
          <w:rFonts w:hint="eastAsia" w:ascii="宋体" w:hAnsi="宋体" w:eastAsia="宋体" w:cs="宋体"/>
          <w:color w:val="auto"/>
          <w:spacing w:val="6"/>
          <w:sz w:val="24"/>
          <w:szCs w:val="24"/>
          <w:highlight w:val="none"/>
          <w:u w:val="single"/>
        </w:rPr>
        <w:t xml:space="preserve"> （企业名称） </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 xml:space="preserve"> （中型企业、小型企业</w:t>
      </w:r>
      <w:r>
        <w:rPr>
          <w:rFonts w:hint="eastAsia" w:ascii="宋体" w:hAnsi="宋体" w:eastAsia="宋体" w:cs="宋体"/>
          <w:color w:val="auto"/>
          <w:spacing w:val="6"/>
          <w:sz w:val="24"/>
          <w:szCs w:val="24"/>
          <w:highlight w:val="none"/>
          <w:u w:val="single"/>
          <w:lang w:eastAsia="zh-CN"/>
        </w:rPr>
        <w:t>、</w:t>
      </w:r>
      <w:r>
        <w:rPr>
          <w:rFonts w:hint="eastAsia" w:ascii="宋体" w:hAnsi="宋体" w:eastAsia="宋体" w:cs="宋体"/>
          <w:color w:val="auto"/>
          <w:spacing w:val="6"/>
          <w:sz w:val="24"/>
          <w:szCs w:val="24"/>
          <w:highlight w:val="none"/>
          <w:u w:val="single"/>
          <w:lang w:val="en-US" w:eastAsia="zh-CN"/>
        </w:rPr>
        <w:t>微型企业</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w:t>
      </w:r>
    </w:p>
    <w:p w14:paraId="633278D2">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6A932EF9">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48FBBFA">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5736468E">
      <w:pPr>
        <w:ind w:right="1008" w:firstLine="4788" w:firstLineChars="1900"/>
        <w:rPr>
          <w:rFonts w:hint="eastAsia" w:ascii="宋体" w:hAnsi="宋体" w:eastAsia="宋体" w:cs="宋体"/>
          <w:color w:val="auto"/>
          <w:spacing w:val="6"/>
          <w:sz w:val="24"/>
          <w:szCs w:val="24"/>
          <w:highlight w:val="none"/>
        </w:rPr>
      </w:pPr>
    </w:p>
    <w:p w14:paraId="212C7981">
      <w:pPr>
        <w:ind w:right="1008" w:firstLine="4080" w:firstLineChars="1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zh-CN"/>
        </w:rPr>
        <w:t>名称(公章)：</w:t>
      </w:r>
    </w:p>
    <w:p w14:paraId="12BCCFF4">
      <w:pPr>
        <w:ind w:right="1008" w:firstLine="4080" w:firstLineChars="1700"/>
        <w:rPr>
          <w:rFonts w:hint="eastAsia" w:ascii="宋体" w:hAnsi="宋体" w:eastAsia="宋体" w:cs="宋体"/>
          <w:color w:val="auto"/>
          <w:kern w:val="0"/>
          <w:sz w:val="24"/>
          <w:szCs w:val="24"/>
          <w:highlight w:val="none"/>
          <w:lang w:val="zh-CN"/>
        </w:rPr>
      </w:pPr>
    </w:p>
    <w:p w14:paraId="628544E8">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1A775F2">
      <w:pPr>
        <w:pStyle w:val="4"/>
        <w:spacing w:line="244" w:lineRule="auto"/>
        <w:rPr>
          <w:rFonts w:hint="eastAsia" w:ascii="宋体" w:hAnsi="宋体" w:eastAsia="宋体" w:cs="宋体"/>
          <w:color w:val="auto"/>
          <w:sz w:val="24"/>
          <w:szCs w:val="24"/>
          <w:highlight w:val="none"/>
        </w:rPr>
      </w:pPr>
    </w:p>
    <w:p w14:paraId="71791C18">
      <w:pPr>
        <w:pStyle w:val="4"/>
        <w:spacing w:line="244" w:lineRule="auto"/>
        <w:rPr>
          <w:rFonts w:hint="eastAsia" w:ascii="宋体" w:hAnsi="宋体" w:eastAsia="宋体" w:cs="宋体"/>
          <w:color w:val="auto"/>
          <w:highlight w:val="none"/>
        </w:rPr>
      </w:pPr>
    </w:p>
    <w:p w14:paraId="2BA0F9CA">
      <w:pPr>
        <w:pStyle w:val="4"/>
        <w:spacing w:line="244" w:lineRule="auto"/>
        <w:rPr>
          <w:rFonts w:hint="eastAsia" w:ascii="宋体" w:hAnsi="宋体" w:eastAsia="宋体" w:cs="宋体"/>
          <w:color w:val="auto"/>
          <w:highlight w:val="none"/>
        </w:rPr>
      </w:pPr>
    </w:p>
    <w:p w14:paraId="2E73EA0C">
      <w:pPr>
        <w:pStyle w:val="4"/>
        <w:spacing w:line="244" w:lineRule="auto"/>
        <w:rPr>
          <w:rFonts w:hint="eastAsia" w:ascii="宋体" w:hAnsi="宋体" w:eastAsia="宋体" w:cs="宋体"/>
          <w:color w:val="auto"/>
          <w:highlight w:val="none"/>
        </w:rPr>
      </w:pPr>
    </w:p>
    <w:p w14:paraId="7BB317DA">
      <w:pPr>
        <w:pStyle w:val="4"/>
        <w:spacing w:line="245" w:lineRule="auto"/>
        <w:rPr>
          <w:rFonts w:hint="eastAsia" w:ascii="宋体" w:hAnsi="宋体" w:eastAsia="宋体" w:cs="宋体"/>
          <w:color w:val="auto"/>
          <w:highlight w:val="none"/>
        </w:rPr>
      </w:pPr>
    </w:p>
    <w:p w14:paraId="407FFFAB">
      <w:pPr>
        <w:pStyle w:val="4"/>
        <w:spacing w:line="245" w:lineRule="auto"/>
        <w:rPr>
          <w:rFonts w:hint="eastAsia" w:ascii="宋体" w:hAnsi="宋体" w:eastAsia="宋体" w:cs="宋体"/>
          <w:color w:val="auto"/>
          <w:highlight w:val="none"/>
        </w:rPr>
      </w:pPr>
    </w:p>
    <w:p w14:paraId="77CD8C84">
      <w:pPr>
        <w:pStyle w:val="4"/>
        <w:spacing w:line="245" w:lineRule="auto"/>
        <w:rPr>
          <w:rFonts w:hint="eastAsia" w:ascii="宋体" w:hAnsi="宋体" w:eastAsia="宋体" w:cs="宋体"/>
          <w:color w:val="auto"/>
          <w:highlight w:val="none"/>
        </w:rPr>
      </w:pPr>
    </w:p>
    <w:p w14:paraId="2BA56EC1">
      <w:pPr>
        <w:pStyle w:val="4"/>
        <w:spacing w:line="245" w:lineRule="auto"/>
        <w:rPr>
          <w:rFonts w:hint="eastAsia" w:ascii="宋体" w:hAnsi="宋体" w:eastAsia="宋体" w:cs="宋体"/>
          <w:color w:val="auto"/>
          <w:highlight w:val="none"/>
        </w:rPr>
      </w:pPr>
    </w:p>
    <w:p w14:paraId="47EC21C6">
      <w:pPr>
        <w:pStyle w:val="4"/>
        <w:spacing w:line="245" w:lineRule="auto"/>
        <w:rPr>
          <w:rFonts w:hint="eastAsia" w:ascii="宋体" w:hAnsi="宋体" w:eastAsia="宋体" w:cs="宋体"/>
          <w:color w:val="auto"/>
          <w:highlight w:val="none"/>
        </w:rPr>
      </w:pPr>
    </w:p>
    <w:p w14:paraId="7B50FC02">
      <w:pPr>
        <w:spacing w:before="72" w:line="221"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w:t>
      </w:r>
      <w:r>
        <w:rPr>
          <w:rFonts w:hint="eastAsia" w:ascii="宋体" w:hAnsi="宋体" w:eastAsia="宋体" w:cs="宋体"/>
          <w:color w:val="auto"/>
          <w:spacing w:val="-1"/>
          <w:sz w:val="22"/>
          <w:szCs w:val="22"/>
          <w:highlight w:val="none"/>
        </w:rPr>
        <w:t>一年度数据，无上一年度数据的新成立企业可不填报。</w:t>
      </w:r>
    </w:p>
    <w:p w14:paraId="2EC8459D">
      <w:pPr>
        <w:spacing w:line="221" w:lineRule="auto"/>
        <w:rPr>
          <w:rFonts w:hint="eastAsia" w:ascii="宋体" w:hAnsi="宋体" w:eastAsia="宋体" w:cs="宋体"/>
          <w:color w:val="0000FF"/>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0000FF"/>
          <w:sz w:val="22"/>
          <w:szCs w:val="22"/>
          <w:highlight w:val="none"/>
          <w:lang w:val="en-US" w:eastAsia="zh-CN"/>
        </w:rPr>
        <w:t>《中小企业声明函》中“标的名称”根据投标人“分项报价明细表”中的序号、货物名称填写，不得缺项漏项。</w:t>
      </w:r>
    </w:p>
    <w:p w14:paraId="0EBDF156">
      <w:pPr>
        <w:spacing w:line="221" w:lineRule="auto"/>
        <w:rPr>
          <w:rFonts w:hint="eastAsia" w:ascii="宋体" w:hAnsi="宋体" w:eastAsia="宋体" w:cs="宋体"/>
          <w:color w:val="auto"/>
          <w:sz w:val="22"/>
          <w:szCs w:val="22"/>
          <w:highlight w:val="none"/>
          <w:lang w:val="en-US" w:eastAsia="zh-CN"/>
        </w:rPr>
      </w:pPr>
    </w:p>
    <w:p w14:paraId="13D28D6E">
      <w:pPr>
        <w:spacing w:line="221" w:lineRule="auto"/>
        <w:rPr>
          <w:rFonts w:hint="eastAsia" w:ascii="宋体" w:hAnsi="宋体" w:eastAsia="宋体" w:cs="宋体"/>
          <w:color w:val="auto"/>
          <w:sz w:val="22"/>
          <w:szCs w:val="22"/>
          <w:highlight w:val="none"/>
          <w:lang w:val="en-US" w:eastAsia="zh-CN"/>
        </w:rPr>
        <w:sectPr>
          <w:pgSz w:w="11906" w:h="16839"/>
          <w:pgMar w:top="1440" w:right="1080" w:bottom="1440" w:left="1080" w:header="0" w:footer="0" w:gutter="0"/>
          <w:pgNumType w:fmt="decimal"/>
          <w:cols w:space="720" w:num="1"/>
        </w:sectPr>
      </w:pPr>
    </w:p>
    <w:p w14:paraId="3122A05E">
      <w:pPr>
        <w:spacing w:before="78" w:line="219" w:lineRule="auto"/>
        <w:ind w:left="20"/>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附件：</w:t>
      </w:r>
    </w:p>
    <w:p w14:paraId="2606D445">
      <w:pPr>
        <w:spacing w:before="24" w:line="360" w:lineRule="auto"/>
        <w:ind w:left="3837"/>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中小企业划型标准规定</w:t>
      </w:r>
    </w:p>
    <w:p w14:paraId="19A8A888">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一、根据《中华人民共和国中小企业促进法》和</w:t>
      </w:r>
      <w:r>
        <w:rPr>
          <w:rFonts w:hint="eastAsia" w:ascii="宋体" w:hAnsi="宋体" w:eastAsia="宋体" w:cs="宋体"/>
          <w:color w:val="auto"/>
          <w:spacing w:val="-1"/>
          <w:sz w:val="22"/>
          <w:szCs w:val="22"/>
          <w:highlight w:val="none"/>
        </w:rPr>
        <w:t>《国务院关于进一步促进中小企业发展的若干意见》</w:t>
      </w:r>
      <w:r>
        <w:rPr>
          <w:rFonts w:hint="eastAsia" w:ascii="宋体" w:hAnsi="宋体" w:eastAsia="宋体" w:cs="宋体"/>
          <w:color w:val="auto"/>
          <w:spacing w:val="-2"/>
          <w:sz w:val="22"/>
          <w:szCs w:val="22"/>
          <w:highlight w:val="none"/>
        </w:rPr>
        <w:t>(（国发[2009]36号)，制定本规定。</w:t>
      </w:r>
    </w:p>
    <w:p w14:paraId="136BD354">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二、中小企业划分为中型、小型、微型三种类型，具体标准根据企业从业人员、营业收入、资产总额等指标，结合行业特点制定。</w:t>
      </w:r>
    </w:p>
    <w:p w14:paraId="0B346210">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4D129D">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四、各行业划型标准为：</w:t>
      </w:r>
    </w:p>
    <w:p w14:paraId="0A1B630E">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（一）农、林、牧、渔业。营业收入 20000 万元以下的为中小微型企业。其中，营业收入 500 万元及以上的为中型企业，营业收入 50 万元及以上的为小型企业，营业收入 50 万元以下的为微型企业。</w:t>
      </w:r>
    </w:p>
    <w:p w14:paraId="70965D1A">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0000FF"/>
          <w:sz w:val="22"/>
          <w:szCs w:val="22"/>
          <w:highlight w:val="none"/>
        </w:rPr>
        <w:t>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r>
        <w:rPr>
          <w:rFonts w:hint="eastAsia" w:ascii="宋体" w:hAnsi="宋体" w:eastAsia="宋体" w:cs="宋体"/>
          <w:color w:val="auto"/>
          <w:sz w:val="22"/>
          <w:szCs w:val="22"/>
          <w:highlight w:val="none"/>
        </w:rPr>
        <w:t>。</w:t>
      </w:r>
    </w:p>
    <w:p w14:paraId="285F50C0">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p w14:paraId="673ED155">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（四）批发业。从业人员 200 人以下或营业收入 40000 万元以下的为中小微型企业。其中，从业人员 20 人及以上，且营业收入 5000 万元及以上的为中型企业；从业人员 5 人及以上，且营业收入1000 万元及以上的为小型企业；从业人员 5 人以下或营业收入 1000 万元以下的为微型企业。</w:t>
      </w:r>
    </w:p>
    <w:p w14:paraId="0AF348E3">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（五）零售业。从业人员 300 人以下或营业收入 20000 万元以下的为中小微型企业。其中，从业人 员 50 人及以上，且营业收入 500 万元及以上的为中型企业；从业人员 10 人及以上，且营业收入 100 万 元及以上的为小型企业；从业人员 10 人以下或营业收入 100 万元以下的为微型企业。</w:t>
      </w:r>
    </w:p>
    <w:p w14:paraId="6E246D8D">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（六）交通运输业。从业人员 1000 人以下或营业收入 30000 万元以下的为中小微型企业。其中，从业人员 300 人及以上，且营业收入 3000 万元及以上的为中型企业；从业人员 20 人及以上，且营业收入 200 万元及以上的为小型企业；从业人员 20 人以下或营业收入 200 万元以下的为微型企业。</w:t>
      </w:r>
    </w:p>
    <w:p w14:paraId="3115D481">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（七）仓储业。从业人员 200 人以下或营业收入 30000 万元以下的为中小微型企业。其中，从业人员 100 人及以上，且营业收入 1000 万元及以上的为中型企业；从业人员 20 人及以上，且营业收入100 万元及以上的为小型企业；从业人员 20 人以下或营业收入 100 万元以下的为微型企业。</w:t>
      </w:r>
    </w:p>
    <w:p w14:paraId="7C47EAA7">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（八）邮政业。从业人员 1000 人以下或营业收入 30000 万元以下的为中小微型企业。其中，从业人员 300 人及以上，且营业收入 2000 万元及以上的为中型企业；从业人员 20 人及以上，且营业收入100 万元及以上的为小型企业；从业人员 20 人以下或营业收入 100 万元以下的为微型企业。</w:t>
      </w:r>
    </w:p>
    <w:p w14:paraId="3EB56151">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（九）住宿业。从业人员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52B9424A">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（十）餐饮业。从业人员 300 人以下或营业收入 10000 万元以下的为中小微型企业。其中，从业人员 100 人及以上，且营业收入 2000 万元及以上的为中型企业；从业人员 10 人及以上，且营业收入 100 万元及以上的为小型企业；从业人员 10 人以下或营业收入 100 万元以下的为微型企业。</w:t>
      </w:r>
    </w:p>
    <w:p w14:paraId="490AC846">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0E7A8F61">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（十二）软件和信息技术服务业。从业人员 300 人以下或营业收入 10000 万元以下的为中小微型企业。其中，从业人员 100 人及以上，且营业收入 1000 万元及以上的为中型企业；从业人员10 人及以上，且营业收入 50 万元及以上的为小型企业；从业人员 10 人以下或营业收入 50 万元以下的为微型企 业。</w:t>
      </w:r>
    </w:p>
    <w:p w14:paraId="3F7FD3FA">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（十三）房地产开发经营。营业收入 200000 万元以下或资产总额 10000 万元以下的为中小微型企业。其中，营业收入 1000 万元及以上，且资产总额 5000 万元及以上的为中型企业；营业收入 100 万 元及以上，且资产总额 2000 万元及以上的为小型企业；营业收入 100 万元以下或资产总额 2000 万元 以下的为微型企业。</w:t>
      </w:r>
    </w:p>
    <w:p w14:paraId="3B634482">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w:t>
      </w:r>
    </w:p>
    <w:p w14:paraId="4EB18C5F">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14:paraId="15A90D65">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（十六）其他未列明行业。从业人员 300 人以下的为中小微型企业。其中，从业人员 100 人及以上的为中型企业；从业人员 10 人及以上的为小型企业；从业人员 10 人以下的为微型企业。</w:t>
      </w:r>
    </w:p>
    <w:p w14:paraId="301661F7">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五、企业类型的划分以统计部门的统计数据为依据。</w:t>
      </w:r>
    </w:p>
    <w:p w14:paraId="13E1477F">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六、本规定适用于在中华人民共和国境内依法设立的各类所有制和各种组织形式的企业。个体工商户和本规定以外的行业，参照本规定进行划型。</w:t>
      </w:r>
    </w:p>
    <w:p w14:paraId="4C38C0AA">
      <w:pPr>
        <w:keepNext w:val="0"/>
        <w:keepLines w:val="0"/>
        <w:pageBreakBefore w:val="0"/>
        <w:widowControl/>
        <w:kinsoku w:val="0"/>
        <w:wordWrap/>
        <w:overflowPunct/>
        <w:topLinePunct w:val="0"/>
        <w:autoSpaceDE w:val="0"/>
        <w:autoSpaceDN w:val="0"/>
        <w:bidi w:val="0"/>
        <w:adjustRightInd w:val="0"/>
        <w:snapToGrid w:val="0"/>
        <w:spacing w:before="72" w:line="276" w:lineRule="auto"/>
        <w:ind w:left="40" w:firstLine="408"/>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D41A0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5758A4">
      <w:pPr>
        <w:spacing w:before="72" w:line="220" w:lineRule="auto"/>
        <w:ind w:left="679"/>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附表</w:t>
      </w:r>
      <w:r>
        <w:rPr>
          <w:rFonts w:hint="eastAsia" w:ascii="宋体" w:hAnsi="宋体" w:eastAsia="宋体" w:cs="宋体"/>
          <w:color w:val="auto"/>
          <w:spacing w:val="-50"/>
          <w:sz w:val="22"/>
          <w:szCs w:val="22"/>
          <w:highlight w:val="none"/>
        </w:rPr>
        <w:t xml:space="preserve"> </w:t>
      </w:r>
      <w:r>
        <w:rPr>
          <w:rFonts w:hint="eastAsia" w:ascii="宋体" w:hAnsi="宋体" w:eastAsia="宋体" w:cs="宋体"/>
          <w:b/>
          <w:bCs/>
          <w:color w:val="auto"/>
          <w:spacing w:val="-10"/>
          <w:sz w:val="22"/>
          <w:szCs w:val="22"/>
          <w:highlight w:val="none"/>
        </w:rPr>
        <w:t>2</w:t>
      </w:r>
    </w:p>
    <w:p w14:paraId="6C9EDAAD">
      <w:pPr>
        <w:pStyle w:val="4"/>
        <w:spacing w:line="282" w:lineRule="auto"/>
        <w:rPr>
          <w:rFonts w:hint="eastAsia" w:ascii="宋体" w:hAnsi="宋体" w:eastAsia="宋体" w:cs="宋体"/>
          <w:color w:val="auto"/>
          <w:highlight w:val="none"/>
        </w:rPr>
      </w:pPr>
    </w:p>
    <w:p w14:paraId="142A425A">
      <w:pPr>
        <w:pStyle w:val="4"/>
        <w:spacing w:line="282" w:lineRule="auto"/>
        <w:rPr>
          <w:rFonts w:hint="eastAsia" w:ascii="宋体" w:hAnsi="宋体" w:eastAsia="宋体" w:cs="宋体"/>
          <w:color w:val="auto"/>
          <w:highlight w:val="none"/>
        </w:rPr>
      </w:pPr>
    </w:p>
    <w:p w14:paraId="33A610A4">
      <w:pPr>
        <w:pStyle w:val="4"/>
        <w:spacing w:line="282" w:lineRule="auto"/>
        <w:rPr>
          <w:rFonts w:hint="eastAsia" w:ascii="宋体" w:hAnsi="宋体" w:eastAsia="宋体" w:cs="宋体"/>
          <w:color w:val="auto"/>
          <w:highlight w:val="none"/>
        </w:rPr>
      </w:pPr>
    </w:p>
    <w:p w14:paraId="3238BCCB">
      <w:pPr>
        <w:spacing w:before="71" w:line="221" w:lineRule="auto"/>
        <w:ind w:left="3692"/>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残疾人福利性单位声明函（可选）</w:t>
      </w:r>
    </w:p>
    <w:p w14:paraId="519F689C">
      <w:pPr>
        <w:spacing w:before="244" w:line="352" w:lineRule="auto"/>
        <w:ind w:right="78" w:firstLine="621"/>
        <w:jc w:val="both"/>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本单位郑重声明，根据《财政部 民政部 中国残疾人联合会关于促进残疾人就业政府采购政</w:t>
      </w:r>
      <w:r>
        <w:rPr>
          <w:rFonts w:hint="eastAsia" w:ascii="宋体" w:hAnsi="宋体" w:eastAsia="宋体" w:cs="宋体"/>
          <w:color w:val="auto"/>
          <w:spacing w:val="-20"/>
          <w:sz w:val="22"/>
          <w:szCs w:val="22"/>
          <w:highlight w:val="none"/>
        </w:rPr>
        <w:t>策的通知》（财</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3"/>
          <w:sz w:val="22"/>
          <w:szCs w:val="22"/>
          <w:highlight w:val="none"/>
        </w:rPr>
        <w:t>库〔2017〕 141</w:t>
      </w:r>
      <w:r>
        <w:rPr>
          <w:rFonts w:hint="eastAsia" w:ascii="宋体" w:hAnsi="宋体" w:eastAsia="宋体" w:cs="宋体"/>
          <w:color w:val="auto"/>
          <w:spacing w:val="-53"/>
          <w:sz w:val="22"/>
          <w:szCs w:val="22"/>
          <w:highlight w:val="none"/>
        </w:rPr>
        <w:t xml:space="preserve"> </w:t>
      </w:r>
      <w:r>
        <w:rPr>
          <w:rFonts w:hint="eastAsia" w:ascii="宋体" w:hAnsi="宋体" w:eastAsia="宋体" w:cs="宋体"/>
          <w:color w:val="auto"/>
          <w:spacing w:val="-13"/>
          <w:sz w:val="22"/>
          <w:szCs w:val="22"/>
          <w:highlight w:val="none"/>
        </w:rPr>
        <w:t>号）的规定，本单位为符合条件的残疾人福利性</w:t>
      </w:r>
      <w:r>
        <w:rPr>
          <w:rFonts w:hint="eastAsia" w:ascii="宋体" w:hAnsi="宋体" w:eastAsia="宋体" w:cs="宋体"/>
          <w:color w:val="auto"/>
          <w:spacing w:val="-14"/>
          <w:sz w:val="22"/>
          <w:szCs w:val="22"/>
          <w:highlight w:val="none"/>
        </w:rPr>
        <w:t>单位，且本单位参加</w:t>
      </w:r>
      <w:r>
        <w:rPr>
          <w:rFonts w:hint="eastAsia" w:ascii="宋体" w:hAnsi="宋体" w:eastAsia="宋体" w:cs="宋体"/>
          <w:color w:val="auto"/>
          <w:spacing w:val="-14"/>
          <w:sz w:val="22"/>
          <w:szCs w:val="22"/>
          <w:highlight w:val="none"/>
          <w:u w:val="single" w:color="auto"/>
        </w:rPr>
        <w:t xml:space="preserve">      </w:t>
      </w:r>
      <w:r>
        <w:rPr>
          <w:rFonts w:hint="eastAsia" w:ascii="宋体" w:hAnsi="宋体" w:eastAsia="宋体" w:cs="宋体"/>
          <w:color w:val="auto"/>
          <w:spacing w:val="-14"/>
          <w:sz w:val="22"/>
          <w:szCs w:val="22"/>
          <w:highlight w:val="none"/>
        </w:rPr>
        <w:t>单位的</w:t>
      </w:r>
      <w:r>
        <w:rPr>
          <w:rFonts w:hint="eastAsia" w:ascii="宋体" w:hAnsi="宋体" w:eastAsia="宋体" w:cs="宋体"/>
          <w:color w:val="auto"/>
          <w:spacing w:val="-14"/>
          <w:sz w:val="22"/>
          <w:szCs w:val="22"/>
          <w:highlight w:val="none"/>
          <w:u w:val="single" w:color="auto"/>
        </w:rPr>
        <w:t xml:space="preserve">      </w:t>
      </w:r>
      <w:r>
        <w:rPr>
          <w:rFonts w:hint="eastAsia" w:ascii="宋体" w:hAnsi="宋体" w:eastAsia="宋体" w:cs="宋体"/>
          <w:color w:val="auto"/>
          <w:spacing w:val="-14"/>
          <w:sz w:val="22"/>
          <w:szCs w:val="22"/>
          <w:highlight w:val="none"/>
        </w:rPr>
        <w:t>项目采</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5"/>
          <w:sz w:val="22"/>
          <w:szCs w:val="22"/>
          <w:highlight w:val="none"/>
        </w:rPr>
        <w:t>购活动提供本单位制造的货物（由本单位承担工程/提供服务</w:t>
      </w:r>
      <w:r>
        <w:rPr>
          <w:rFonts w:hint="eastAsia" w:ascii="宋体" w:hAnsi="宋体" w:eastAsia="宋体" w:cs="宋体"/>
          <w:color w:val="auto"/>
          <w:spacing w:val="-56"/>
          <w:sz w:val="22"/>
          <w:szCs w:val="22"/>
          <w:highlight w:val="none"/>
        </w:rPr>
        <w:t>），</w:t>
      </w:r>
      <w:r>
        <w:rPr>
          <w:rFonts w:hint="eastAsia" w:ascii="宋体" w:hAnsi="宋体" w:eastAsia="宋体" w:cs="宋体"/>
          <w:color w:val="auto"/>
          <w:spacing w:val="-15"/>
          <w:sz w:val="22"/>
          <w:szCs w:val="22"/>
          <w:highlight w:val="none"/>
        </w:rPr>
        <w:t>或者提供其他</w:t>
      </w:r>
      <w:r>
        <w:rPr>
          <w:rFonts w:hint="eastAsia" w:ascii="宋体" w:hAnsi="宋体" w:eastAsia="宋体" w:cs="宋体"/>
          <w:color w:val="auto"/>
          <w:spacing w:val="-16"/>
          <w:sz w:val="22"/>
          <w:szCs w:val="22"/>
          <w:highlight w:val="none"/>
        </w:rPr>
        <w:t>残疾人福利性单位制造的货物（不</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3"/>
          <w:sz w:val="22"/>
          <w:szCs w:val="22"/>
          <w:highlight w:val="none"/>
        </w:rPr>
        <w:t>包括使用非残疾人福利性单位注册商标的货物）。</w:t>
      </w:r>
    </w:p>
    <w:p w14:paraId="1D0372D9">
      <w:pPr>
        <w:spacing w:before="111" w:line="220" w:lineRule="auto"/>
        <w:ind w:left="415"/>
        <w:rPr>
          <w:rFonts w:hint="eastAsia" w:ascii="宋体" w:hAnsi="宋体" w:eastAsia="宋体" w:cs="宋体"/>
          <w:color w:val="auto"/>
          <w:sz w:val="22"/>
          <w:szCs w:val="22"/>
          <w:highlight w:val="none"/>
        </w:rPr>
      </w:pPr>
      <w:r>
        <w:rPr>
          <w:rFonts w:hint="eastAsia" w:ascii="宋体" w:hAnsi="宋体" w:eastAsia="宋体" w:cs="宋体"/>
          <w:color w:val="auto"/>
          <w:spacing w:val="-14"/>
          <w:sz w:val="22"/>
          <w:szCs w:val="22"/>
          <w:highlight w:val="none"/>
        </w:rPr>
        <w:t>本单位对上述声明的真实性负责。如有虚假，将依法承担相应责任。</w:t>
      </w:r>
    </w:p>
    <w:p w14:paraId="330BDC23">
      <w:pPr>
        <w:pStyle w:val="4"/>
        <w:spacing w:line="241" w:lineRule="auto"/>
        <w:rPr>
          <w:rFonts w:hint="eastAsia" w:ascii="宋体" w:hAnsi="宋体" w:eastAsia="宋体" w:cs="宋体"/>
          <w:color w:val="auto"/>
          <w:highlight w:val="none"/>
        </w:rPr>
      </w:pPr>
    </w:p>
    <w:p w14:paraId="32B19187">
      <w:pPr>
        <w:pStyle w:val="4"/>
        <w:spacing w:line="241" w:lineRule="auto"/>
        <w:rPr>
          <w:rFonts w:hint="eastAsia" w:ascii="宋体" w:hAnsi="宋体" w:eastAsia="宋体" w:cs="宋体"/>
          <w:color w:val="auto"/>
          <w:highlight w:val="none"/>
        </w:rPr>
      </w:pPr>
    </w:p>
    <w:p w14:paraId="715A5012">
      <w:pPr>
        <w:spacing w:before="72" w:line="268" w:lineRule="auto"/>
        <w:ind w:right="998"/>
        <w:jc w:val="right"/>
        <w:rPr>
          <w:rFonts w:hint="eastAsia" w:ascii="宋体" w:hAnsi="宋体" w:eastAsia="宋体" w:cs="宋体"/>
          <w:color w:val="auto"/>
          <w:spacing w:val="-15"/>
          <w:sz w:val="22"/>
          <w:szCs w:val="22"/>
          <w:highlight w:val="none"/>
        </w:rPr>
      </w:pPr>
      <w:r>
        <w:rPr>
          <w:rFonts w:hint="eastAsia" w:ascii="宋体" w:hAnsi="宋体" w:eastAsia="宋体" w:cs="宋体"/>
          <w:color w:val="auto"/>
          <w:spacing w:val="-15"/>
          <w:sz w:val="22"/>
          <w:szCs w:val="22"/>
          <w:highlight w:val="none"/>
        </w:rPr>
        <w:t>供应商名称(电子签章)：</w:t>
      </w:r>
    </w:p>
    <w:p w14:paraId="26ACF1C2">
      <w:pPr>
        <w:spacing w:before="72" w:line="268" w:lineRule="auto"/>
        <w:ind w:right="998"/>
        <w:jc w:val="righ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w:t>
      </w:r>
      <w:r>
        <w:rPr>
          <w:rFonts w:hint="eastAsia" w:ascii="宋体" w:hAnsi="宋体" w:eastAsia="宋体" w:cs="宋体"/>
          <w:color w:val="auto"/>
          <w:spacing w:val="-54"/>
          <w:sz w:val="22"/>
          <w:szCs w:val="22"/>
          <w:highlight w:val="none"/>
        </w:rPr>
        <w:t xml:space="preserve"> </w:t>
      </w:r>
      <w:r>
        <w:rPr>
          <w:rFonts w:hint="eastAsia" w:ascii="宋体" w:hAnsi="宋体" w:eastAsia="宋体" w:cs="宋体"/>
          <w:color w:val="auto"/>
          <w:spacing w:val="-13"/>
          <w:sz w:val="22"/>
          <w:szCs w:val="22"/>
          <w:highlight w:val="none"/>
        </w:rPr>
        <w:t>期：</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77"/>
          <w:sz w:val="22"/>
          <w:szCs w:val="22"/>
          <w:highlight w:val="none"/>
        </w:rPr>
        <w:t xml:space="preserve"> </w:t>
      </w:r>
      <w:r>
        <w:rPr>
          <w:rFonts w:hint="eastAsia" w:ascii="宋体" w:hAnsi="宋体" w:eastAsia="宋体" w:cs="宋体"/>
          <w:color w:val="auto"/>
          <w:spacing w:val="-13"/>
          <w:sz w:val="22"/>
          <w:szCs w:val="22"/>
          <w:highlight w:val="none"/>
        </w:rPr>
        <w:t>月   日</w:t>
      </w:r>
    </w:p>
    <w:p w14:paraId="5FCC9521">
      <w:pPr>
        <w:pStyle w:val="4"/>
        <w:spacing w:line="264" w:lineRule="auto"/>
        <w:rPr>
          <w:rFonts w:hint="eastAsia" w:ascii="宋体" w:hAnsi="宋体" w:eastAsia="宋体" w:cs="宋体"/>
          <w:color w:val="auto"/>
          <w:highlight w:val="none"/>
        </w:rPr>
      </w:pPr>
    </w:p>
    <w:p w14:paraId="44771C48">
      <w:pPr>
        <w:pStyle w:val="4"/>
        <w:spacing w:line="264" w:lineRule="auto"/>
        <w:rPr>
          <w:rFonts w:hint="eastAsia" w:ascii="宋体" w:hAnsi="宋体" w:eastAsia="宋体" w:cs="宋体"/>
          <w:color w:val="auto"/>
          <w:highlight w:val="none"/>
        </w:rPr>
      </w:pPr>
    </w:p>
    <w:p w14:paraId="016BFBF4">
      <w:pPr>
        <w:pStyle w:val="4"/>
        <w:spacing w:line="264" w:lineRule="auto"/>
        <w:rPr>
          <w:rFonts w:hint="eastAsia" w:ascii="宋体" w:hAnsi="宋体" w:eastAsia="宋体" w:cs="宋体"/>
          <w:color w:val="auto"/>
          <w:highlight w:val="none"/>
        </w:rPr>
      </w:pPr>
    </w:p>
    <w:p w14:paraId="29FD71A0">
      <w:pPr>
        <w:pStyle w:val="4"/>
        <w:spacing w:line="264" w:lineRule="auto"/>
        <w:rPr>
          <w:rFonts w:hint="eastAsia" w:ascii="宋体" w:hAnsi="宋体" w:eastAsia="宋体" w:cs="宋体"/>
          <w:color w:val="auto"/>
          <w:highlight w:val="none"/>
        </w:rPr>
      </w:pPr>
    </w:p>
    <w:p w14:paraId="7C563F96">
      <w:pPr>
        <w:spacing w:before="71" w:line="220" w:lineRule="auto"/>
        <w:ind w:left="679"/>
        <w:rPr>
          <w:rFonts w:hint="eastAsia" w:ascii="宋体" w:hAnsi="宋体" w:eastAsia="宋体" w:cs="宋体"/>
          <w:color w:val="auto"/>
          <w:sz w:val="22"/>
          <w:szCs w:val="22"/>
          <w:highlight w:val="none"/>
        </w:rPr>
      </w:pPr>
      <w:r>
        <w:rPr>
          <w:rFonts w:hint="eastAsia" w:ascii="宋体" w:hAnsi="宋体" w:eastAsia="宋体" w:cs="宋体"/>
          <w:b/>
          <w:bCs/>
          <w:color w:val="auto"/>
          <w:spacing w:val="-9"/>
          <w:sz w:val="22"/>
          <w:szCs w:val="22"/>
          <w:highlight w:val="none"/>
        </w:rPr>
        <w:t>附表</w:t>
      </w:r>
      <w:r>
        <w:rPr>
          <w:rFonts w:hint="eastAsia" w:ascii="宋体" w:hAnsi="宋体" w:eastAsia="宋体" w:cs="宋体"/>
          <w:color w:val="auto"/>
          <w:spacing w:val="-51"/>
          <w:sz w:val="22"/>
          <w:szCs w:val="22"/>
          <w:highlight w:val="none"/>
        </w:rPr>
        <w:t xml:space="preserve"> </w:t>
      </w:r>
      <w:r>
        <w:rPr>
          <w:rFonts w:hint="eastAsia" w:ascii="宋体" w:hAnsi="宋体" w:eastAsia="宋体" w:cs="宋体"/>
          <w:b/>
          <w:bCs/>
          <w:color w:val="auto"/>
          <w:spacing w:val="-9"/>
          <w:sz w:val="22"/>
          <w:szCs w:val="22"/>
          <w:highlight w:val="none"/>
        </w:rPr>
        <w:t>3：</w:t>
      </w:r>
    </w:p>
    <w:p w14:paraId="086074F7">
      <w:pPr>
        <w:spacing w:before="165" w:line="221" w:lineRule="auto"/>
        <w:jc w:val="right"/>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省级以上</w:t>
      </w:r>
      <w:r>
        <w:rPr>
          <w:rFonts w:hint="eastAsia" w:ascii="宋体" w:hAnsi="宋体" w:eastAsia="宋体" w:cs="宋体"/>
          <w:color w:val="auto"/>
          <w:spacing w:val="-52"/>
          <w:sz w:val="22"/>
          <w:szCs w:val="22"/>
          <w:highlight w:val="none"/>
        </w:rPr>
        <w:t xml:space="preserve"> </w:t>
      </w:r>
      <w:r>
        <w:rPr>
          <w:rFonts w:hint="eastAsia" w:ascii="宋体" w:hAnsi="宋体" w:eastAsia="宋体" w:cs="宋体"/>
          <w:b/>
          <w:bCs/>
          <w:color w:val="auto"/>
          <w:spacing w:val="-4"/>
          <w:sz w:val="22"/>
          <w:szCs w:val="22"/>
          <w:highlight w:val="none"/>
        </w:rPr>
        <w:t>JY 管理局、戒毒管理局（含新疆生产建设兵团）出具的属</w:t>
      </w:r>
      <w:r>
        <w:rPr>
          <w:rFonts w:hint="eastAsia" w:ascii="宋体" w:hAnsi="宋体" w:eastAsia="宋体" w:cs="宋体"/>
          <w:b/>
          <w:bCs/>
          <w:color w:val="auto"/>
          <w:spacing w:val="-5"/>
          <w:sz w:val="22"/>
          <w:szCs w:val="22"/>
          <w:highlight w:val="none"/>
        </w:rPr>
        <w:t>于</w:t>
      </w:r>
      <w:r>
        <w:rPr>
          <w:rFonts w:hint="eastAsia" w:ascii="宋体" w:hAnsi="宋体" w:eastAsia="宋体" w:cs="宋体"/>
          <w:color w:val="auto"/>
          <w:spacing w:val="-53"/>
          <w:sz w:val="22"/>
          <w:szCs w:val="22"/>
          <w:highlight w:val="none"/>
        </w:rPr>
        <w:t xml:space="preserve"> </w:t>
      </w:r>
      <w:r>
        <w:rPr>
          <w:rFonts w:hint="eastAsia" w:ascii="宋体" w:hAnsi="宋体" w:eastAsia="宋体" w:cs="宋体"/>
          <w:b/>
          <w:bCs/>
          <w:color w:val="auto"/>
          <w:spacing w:val="-5"/>
          <w:sz w:val="22"/>
          <w:szCs w:val="22"/>
          <w:highlight w:val="none"/>
        </w:rPr>
        <w:t>JY 企业的证明文件（可选）</w:t>
      </w:r>
    </w:p>
    <w:p w14:paraId="6A2C21C9">
      <w:pPr>
        <w:pStyle w:val="4"/>
        <w:spacing w:line="259" w:lineRule="auto"/>
        <w:rPr>
          <w:rFonts w:hint="eastAsia" w:ascii="宋体" w:hAnsi="宋体" w:eastAsia="宋体" w:cs="宋体"/>
          <w:color w:val="auto"/>
          <w:highlight w:val="none"/>
        </w:rPr>
      </w:pPr>
    </w:p>
    <w:p w14:paraId="75D4A135">
      <w:pPr>
        <w:pStyle w:val="4"/>
        <w:spacing w:line="260" w:lineRule="auto"/>
        <w:rPr>
          <w:rFonts w:hint="eastAsia" w:ascii="宋体" w:hAnsi="宋体" w:eastAsia="宋体" w:cs="宋体"/>
          <w:color w:val="auto"/>
          <w:highlight w:val="none"/>
        </w:rPr>
      </w:pPr>
    </w:p>
    <w:p w14:paraId="4CF52BF7">
      <w:pPr>
        <w:pStyle w:val="4"/>
        <w:spacing w:line="260" w:lineRule="auto"/>
        <w:rPr>
          <w:rFonts w:hint="eastAsia" w:ascii="宋体" w:hAnsi="宋体" w:eastAsia="宋体" w:cs="宋体"/>
          <w:color w:val="auto"/>
          <w:highlight w:val="none"/>
        </w:rPr>
      </w:pPr>
    </w:p>
    <w:p w14:paraId="0CE86A88">
      <w:pPr>
        <w:pStyle w:val="4"/>
        <w:spacing w:line="260" w:lineRule="auto"/>
        <w:rPr>
          <w:rFonts w:hint="eastAsia" w:ascii="宋体" w:hAnsi="宋体" w:eastAsia="宋体" w:cs="宋体"/>
          <w:color w:val="auto"/>
          <w:highlight w:val="none"/>
        </w:rPr>
      </w:pPr>
    </w:p>
    <w:p w14:paraId="1FFB7C7D">
      <w:pPr>
        <w:spacing w:before="72" w:line="268" w:lineRule="auto"/>
        <w:ind w:right="998"/>
        <w:jc w:val="right"/>
        <w:rPr>
          <w:rFonts w:hint="eastAsia" w:ascii="宋体" w:hAnsi="宋体" w:eastAsia="宋体" w:cs="宋体"/>
          <w:color w:val="auto"/>
          <w:spacing w:val="-15"/>
          <w:sz w:val="22"/>
          <w:szCs w:val="22"/>
          <w:highlight w:val="none"/>
        </w:rPr>
      </w:pPr>
      <w:r>
        <w:rPr>
          <w:rFonts w:hint="eastAsia" w:ascii="宋体" w:hAnsi="宋体" w:eastAsia="宋体" w:cs="宋体"/>
          <w:color w:val="auto"/>
          <w:spacing w:val="-15"/>
          <w:sz w:val="22"/>
          <w:szCs w:val="22"/>
          <w:highlight w:val="none"/>
        </w:rPr>
        <w:t>供应商名称(电子签章)：</w:t>
      </w:r>
    </w:p>
    <w:p w14:paraId="64B0960C">
      <w:pPr>
        <w:spacing w:before="72" w:line="268" w:lineRule="auto"/>
        <w:ind w:right="998"/>
        <w:jc w:val="right"/>
        <w:rPr>
          <w:rFonts w:hint="eastAsia" w:ascii="宋体" w:hAnsi="宋体" w:eastAsia="宋体" w:cs="宋体"/>
          <w:color w:val="auto"/>
          <w:highlight w:val="none"/>
        </w:rPr>
      </w:pPr>
      <w:r>
        <w:rPr>
          <w:rFonts w:hint="eastAsia" w:ascii="宋体" w:hAnsi="宋体" w:eastAsia="宋体" w:cs="宋体"/>
          <w:color w:val="auto"/>
          <w:spacing w:val="-13"/>
          <w:sz w:val="22"/>
          <w:szCs w:val="22"/>
          <w:highlight w:val="none"/>
        </w:rPr>
        <w:t>日</w:t>
      </w:r>
      <w:r>
        <w:rPr>
          <w:rFonts w:hint="eastAsia" w:ascii="宋体" w:hAnsi="宋体" w:eastAsia="宋体" w:cs="宋体"/>
          <w:color w:val="auto"/>
          <w:spacing w:val="-54"/>
          <w:sz w:val="22"/>
          <w:szCs w:val="22"/>
          <w:highlight w:val="none"/>
        </w:rPr>
        <w:t xml:space="preserve"> </w:t>
      </w:r>
      <w:r>
        <w:rPr>
          <w:rFonts w:hint="eastAsia" w:ascii="宋体" w:hAnsi="宋体" w:eastAsia="宋体" w:cs="宋体"/>
          <w:color w:val="auto"/>
          <w:spacing w:val="-13"/>
          <w:sz w:val="22"/>
          <w:szCs w:val="22"/>
          <w:highlight w:val="none"/>
        </w:rPr>
        <w:t>期：</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77"/>
          <w:sz w:val="22"/>
          <w:szCs w:val="22"/>
          <w:highlight w:val="none"/>
        </w:rPr>
        <w:t xml:space="preserve"> </w:t>
      </w:r>
      <w:r>
        <w:rPr>
          <w:rFonts w:hint="eastAsia" w:ascii="宋体" w:hAnsi="宋体" w:eastAsia="宋体" w:cs="宋体"/>
          <w:color w:val="auto"/>
          <w:spacing w:val="-13"/>
          <w:sz w:val="22"/>
          <w:szCs w:val="22"/>
          <w:highlight w:val="none"/>
        </w:rPr>
        <w:t>月   日</w:t>
      </w:r>
    </w:p>
    <w:p w14:paraId="7BD87CC4">
      <w:pPr>
        <w:pStyle w:val="4"/>
        <w:spacing w:line="248" w:lineRule="auto"/>
        <w:rPr>
          <w:rFonts w:hint="eastAsia" w:ascii="宋体" w:hAnsi="宋体" w:eastAsia="宋体" w:cs="宋体"/>
          <w:color w:val="auto"/>
          <w:highlight w:val="none"/>
        </w:rPr>
      </w:pPr>
    </w:p>
    <w:p w14:paraId="01D05BEF">
      <w:pPr>
        <w:pStyle w:val="4"/>
        <w:spacing w:line="248" w:lineRule="auto"/>
        <w:rPr>
          <w:rFonts w:hint="eastAsia" w:ascii="宋体" w:hAnsi="宋体" w:eastAsia="宋体" w:cs="宋体"/>
          <w:color w:val="auto"/>
          <w:highlight w:val="none"/>
        </w:rPr>
      </w:pPr>
    </w:p>
    <w:p w14:paraId="61C28EA2">
      <w:pPr>
        <w:pStyle w:val="4"/>
        <w:spacing w:line="248" w:lineRule="auto"/>
        <w:rPr>
          <w:rFonts w:hint="eastAsia" w:ascii="宋体" w:hAnsi="宋体" w:eastAsia="宋体" w:cs="宋体"/>
          <w:color w:val="auto"/>
          <w:highlight w:val="none"/>
        </w:rPr>
      </w:pPr>
    </w:p>
    <w:p w14:paraId="6C2F6D31">
      <w:pPr>
        <w:spacing w:line="221" w:lineRule="auto"/>
        <w:rPr>
          <w:rFonts w:hint="eastAsia" w:ascii="宋体" w:hAnsi="宋体" w:eastAsia="宋体" w:cs="宋体"/>
          <w:color w:val="auto"/>
          <w:sz w:val="22"/>
          <w:szCs w:val="22"/>
          <w:highlight w:val="none"/>
        </w:rPr>
        <w:sectPr>
          <w:pgSz w:w="11906" w:h="16839"/>
          <w:pgMar w:top="1440" w:right="1080" w:bottom="1440" w:left="1080" w:header="0" w:footer="0" w:gutter="0"/>
          <w:pgNumType w:fmt="decimal"/>
          <w:cols w:space="720" w:num="1"/>
        </w:sectPr>
      </w:pPr>
    </w:p>
    <w:p w14:paraId="0B92CEF0">
      <w:pPr>
        <w:spacing w:before="73" w:line="220" w:lineRule="auto"/>
        <w:ind w:left="679"/>
        <w:rPr>
          <w:rFonts w:hint="eastAsia" w:ascii="宋体" w:hAnsi="宋体" w:eastAsia="宋体" w:cs="宋体"/>
          <w:b/>
          <w:bCs/>
          <w:color w:val="auto"/>
          <w:spacing w:val="-10"/>
          <w:sz w:val="22"/>
          <w:szCs w:val="22"/>
          <w:highlight w:val="none"/>
          <w:lang w:val="en-US" w:eastAsia="zh-CN"/>
        </w:rPr>
      </w:pPr>
      <w:r>
        <w:rPr>
          <w:rFonts w:hint="eastAsia" w:ascii="宋体" w:hAnsi="宋体" w:eastAsia="宋体" w:cs="宋体"/>
          <w:b/>
          <w:bCs/>
          <w:color w:val="auto"/>
          <w:spacing w:val="-10"/>
          <w:sz w:val="22"/>
          <w:szCs w:val="22"/>
          <w:highlight w:val="none"/>
          <w:lang w:val="en-US" w:eastAsia="zh-CN"/>
        </w:rPr>
        <w:t>附表4：</w:t>
      </w:r>
    </w:p>
    <w:p w14:paraId="4C8B5E05">
      <w:pPr>
        <w:spacing w:before="71" w:line="360" w:lineRule="auto"/>
        <w:ind w:left="2960"/>
        <w:rPr>
          <w:rFonts w:hint="eastAsia" w:ascii="宋体" w:hAnsi="宋体" w:eastAsia="宋体" w:cs="宋体"/>
          <w:b/>
          <w:bCs/>
          <w:color w:val="auto"/>
          <w:spacing w:val="-13"/>
          <w:sz w:val="22"/>
          <w:szCs w:val="22"/>
          <w:highlight w:val="none"/>
        </w:rPr>
      </w:pPr>
      <w:r>
        <w:rPr>
          <w:rFonts w:hint="eastAsia" w:ascii="宋体" w:hAnsi="宋体" w:eastAsia="宋体" w:cs="宋体"/>
          <w:b/>
          <w:bCs/>
          <w:color w:val="auto"/>
          <w:spacing w:val="-13"/>
          <w:sz w:val="22"/>
          <w:szCs w:val="22"/>
          <w:highlight w:val="none"/>
        </w:rPr>
        <w:t xml:space="preserve">关于符合本国产品标准的声明函（可选） </w:t>
      </w:r>
    </w:p>
    <w:p w14:paraId="35D07D5C">
      <w:pPr>
        <w:spacing w:before="183" w:line="360"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本公司（单位）郑重声明，根据《国务院办公厅关于在政府采购中实施本国产品标准及相关政策的通知》（国办发〔2025〕34 号）的规定，本公司（单位）提供的以下产品属于本国产品。具体情况如下： </w:t>
      </w:r>
    </w:p>
    <w:p w14:paraId="64746213">
      <w:pPr>
        <w:spacing w:before="183" w:line="360"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（产品名称 1），生产厂为（厂名），厂址为（生产厂址）。（产品名称 1）的中国境内生产的组件成本占比≥（规定比例）。（产品名称 1）的（关键组件）在中国境内生产。（产品名称 1）的（关键工序）在中国境内完成。 </w:t>
      </w:r>
    </w:p>
    <w:p w14:paraId="6E1A2BBD">
      <w:pPr>
        <w:spacing w:before="183" w:line="360"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（产品名称 2），生产厂为（厂名），厂址为（生产厂址）。（产品名称 2）的中国境内生产的组件成本占比≥（规定比例）。（产品名称 2）的（关键组件）在中国境内生产。（产品名称 2）的（关键工序）在中国境内完成。</w:t>
      </w:r>
    </w:p>
    <w:p w14:paraId="3C08FD8D">
      <w:pPr>
        <w:spacing w:before="183" w:line="360"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 …… </w:t>
      </w:r>
    </w:p>
    <w:p w14:paraId="466ED14A">
      <w:pPr>
        <w:spacing w:before="183" w:line="360"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本公司（单位）对上述声明内容的真实性负责。如有虚假，愿承担相应法律责任。 </w:t>
      </w:r>
    </w:p>
    <w:p w14:paraId="7B94FF54">
      <w:pPr>
        <w:spacing w:before="183" w:line="360" w:lineRule="auto"/>
        <w:ind w:left="324" w:firstLine="436" w:firstLineChars="200"/>
        <w:jc w:val="right"/>
        <w:rPr>
          <w:rFonts w:hint="eastAsia" w:ascii="宋体" w:hAnsi="宋体" w:eastAsia="宋体" w:cs="宋体"/>
          <w:color w:val="auto"/>
          <w:spacing w:val="-1"/>
          <w:sz w:val="22"/>
          <w:szCs w:val="22"/>
          <w:highlight w:val="none"/>
        </w:rPr>
      </w:pPr>
    </w:p>
    <w:p w14:paraId="75D25158">
      <w:pPr>
        <w:spacing w:before="183" w:line="360" w:lineRule="auto"/>
        <w:ind w:left="324" w:firstLine="436" w:firstLineChars="200"/>
        <w:jc w:val="righ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投标人名称:(盖章) </w:t>
      </w:r>
    </w:p>
    <w:p w14:paraId="0E5186A5">
      <w:pPr>
        <w:spacing w:before="183" w:line="360" w:lineRule="auto"/>
        <w:ind w:left="324" w:firstLine="436" w:firstLineChars="200"/>
        <w:jc w:val="right"/>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日 期：年月日 </w:t>
      </w:r>
    </w:p>
    <w:p w14:paraId="24CD2CFB">
      <w:pPr>
        <w:spacing w:before="183" w:line="215" w:lineRule="auto"/>
        <w:ind w:left="324" w:firstLine="436" w:firstLineChars="200"/>
        <w:rPr>
          <w:rFonts w:hint="eastAsia" w:ascii="宋体" w:hAnsi="宋体" w:eastAsia="宋体" w:cs="宋体"/>
          <w:color w:val="auto"/>
          <w:spacing w:val="-1"/>
          <w:sz w:val="22"/>
          <w:szCs w:val="22"/>
          <w:highlight w:val="none"/>
        </w:rPr>
      </w:pPr>
    </w:p>
    <w:p w14:paraId="5DAD00D1">
      <w:pPr>
        <w:spacing w:before="183" w:line="215"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注： </w:t>
      </w:r>
    </w:p>
    <w:p w14:paraId="3E221DA2">
      <w:pPr>
        <w:spacing w:before="183" w:line="215"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产品如有型号，请在 “产品名称” 栏一并填写。 </w:t>
      </w:r>
    </w:p>
    <w:p w14:paraId="62FB46EA">
      <w:pPr>
        <w:spacing w:before="183" w:line="215"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生产厂名与厂址应与生产厂营业执照载明的相关信息保持一致。 </w:t>
      </w:r>
    </w:p>
    <w:p w14:paraId="487B9DCC">
      <w:pPr>
        <w:spacing w:before="183" w:line="215"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该产品的中国境内生产的组件成本占比按相关规定实施。 </w:t>
      </w:r>
    </w:p>
    <w:p w14:paraId="0C997A04">
      <w:pPr>
        <w:spacing w:before="183" w:line="215" w:lineRule="auto"/>
        <w:ind w:left="324" w:firstLine="436" w:firstLineChars="2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该产品的关键组件按相关规定实施，无相关规定的，“关键组件” 栏可不填，下同。 </w:t>
      </w:r>
    </w:p>
    <w:p w14:paraId="55912DF3">
      <w:pPr>
        <w:spacing w:before="183" w:line="215" w:lineRule="auto"/>
        <w:ind w:left="324" w:firstLine="436" w:firstLineChars="200"/>
        <w:rPr>
          <w:rFonts w:hint="eastAsia" w:ascii="宋体" w:hAnsi="宋体" w:eastAsia="宋体" w:cs="宋体"/>
          <w:color w:val="auto"/>
          <w:spacing w:val="-1"/>
          <w:sz w:val="22"/>
          <w:szCs w:val="22"/>
          <w:highlight w:val="none"/>
          <w:lang w:val="en-US" w:eastAsia="zh-CN"/>
        </w:rPr>
      </w:pPr>
      <w:r>
        <w:rPr>
          <w:rFonts w:hint="eastAsia" w:ascii="宋体" w:hAnsi="宋体" w:eastAsia="宋体" w:cs="宋体"/>
          <w:color w:val="auto"/>
          <w:spacing w:val="-1"/>
          <w:sz w:val="22"/>
          <w:szCs w:val="22"/>
          <w:highlight w:val="none"/>
        </w:rPr>
        <w:t>该产品的关键工序要求实施前，“关键工序” 栏可不填，下同。</w:t>
      </w:r>
    </w:p>
    <w:p w14:paraId="3E9BC801">
      <w:pPr>
        <w:rPr>
          <w:rFonts w:hint="eastAsia" w:ascii="宋体" w:hAnsi="宋体" w:eastAsia="宋体" w:cs="宋体"/>
          <w:b/>
          <w:bCs/>
          <w:color w:val="auto"/>
          <w:spacing w:val="-10"/>
          <w:sz w:val="22"/>
          <w:szCs w:val="22"/>
          <w:highlight w:val="none"/>
        </w:rPr>
      </w:pPr>
      <w:r>
        <w:rPr>
          <w:rFonts w:hint="eastAsia" w:ascii="宋体" w:hAnsi="宋体" w:eastAsia="宋体" w:cs="宋体"/>
          <w:b/>
          <w:bCs/>
          <w:color w:val="auto"/>
          <w:spacing w:val="-10"/>
          <w:sz w:val="22"/>
          <w:szCs w:val="22"/>
          <w:highlight w:val="none"/>
        </w:rPr>
        <w:br w:type="page"/>
      </w:r>
    </w:p>
    <w:p w14:paraId="75FFA1F3">
      <w:pPr>
        <w:spacing w:before="73" w:line="220" w:lineRule="auto"/>
        <w:ind w:left="679"/>
        <w:rPr>
          <w:rFonts w:hint="eastAsia" w:ascii="宋体" w:hAnsi="宋体" w:eastAsia="宋体" w:cs="宋体"/>
          <w:color w:val="auto"/>
          <w:sz w:val="22"/>
          <w:szCs w:val="22"/>
          <w:highlight w:val="none"/>
        </w:rPr>
      </w:pPr>
      <w:r>
        <w:rPr>
          <w:rFonts w:hint="eastAsia" w:ascii="宋体" w:hAnsi="宋体" w:eastAsia="宋体" w:cs="宋体"/>
          <w:b/>
          <w:bCs/>
          <w:color w:val="auto"/>
          <w:spacing w:val="-10"/>
          <w:sz w:val="22"/>
          <w:szCs w:val="22"/>
          <w:highlight w:val="none"/>
        </w:rPr>
        <w:t>附表</w:t>
      </w:r>
      <w:r>
        <w:rPr>
          <w:rFonts w:hint="eastAsia" w:ascii="宋体" w:hAnsi="宋体" w:eastAsia="宋体" w:cs="宋体"/>
          <w:color w:val="auto"/>
          <w:spacing w:val="-47"/>
          <w:sz w:val="22"/>
          <w:szCs w:val="22"/>
          <w:highlight w:val="none"/>
        </w:rPr>
        <w:t xml:space="preserve"> </w:t>
      </w:r>
      <w:r>
        <w:rPr>
          <w:rFonts w:hint="eastAsia" w:ascii="宋体" w:hAnsi="宋体" w:eastAsia="宋体" w:cs="宋体"/>
          <w:b/>
          <w:bCs/>
          <w:color w:val="auto"/>
          <w:spacing w:val="-10"/>
          <w:sz w:val="22"/>
          <w:szCs w:val="22"/>
          <w:highlight w:val="none"/>
          <w:lang w:val="en-US" w:eastAsia="zh-CN"/>
        </w:rPr>
        <w:t>5</w:t>
      </w:r>
      <w:r>
        <w:rPr>
          <w:rFonts w:hint="eastAsia" w:ascii="宋体" w:hAnsi="宋体" w:eastAsia="宋体" w:cs="宋体"/>
          <w:b/>
          <w:bCs/>
          <w:color w:val="auto"/>
          <w:spacing w:val="-10"/>
          <w:sz w:val="22"/>
          <w:szCs w:val="22"/>
          <w:highlight w:val="none"/>
        </w:rPr>
        <w:t>：</w:t>
      </w:r>
    </w:p>
    <w:p w14:paraId="7140E591">
      <w:pPr>
        <w:spacing w:before="71" w:line="360" w:lineRule="auto"/>
        <w:ind w:left="2960"/>
        <w:rPr>
          <w:rFonts w:hint="eastAsia" w:ascii="宋体" w:hAnsi="宋体" w:eastAsia="宋体" w:cs="宋体"/>
          <w:b/>
          <w:bCs/>
          <w:color w:val="auto"/>
          <w:sz w:val="22"/>
          <w:szCs w:val="22"/>
          <w:highlight w:val="none"/>
        </w:rPr>
      </w:pPr>
      <w:r>
        <w:rPr>
          <w:rFonts w:hint="eastAsia" w:ascii="宋体" w:hAnsi="宋体" w:eastAsia="宋体" w:cs="宋体"/>
          <w:b/>
          <w:bCs/>
          <w:color w:val="auto"/>
          <w:spacing w:val="-13"/>
          <w:sz w:val="22"/>
          <w:szCs w:val="22"/>
          <w:highlight w:val="none"/>
        </w:rPr>
        <w:t>节能、环境标志产品优惠明细表(若有，请如实填写)</w:t>
      </w:r>
    </w:p>
    <w:p w14:paraId="57D55E2B">
      <w:pPr>
        <w:spacing w:before="72" w:line="355" w:lineRule="auto"/>
        <w:ind w:left="230" w:right="216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供应商名称（公章</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97"/>
          <w:sz w:val="22"/>
          <w:szCs w:val="22"/>
          <w:highlight w:val="none"/>
        </w:rPr>
        <w:t xml:space="preserve"> </w:t>
      </w:r>
      <w:r>
        <w:rPr>
          <w:rFonts w:hint="eastAsia" w:ascii="宋体" w:hAnsi="宋体" w:eastAsia="宋体" w:cs="宋体"/>
          <w:color w:val="auto"/>
          <w:spacing w:val="-1"/>
          <w:sz w:val="22"/>
          <w:szCs w:val="22"/>
          <w:highlight w:val="none"/>
        </w:rPr>
        <w:t>招标编号：</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所投内容：</w:t>
      </w:r>
      <w:r>
        <w:rPr>
          <w:rFonts w:hint="eastAsia" w:ascii="宋体" w:hAnsi="宋体" w:eastAsia="宋体" w:cs="宋体"/>
          <w:color w:val="auto"/>
          <w:sz w:val="22"/>
          <w:szCs w:val="22"/>
          <w:highlight w:val="none"/>
          <w:u w:val="single" w:color="auto"/>
        </w:rPr>
        <w:t xml:space="preserve">                   </w:t>
      </w:r>
    </w:p>
    <w:p w14:paraId="1B82182E">
      <w:pPr>
        <w:spacing w:before="35" w:line="219" w:lineRule="auto"/>
        <w:ind w:left="1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（1）节能产品明细清单                        报价</w:t>
      </w:r>
      <w:r>
        <w:rPr>
          <w:rFonts w:hint="eastAsia" w:ascii="宋体" w:hAnsi="宋体" w:eastAsia="宋体" w:cs="宋体"/>
          <w:color w:val="auto"/>
          <w:spacing w:val="-1"/>
          <w:sz w:val="22"/>
          <w:szCs w:val="22"/>
          <w:highlight w:val="none"/>
        </w:rPr>
        <w:t>货币种类</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00"/>
          <w:sz w:val="22"/>
          <w:szCs w:val="22"/>
          <w:highlight w:val="none"/>
        </w:rPr>
        <w:t xml:space="preserve"> </w:t>
      </w:r>
      <w:r>
        <w:rPr>
          <w:rFonts w:hint="eastAsia" w:ascii="宋体" w:hAnsi="宋体" w:eastAsia="宋体" w:cs="宋体"/>
          <w:color w:val="auto"/>
          <w:spacing w:val="-1"/>
          <w:sz w:val="22"/>
          <w:szCs w:val="22"/>
          <w:highlight w:val="none"/>
        </w:rPr>
        <w:t>金额单位：元</w:t>
      </w:r>
    </w:p>
    <w:p w14:paraId="4FF194B5">
      <w:pPr>
        <w:spacing w:line="14" w:lineRule="exact"/>
        <w:rPr>
          <w:rFonts w:hint="eastAsia" w:ascii="宋体" w:hAnsi="宋体" w:eastAsia="宋体" w:cs="宋体"/>
          <w:color w:val="auto"/>
          <w:highlight w:val="none"/>
        </w:rPr>
      </w:pPr>
    </w:p>
    <w:tbl>
      <w:tblPr>
        <w:tblStyle w:val="1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753"/>
        <w:gridCol w:w="1940"/>
        <w:gridCol w:w="1442"/>
        <w:gridCol w:w="2017"/>
        <w:gridCol w:w="896"/>
        <w:gridCol w:w="776"/>
        <w:gridCol w:w="950"/>
      </w:tblGrid>
      <w:tr w14:paraId="1F2B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084" w:type="dxa"/>
            <w:vAlign w:val="top"/>
          </w:tcPr>
          <w:p w14:paraId="3A38BF51">
            <w:pPr>
              <w:spacing w:line="314" w:lineRule="auto"/>
              <w:rPr>
                <w:rFonts w:hint="eastAsia" w:ascii="宋体" w:hAnsi="宋体" w:eastAsia="宋体" w:cs="宋体"/>
                <w:color w:val="auto"/>
                <w:sz w:val="21"/>
                <w:highlight w:val="none"/>
              </w:rPr>
            </w:pPr>
          </w:p>
          <w:p w14:paraId="53ACBCEA">
            <w:pPr>
              <w:pStyle w:val="18"/>
              <w:spacing w:before="72" w:line="222" w:lineRule="auto"/>
              <w:ind w:left="219"/>
              <w:rPr>
                <w:rFonts w:hint="eastAsia" w:ascii="宋体" w:hAnsi="宋体" w:eastAsia="宋体" w:cs="宋体"/>
                <w:color w:val="auto"/>
                <w:highlight w:val="none"/>
              </w:rPr>
            </w:pPr>
            <w:r>
              <w:rPr>
                <w:rFonts w:hint="eastAsia" w:ascii="宋体" w:hAnsi="宋体" w:eastAsia="宋体" w:cs="宋体"/>
                <w:color w:val="auto"/>
                <w:spacing w:val="-3"/>
                <w:highlight w:val="none"/>
              </w:rPr>
              <w:t>制造商</w:t>
            </w:r>
          </w:p>
        </w:tc>
        <w:tc>
          <w:tcPr>
            <w:tcW w:w="753" w:type="dxa"/>
            <w:vAlign w:val="top"/>
          </w:tcPr>
          <w:p w14:paraId="6955C6FA">
            <w:pPr>
              <w:spacing w:line="315" w:lineRule="auto"/>
              <w:rPr>
                <w:rFonts w:hint="eastAsia" w:ascii="宋体" w:hAnsi="宋体" w:eastAsia="宋体" w:cs="宋体"/>
                <w:color w:val="auto"/>
                <w:sz w:val="21"/>
                <w:highlight w:val="none"/>
              </w:rPr>
            </w:pPr>
          </w:p>
          <w:p w14:paraId="78D1C58E">
            <w:pPr>
              <w:pStyle w:val="18"/>
              <w:spacing w:before="71" w:line="221" w:lineRule="auto"/>
              <w:ind w:left="177"/>
              <w:rPr>
                <w:rFonts w:hint="eastAsia" w:ascii="宋体" w:hAnsi="宋体" w:eastAsia="宋体" w:cs="宋体"/>
                <w:color w:val="auto"/>
                <w:highlight w:val="none"/>
              </w:rPr>
            </w:pPr>
            <w:r>
              <w:rPr>
                <w:rFonts w:hint="eastAsia" w:ascii="宋体" w:hAnsi="宋体" w:eastAsia="宋体" w:cs="宋体"/>
                <w:color w:val="auto"/>
                <w:spacing w:val="-13"/>
                <w:highlight w:val="none"/>
              </w:rPr>
              <w:t>品牌</w:t>
            </w:r>
          </w:p>
        </w:tc>
        <w:tc>
          <w:tcPr>
            <w:tcW w:w="1940" w:type="dxa"/>
            <w:vAlign w:val="top"/>
          </w:tcPr>
          <w:p w14:paraId="77CB5951">
            <w:pPr>
              <w:pStyle w:val="18"/>
              <w:spacing w:before="167" w:line="298" w:lineRule="auto"/>
              <w:ind w:left="869" w:right="106" w:hanging="758"/>
              <w:rPr>
                <w:rFonts w:hint="eastAsia" w:ascii="宋体" w:hAnsi="宋体" w:eastAsia="宋体" w:cs="宋体"/>
                <w:color w:val="auto"/>
                <w:highlight w:val="none"/>
              </w:rPr>
            </w:pPr>
            <w:r>
              <w:rPr>
                <w:rFonts w:hint="eastAsia" w:ascii="宋体" w:hAnsi="宋体" w:eastAsia="宋体" w:cs="宋体"/>
                <w:color w:val="auto"/>
                <w:spacing w:val="-6"/>
                <w:highlight w:val="none"/>
              </w:rPr>
              <w:t>产品名称、规格型</w:t>
            </w:r>
            <w:r>
              <w:rPr>
                <w:rFonts w:hint="eastAsia" w:ascii="宋体" w:hAnsi="宋体" w:eastAsia="宋体" w:cs="宋体"/>
                <w:color w:val="auto"/>
                <w:spacing w:val="4"/>
                <w:highlight w:val="none"/>
              </w:rPr>
              <w:t xml:space="preserve"> </w:t>
            </w:r>
            <w:r>
              <w:rPr>
                <w:rFonts w:hint="eastAsia" w:ascii="宋体" w:hAnsi="宋体" w:eastAsia="宋体" w:cs="宋体"/>
                <w:color w:val="auto"/>
                <w:highlight w:val="none"/>
              </w:rPr>
              <w:t>号</w:t>
            </w:r>
          </w:p>
        </w:tc>
        <w:tc>
          <w:tcPr>
            <w:tcW w:w="1442" w:type="dxa"/>
            <w:vAlign w:val="top"/>
          </w:tcPr>
          <w:p w14:paraId="0F863A75">
            <w:pPr>
              <w:pStyle w:val="18"/>
              <w:spacing w:before="167" w:line="298" w:lineRule="auto"/>
              <w:ind w:left="285" w:right="168" w:hanging="110"/>
              <w:rPr>
                <w:rFonts w:hint="eastAsia" w:ascii="宋体" w:hAnsi="宋体" w:eastAsia="宋体" w:cs="宋体"/>
                <w:color w:val="auto"/>
                <w:highlight w:val="none"/>
              </w:rPr>
            </w:pPr>
            <w:r>
              <w:rPr>
                <w:rFonts w:hint="eastAsia" w:ascii="宋体" w:hAnsi="宋体" w:eastAsia="宋体" w:cs="宋体"/>
                <w:color w:val="auto"/>
                <w:spacing w:val="-2"/>
                <w:highlight w:val="none"/>
              </w:rPr>
              <w:t>节字标志认</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2"/>
                <w:highlight w:val="none"/>
              </w:rPr>
              <w:t>证证书号</w:t>
            </w:r>
          </w:p>
        </w:tc>
        <w:tc>
          <w:tcPr>
            <w:tcW w:w="2017" w:type="dxa"/>
            <w:vAlign w:val="top"/>
          </w:tcPr>
          <w:p w14:paraId="30D1EAF0">
            <w:pPr>
              <w:pStyle w:val="18"/>
              <w:spacing w:before="167" w:line="298" w:lineRule="auto"/>
              <w:ind w:left="356" w:right="123" w:hanging="221"/>
              <w:rPr>
                <w:rFonts w:hint="eastAsia" w:ascii="宋体" w:hAnsi="宋体" w:eastAsia="宋体" w:cs="宋体"/>
                <w:color w:val="auto"/>
                <w:highlight w:val="none"/>
              </w:rPr>
            </w:pPr>
            <w:r>
              <w:rPr>
                <w:rFonts w:hint="eastAsia" w:ascii="宋体" w:hAnsi="宋体" w:eastAsia="宋体" w:cs="宋体"/>
                <w:color w:val="auto"/>
                <w:spacing w:val="-1"/>
                <w:highlight w:val="none"/>
              </w:rPr>
              <w:t>节能产品认证证书</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有效截止日期</w:t>
            </w:r>
          </w:p>
        </w:tc>
        <w:tc>
          <w:tcPr>
            <w:tcW w:w="896" w:type="dxa"/>
            <w:vAlign w:val="top"/>
          </w:tcPr>
          <w:p w14:paraId="20A4C8F7">
            <w:pPr>
              <w:spacing w:line="314" w:lineRule="auto"/>
              <w:rPr>
                <w:rFonts w:hint="eastAsia" w:ascii="宋体" w:hAnsi="宋体" w:eastAsia="宋体" w:cs="宋体"/>
                <w:color w:val="auto"/>
                <w:sz w:val="21"/>
                <w:highlight w:val="none"/>
              </w:rPr>
            </w:pPr>
          </w:p>
          <w:p w14:paraId="761F7EFD">
            <w:pPr>
              <w:pStyle w:val="18"/>
              <w:spacing w:before="72" w:line="222" w:lineRule="auto"/>
              <w:ind w:left="236"/>
              <w:rPr>
                <w:rFonts w:hint="eastAsia" w:ascii="宋体" w:hAnsi="宋体" w:eastAsia="宋体" w:cs="宋体"/>
                <w:color w:val="auto"/>
                <w:highlight w:val="none"/>
              </w:rPr>
            </w:pPr>
            <w:r>
              <w:rPr>
                <w:rFonts w:hint="eastAsia" w:ascii="宋体" w:hAnsi="宋体" w:eastAsia="宋体" w:cs="宋体"/>
                <w:color w:val="auto"/>
                <w:spacing w:val="-5"/>
                <w:highlight w:val="none"/>
              </w:rPr>
              <w:t>单位</w:t>
            </w:r>
          </w:p>
        </w:tc>
        <w:tc>
          <w:tcPr>
            <w:tcW w:w="776" w:type="dxa"/>
            <w:vAlign w:val="top"/>
          </w:tcPr>
          <w:p w14:paraId="6C718494">
            <w:pPr>
              <w:spacing w:line="315" w:lineRule="auto"/>
              <w:rPr>
                <w:rFonts w:hint="eastAsia" w:ascii="宋体" w:hAnsi="宋体" w:eastAsia="宋体" w:cs="宋体"/>
                <w:color w:val="auto"/>
                <w:sz w:val="21"/>
                <w:highlight w:val="none"/>
              </w:rPr>
            </w:pPr>
          </w:p>
          <w:p w14:paraId="28C6306D">
            <w:pPr>
              <w:pStyle w:val="18"/>
              <w:spacing w:before="71" w:line="221" w:lineRule="auto"/>
              <w:ind w:left="178"/>
              <w:rPr>
                <w:rFonts w:hint="eastAsia" w:ascii="宋体" w:hAnsi="宋体" w:eastAsia="宋体" w:cs="宋体"/>
                <w:color w:val="auto"/>
                <w:highlight w:val="none"/>
              </w:rPr>
            </w:pPr>
            <w:r>
              <w:rPr>
                <w:rFonts w:hint="eastAsia" w:ascii="宋体" w:hAnsi="宋体" w:eastAsia="宋体" w:cs="宋体"/>
                <w:color w:val="auto"/>
                <w:spacing w:val="-5"/>
                <w:highlight w:val="none"/>
              </w:rPr>
              <w:t>数量</w:t>
            </w:r>
          </w:p>
        </w:tc>
        <w:tc>
          <w:tcPr>
            <w:tcW w:w="950" w:type="dxa"/>
            <w:vAlign w:val="top"/>
          </w:tcPr>
          <w:p w14:paraId="693FEEB0">
            <w:pPr>
              <w:spacing w:line="315" w:lineRule="auto"/>
              <w:rPr>
                <w:rFonts w:hint="eastAsia" w:ascii="宋体" w:hAnsi="宋体" w:eastAsia="宋体" w:cs="宋体"/>
                <w:color w:val="auto"/>
                <w:sz w:val="21"/>
                <w:highlight w:val="none"/>
              </w:rPr>
            </w:pPr>
          </w:p>
          <w:p w14:paraId="70D9C77F">
            <w:pPr>
              <w:pStyle w:val="18"/>
              <w:spacing w:before="72" w:line="219" w:lineRule="auto"/>
              <w:ind w:left="264"/>
              <w:rPr>
                <w:rFonts w:hint="eastAsia" w:ascii="宋体" w:hAnsi="宋体" w:eastAsia="宋体" w:cs="宋体"/>
                <w:color w:val="auto"/>
                <w:highlight w:val="none"/>
              </w:rPr>
            </w:pPr>
            <w:r>
              <w:rPr>
                <w:rFonts w:hint="eastAsia" w:ascii="宋体" w:hAnsi="宋体" w:eastAsia="宋体" w:cs="宋体"/>
                <w:color w:val="auto"/>
                <w:spacing w:val="-5"/>
                <w:highlight w:val="none"/>
              </w:rPr>
              <w:t>单价</w:t>
            </w:r>
          </w:p>
        </w:tc>
      </w:tr>
      <w:tr w14:paraId="6C91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4" w:type="dxa"/>
            <w:vAlign w:val="center"/>
          </w:tcPr>
          <w:p w14:paraId="5B5C1CB2">
            <w:pPr>
              <w:jc w:val="center"/>
              <w:rPr>
                <w:rFonts w:hint="eastAsia" w:ascii="宋体" w:hAnsi="宋体" w:eastAsia="宋体" w:cs="宋体"/>
                <w:color w:val="auto"/>
                <w:sz w:val="21"/>
                <w:highlight w:val="none"/>
              </w:rPr>
            </w:pPr>
          </w:p>
        </w:tc>
        <w:tc>
          <w:tcPr>
            <w:tcW w:w="753" w:type="dxa"/>
            <w:vAlign w:val="center"/>
          </w:tcPr>
          <w:p w14:paraId="36A15F36">
            <w:pPr>
              <w:jc w:val="center"/>
              <w:rPr>
                <w:rFonts w:hint="eastAsia" w:ascii="宋体" w:hAnsi="宋体" w:eastAsia="宋体" w:cs="宋体"/>
                <w:color w:val="auto"/>
                <w:sz w:val="21"/>
                <w:highlight w:val="none"/>
              </w:rPr>
            </w:pPr>
          </w:p>
        </w:tc>
        <w:tc>
          <w:tcPr>
            <w:tcW w:w="1940" w:type="dxa"/>
            <w:vAlign w:val="center"/>
          </w:tcPr>
          <w:p w14:paraId="4AE6DB0A">
            <w:pPr>
              <w:jc w:val="center"/>
              <w:rPr>
                <w:rFonts w:hint="eastAsia" w:ascii="宋体" w:hAnsi="宋体" w:eastAsia="宋体" w:cs="宋体"/>
                <w:color w:val="auto"/>
                <w:sz w:val="21"/>
                <w:highlight w:val="none"/>
              </w:rPr>
            </w:pPr>
          </w:p>
        </w:tc>
        <w:tc>
          <w:tcPr>
            <w:tcW w:w="1442" w:type="dxa"/>
            <w:vAlign w:val="center"/>
          </w:tcPr>
          <w:p w14:paraId="3A89E1F0">
            <w:pPr>
              <w:jc w:val="center"/>
              <w:rPr>
                <w:rFonts w:hint="eastAsia" w:ascii="宋体" w:hAnsi="宋体" w:eastAsia="宋体" w:cs="宋体"/>
                <w:color w:val="auto"/>
                <w:sz w:val="21"/>
                <w:highlight w:val="none"/>
              </w:rPr>
            </w:pPr>
          </w:p>
        </w:tc>
        <w:tc>
          <w:tcPr>
            <w:tcW w:w="2017" w:type="dxa"/>
            <w:vAlign w:val="center"/>
          </w:tcPr>
          <w:p w14:paraId="6F3F371B">
            <w:pPr>
              <w:jc w:val="center"/>
              <w:rPr>
                <w:rFonts w:hint="eastAsia" w:ascii="宋体" w:hAnsi="宋体" w:eastAsia="宋体" w:cs="宋体"/>
                <w:color w:val="auto"/>
                <w:sz w:val="21"/>
                <w:highlight w:val="none"/>
              </w:rPr>
            </w:pPr>
          </w:p>
        </w:tc>
        <w:tc>
          <w:tcPr>
            <w:tcW w:w="896" w:type="dxa"/>
            <w:vAlign w:val="center"/>
          </w:tcPr>
          <w:p w14:paraId="27AC0B57">
            <w:pPr>
              <w:jc w:val="center"/>
              <w:rPr>
                <w:rFonts w:hint="eastAsia" w:ascii="宋体" w:hAnsi="宋体" w:eastAsia="宋体" w:cs="宋体"/>
                <w:color w:val="auto"/>
                <w:sz w:val="21"/>
                <w:highlight w:val="none"/>
              </w:rPr>
            </w:pPr>
          </w:p>
        </w:tc>
        <w:tc>
          <w:tcPr>
            <w:tcW w:w="776" w:type="dxa"/>
            <w:vAlign w:val="center"/>
          </w:tcPr>
          <w:p w14:paraId="1C2C8EC1">
            <w:pPr>
              <w:jc w:val="center"/>
              <w:rPr>
                <w:rFonts w:hint="eastAsia" w:ascii="宋体" w:hAnsi="宋体" w:eastAsia="宋体" w:cs="宋体"/>
                <w:color w:val="auto"/>
                <w:sz w:val="21"/>
                <w:highlight w:val="none"/>
              </w:rPr>
            </w:pPr>
          </w:p>
        </w:tc>
        <w:tc>
          <w:tcPr>
            <w:tcW w:w="950" w:type="dxa"/>
            <w:vAlign w:val="center"/>
          </w:tcPr>
          <w:p w14:paraId="26962B61">
            <w:pPr>
              <w:jc w:val="center"/>
              <w:rPr>
                <w:rFonts w:hint="eastAsia" w:ascii="宋体" w:hAnsi="宋体" w:eastAsia="宋体" w:cs="宋体"/>
                <w:color w:val="auto"/>
                <w:sz w:val="21"/>
                <w:highlight w:val="none"/>
              </w:rPr>
            </w:pPr>
          </w:p>
        </w:tc>
      </w:tr>
      <w:tr w14:paraId="36EC0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4" w:type="dxa"/>
            <w:vAlign w:val="center"/>
          </w:tcPr>
          <w:p w14:paraId="5EBEACAE">
            <w:pPr>
              <w:jc w:val="center"/>
              <w:rPr>
                <w:rFonts w:hint="eastAsia" w:ascii="宋体" w:hAnsi="宋体" w:eastAsia="宋体" w:cs="宋体"/>
                <w:color w:val="auto"/>
                <w:sz w:val="21"/>
                <w:highlight w:val="none"/>
              </w:rPr>
            </w:pPr>
          </w:p>
        </w:tc>
        <w:tc>
          <w:tcPr>
            <w:tcW w:w="753" w:type="dxa"/>
            <w:vAlign w:val="center"/>
          </w:tcPr>
          <w:p w14:paraId="44E6F3FF">
            <w:pPr>
              <w:jc w:val="center"/>
              <w:rPr>
                <w:rFonts w:hint="eastAsia" w:ascii="宋体" w:hAnsi="宋体" w:eastAsia="宋体" w:cs="宋体"/>
                <w:color w:val="auto"/>
                <w:sz w:val="21"/>
                <w:highlight w:val="none"/>
              </w:rPr>
            </w:pPr>
          </w:p>
        </w:tc>
        <w:tc>
          <w:tcPr>
            <w:tcW w:w="1940" w:type="dxa"/>
            <w:vAlign w:val="center"/>
          </w:tcPr>
          <w:p w14:paraId="22F6BEF0">
            <w:pPr>
              <w:jc w:val="center"/>
              <w:rPr>
                <w:rFonts w:hint="eastAsia" w:ascii="宋体" w:hAnsi="宋体" w:eastAsia="宋体" w:cs="宋体"/>
                <w:color w:val="auto"/>
                <w:sz w:val="21"/>
                <w:highlight w:val="none"/>
              </w:rPr>
            </w:pPr>
          </w:p>
        </w:tc>
        <w:tc>
          <w:tcPr>
            <w:tcW w:w="1442" w:type="dxa"/>
            <w:vAlign w:val="center"/>
          </w:tcPr>
          <w:p w14:paraId="4FF16FB2">
            <w:pPr>
              <w:jc w:val="center"/>
              <w:rPr>
                <w:rFonts w:hint="eastAsia" w:ascii="宋体" w:hAnsi="宋体" w:eastAsia="宋体" w:cs="宋体"/>
                <w:color w:val="auto"/>
                <w:sz w:val="21"/>
                <w:highlight w:val="none"/>
              </w:rPr>
            </w:pPr>
          </w:p>
        </w:tc>
        <w:tc>
          <w:tcPr>
            <w:tcW w:w="2017" w:type="dxa"/>
            <w:vAlign w:val="center"/>
          </w:tcPr>
          <w:p w14:paraId="7DC6B693">
            <w:pPr>
              <w:jc w:val="center"/>
              <w:rPr>
                <w:rFonts w:hint="eastAsia" w:ascii="宋体" w:hAnsi="宋体" w:eastAsia="宋体" w:cs="宋体"/>
                <w:color w:val="auto"/>
                <w:sz w:val="21"/>
                <w:highlight w:val="none"/>
              </w:rPr>
            </w:pPr>
          </w:p>
        </w:tc>
        <w:tc>
          <w:tcPr>
            <w:tcW w:w="896" w:type="dxa"/>
            <w:vAlign w:val="center"/>
          </w:tcPr>
          <w:p w14:paraId="4A621317">
            <w:pPr>
              <w:jc w:val="center"/>
              <w:rPr>
                <w:rFonts w:hint="eastAsia" w:ascii="宋体" w:hAnsi="宋体" w:eastAsia="宋体" w:cs="宋体"/>
                <w:color w:val="auto"/>
                <w:sz w:val="21"/>
                <w:highlight w:val="none"/>
              </w:rPr>
            </w:pPr>
          </w:p>
        </w:tc>
        <w:tc>
          <w:tcPr>
            <w:tcW w:w="776" w:type="dxa"/>
            <w:vAlign w:val="center"/>
          </w:tcPr>
          <w:p w14:paraId="02FF4CC1">
            <w:pPr>
              <w:jc w:val="center"/>
              <w:rPr>
                <w:rFonts w:hint="eastAsia" w:ascii="宋体" w:hAnsi="宋体" w:eastAsia="宋体" w:cs="宋体"/>
                <w:color w:val="auto"/>
                <w:sz w:val="21"/>
                <w:highlight w:val="none"/>
              </w:rPr>
            </w:pPr>
          </w:p>
        </w:tc>
        <w:tc>
          <w:tcPr>
            <w:tcW w:w="950" w:type="dxa"/>
            <w:vAlign w:val="center"/>
          </w:tcPr>
          <w:p w14:paraId="6B95CAC7">
            <w:pPr>
              <w:jc w:val="center"/>
              <w:rPr>
                <w:rFonts w:hint="eastAsia" w:ascii="宋体" w:hAnsi="宋体" w:eastAsia="宋体" w:cs="宋体"/>
                <w:color w:val="auto"/>
                <w:sz w:val="21"/>
                <w:highlight w:val="none"/>
              </w:rPr>
            </w:pPr>
          </w:p>
        </w:tc>
      </w:tr>
      <w:tr w14:paraId="3665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236" w:type="dxa"/>
            <w:gridSpan w:val="5"/>
            <w:vAlign w:val="top"/>
          </w:tcPr>
          <w:p w14:paraId="1FD8A0FA">
            <w:pPr>
              <w:pStyle w:val="18"/>
              <w:spacing w:before="230" w:line="221" w:lineRule="auto"/>
              <w:ind w:left="116"/>
              <w:rPr>
                <w:rFonts w:hint="eastAsia" w:ascii="宋体" w:hAnsi="宋体" w:eastAsia="宋体" w:cs="宋体"/>
                <w:color w:val="auto"/>
                <w:highlight w:val="none"/>
              </w:rPr>
            </w:pPr>
            <w:r>
              <w:rPr>
                <w:rFonts w:hint="eastAsia" w:ascii="宋体" w:hAnsi="宋体" w:eastAsia="宋体" w:cs="宋体"/>
                <w:color w:val="auto"/>
                <w:spacing w:val="-3"/>
                <w:highlight w:val="none"/>
              </w:rPr>
              <w:t>合计金额</w:t>
            </w:r>
          </w:p>
        </w:tc>
        <w:tc>
          <w:tcPr>
            <w:tcW w:w="2622" w:type="dxa"/>
            <w:gridSpan w:val="3"/>
            <w:vAlign w:val="top"/>
          </w:tcPr>
          <w:p w14:paraId="17712498">
            <w:pPr>
              <w:rPr>
                <w:rFonts w:hint="eastAsia" w:ascii="宋体" w:hAnsi="宋体" w:eastAsia="宋体" w:cs="宋体"/>
                <w:color w:val="auto"/>
                <w:sz w:val="21"/>
                <w:highlight w:val="none"/>
              </w:rPr>
            </w:pPr>
          </w:p>
        </w:tc>
      </w:tr>
    </w:tbl>
    <w:p w14:paraId="3FEFE0CE">
      <w:pPr>
        <w:pStyle w:val="4"/>
        <w:spacing w:line="264" w:lineRule="auto"/>
        <w:rPr>
          <w:rFonts w:hint="eastAsia" w:ascii="宋体" w:hAnsi="宋体" w:eastAsia="宋体" w:cs="宋体"/>
          <w:color w:val="auto"/>
          <w:highlight w:val="none"/>
        </w:rPr>
      </w:pPr>
    </w:p>
    <w:p w14:paraId="2D8A229D">
      <w:pPr>
        <w:spacing w:before="71" w:line="219" w:lineRule="auto"/>
        <w:ind w:left="12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（2）环保产品明细清单                    报价</w:t>
      </w:r>
      <w:r>
        <w:rPr>
          <w:rFonts w:hint="eastAsia" w:ascii="宋体" w:hAnsi="宋体" w:eastAsia="宋体" w:cs="宋体"/>
          <w:color w:val="auto"/>
          <w:spacing w:val="-1"/>
          <w:sz w:val="22"/>
          <w:szCs w:val="22"/>
          <w:highlight w:val="none"/>
        </w:rPr>
        <w:t>货币种类</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1"/>
          <w:sz w:val="22"/>
          <w:szCs w:val="22"/>
          <w:highlight w:val="none"/>
        </w:rPr>
        <w:t>金额单位：元</w:t>
      </w:r>
    </w:p>
    <w:p w14:paraId="5A5DA478">
      <w:pPr>
        <w:spacing w:line="16" w:lineRule="exact"/>
        <w:rPr>
          <w:rFonts w:hint="eastAsia" w:ascii="宋体" w:hAnsi="宋体" w:eastAsia="宋体" w:cs="宋体"/>
          <w:color w:val="auto"/>
          <w:highlight w:val="none"/>
        </w:rPr>
      </w:pPr>
    </w:p>
    <w:tbl>
      <w:tblPr>
        <w:tblStyle w:val="1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1057"/>
        <w:gridCol w:w="1432"/>
        <w:gridCol w:w="1850"/>
        <w:gridCol w:w="1852"/>
        <w:gridCol w:w="749"/>
        <w:gridCol w:w="840"/>
        <w:gridCol w:w="1017"/>
      </w:tblGrid>
      <w:tr w14:paraId="59EE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8" w:hRule="atLeast"/>
        </w:trPr>
        <w:tc>
          <w:tcPr>
            <w:tcW w:w="1061" w:type="dxa"/>
            <w:vAlign w:val="top"/>
          </w:tcPr>
          <w:p w14:paraId="7C64210F">
            <w:pPr>
              <w:spacing w:line="315" w:lineRule="auto"/>
              <w:rPr>
                <w:rFonts w:hint="eastAsia" w:ascii="宋体" w:hAnsi="宋体" w:eastAsia="宋体" w:cs="宋体"/>
                <w:color w:val="auto"/>
                <w:sz w:val="21"/>
                <w:highlight w:val="none"/>
              </w:rPr>
            </w:pPr>
          </w:p>
          <w:p w14:paraId="3F98392B">
            <w:pPr>
              <w:pStyle w:val="18"/>
              <w:spacing w:before="71" w:line="222" w:lineRule="auto"/>
              <w:ind w:left="207"/>
              <w:rPr>
                <w:rFonts w:hint="eastAsia" w:ascii="宋体" w:hAnsi="宋体" w:eastAsia="宋体" w:cs="宋体"/>
                <w:color w:val="auto"/>
                <w:highlight w:val="none"/>
              </w:rPr>
            </w:pPr>
            <w:r>
              <w:rPr>
                <w:rFonts w:hint="eastAsia" w:ascii="宋体" w:hAnsi="宋体" w:eastAsia="宋体" w:cs="宋体"/>
                <w:color w:val="auto"/>
                <w:spacing w:val="-3"/>
                <w:highlight w:val="none"/>
              </w:rPr>
              <w:t>制造商</w:t>
            </w:r>
          </w:p>
        </w:tc>
        <w:tc>
          <w:tcPr>
            <w:tcW w:w="1057" w:type="dxa"/>
            <w:vAlign w:val="top"/>
          </w:tcPr>
          <w:p w14:paraId="224EDA4D">
            <w:pPr>
              <w:spacing w:line="315" w:lineRule="auto"/>
              <w:rPr>
                <w:rFonts w:hint="eastAsia" w:ascii="宋体" w:hAnsi="宋体" w:eastAsia="宋体" w:cs="宋体"/>
                <w:color w:val="auto"/>
                <w:sz w:val="21"/>
                <w:highlight w:val="none"/>
              </w:rPr>
            </w:pPr>
          </w:p>
          <w:p w14:paraId="1BD92196">
            <w:pPr>
              <w:pStyle w:val="18"/>
              <w:spacing w:before="71" w:line="221" w:lineRule="auto"/>
              <w:ind w:left="332"/>
              <w:rPr>
                <w:rFonts w:hint="eastAsia" w:ascii="宋体" w:hAnsi="宋体" w:eastAsia="宋体" w:cs="宋体"/>
                <w:color w:val="auto"/>
                <w:highlight w:val="none"/>
              </w:rPr>
            </w:pPr>
            <w:r>
              <w:rPr>
                <w:rFonts w:hint="eastAsia" w:ascii="宋体" w:hAnsi="宋体" w:eastAsia="宋体" w:cs="宋体"/>
                <w:color w:val="auto"/>
                <w:spacing w:val="-13"/>
                <w:highlight w:val="none"/>
              </w:rPr>
              <w:t>品牌</w:t>
            </w:r>
          </w:p>
        </w:tc>
        <w:tc>
          <w:tcPr>
            <w:tcW w:w="1432" w:type="dxa"/>
            <w:vAlign w:val="top"/>
          </w:tcPr>
          <w:p w14:paraId="3C5AF3F5">
            <w:pPr>
              <w:pStyle w:val="18"/>
              <w:spacing w:before="167" w:line="298" w:lineRule="auto"/>
              <w:ind w:left="392" w:right="104" w:hanging="278"/>
              <w:rPr>
                <w:rFonts w:hint="eastAsia" w:ascii="宋体" w:hAnsi="宋体" w:eastAsia="宋体" w:cs="宋体"/>
                <w:color w:val="auto"/>
                <w:highlight w:val="none"/>
              </w:rPr>
            </w:pPr>
            <w:r>
              <w:rPr>
                <w:rFonts w:hint="eastAsia" w:ascii="宋体" w:hAnsi="宋体" w:eastAsia="宋体" w:cs="宋体"/>
                <w:color w:val="auto"/>
                <w:spacing w:val="-19"/>
                <w:highlight w:val="none"/>
              </w:rPr>
              <w:t>产品名称、规</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3"/>
                <w:highlight w:val="none"/>
              </w:rPr>
              <w:t>格型号</w:t>
            </w:r>
          </w:p>
        </w:tc>
        <w:tc>
          <w:tcPr>
            <w:tcW w:w="1850" w:type="dxa"/>
            <w:vAlign w:val="top"/>
          </w:tcPr>
          <w:p w14:paraId="1DA3DF3C">
            <w:pPr>
              <w:pStyle w:val="18"/>
              <w:spacing w:before="167" w:line="298" w:lineRule="auto"/>
              <w:ind w:left="381" w:right="152" w:hanging="200"/>
              <w:rPr>
                <w:rFonts w:hint="eastAsia" w:ascii="宋体" w:hAnsi="宋体" w:eastAsia="宋体" w:cs="宋体"/>
                <w:color w:val="auto"/>
                <w:highlight w:val="none"/>
              </w:rPr>
            </w:pPr>
            <w:r>
              <w:rPr>
                <w:rFonts w:hint="eastAsia" w:ascii="宋体" w:hAnsi="宋体" w:eastAsia="宋体" w:cs="宋体"/>
                <w:color w:val="auto"/>
                <w:spacing w:val="-5"/>
                <w:highlight w:val="none"/>
              </w:rPr>
              <w:t>中国环境标志认</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2"/>
                <w:highlight w:val="none"/>
              </w:rPr>
              <w:t>证证书编号</w:t>
            </w:r>
          </w:p>
        </w:tc>
        <w:tc>
          <w:tcPr>
            <w:tcW w:w="1852" w:type="dxa"/>
            <w:vAlign w:val="top"/>
          </w:tcPr>
          <w:p w14:paraId="4FAF578B">
            <w:pPr>
              <w:pStyle w:val="18"/>
              <w:spacing w:before="167" w:line="298" w:lineRule="auto"/>
              <w:ind w:left="603" w:right="151" w:hanging="440"/>
              <w:rPr>
                <w:rFonts w:hint="eastAsia" w:ascii="宋体" w:hAnsi="宋体" w:eastAsia="宋体" w:cs="宋体"/>
                <w:color w:val="auto"/>
                <w:highlight w:val="none"/>
              </w:rPr>
            </w:pPr>
            <w:r>
              <w:rPr>
                <w:rFonts w:hint="eastAsia" w:ascii="宋体" w:hAnsi="宋体" w:eastAsia="宋体" w:cs="宋体"/>
                <w:color w:val="auto"/>
                <w:spacing w:val="-2"/>
                <w:highlight w:val="none"/>
              </w:rPr>
              <w:t>认证证书有效截</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3"/>
                <w:highlight w:val="none"/>
              </w:rPr>
              <w:t>止日期</w:t>
            </w:r>
          </w:p>
        </w:tc>
        <w:tc>
          <w:tcPr>
            <w:tcW w:w="749" w:type="dxa"/>
            <w:vAlign w:val="top"/>
          </w:tcPr>
          <w:p w14:paraId="287F6E58">
            <w:pPr>
              <w:spacing w:line="315" w:lineRule="auto"/>
              <w:rPr>
                <w:rFonts w:hint="eastAsia" w:ascii="宋体" w:hAnsi="宋体" w:eastAsia="宋体" w:cs="宋体"/>
                <w:color w:val="auto"/>
                <w:sz w:val="21"/>
                <w:highlight w:val="none"/>
              </w:rPr>
            </w:pPr>
          </w:p>
          <w:p w14:paraId="76C7579F">
            <w:pPr>
              <w:pStyle w:val="18"/>
              <w:spacing w:before="71" w:line="222" w:lineRule="auto"/>
              <w:ind w:left="163"/>
              <w:rPr>
                <w:rFonts w:hint="eastAsia" w:ascii="宋体" w:hAnsi="宋体" w:eastAsia="宋体" w:cs="宋体"/>
                <w:color w:val="auto"/>
                <w:highlight w:val="none"/>
              </w:rPr>
            </w:pPr>
            <w:r>
              <w:rPr>
                <w:rFonts w:hint="eastAsia" w:ascii="宋体" w:hAnsi="宋体" w:eastAsia="宋体" w:cs="宋体"/>
                <w:color w:val="auto"/>
                <w:spacing w:val="-5"/>
                <w:highlight w:val="none"/>
              </w:rPr>
              <w:t>单位</w:t>
            </w:r>
          </w:p>
        </w:tc>
        <w:tc>
          <w:tcPr>
            <w:tcW w:w="840" w:type="dxa"/>
            <w:vAlign w:val="top"/>
          </w:tcPr>
          <w:p w14:paraId="45CCEF65">
            <w:pPr>
              <w:spacing w:line="315" w:lineRule="auto"/>
              <w:rPr>
                <w:rFonts w:hint="eastAsia" w:ascii="宋体" w:hAnsi="宋体" w:eastAsia="宋体" w:cs="宋体"/>
                <w:color w:val="auto"/>
                <w:sz w:val="21"/>
                <w:highlight w:val="none"/>
              </w:rPr>
            </w:pPr>
          </w:p>
          <w:p w14:paraId="589BD574">
            <w:pPr>
              <w:pStyle w:val="18"/>
              <w:spacing w:before="71" w:line="221" w:lineRule="auto"/>
              <w:ind w:left="211"/>
              <w:rPr>
                <w:rFonts w:hint="eastAsia" w:ascii="宋体" w:hAnsi="宋体" w:eastAsia="宋体" w:cs="宋体"/>
                <w:color w:val="auto"/>
                <w:highlight w:val="none"/>
              </w:rPr>
            </w:pPr>
            <w:r>
              <w:rPr>
                <w:rFonts w:hint="eastAsia" w:ascii="宋体" w:hAnsi="宋体" w:eastAsia="宋体" w:cs="宋体"/>
                <w:color w:val="auto"/>
                <w:spacing w:val="-5"/>
                <w:highlight w:val="none"/>
              </w:rPr>
              <w:t>数量</w:t>
            </w:r>
          </w:p>
        </w:tc>
        <w:tc>
          <w:tcPr>
            <w:tcW w:w="1017" w:type="dxa"/>
            <w:vAlign w:val="top"/>
          </w:tcPr>
          <w:p w14:paraId="3F11EE5F">
            <w:pPr>
              <w:spacing w:line="316" w:lineRule="auto"/>
              <w:rPr>
                <w:rFonts w:hint="eastAsia" w:ascii="宋体" w:hAnsi="宋体" w:eastAsia="宋体" w:cs="宋体"/>
                <w:color w:val="auto"/>
                <w:sz w:val="21"/>
                <w:highlight w:val="none"/>
              </w:rPr>
            </w:pPr>
          </w:p>
          <w:p w14:paraId="2BDD87C3">
            <w:pPr>
              <w:pStyle w:val="18"/>
              <w:spacing w:before="71" w:line="219" w:lineRule="auto"/>
              <w:ind w:left="295"/>
              <w:rPr>
                <w:rFonts w:hint="eastAsia" w:ascii="宋体" w:hAnsi="宋体" w:eastAsia="宋体" w:cs="宋体"/>
                <w:color w:val="auto"/>
                <w:highlight w:val="none"/>
              </w:rPr>
            </w:pPr>
            <w:r>
              <w:rPr>
                <w:rFonts w:hint="eastAsia" w:ascii="宋体" w:hAnsi="宋体" w:eastAsia="宋体" w:cs="宋体"/>
                <w:color w:val="auto"/>
                <w:spacing w:val="-5"/>
                <w:highlight w:val="none"/>
              </w:rPr>
              <w:t>单价</w:t>
            </w:r>
          </w:p>
        </w:tc>
      </w:tr>
      <w:tr w14:paraId="60281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61" w:type="dxa"/>
            <w:vAlign w:val="center"/>
          </w:tcPr>
          <w:p w14:paraId="78BD1568">
            <w:pPr>
              <w:jc w:val="center"/>
              <w:rPr>
                <w:rFonts w:hint="eastAsia" w:ascii="宋体" w:hAnsi="宋体" w:eastAsia="宋体" w:cs="宋体"/>
                <w:color w:val="auto"/>
                <w:sz w:val="21"/>
                <w:highlight w:val="none"/>
              </w:rPr>
            </w:pPr>
          </w:p>
        </w:tc>
        <w:tc>
          <w:tcPr>
            <w:tcW w:w="1057" w:type="dxa"/>
            <w:vAlign w:val="center"/>
          </w:tcPr>
          <w:p w14:paraId="099897BA">
            <w:pPr>
              <w:jc w:val="center"/>
              <w:rPr>
                <w:rFonts w:hint="eastAsia" w:ascii="宋体" w:hAnsi="宋体" w:eastAsia="宋体" w:cs="宋体"/>
                <w:color w:val="auto"/>
                <w:sz w:val="21"/>
                <w:highlight w:val="none"/>
              </w:rPr>
            </w:pPr>
          </w:p>
        </w:tc>
        <w:tc>
          <w:tcPr>
            <w:tcW w:w="1432" w:type="dxa"/>
            <w:vAlign w:val="center"/>
          </w:tcPr>
          <w:p w14:paraId="4B7A8E00">
            <w:pPr>
              <w:jc w:val="center"/>
              <w:rPr>
                <w:rFonts w:hint="eastAsia" w:ascii="宋体" w:hAnsi="宋体" w:eastAsia="宋体" w:cs="宋体"/>
                <w:color w:val="auto"/>
                <w:sz w:val="21"/>
                <w:highlight w:val="none"/>
              </w:rPr>
            </w:pPr>
          </w:p>
        </w:tc>
        <w:tc>
          <w:tcPr>
            <w:tcW w:w="1850" w:type="dxa"/>
            <w:vAlign w:val="center"/>
          </w:tcPr>
          <w:p w14:paraId="3CF17C8C">
            <w:pPr>
              <w:jc w:val="center"/>
              <w:rPr>
                <w:rFonts w:hint="eastAsia" w:ascii="宋体" w:hAnsi="宋体" w:eastAsia="宋体" w:cs="宋体"/>
                <w:color w:val="auto"/>
                <w:sz w:val="21"/>
                <w:highlight w:val="none"/>
              </w:rPr>
            </w:pPr>
          </w:p>
        </w:tc>
        <w:tc>
          <w:tcPr>
            <w:tcW w:w="1852" w:type="dxa"/>
            <w:vAlign w:val="center"/>
          </w:tcPr>
          <w:p w14:paraId="01F78FFD">
            <w:pPr>
              <w:jc w:val="center"/>
              <w:rPr>
                <w:rFonts w:hint="eastAsia" w:ascii="宋体" w:hAnsi="宋体" w:eastAsia="宋体" w:cs="宋体"/>
                <w:color w:val="auto"/>
                <w:sz w:val="21"/>
                <w:highlight w:val="none"/>
              </w:rPr>
            </w:pPr>
          </w:p>
        </w:tc>
        <w:tc>
          <w:tcPr>
            <w:tcW w:w="749" w:type="dxa"/>
            <w:vAlign w:val="center"/>
          </w:tcPr>
          <w:p w14:paraId="7E03AB03">
            <w:pPr>
              <w:jc w:val="center"/>
              <w:rPr>
                <w:rFonts w:hint="eastAsia" w:ascii="宋体" w:hAnsi="宋体" w:eastAsia="宋体" w:cs="宋体"/>
                <w:color w:val="auto"/>
                <w:sz w:val="21"/>
                <w:highlight w:val="none"/>
              </w:rPr>
            </w:pPr>
          </w:p>
        </w:tc>
        <w:tc>
          <w:tcPr>
            <w:tcW w:w="840" w:type="dxa"/>
            <w:vAlign w:val="center"/>
          </w:tcPr>
          <w:p w14:paraId="43699CB9">
            <w:pPr>
              <w:jc w:val="center"/>
              <w:rPr>
                <w:rFonts w:hint="eastAsia" w:ascii="宋体" w:hAnsi="宋体" w:eastAsia="宋体" w:cs="宋体"/>
                <w:color w:val="auto"/>
                <w:sz w:val="21"/>
                <w:highlight w:val="none"/>
              </w:rPr>
            </w:pPr>
          </w:p>
        </w:tc>
        <w:tc>
          <w:tcPr>
            <w:tcW w:w="1017" w:type="dxa"/>
            <w:vAlign w:val="center"/>
          </w:tcPr>
          <w:p w14:paraId="4C24E42A">
            <w:pPr>
              <w:jc w:val="center"/>
              <w:rPr>
                <w:rFonts w:hint="eastAsia" w:ascii="宋体" w:hAnsi="宋体" w:eastAsia="宋体" w:cs="宋体"/>
                <w:color w:val="auto"/>
                <w:sz w:val="21"/>
                <w:highlight w:val="none"/>
              </w:rPr>
            </w:pPr>
          </w:p>
        </w:tc>
      </w:tr>
      <w:tr w14:paraId="180D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61" w:type="dxa"/>
            <w:vAlign w:val="center"/>
          </w:tcPr>
          <w:p w14:paraId="1B79D283">
            <w:pPr>
              <w:jc w:val="center"/>
              <w:rPr>
                <w:rFonts w:hint="eastAsia" w:ascii="宋体" w:hAnsi="宋体" w:eastAsia="宋体" w:cs="宋体"/>
                <w:color w:val="auto"/>
                <w:sz w:val="21"/>
                <w:highlight w:val="none"/>
              </w:rPr>
            </w:pPr>
          </w:p>
        </w:tc>
        <w:tc>
          <w:tcPr>
            <w:tcW w:w="1057" w:type="dxa"/>
            <w:vAlign w:val="center"/>
          </w:tcPr>
          <w:p w14:paraId="6F784EBB">
            <w:pPr>
              <w:jc w:val="center"/>
              <w:rPr>
                <w:rFonts w:hint="eastAsia" w:ascii="宋体" w:hAnsi="宋体" w:eastAsia="宋体" w:cs="宋体"/>
                <w:color w:val="auto"/>
                <w:sz w:val="21"/>
                <w:highlight w:val="none"/>
              </w:rPr>
            </w:pPr>
          </w:p>
        </w:tc>
        <w:tc>
          <w:tcPr>
            <w:tcW w:w="1432" w:type="dxa"/>
            <w:vAlign w:val="center"/>
          </w:tcPr>
          <w:p w14:paraId="57ABE9B0">
            <w:pPr>
              <w:jc w:val="center"/>
              <w:rPr>
                <w:rFonts w:hint="eastAsia" w:ascii="宋体" w:hAnsi="宋体" w:eastAsia="宋体" w:cs="宋体"/>
                <w:color w:val="auto"/>
                <w:sz w:val="21"/>
                <w:highlight w:val="none"/>
              </w:rPr>
            </w:pPr>
          </w:p>
        </w:tc>
        <w:tc>
          <w:tcPr>
            <w:tcW w:w="1850" w:type="dxa"/>
            <w:vAlign w:val="center"/>
          </w:tcPr>
          <w:p w14:paraId="2BFC23F4">
            <w:pPr>
              <w:jc w:val="center"/>
              <w:rPr>
                <w:rFonts w:hint="eastAsia" w:ascii="宋体" w:hAnsi="宋体" w:eastAsia="宋体" w:cs="宋体"/>
                <w:color w:val="auto"/>
                <w:sz w:val="21"/>
                <w:highlight w:val="none"/>
              </w:rPr>
            </w:pPr>
          </w:p>
        </w:tc>
        <w:tc>
          <w:tcPr>
            <w:tcW w:w="1852" w:type="dxa"/>
            <w:vAlign w:val="center"/>
          </w:tcPr>
          <w:p w14:paraId="3B0989E5">
            <w:pPr>
              <w:jc w:val="center"/>
              <w:rPr>
                <w:rFonts w:hint="eastAsia" w:ascii="宋体" w:hAnsi="宋体" w:eastAsia="宋体" w:cs="宋体"/>
                <w:color w:val="auto"/>
                <w:sz w:val="21"/>
                <w:highlight w:val="none"/>
              </w:rPr>
            </w:pPr>
          </w:p>
        </w:tc>
        <w:tc>
          <w:tcPr>
            <w:tcW w:w="749" w:type="dxa"/>
            <w:vAlign w:val="center"/>
          </w:tcPr>
          <w:p w14:paraId="2E04EAC6">
            <w:pPr>
              <w:jc w:val="center"/>
              <w:rPr>
                <w:rFonts w:hint="eastAsia" w:ascii="宋体" w:hAnsi="宋体" w:eastAsia="宋体" w:cs="宋体"/>
                <w:color w:val="auto"/>
                <w:sz w:val="21"/>
                <w:highlight w:val="none"/>
              </w:rPr>
            </w:pPr>
          </w:p>
        </w:tc>
        <w:tc>
          <w:tcPr>
            <w:tcW w:w="840" w:type="dxa"/>
            <w:vAlign w:val="center"/>
          </w:tcPr>
          <w:p w14:paraId="42AC9B84">
            <w:pPr>
              <w:jc w:val="center"/>
              <w:rPr>
                <w:rFonts w:hint="eastAsia" w:ascii="宋体" w:hAnsi="宋体" w:eastAsia="宋体" w:cs="宋体"/>
                <w:color w:val="auto"/>
                <w:sz w:val="21"/>
                <w:highlight w:val="none"/>
              </w:rPr>
            </w:pPr>
          </w:p>
        </w:tc>
        <w:tc>
          <w:tcPr>
            <w:tcW w:w="1017" w:type="dxa"/>
            <w:vAlign w:val="center"/>
          </w:tcPr>
          <w:p w14:paraId="710F2998">
            <w:pPr>
              <w:jc w:val="center"/>
              <w:rPr>
                <w:rFonts w:hint="eastAsia" w:ascii="宋体" w:hAnsi="宋体" w:eastAsia="宋体" w:cs="宋体"/>
                <w:color w:val="auto"/>
                <w:sz w:val="21"/>
                <w:highlight w:val="none"/>
              </w:rPr>
            </w:pPr>
          </w:p>
        </w:tc>
      </w:tr>
      <w:tr w14:paraId="2E7A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252" w:type="dxa"/>
            <w:gridSpan w:val="5"/>
            <w:vAlign w:val="top"/>
          </w:tcPr>
          <w:p w14:paraId="0DBAA3B2">
            <w:pPr>
              <w:pStyle w:val="18"/>
              <w:spacing w:before="230" w:line="221" w:lineRule="auto"/>
              <w:ind w:left="116"/>
              <w:rPr>
                <w:rFonts w:hint="eastAsia" w:ascii="宋体" w:hAnsi="宋体" w:eastAsia="宋体" w:cs="宋体"/>
                <w:color w:val="auto"/>
                <w:highlight w:val="none"/>
              </w:rPr>
            </w:pPr>
            <w:r>
              <w:rPr>
                <w:rFonts w:hint="eastAsia" w:ascii="宋体" w:hAnsi="宋体" w:eastAsia="宋体" w:cs="宋体"/>
                <w:color w:val="auto"/>
                <w:spacing w:val="-3"/>
                <w:highlight w:val="none"/>
              </w:rPr>
              <w:t>合计金额</w:t>
            </w:r>
          </w:p>
        </w:tc>
        <w:tc>
          <w:tcPr>
            <w:tcW w:w="2606" w:type="dxa"/>
            <w:gridSpan w:val="3"/>
            <w:vAlign w:val="top"/>
          </w:tcPr>
          <w:p w14:paraId="3CCC8E7C">
            <w:pPr>
              <w:rPr>
                <w:rFonts w:hint="eastAsia" w:ascii="宋体" w:hAnsi="宋体" w:eastAsia="宋体" w:cs="宋体"/>
                <w:color w:val="auto"/>
                <w:sz w:val="21"/>
                <w:highlight w:val="none"/>
              </w:rPr>
            </w:pPr>
          </w:p>
        </w:tc>
      </w:tr>
    </w:tbl>
    <w:p w14:paraId="5F0538D7">
      <w:pPr>
        <w:spacing w:before="163" w:line="225" w:lineRule="auto"/>
        <w:ind w:left="12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注：</w:t>
      </w:r>
    </w:p>
    <w:p w14:paraId="5F143AC1">
      <w:pPr>
        <w:spacing w:before="171" w:line="220" w:lineRule="auto"/>
        <w:ind w:left="12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若无货物属于优先采购节能、环境标志产品的，则不填写此表。</w:t>
      </w:r>
    </w:p>
    <w:p w14:paraId="382E8BD0">
      <w:pPr>
        <w:pStyle w:val="4"/>
        <w:spacing w:line="271" w:lineRule="auto"/>
        <w:rPr>
          <w:rFonts w:hint="eastAsia" w:ascii="宋体" w:hAnsi="宋体" w:eastAsia="宋体" w:cs="宋体"/>
          <w:color w:val="auto"/>
          <w:highlight w:val="none"/>
        </w:rPr>
      </w:pPr>
    </w:p>
    <w:p w14:paraId="406DFB0F">
      <w:pPr>
        <w:spacing w:before="73" w:line="220" w:lineRule="auto"/>
        <w:ind w:left="120"/>
        <w:jc w:val="righ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供应商（盖单位章）：</w:t>
      </w:r>
    </w:p>
    <w:p w14:paraId="357692E8">
      <w:pPr>
        <w:spacing w:before="176" w:line="357" w:lineRule="auto"/>
        <w:ind w:left="158" w:right="86" w:rightChars="0" w:hanging="37"/>
        <w:jc w:val="right"/>
        <w:rPr>
          <w:rFonts w:hint="eastAsia" w:ascii="宋体" w:hAnsi="宋体" w:eastAsia="宋体" w:cs="宋体"/>
          <w:color w:val="auto"/>
          <w:spacing w:val="11"/>
          <w:sz w:val="22"/>
          <w:szCs w:val="22"/>
          <w:highlight w:val="none"/>
        </w:rPr>
      </w:pPr>
      <w:r>
        <w:rPr>
          <w:rFonts w:hint="eastAsia" w:ascii="宋体" w:hAnsi="宋体" w:eastAsia="宋体" w:cs="宋体"/>
          <w:color w:val="auto"/>
          <w:spacing w:val="-1"/>
          <w:sz w:val="22"/>
          <w:szCs w:val="22"/>
          <w:highlight w:val="none"/>
        </w:rPr>
        <w:t>法定代表人或其委托代理人签字：</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1"/>
          <w:sz w:val="22"/>
          <w:szCs w:val="22"/>
          <w:highlight w:val="none"/>
        </w:rPr>
        <w:t xml:space="preserve"> </w:t>
      </w:r>
    </w:p>
    <w:p w14:paraId="3C9555F8">
      <w:pPr>
        <w:spacing w:before="176" w:line="357" w:lineRule="auto"/>
        <w:ind w:left="158" w:right="86" w:rightChars="0" w:hanging="37"/>
        <w:jc w:val="right"/>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日期：</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7"/>
          <w:sz w:val="22"/>
          <w:szCs w:val="22"/>
          <w:highlight w:val="none"/>
        </w:rPr>
        <w:t xml:space="preserve"> </w:t>
      </w:r>
      <w:r>
        <w:rPr>
          <w:rFonts w:hint="eastAsia" w:ascii="宋体" w:hAnsi="宋体" w:eastAsia="宋体" w:cs="宋体"/>
          <w:color w:val="auto"/>
          <w:spacing w:val="-12"/>
          <w:sz w:val="22"/>
          <w:szCs w:val="22"/>
          <w:highlight w:val="none"/>
        </w:rPr>
        <w:t>年</w:t>
      </w:r>
      <w:r>
        <w:rPr>
          <w:rFonts w:hint="eastAsia" w:ascii="宋体" w:hAnsi="宋体" w:eastAsia="宋体" w:cs="宋体"/>
          <w:color w:val="auto"/>
          <w:spacing w:val="36"/>
          <w:sz w:val="22"/>
          <w:szCs w:val="22"/>
          <w:highlight w:val="none"/>
          <w:u w:val="single" w:color="auto"/>
        </w:rPr>
        <w:t xml:space="preserve">   </w:t>
      </w:r>
      <w:r>
        <w:rPr>
          <w:rFonts w:hint="eastAsia" w:ascii="宋体" w:hAnsi="宋体" w:eastAsia="宋体" w:cs="宋体"/>
          <w:color w:val="auto"/>
          <w:spacing w:val="-95"/>
          <w:sz w:val="22"/>
          <w:szCs w:val="22"/>
          <w:highlight w:val="none"/>
        </w:rPr>
        <w:t xml:space="preserve"> </w:t>
      </w:r>
      <w:r>
        <w:rPr>
          <w:rFonts w:hint="eastAsia" w:ascii="宋体" w:hAnsi="宋体" w:eastAsia="宋体" w:cs="宋体"/>
          <w:color w:val="auto"/>
          <w:spacing w:val="-12"/>
          <w:sz w:val="22"/>
          <w:szCs w:val="22"/>
          <w:highlight w:val="none"/>
        </w:rPr>
        <w:t>月</w:t>
      </w:r>
      <w:r>
        <w:rPr>
          <w:rFonts w:hint="eastAsia" w:ascii="宋体" w:hAnsi="宋体" w:eastAsia="宋体" w:cs="宋体"/>
          <w:color w:val="auto"/>
          <w:spacing w:val="54"/>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2"/>
          <w:sz w:val="22"/>
          <w:szCs w:val="22"/>
          <w:highlight w:val="none"/>
        </w:rPr>
        <w:t>日</w:t>
      </w:r>
    </w:p>
    <w:p w14:paraId="4180AF47">
      <w:pPr>
        <w:pStyle w:val="4"/>
        <w:spacing w:line="395" w:lineRule="auto"/>
        <w:rPr>
          <w:rFonts w:hint="eastAsia" w:ascii="宋体" w:hAnsi="宋体" w:eastAsia="宋体" w:cs="宋体"/>
          <w:color w:val="auto"/>
          <w:highlight w:val="none"/>
        </w:rPr>
      </w:pPr>
    </w:p>
    <w:p w14:paraId="35B6772B">
      <w:pPr>
        <w:spacing w:before="72" w:line="220" w:lineRule="auto"/>
        <w:ind w:left="369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节能、环境标志产品证明材料</w:t>
      </w:r>
    </w:p>
    <w:p w14:paraId="06E7087B">
      <w:pPr>
        <w:spacing w:before="73" w:line="215" w:lineRule="auto"/>
        <w:ind w:left="33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1.节能产品：应在中国政府采购网（ht tp://www.ccgp.gov.cn）</w:t>
      </w:r>
    </w:p>
    <w:p w14:paraId="026713FA">
      <w:pPr>
        <w:spacing w:before="183" w:line="215" w:lineRule="auto"/>
        <w:ind w:left="324"/>
        <w:rPr>
          <w:rFonts w:hint="eastAsia" w:ascii="宋体" w:hAnsi="宋体" w:eastAsia="宋体" w:cs="宋体"/>
          <w:color w:val="auto"/>
          <w:spacing w:val="-2"/>
          <w:sz w:val="22"/>
          <w:szCs w:val="22"/>
          <w:highlight w:val="none"/>
        </w:rPr>
      </w:pPr>
      <w:r>
        <w:rPr>
          <w:rFonts w:hint="eastAsia" w:ascii="宋体" w:hAnsi="宋体" w:eastAsia="宋体" w:cs="宋体"/>
          <w:color w:val="auto"/>
          <w:spacing w:val="-1"/>
          <w:sz w:val="22"/>
          <w:szCs w:val="22"/>
          <w:highlight w:val="none"/>
        </w:rPr>
        <w:t>2.环境标志产品：应在中国政府采购网（http://www.ccgp.</w:t>
      </w:r>
      <w:r>
        <w:rPr>
          <w:rFonts w:hint="eastAsia" w:ascii="宋体" w:hAnsi="宋体" w:eastAsia="宋体" w:cs="宋体"/>
          <w:color w:val="auto"/>
          <w:spacing w:val="-2"/>
          <w:sz w:val="22"/>
          <w:szCs w:val="22"/>
          <w:highlight w:val="none"/>
        </w:rPr>
        <w:t>gov.cn）</w:t>
      </w:r>
    </w:p>
    <w:p w14:paraId="217363B1">
      <w:pPr>
        <w:spacing w:before="183" w:line="215" w:lineRule="auto"/>
        <w:ind w:left="324"/>
        <w:rPr>
          <w:rFonts w:hint="eastAsia" w:ascii="宋体" w:hAnsi="宋体" w:eastAsia="宋体" w:cs="宋体"/>
          <w:color w:val="auto"/>
          <w:spacing w:val="-2"/>
          <w:sz w:val="22"/>
          <w:szCs w:val="22"/>
          <w:highlight w:val="none"/>
        </w:rPr>
      </w:pPr>
      <w:r>
        <w:rPr>
          <w:rFonts w:hint="eastAsia" w:ascii="宋体" w:hAnsi="宋体" w:eastAsia="宋体" w:cs="宋体"/>
          <w:color w:val="auto"/>
          <w:spacing w:val="-1"/>
          <w:sz w:val="22"/>
          <w:szCs w:val="22"/>
          <w:highlight w:val="none"/>
        </w:rPr>
        <w:t>3.属优先采购节能、环境标志产品须从以上权威</w:t>
      </w:r>
      <w:r>
        <w:rPr>
          <w:rFonts w:hint="eastAsia" w:ascii="宋体" w:hAnsi="宋体" w:eastAsia="宋体" w:cs="宋体"/>
          <w:color w:val="auto"/>
          <w:spacing w:val="-2"/>
          <w:sz w:val="22"/>
          <w:szCs w:val="22"/>
          <w:highlight w:val="none"/>
        </w:rPr>
        <w:t>媒体网站上查询并打印结果。</w:t>
      </w:r>
    </w:p>
    <w:p w14:paraId="1492F533">
      <w:pPr>
        <w:spacing w:before="183" w:line="215" w:lineRule="auto"/>
        <w:ind w:left="32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4.证明材料加盖供应商公章。</w:t>
      </w:r>
    </w:p>
    <w:p w14:paraId="64F243F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E95CAE">
      <w:pPr>
        <w:spacing w:before="72" w:line="221" w:lineRule="auto"/>
        <w:ind w:left="121" w:firstLine="47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6、特定资格要求</w:t>
      </w:r>
    </w:p>
    <w:p w14:paraId="33F1F592">
      <w:pPr>
        <w:pStyle w:val="4"/>
        <w:spacing w:line="246" w:lineRule="auto"/>
        <w:ind w:firstLine="867" w:firstLineChars="400"/>
        <w:rPr>
          <w:rFonts w:hint="eastAsia" w:ascii="宋体" w:hAnsi="宋体" w:eastAsia="宋体" w:cs="宋体"/>
          <w:b/>
          <w:bCs/>
          <w:color w:val="auto"/>
          <w:spacing w:val="-2"/>
          <w:sz w:val="22"/>
          <w:szCs w:val="22"/>
          <w:highlight w:val="none"/>
          <w:lang w:val="en-US" w:eastAsia="zh-CN"/>
        </w:rPr>
      </w:pPr>
      <w:r>
        <w:rPr>
          <w:rFonts w:hint="eastAsia" w:ascii="宋体" w:hAnsi="宋体" w:eastAsia="宋体" w:cs="宋体"/>
          <w:b/>
          <w:bCs/>
          <w:color w:val="auto"/>
          <w:spacing w:val="-2"/>
          <w:sz w:val="22"/>
          <w:szCs w:val="22"/>
          <w:highlight w:val="none"/>
        </w:rPr>
        <w:t>提供</w:t>
      </w:r>
      <w:r>
        <w:rPr>
          <w:rFonts w:hint="eastAsia" w:ascii="宋体" w:hAnsi="宋体" w:eastAsia="宋体" w:cs="宋体"/>
          <w:b/>
          <w:bCs/>
          <w:color w:val="auto"/>
          <w:spacing w:val="-2"/>
          <w:sz w:val="22"/>
          <w:szCs w:val="22"/>
          <w:highlight w:val="none"/>
          <w:lang w:val="en-US" w:eastAsia="zh-CN"/>
        </w:rPr>
        <w:t>营业执照</w:t>
      </w:r>
    </w:p>
    <w:p w14:paraId="08DC7A31">
      <w:pPr>
        <w:pStyle w:val="4"/>
        <w:spacing w:line="246" w:lineRule="auto"/>
        <w:rPr>
          <w:rFonts w:hint="eastAsia" w:ascii="宋体" w:hAnsi="宋体" w:eastAsia="宋体" w:cs="宋体"/>
          <w:color w:val="auto"/>
          <w:highlight w:val="none"/>
        </w:rPr>
      </w:pPr>
    </w:p>
    <w:p w14:paraId="24E47984">
      <w:pPr>
        <w:pStyle w:val="4"/>
        <w:spacing w:line="247" w:lineRule="auto"/>
        <w:rPr>
          <w:rFonts w:hint="eastAsia" w:ascii="宋体" w:hAnsi="宋体" w:eastAsia="宋体" w:cs="宋体"/>
          <w:color w:val="auto"/>
          <w:highlight w:val="none"/>
        </w:rPr>
      </w:pPr>
    </w:p>
    <w:p w14:paraId="09179B9F">
      <w:pPr>
        <w:pStyle w:val="4"/>
        <w:spacing w:line="247" w:lineRule="auto"/>
        <w:rPr>
          <w:rFonts w:hint="eastAsia" w:ascii="宋体" w:hAnsi="宋体" w:eastAsia="宋体" w:cs="宋体"/>
          <w:color w:val="auto"/>
          <w:highlight w:val="none"/>
        </w:rPr>
      </w:pPr>
    </w:p>
    <w:p w14:paraId="1D5FABBB">
      <w:pPr>
        <w:spacing w:before="72" w:line="220" w:lineRule="auto"/>
        <w:ind w:left="12"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7、参加政府采购活动前三年内在经营活动中没有重大违法记录的书面声明</w:t>
      </w:r>
    </w:p>
    <w:p w14:paraId="117C3F34">
      <w:pPr>
        <w:pStyle w:val="4"/>
        <w:spacing w:line="316" w:lineRule="auto"/>
        <w:rPr>
          <w:rFonts w:hint="eastAsia" w:ascii="宋体" w:hAnsi="宋体" w:eastAsia="宋体" w:cs="宋体"/>
          <w:color w:val="auto"/>
          <w:sz w:val="22"/>
          <w:szCs w:val="22"/>
          <w:highlight w:val="none"/>
        </w:rPr>
      </w:pPr>
    </w:p>
    <w:p w14:paraId="158B07FE">
      <w:pPr>
        <w:spacing w:before="244" w:line="352" w:lineRule="auto"/>
        <w:ind w:right="78" w:firstLine="621"/>
        <w:jc w:val="both"/>
        <w:rPr>
          <w:rFonts w:hint="eastAsia" w:ascii="宋体" w:hAnsi="宋体" w:eastAsia="宋体" w:cs="宋体"/>
          <w:color w:val="auto"/>
          <w:spacing w:val="-19"/>
          <w:sz w:val="22"/>
          <w:szCs w:val="22"/>
          <w:highlight w:val="none"/>
        </w:rPr>
      </w:pPr>
      <w:r>
        <w:rPr>
          <w:rFonts w:hint="eastAsia" w:ascii="宋体" w:hAnsi="宋体" w:eastAsia="宋体" w:cs="宋体"/>
          <w:color w:val="auto"/>
          <w:spacing w:val="-19"/>
          <w:sz w:val="22"/>
          <w:szCs w:val="22"/>
          <w:highlight w:val="none"/>
        </w:rPr>
        <w:t>本单位郑重声明：</w:t>
      </w:r>
    </w:p>
    <w:p w14:paraId="6C102EF3">
      <w:pPr>
        <w:spacing w:before="244" w:line="352" w:lineRule="auto"/>
        <w:ind w:right="78" w:firstLine="621"/>
        <w:jc w:val="both"/>
        <w:rPr>
          <w:rFonts w:hint="eastAsia" w:ascii="宋体" w:hAnsi="宋体" w:eastAsia="宋体" w:cs="宋体"/>
          <w:color w:val="auto"/>
          <w:spacing w:val="-19"/>
          <w:sz w:val="22"/>
          <w:szCs w:val="22"/>
          <w:highlight w:val="none"/>
        </w:rPr>
      </w:pPr>
      <w:r>
        <w:rPr>
          <w:rFonts w:hint="eastAsia" w:ascii="宋体" w:hAnsi="宋体" w:eastAsia="宋体" w:cs="宋体"/>
          <w:color w:val="auto"/>
          <w:spacing w:val="-19"/>
          <w:sz w:val="22"/>
          <w:szCs w:val="22"/>
          <w:highlight w:val="none"/>
        </w:rPr>
        <w:t>我单位在参加采购活动前三年内在经营活动中没有《政府采购法》第二十二条第一款第(五)项所称重大违法记录，包括：</w:t>
      </w:r>
    </w:p>
    <w:p w14:paraId="0B079C52">
      <w:pPr>
        <w:spacing w:before="244" w:line="352" w:lineRule="auto"/>
        <w:ind w:right="78" w:firstLine="621"/>
        <w:jc w:val="both"/>
        <w:rPr>
          <w:rFonts w:hint="eastAsia" w:ascii="宋体" w:hAnsi="宋体" w:eastAsia="宋体" w:cs="宋体"/>
          <w:color w:val="auto"/>
          <w:spacing w:val="-19"/>
          <w:sz w:val="22"/>
          <w:szCs w:val="22"/>
          <w:highlight w:val="none"/>
        </w:rPr>
      </w:pPr>
      <w:r>
        <w:rPr>
          <w:rFonts w:hint="eastAsia" w:ascii="宋体" w:hAnsi="宋体" w:eastAsia="宋体" w:cs="宋体"/>
          <w:color w:val="auto"/>
          <w:spacing w:val="-19"/>
          <w:sz w:val="22"/>
          <w:szCs w:val="22"/>
          <w:highlight w:val="none"/>
        </w:rPr>
        <w:t>我单位或者其法定代表人（或分公司负责人）、董事、监事、高级管理人员未因经营活动中的违法行为受 到刑事处罚或者责令停产停业、吊销许可证或者执照、较大数额罚款等行政处罚。</w:t>
      </w:r>
    </w:p>
    <w:p w14:paraId="1CE1D1EE">
      <w:pPr>
        <w:spacing w:before="244" w:line="352" w:lineRule="auto"/>
        <w:ind w:right="78" w:firstLine="621"/>
        <w:jc w:val="both"/>
        <w:rPr>
          <w:rFonts w:hint="eastAsia" w:ascii="宋体" w:hAnsi="宋体" w:eastAsia="宋体" w:cs="宋体"/>
          <w:color w:val="auto"/>
          <w:spacing w:val="-19"/>
          <w:sz w:val="22"/>
          <w:szCs w:val="22"/>
          <w:highlight w:val="none"/>
        </w:rPr>
      </w:pPr>
      <w:r>
        <w:rPr>
          <w:rFonts w:hint="eastAsia" w:ascii="宋体" w:hAnsi="宋体" w:eastAsia="宋体" w:cs="宋体"/>
          <w:color w:val="auto"/>
          <w:spacing w:val="-19"/>
          <w:sz w:val="22"/>
          <w:szCs w:val="22"/>
          <w:highlight w:val="none"/>
        </w:rPr>
        <w:t>特此声明！</w:t>
      </w:r>
    </w:p>
    <w:p w14:paraId="603BAC45">
      <w:pPr>
        <w:spacing w:before="244" w:line="352" w:lineRule="auto"/>
        <w:ind w:right="78" w:firstLine="621"/>
        <w:jc w:val="both"/>
        <w:rPr>
          <w:rFonts w:hint="eastAsia" w:ascii="宋体" w:hAnsi="宋体" w:eastAsia="宋体" w:cs="宋体"/>
          <w:color w:val="auto"/>
          <w:spacing w:val="-19"/>
          <w:sz w:val="22"/>
          <w:szCs w:val="22"/>
          <w:highlight w:val="none"/>
        </w:rPr>
      </w:pPr>
    </w:p>
    <w:p w14:paraId="6A48D478">
      <w:pPr>
        <w:spacing w:before="244" w:line="352" w:lineRule="auto"/>
        <w:ind w:right="78" w:firstLine="621"/>
        <w:jc w:val="both"/>
        <w:rPr>
          <w:rFonts w:hint="eastAsia" w:ascii="宋体" w:hAnsi="宋体" w:eastAsia="宋体" w:cs="宋体"/>
          <w:color w:val="auto"/>
          <w:spacing w:val="-19"/>
          <w:sz w:val="22"/>
          <w:szCs w:val="22"/>
          <w:highlight w:val="none"/>
        </w:rPr>
      </w:pPr>
    </w:p>
    <w:p w14:paraId="404EBD3D">
      <w:pPr>
        <w:spacing w:before="73" w:line="215" w:lineRule="auto"/>
        <w:ind w:left="338"/>
        <w:rPr>
          <w:rFonts w:hint="eastAsia" w:ascii="宋体" w:hAnsi="宋体" w:eastAsia="宋体" w:cs="宋体"/>
          <w:color w:val="auto"/>
          <w:spacing w:val="-1"/>
          <w:sz w:val="24"/>
          <w:szCs w:val="24"/>
          <w:highlight w:val="none"/>
        </w:rPr>
      </w:pPr>
    </w:p>
    <w:p w14:paraId="2DE4AE6B">
      <w:pPr>
        <w:spacing w:before="73" w:line="215" w:lineRule="auto"/>
        <w:ind w:firstLine="5236" w:firstLineChars="2200"/>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供应商名称(电子签章)：</w:t>
      </w:r>
    </w:p>
    <w:p w14:paraId="63B4A07F">
      <w:pPr>
        <w:spacing w:before="73" w:line="215" w:lineRule="auto"/>
        <w:ind w:firstLine="5474" w:firstLineChars="2300"/>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日 期：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月   日</w:t>
      </w:r>
    </w:p>
    <w:p w14:paraId="00B09287">
      <w:pPr>
        <w:spacing w:before="73" w:line="215" w:lineRule="auto"/>
        <w:ind w:left="338"/>
        <w:rPr>
          <w:rFonts w:hint="eastAsia" w:ascii="宋体" w:hAnsi="宋体" w:eastAsia="宋体" w:cs="宋体"/>
          <w:color w:val="auto"/>
          <w:spacing w:val="-1"/>
          <w:sz w:val="24"/>
          <w:szCs w:val="24"/>
          <w:highlight w:val="none"/>
        </w:rPr>
      </w:pPr>
    </w:p>
    <w:p w14:paraId="68B4AA30">
      <w:pPr>
        <w:pStyle w:val="4"/>
        <w:rPr>
          <w:rFonts w:hint="eastAsia" w:ascii="宋体" w:hAnsi="宋体" w:eastAsia="宋体" w:cs="宋体"/>
          <w:color w:val="auto"/>
          <w:highlight w:val="none"/>
        </w:rPr>
      </w:pPr>
    </w:p>
    <w:p w14:paraId="1298E682">
      <w:pPr>
        <w:pStyle w:val="4"/>
        <w:rPr>
          <w:rFonts w:hint="eastAsia" w:ascii="宋体" w:hAnsi="宋体" w:eastAsia="宋体" w:cs="宋体"/>
          <w:color w:val="auto"/>
          <w:highlight w:val="none"/>
        </w:rPr>
      </w:pPr>
    </w:p>
    <w:p w14:paraId="2DCA8DE9">
      <w:pPr>
        <w:pStyle w:val="4"/>
        <w:spacing w:line="241" w:lineRule="auto"/>
        <w:rPr>
          <w:rFonts w:hint="eastAsia" w:ascii="宋体" w:hAnsi="宋体" w:eastAsia="宋体" w:cs="宋体"/>
          <w:color w:val="auto"/>
          <w:highlight w:val="none"/>
        </w:rPr>
      </w:pPr>
    </w:p>
    <w:p w14:paraId="1FC105BC">
      <w:pPr>
        <w:pStyle w:val="4"/>
        <w:spacing w:line="241" w:lineRule="auto"/>
        <w:rPr>
          <w:rFonts w:hint="eastAsia" w:ascii="宋体" w:hAnsi="宋体" w:eastAsia="宋体" w:cs="宋体"/>
          <w:color w:val="auto"/>
          <w:highlight w:val="none"/>
        </w:rPr>
      </w:pPr>
    </w:p>
    <w:p w14:paraId="59E082C3">
      <w:pPr>
        <w:pStyle w:val="4"/>
        <w:rPr>
          <w:rFonts w:hint="eastAsia" w:ascii="宋体" w:hAnsi="宋体" w:eastAsia="宋体" w:cs="宋体"/>
          <w:color w:val="auto"/>
          <w:highlight w:val="none"/>
        </w:rPr>
      </w:pPr>
    </w:p>
    <w:p w14:paraId="44DBED58">
      <w:pPr>
        <w:rPr>
          <w:rFonts w:hint="eastAsia" w:ascii="宋体" w:hAnsi="宋体" w:eastAsia="宋体" w:cs="宋体"/>
          <w:color w:val="auto"/>
          <w:highlight w:val="none"/>
        </w:rPr>
        <w:sectPr>
          <w:pgSz w:w="11906" w:h="16839"/>
          <w:pgMar w:top="1440" w:right="1080" w:bottom="1440" w:left="1080" w:header="0" w:footer="0" w:gutter="0"/>
          <w:pgNumType w:fmt="decimal"/>
          <w:cols w:space="720" w:num="1"/>
        </w:sectPr>
      </w:pPr>
    </w:p>
    <w:p w14:paraId="5EF5543B">
      <w:pPr>
        <w:spacing w:before="71" w:line="220" w:lineRule="auto"/>
        <w:ind w:left="8"/>
        <w:rPr>
          <w:rFonts w:hint="eastAsia" w:ascii="宋体" w:hAnsi="宋体" w:eastAsia="宋体" w:cs="宋体"/>
          <w:color w:val="auto"/>
          <w:sz w:val="22"/>
          <w:szCs w:val="22"/>
          <w:highlight w:val="none"/>
        </w:rPr>
      </w:pPr>
      <w:r>
        <w:rPr>
          <w:rFonts w:hint="eastAsia" w:ascii="宋体" w:hAnsi="宋体" w:eastAsia="宋体" w:cs="宋体"/>
          <w:b/>
          <w:bCs/>
          <w:color w:val="auto"/>
          <w:spacing w:val="-1"/>
          <w:sz w:val="22"/>
          <w:szCs w:val="22"/>
          <w:highlight w:val="none"/>
        </w:rPr>
        <w:t>8、供应商直接控股、管理关系信息表</w:t>
      </w:r>
      <w:r>
        <w:rPr>
          <w:rFonts w:hint="eastAsia" w:ascii="宋体" w:hAnsi="宋体" w:eastAsia="宋体" w:cs="宋体"/>
          <w:b/>
          <w:bCs/>
          <w:color w:val="auto"/>
          <w:spacing w:val="-13"/>
          <w:sz w:val="22"/>
          <w:szCs w:val="22"/>
          <w:highlight w:val="none"/>
        </w:rPr>
        <w:t>；（</w:t>
      </w:r>
      <w:r>
        <w:rPr>
          <w:rFonts w:hint="eastAsia" w:ascii="宋体" w:hAnsi="宋体" w:eastAsia="宋体" w:cs="宋体"/>
          <w:b/>
          <w:bCs/>
          <w:color w:val="auto"/>
          <w:spacing w:val="-1"/>
          <w:sz w:val="22"/>
          <w:szCs w:val="22"/>
          <w:highlight w:val="none"/>
        </w:rPr>
        <w:t>格式如下）</w:t>
      </w:r>
    </w:p>
    <w:p w14:paraId="48F3565B">
      <w:pPr>
        <w:pStyle w:val="4"/>
        <w:spacing w:line="326" w:lineRule="auto"/>
        <w:rPr>
          <w:rFonts w:hint="eastAsia" w:ascii="宋体" w:hAnsi="宋体" w:eastAsia="宋体" w:cs="宋体"/>
          <w:color w:val="auto"/>
          <w:highlight w:val="none"/>
        </w:rPr>
      </w:pPr>
    </w:p>
    <w:p w14:paraId="12074CFA">
      <w:pPr>
        <w:spacing w:before="73" w:line="220" w:lineRule="auto"/>
        <w:ind w:left="684"/>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附表</w:t>
      </w:r>
      <w:r>
        <w:rPr>
          <w:rFonts w:hint="eastAsia" w:ascii="宋体" w:hAnsi="宋体" w:eastAsia="宋体" w:cs="宋体"/>
          <w:color w:val="auto"/>
          <w:spacing w:val="-37"/>
          <w:sz w:val="22"/>
          <w:szCs w:val="22"/>
          <w:highlight w:val="none"/>
        </w:rPr>
        <w:t xml:space="preserve"> </w:t>
      </w:r>
      <w:r>
        <w:rPr>
          <w:rFonts w:hint="eastAsia" w:ascii="宋体" w:hAnsi="宋体" w:eastAsia="宋体" w:cs="宋体"/>
          <w:b/>
          <w:bCs/>
          <w:color w:val="auto"/>
          <w:spacing w:val="-6"/>
          <w:sz w:val="22"/>
          <w:szCs w:val="22"/>
          <w:highlight w:val="none"/>
        </w:rPr>
        <w:t>1</w:t>
      </w:r>
      <w:r>
        <w:rPr>
          <w:rFonts w:hint="eastAsia" w:ascii="宋体" w:hAnsi="宋体" w:eastAsia="宋体" w:cs="宋体"/>
          <w:b/>
          <w:bCs/>
          <w:color w:val="auto"/>
          <w:spacing w:val="-31"/>
          <w:sz w:val="22"/>
          <w:szCs w:val="22"/>
          <w:highlight w:val="none"/>
        </w:rPr>
        <w:t xml:space="preserve"> </w:t>
      </w:r>
      <w:r>
        <w:rPr>
          <w:rFonts w:hint="eastAsia" w:ascii="宋体" w:hAnsi="宋体" w:eastAsia="宋体" w:cs="宋体"/>
          <w:b/>
          <w:bCs/>
          <w:color w:val="auto"/>
          <w:spacing w:val="-6"/>
          <w:sz w:val="22"/>
          <w:szCs w:val="22"/>
          <w:highlight w:val="none"/>
        </w:rPr>
        <w:t>、供应商直接控股股东信息</w:t>
      </w:r>
    </w:p>
    <w:p w14:paraId="422B9687">
      <w:pPr>
        <w:spacing w:before="101"/>
        <w:rPr>
          <w:rFonts w:hint="eastAsia" w:ascii="宋体" w:hAnsi="宋体" w:eastAsia="宋体" w:cs="宋体"/>
          <w:color w:val="auto"/>
          <w:highlight w:val="none"/>
        </w:rPr>
      </w:pPr>
    </w:p>
    <w:tbl>
      <w:tblPr>
        <w:tblStyle w:val="17"/>
        <w:tblW w:w="10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2652"/>
        <w:gridCol w:w="1452"/>
        <w:gridCol w:w="4282"/>
        <w:gridCol w:w="888"/>
      </w:tblGrid>
      <w:tr w14:paraId="50EA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dxa"/>
            <w:vAlign w:val="top"/>
          </w:tcPr>
          <w:p w14:paraId="323A05E1">
            <w:pPr>
              <w:pStyle w:val="18"/>
              <w:spacing w:before="138" w:line="222" w:lineRule="auto"/>
              <w:ind w:left="217"/>
              <w:rPr>
                <w:rFonts w:hint="eastAsia" w:ascii="宋体" w:hAnsi="宋体" w:eastAsia="宋体" w:cs="宋体"/>
                <w:color w:val="auto"/>
                <w:highlight w:val="none"/>
              </w:rPr>
            </w:pPr>
            <w:r>
              <w:rPr>
                <w:rFonts w:hint="eastAsia" w:ascii="宋体" w:hAnsi="宋体" w:eastAsia="宋体" w:cs="宋体"/>
                <w:color w:val="auto"/>
                <w:spacing w:val="-4"/>
                <w:highlight w:val="none"/>
              </w:rPr>
              <w:t>序号</w:t>
            </w:r>
          </w:p>
        </w:tc>
        <w:tc>
          <w:tcPr>
            <w:tcW w:w="2652" w:type="dxa"/>
            <w:vAlign w:val="top"/>
          </w:tcPr>
          <w:p w14:paraId="4AF91A17">
            <w:pPr>
              <w:pStyle w:val="18"/>
              <w:spacing w:before="135" w:line="221" w:lineRule="auto"/>
              <w:ind w:left="380"/>
              <w:rPr>
                <w:rFonts w:hint="eastAsia" w:ascii="宋体" w:hAnsi="宋体" w:eastAsia="宋体" w:cs="宋体"/>
                <w:color w:val="auto"/>
                <w:highlight w:val="none"/>
              </w:rPr>
            </w:pPr>
            <w:r>
              <w:rPr>
                <w:rFonts w:hint="eastAsia" w:ascii="宋体" w:hAnsi="宋体" w:eastAsia="宋体" w:cs="宋体"/>
                <w:color w:val="auto"/>
                <w:spacing w:val="-4"/>
                <w:highlight w:val="none"/>
              </w:rPr>
              <w:t>直接控股股东名称</w:t>
            </w:r>
          </w:p>
        </w:tc>
        <w:tc>
          <w:tcPr>
            <w:tcW w:w="1452" w:type="dxa"/>
            <w:vAlign w:val="top"/>
          </w:tcPr>
          <w:p w14:paraId="332FC3C4">
            <w:pPr>
              <w:pStyle w:val="18"/>
              <w:spacing w:before="138" w:line="222" w:lineRule="auto"/>
              <w:ind w:left="301"/>
              <w:rPr>
                <w:rFonts w:hint="eastAsia" w:ascii="宋体" w:hAnsi="宋体" w:eastAsia="宋体" w:cs="宋体"/>
                <w:color w:val="auto"/>
                <w:highlight w:val="none"/>
              </w:rPr>
            </w:pPr>
            <w:r>
              <w:rPr>
                <w:rFonts w:hint="eastAsia" w:ascii="宋体" w:hAnsi="宋体" w:eastAsia="宋体" w:cs="宋体"/>
                <w:color w:val="auto"/>
                <w:spacing w:val="-15"/>
                <w:highlight w:val="none"/>
              </w:rPr>
              <w:t>出资比例</w:t>
            </w:r>
          </w:p>
        </w:tc>
        <w:tc>
          <w:tcPr>
            <w:tcW w:w="4282" w:type="dxa"/>
            <w:vAlign w:val="top"/>
          </w:tcPr>
          <w:p w14:paraId="77302E3B">
            <w:pPr>
              <w:pStyle w:val="18"/>
              <w:spacing w:before="135" w:line="220" w:lineRule="auto"/>
              <w:ind w:left="372"/>
              <w:rPr>
                <w:rFonts w:hint="eastAsia" w:ascii="宋体" w:hAnsi="宋体" w:eastAsia="宋体" w:cs="宋体"/>
                <w:color w:val="auto"/>
                <w:highlight w:val="none"/>
              </w:rPr>
            </w:pPr>
            <w:r>
              <w:rPr>
                <w:rFonts w:hint="eastAsia" w:ascii="宋体" w:hAnsi="宋体" w:eastAsia="宋体" w:cs="宋体"/>
                <w:color w:val="auto"/>
                <w:spacing w:val="-3"/>
                <w:highlight w:val="none"/>
              </w:rPr>
              <w:t>身份证号码或者统一社会信用代码</w:t>
            </w:r>
          </w:p>
        </w:tc>
        <w:tc>
          <w:tcPr>
            <w:tcW w:w="888" w:type="dxa"/>
            <w:vAlign w:val="top"/>
          </w:tcPr>
          <w:p w14:paraId="0A572181">
            <w:pPr>
              <w:pStyle w:val="18"/>
              <w:spacing w:before="138" w:line="222" w:lineRule="auto"/>
              <w:ind w:left="227"/>
              <w:rPr>
                <w:rFonts w:hint="eastAsia" w:ascii="宋体" w:hAnsi="宋体" w:eastAsia="宋体" w:cs="宋体"/>
                <w:color w:val="auto"/>
                <w:highlight w:val="none"/>
              </w:rPr>
            </w:pPr>
            <w:r>
              <w:rPr>
                <w:rFonts w:hint="eastAsia" w:ascii="宋体" w:hAnsi="宋体" w:eastAsia="宋体" w:cs="宋体"/>
                <w:color w:val="auto"/>
                <w:spacing w:val="-6"/>
                <w:highlight w:val="none"/>
              </w:rPr>
              <w:t>备注</w:t>
            </w:r>
          </w:p>
        </w:tc>
      </w:tr>
      <w:tr w14:paraId="3901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dxa"/>
            <w:vAlign w:val="top"/>
          </w:tcPr>
          <w:p w14:paraId="1893EE0D">
            <w:pPr>
              <w:pStyle w:val="18"/>
              <w:spacing w:before="138" w:line="222" w:lineRule="auto"/>
              <w:ind w:left="217"/>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US" w:eastAsia="zh-CN"/>
              </w:rPr>
              <w:t>1</w:t>
            </w:r>
          </w:p>
        </w:tc>
        <w:tc>
          <w:tcPr>
            <w:tcW w:w="2652" w:type="dxa"/>
            <w:vAlign w:val="top"/>
          </w:tcPr>
          <w:p w14:paraId="64F5DC8D">
            <w:pPr>
              <w:pStyle w:val="18"/>
              <w:spacing w:before="135" w:line="221" w:lineRule="auto"/>
              <w:ind w:left="380"/>
              <w:rPr>
                <w:rFonts w:hint="eastAsia" w:ascii="宋体" w:hAnsi="宋体" w:eastAsia="宋体" w:cs="宋体"/>
                <w:color w:val="auto"/>
                <w:spacing w:val="-4"/>
                <w:highlight w:val="none"/>
              </w:rPr>
            </w:pPr>
          </w:p>
        </w:tc>
        <w:tc>
          <w:tcPr>
            <w:tcW w:w="1452" w:type="dxa"/>
            <w:vAlign w:val="top"/>
          </w:tcPr>
          <w:p w14:paraId="714C5C54">
            <w:pPr>
              <w:pStyle w:val="18"/>
              <w:spacing w:before="138" w:line="222" w:lineRule="auto"/>
              <w:ind w:left="301"/>
              <w:rPr>
                <w:rFonts w:hint="eastAsia" w:ascii="宋体" w:hAnsi="宋体" w:eastAsia="宋体" w:cs="宋体"/>
                <w:color w:val="auto"/>
                <w:spacing w:val="-15"/>
                <w:highlight w:val="none"/>
              </w:rPr>
            </w:pPr>
          </w:p>
        </w:tc>
        <w:tc>
          <w:tcPr>
            <w:tcW w:w="4282" w:type="dxa"/>
            <w:vAlign w:val="top"/>
          </w:tcPr>
          <w:p w14:paraId="3B6A2666">
            <w:pPr>
              <w:pStyle w:val="18"/>
              <w:spacing w:before="135" w:line="220" w:lineRule="auto"/>
              <w:ind w:left="372"/>
              <w:rPr>
                <w:rFonts w:hint="eastAsia" w:ascii="宋体" w:hAnsi="宋体" w:eastAsia="宋体" w:cs="宋体"/>
                <w:color w:val="auto"/>
                <w:spacing w:val="-3"/>
                <w:highlight w:val="none"/>
              </w:rPr>
            </w:pPr>
          </w:p>
        </w:tc>
        <w:tc>
          <w:tcPr>
            <w:tcW w:w="888" w:type="dxa"/>
            <w:vAlign w:val="top"/>
          </w:tcPr>
          <w:p w14:paraId="506A874E">
            <w:pPr>
              <w:pStyle w:val="18"/>
              <w:spacing w:before="138" w:line="222" w:lineRule="auto"/>
              <w:ind w:left="227"/>
              <w:rPr>
                <w:rFonts w:hint="eastAsia" w:ascii="宋体" w:hAnsi="宋体" w:eastAsia="宋体" w:cs="宋体"/>
                <w:color w:val="auto"/>
                <w:spacing w:val="-6"/>
                <w:highlight w:val="none"/>
              </w:rPr>
            </w:pPr>
          </w:p>
        </w:tc>
      </w:tr>
      <w:tr w14:paraId="3C08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dxa"/>
            <w:vAlign w:val="top"/>
          </w:tcPr>
          <w:p w14:paraId="3033E211">
            <w:pPr>
              <w:pStyle w:val="18"/>
              <w:spacing w:before="138" w:line="222" w:lineRule="auto"/>
              <w:ind w:left="217"/>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US" w:eastAsia="zh-CN"/>
              </w:rPr>
              <w:t>2</w:t>
            </w:r>
          </w:p>
        </w:tc>
        <w:tc>
          <w:tcPr>
            <w:tcW w:w="2652" w:type="dxa"/>
            <w:vAlign w:val="top"/>
          </w:tcPr>
          <w:p w14:paraId="3ACFC6DE">
            <w:pPr>
              <w:pStyle w:val="18"/>
              <w:spacing w:before="135" w:line="221" w:lineRule="auto"/>
              <w:ind w:left="380"/>
              <w:rPr>
                <w:rFonts w:hint="eastAsia" w:ascii="宋体" w:hAnsi="宋体" w:eastAsia="宋体" w:cs="宋体"/>
                <w:color w:val="auto"/>
                <w:spacing w:val="-4"/>
                <w:highlight w:val="none"/>
              </w:rPr>
            </w:pPr>
          </w:p>
        </w:tc>
        <w:tc>
          <w:tcPr>
            <w:tcW w:w="1452" w:type="dxa"/>
            <w:vAlign w:val="top"/>
          </w:tcPr>
          <w:p w14:paraId="7420A627">
            <w:pPr>
              <w:pStyle w:val="18"/>
              <w:spacing w:before="138" w:line="222" w:lineRule="auto"/>
              <w:ind w:left="301"/>
              <w:rPr>
                <w:rFonts w:hint="eastAsia" w:ascii="宋体" w:hAnsi="宋体" w:eastAsia="宋体" w:cs="宋体"/>
                <w:color w:val="auto"/>
                <w:spacing w:val="-15"/>
                <w:highlight w:val="none"/>
              </w:rPr>
            </w:pPr>
          </w:p>
        </w:tc>
        <w:tc>
          <w:tcPr>
            <w:tcW w:w="4282" w:type="dxa"/>
            <w:vAlign w:val="top"/>
          </w:tcPr>
          <w:p w14:paraId="25A2AB77">
            <w:pPr>
              <w:pStyle w:val="18"/>
              <w:spacing w:before="135" w:line="220" w:lineRule="auto"/>
              <w:ind w:left="372"/>
              <w:rPr>
                <w:rFonts w:hint="eastAsia" w:ascii="宋体" w:hAnsi="宋体" w:eastAsia="宋体" w:cs="宋体"/>
                <w:color w:val="auto"/>
                <w:spacing w:val="-3"/>
                <w:highlight w:val="none"/>
              </w:rPr>
            </w:pPr>
          </w:p>
        </w:tc>
        <w:tc>
          <w:tcPr>
            <w:tcW w:w="888" w:type="dxa"/>
            <w:vAlign w:val="top"/>
          </w:tcPr>
          <w:p w14:paraId="45A6C171">
            <w:pPr>
              <w:pStyle w:val="18"/>
              <w:spacing w:before="138" w:line="222" w:lineRule="auto"/>
              <w:ind w:left="227"/>
              <w:rPr>
                <w:rFonts w:hint="eastAsia" w:ascii="宋体" w:hAnsi="宋体" w:eastAsia="宋体" w:cs="宋体"/>
                <w:color w:val="auto"/>
                <w:spacing w:val="-6"/>
                <w:highlight w:val="none"/>
              </w:rPr>
            </w:pPr>
          </w:p>
        </w:tc>
      </w:tr>
      <w:tr w14:paraId="024E4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dxa"/>
            <w:vAlign w:val="top"/>
          </w:tcPr>
          <w:p w14:paraId="3F278CC7">
            <w:pPr>
              <w:pStyle w:val="18"/>
              <w:spacing w:before="138" w:line="222" w:lineRule="auto"/>
              <w:ind w:left="217"/>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US" w:eastAsia="zh-CN"/>
              </w:rPr>
              <w:t>3</w:t>
            </w:r>
          </w:p>
        </w:tc>
        <w:tc>
          <w:tcPr>
            <w:tcW w:w="2652" w:type="dxa"/>
            <w:vAlign w:val="top"/>
          </w:tcPr>
          <w:p w14:paraId="0D3806AF">
            <w:pPr>
              <w:pStyle w:val="18"/>
              <w:spacing w:before="135" w:line="221" w:lineRule="auto"/>
              <w:ind w:left="380"/>
              <w:rPr>
                <w:rFonts w:hint="eastAsia" w:ascii="宋体" w:hAnsi="宋体" w:eastAsia="宋体" w:cs="宋体"/>
                <w:color w:val="auto"/>
                <w:spacing w:val="-4"/>
                <w:highlight w:val="none"/>
              </w:rPr>
            </w:pPr>
          </w:p>
        </w:tc>
        <w:tc>
          <w:tcPr>
            <w:tcW w:w="1452" w:type="dxa"/>
            <w:vAlign w:val="top"/>
          </w:tcPr>
          <w:p w14:paraId="5490FAAA">
            <w:pPr>
              <w:pStyle w:val="18"/>
              <w:spacing w:before="138" w:line="222" w:lineRule="auto"/>
              <w:ind w:left="301"/>
              <w:rPr>
                <w:rFonts w:hint="eastAsia" w:ascii="宋体" w:hAnsi="宋体" w:eastAsia="宋体" w:cs="宋体"/>
                <w:color w:val="auto"/>
                <w:spacing w:val="-15"/>
                <w:highlight w:val="none"/>
              </w:rPr>
            </w:pPr>
          </w:p>
        </w:tc>
        <w:tc>
          <w:tcPr>
            <w:tcW w:w="4282" w:type="dxa"/>
            <w:vAlign w:val="top"/>
          </w:tcPr>
          <w:p w14:paraId="1C63E7B1">
            <w:pPr>
              <w:pStyle w:val="18"/>
              <w:spacing w:before="135" w:line="220" w:lineRule="auto"/>
              <w:ind w:left="372"/>
              <w:rPr>
                <w:rFonts w:hint="eastAsia" w:ascii="宋体" w:hAnsi="宋体" w:eastAsia="宋体" w:cs="宋体"/>
                <w:color w:val="auto"/>
                <w:spacing w:val="-3"/>
                <w:highlight w:val="none"/>
              </w:rPr>
            </w:pPr>
          </w:p>
        </w:tc>
        <w:tc>
          <w:tcPr>
            <w:tcW w:w="888" w:type="dxa"/>
            <w:vAlign w:val="top"/>
          </w:tcPr>
          <w:p w14:paraId="225601F4">
            <w:pPr>
              <w:pStyle w:val="18"/>
              <w:spacing w:before="138" w:line="222" w:lineRule="auto"/>
              <w:ind w:left="227"/>
              <w:rPr>
                <w:rFonts w:hint="eastAsia" w:ascii="宋体" w:hAnsi="宋体" w:eastAsia="宋体" w:cs="宋体"/>
                <w:color w:val="auto"/>
                <w:spacing w:val="-6"/>
                <w:highlight w:val="none"/>
              </w:rPr>
            </w:pPr>
          </w:p>
        </w:tc>
      </w:tr>
      <w:tr w14:paraId="443CA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6" w:type="dxa"/>
            <w:vAlign w:val="top"/>
          </w:tcPr>
          <w:p w14:paraId="422129EE">
            <w:pPr>
              <w:pStyle w:val="18"/>
              <w:spacing w:before="138" w:line="222" w:lineRule="auto"/>
              <w:ind w:left="217"/>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p>
        </w:tc>
        <w:tc>
          <w:tcPr>
            <w:tcW w:w="2652" w:type="dxa"/>
            <w:vAlign w:val="top"/>
          </w:tcPr>
          <w:p w14:paraId="6446D1E0">
            <w:pPr>
              <w:pStyle w:val="18"/>
              <w:spacing w:before="135" w:line="221" w:lineRule="auto"/>
              <w:ind w:left="380"/>
              <w:rPr>
                <w:rFonts w:hint="eastAsia" w:ascii="宋体" w:hAnsi="宋体" w:eastAsia="宋体" w:cs="宋体"/>
                <w:color w:val="auto"/>
                <w:spacing w:val="-4"/>
                <w:highlight w:val="none"/>
              </w:rPr>
            </w:pPr>
          </w:p>
        </w:tc>
        <w:tc>
          <w:tcPr>
            <w:tcW w:w="1452" w:type="dxa"/>
            <w:vAlign w:val="top"/>
          </w:tcPr>
          <w:p w14:paraId="57D861AD">
            <w:pPr>
              <w:pStyle w:val="18"/>
              <w:spacing w:before="138" w:line="222" w:lineRule="auto"/>
              <w:ind w:left="301"/>
              <w:rPr>
                <w:rFonts w:hint="eastAsia" w:ascii="宋体" w:hAnsi="宋体" w:eastAsia="宋体" w:cs="宋体"/>
                <w:color w:val="auto"/>
                <w:spacing w:val="-15"/>
                <w:highlight w:val="none"/>
              </w:rPr>
            </w:pPr>
          </w:p>
        </w:tc>
        <w:tc>
          <w:tcPr>
            <w:tcW w:w="4282" w:type="dxa"/>
            <w:vAlign w:val="top"/>
          </w:tcPr>
          <w:p w14:paraId="5F71F6D5">
            <w:pPr>
              <w:pStyle w:val="18"/>
              <w:spacing w:before="135" w:line="220" w:lineRule="auto"/>
              <w:ind w:left="372"/>
              <w:rPr>
                <w:rFonts w:hint="eastAsia" w:ascii="宋体" w:hAnsi="宋体" w:eastAsia="宋体" w:cs="宋体"/>
                <w:color w:val="auto"/>
                <w:spacing w:val="-3"/>
                <w:highlight w:val="none"/>
              </w:rPr>
            </w:pPr>
          </w:p>
        </w:tc>
        <w:tc>
          <w:tcPr>
            <w:tcW w:w="888" w:type="dxa"/>
            <w:vAlign w:val="top"/>
          </w:tcPr>
          <w:p w14:paraId="444964DB">
            <w:pPr>
              <w:pStyle w:val="18"/>
              <w:spacing w:before="138" w:line="222" w:lineRule="auto"/>
              <w:ind w:left="227"/>
              <w:rPr>
                <w:rFonts w:hint="eastAsia" w:ascii="宋体" w:hAnsi="宋体" w:eastAsia="宋体" w:cs="宋体"/>
                <w:color w:val="auto"/>
                <w:spacing w:val="-6"/>
                <w:highlight w:val="none"/>
              </w:rPr>
            </w:pPr>
          </w:p>
        </w:tc>
      </w:tr>
    </w:tbl>
    <w:p w14:paraId="3C1C0CDB">
      <w:pPr>
        <w:keepNext w:val="0"/>
        <w:keepLines w:val="0"/>
        <w:pageBreakBefore w:val="0"/>
        <w:widowControl/>
        <w:kinsoku w:val="0"/>
        <w:wordWrap/>
        <w:overflowPunct/>
        <w:topLinePunct w:val="0"/>
        <w:autoSpaceDE w:val="0"/>
        <w:autoSpaceDN w:val="0"/>
        <w:bidi w:val="0"/>
        <w:adjustRightInd w:val="0"/>
        <w:snapToGrid w:val="0"/>
        <w:spacing w:before="31"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注：</w:t>
      </w:r>
    </w:p>
    <w:p w14:paraId="75F2359C">
      <w:pPr>
        <w:keepNext w:val="0"/>
        <w:keepLines w:val="0"/>
        <w:pageBreakBefore w:val="0"/>
        <w:widowControl/>
        <w:kinsoku w:val="0"/>
        <w:wordWrap/>
        <w:overflowPunct/>
        <w:topLinePunct w:val="0"/>
        <w:autoSpaceDE w:val="0"/>
        <w:autoSpaceDN w:val="0"/>
        <w:bidi w:val="0"/>
        <w:adjustRightInd w:val="0"/>
        <w:snapToGrid w:val="0"/>
        <w:spacing w:before="279" w:line="240" w:lineRule="auto"/>
        <w:ind w:left="8" w:right="130" w:firstLine="457"/>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1.直接控股股东：是指其出资额占有限责任公司资本总额百分之五十以上或者 其持有的股份占股份</w:t>
      </w:r>
      <w:r>
        <w:rPr>
          <w:rFonts w:hint="eastAsia" w:ascii="宋体" w:hAnsi="宋体" w:eastAsia="宋体" w:cs="宋体"/>
          <w:color w:val="auto"/>
          <w:spacing w:val="-2"/>
          <w:sz w:val="22"/>
          <w:szCs w:val="22"/>
          <w:highlight w:val="none"/>
        </w:rPr>
        <w:t>有限公司股份总额百分之五十以上的股东；出资额或者持有股份的比例虽然不足百分之五十，但依其出</w:t>
      </w:r>
      <w:r>
        <w:rPr>
          <w:rFonts w:hint="eastAsia" w:ascii="宋体" w:hAnsi="宋体" w:eastAsia="宋体" w:cs="宋体"/>
          <w:color w:val="auto"/>
          <w:spacing w:val="-1"/>
          <w:sz w:val="22"/>
          <w:szCs w:val="22"/>
          <w:highlight w:val="none"/>
        </w:rPr>
        <w:t>资额或者持有的股份所享有的表决权已足以对股东会、股东大会的决议产生重大影响的股东。</w:t>
      </w:r>
    </w:p>
    <w:p w14:paraId="03079822">
      <w:pPr>
        <w:keepNext w:val="0"/>
        <w:keepLines w:val="0"/>
        <w:pageBreakBefore w:val="0"/>
        <w:widowControl/>
        <w:kinsoku w:val="0"/>
        <w:wordWrap/>
        <w:overflowPunct/>
        <w:topLinePunct w:val="0"/>
        <w:autoSpaceDE w:val="0"/>
        <w:autoSpaceDN w:val="0"/>
        <w:bidi w:val="0"/>
        <w:adjustRightInd w:val="0"/>
        <w:snapToGrid w:val="0"/>
        <w:spacing w:before="30" w:line="240" w:lineRule="auto"/>
        <w:ind w:left="25" w:right="130" w:firstLine="41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2.本表所指的控股关系仅限于直接控股关系，不包括间接的控股</w:t>
      </w:r>
      <w:r>
        <w:rPr>
          <w:rFonts w:hint="eastAsia" w:ascii="宋体" w:hAnsi="宋体" w:eastAsia="宋体" w:cs="宋体"/>
          <w:color w:val="auto"/>
          <w:spacing w:val="1"/>
          <w:sz w:val="22"/>
          <w:szCs w:val="22"/>
          <w:highlight w:val="none"/>
        </w:rPr>
        <w:t>关系。公司实际控制人与公司之间</w:t>
      </w:r>
      <w:r>
        <w:rPr>
          <w:rFonts w:hint="eastAsia" w:ascii="宋体" w:hAnsi="宋体" w:eastAsia="宋体" w:cs="宋体"/>
          <w:color w:val="auto"/>
          <w:spacing w:val="-2"/>
          <w:sz w:val="22"/>
          <w:szCs w:val="22"/>
          <w:highlight w:val="none"/>
        </w:rPr>
        <w:t>的关系不属于本表所指的直接控股关系。</w:t>
      </w:r>
    </w:p>
    <w:p w14:paraId="17D8B1B8">
      <w:pPr>
        <w:keepNext w:val="0"/>
        <w:keepLines w:val="0"/>
        <w:pageBreakBefore w:val="0"/>
        <w:widowControl/>
        <w:kinsoku w:val="0"/>
        <w:wordWrap/>
        <w:overflowPunct/>
        <w:topLinePunct w:val="0"/>
        <w:autoSpaceDE w:val="0"/>
        <w:autoSpaceDN w:val="0"/>
        <w:bidi w:val="0"/>
        <w:adjustRightInd w:val="0"/>
        <w:snapToGrid w:val="0"/>
        <w:spacing w:before="31" w:line="240" w:lineRule="auto"/>
        <w:ind w:left="449"/>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3.供应商不存在直接控股股东的，则填“无</w:t>
      </w:r>
      <w:r>
        <w:rPr>
          <w:rFonts w:hint="eastAsia" w:ascii="宋体" w:hAnsi="宋体" w:eastAsia="宋体" w:cs="宋体"/>
          <w:color w:val="auto"/>
          <w:spacing w:val="-69"/>
          <w:sz w:val="22"/>
          <w:szCs w:val="22"/>
          <w:highlight w:val="none"/>
        </w:rPr>
        <w:t xml:space="preserve"> </w:t>
      </w:r>
      <w:r>
        <w:rPr>
          <w:rFonts w:hint="eastAsia" w:ascii="宋体" w:hAnsi="宋体" w:eastAsia="宋体" w:cs="宋体"/>
          <w:color w:val="auto"/>
          <w:spacing w:val="-1"/>
          <w:sz w:val="22"/>
          <w:szCs w:val="22"/>
          <w:highlight w:val="none"/>
        </w:rPr>
        <w:t>”。</w:t>
      </w:r>
    </w:p>
    <w:p w14:paraId="05B610D0">
      <w:pPr>
        <w:spacing w:before="220" w:line="220" w:lineRule="auto"/>
        <w:ind w:left="6739"/>
        <w:jc w:val="right"/>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供应商名称(电子签章 )：</w:t>
      </w:r>
    </w:p>
    <w:p w14:paraId="6224C266">
      <w:pPr>
        <w:wordWrap w:val="0"/>
        <w:spacing w:before="73" w:line="221" w:lineRule="auto"/>
        <w:ind w:left="6777"/>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12"/>
          <w:sz w:val="22"/>
          <w:szCs w:val="22"/>
          <w:highlight w:val="none"/>
        </w:rPr>
        <w:t>日期：</w:t>
      </w:r>
      <w:r>
        <w:rPr>
          <w:rFonts w:hint="eastAsia" w:ascii="宋体" w:hAnsi="宋体" w:eastAsia="宋体" w:cs="宋体"/>
          <w:color w:val="auto"/>
          <w:spacing w:val="43"/>
          <w:sz w:val="22"/>
          <w:szCs w:val="22"/>
          <w:highlight w:val="none"/>
        </w:rPr>
        <w:t xml:space="preserve">  </w:t>
      </w:r>
      <w:r>
        <w:rPr>
          <w:rFonts w:hint="eastAsia" w:ascii="宋体" w:hAnsi="宋体" w:eastAsia="宋体" w:cs="宋体"/>
          <w:color w:val="auto"/>
          <w:spacing w:val="-12"/>
          <w:sz w:val="22"/>
          <w:szCs w:val="22"/>
          <w:highlight w:val="none"/>
        </w:rPr>
        <w:t>年  月</w:t>
      </w:r>
      <w:r>
        <w:rPr>
          <w:rFonts w:hint="eastAsia" w:ascii="宋体" w:hAnsi="宋体" w:eastAsia="宋体" w:cs="宋体"/>
          <w:color w:val="auto"/>
          <w:spacing w:val="-12"/>
          <w:sz w:val="22"/>
          <w:szCs w:val="22"/>
          <w:highlight w:val="none"/>
          <w:lang w:val="en-US" w:eastAsia="zh-CN"/>
        </w:rPr>
        <w:t xml:space="preserve">  日</w:t>
      </w:r>
    </w:p>
    <w:p w14:paraId="64A68DDE">
      <w:pPr>
        <w:spacing w:before="18" w:line="220" w:lineRule="auto"/>
        <w:ind w:left="684"/>
        <w:rPr>
          <w:rFonts w:hint="eastAsia" w:ascii="宋体" w:hAnsi="宋体" w:eastAsia="宋体" w:cs="宋体"/>
          <w:color w:val="auto"/>
          <w:sz w:val="22"/>
          <w:szCs w:val="22"/>
          <w:highlight w:val="none"/>
        </w:rPr>
      </w:pPr>
      <w:r>
        <w:rPr>
          <w:rFonts w:hint="eastAsia" w:ascii="宋体" w:hAnsi="宋体" w:eastAsia="宋体" w:cs="宋体"/>
          <w:b/>
          <w:bCs/>
          <w:color w:val="auto"/>
          <w:spacing w:val="-5"/>
          <w:sz w:val="22"/>
          <w:szCs w:val="22"/>
          <w:highlight w:val="none"/>
        </w:rPr>
        <w:t>附表</w:t>
      </w:r>
      <w:r>
        <w:rPr>
          <w:rFonts w:hint="eastAsia" w:ascii="宋体" w:hAnsi="宋体" w:eastAsia="宋体" w:cs="宋体"/>
          <w:color w:val="auto"/>
          <w:spacing w:val="-48"/>
          <w:sz w:val="22"/>
          <w:szCs w:val="22"/>
          <w:highlight w:val="none"/>
        </w:rPr>
        <w:t xml:space="preserve"> </w:t>
      </w:r>
      <w:r>
        <w:rPr>
          <w:rFonts w:hint="eastAsia" w:ascii="宋体" w:hAnsi="宋体" w:eastAsia="宋体" w:cs="宋体"/>
          <w:b/>
          <w:bCs/>
          <w:color w:val="auto"/>
          <w:spacing w:val="-5"/>
          <w:sz w:val="22"/>
          <w:szCs w:val="22"/>
          <w:highlight w:val="none"/>
        </w:rPr>
        <w:t>2</w:t>
      </w:r>
      <w:r>
        <w:rPr>
          <w:rFonts w:hint="eastAsia" w:ascii="宋体" w:hAnsi="宋体" w:eastAsia="宋体" w:cs="宋体"/>
          <w:b/>
          <w:bCs/>
          <w:color w:val="auto"/>
          <w:spacing w:val="-31"/>
          <w:sz w:val="22"/>
          <w:szCs w:val="22"/>
          <w:highlight w:val="none"/>
        </w:rPr>
        <w:t xml:space="preserve"> </w:t>
      </w:r>
      <w:r>
        <w:rPr>
          <w:rFonts w:hint="eastAsia" w:ascii="宋体" w:hAnsi="宋体" w:eastAsia="宋体" w:cs="宋体"/>
          <w:b/>
          <w:bCs/>
          <w:color w:val="auto"/>
          <w:spacing w:val="-5"/>
          <w:sz w:val="22"/>
          <w:szCs w:val="22"/>
          <w:highlight w:val="none"/>
        </w:rPr>
        <w:t>、供应商直接管理关系信息表</w:t>
      </w:r>
    </w:p>
    <w:p w14:paraId="0105FB53">
      <w:pPr>
        <w:spacing w:line="190" w:lineRule="exact"/>
        <w:rPr>
          <w:rFonts w:hint="eastAsia" w:ascii="宋体" w:hAnsi="宋体" w:eastAsia="宋体" w:cs="宋体"/>
          <w:color w:val="auto"/>
          <w:highlight w:val="none"/>
        </w:rPr>
      </w:pPr>
    </w:p>
    <w:tbl>
      <w:tblPr>
        <w:tblStyle w:val="17"/>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3594"/>
        <w:gridCol w:w="3551"/>
        <w:gridCol w:w="1705"/>
      </w:tblGrid>
      <w:tr w14:paraId="2526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6" w:type="dxa"/>
            <w:vAlign w:val="top"/>
          </w:tcPr>
          <w:p w14:paraId="00BBD591">
            <w:pPr>
              <w:pStyle w:val="18"/>
              <w:spacing w:before="137" w:line="222" w:lineRule="auto"/>
              <w:ind w:left="181"/>
              <w:rPr>
                <w:rFonts w:hint="eastAsia" w:ascii="宋体" w:hAnsi="宋体" w:eastAsia="宋体" w:cs="宋体"/>
                <w:color w:val="auto"/>
                <w:highlight w:val="none"/>
              </w:rPr>
            </w:pPr>
            <w:r>
              <w:rPr>
                <w:rFonts w:hint="eastAsia" w:ascii="宋体" w:hAnsi="宋体" w:eastAsia="宋体" w:cs="宋体"/>
                <w:color w:val="auto"/>
                <w:spacing w:val="-4"/>
                <w:highlight w:val="none"/>
              </w:rPr>
              <w:t>序号</w:t>
            </w:r>
          </w:p>
        </w:tc>
        <w:tc>
          <w:tcPr>
            <w:tcW w:w="3594" w:type="dxa"/>
            <w:vAlign w:val="top"/>
          </w:tcPr>
          <w:p w14:paraId="090B252B">
            <w:pPr>
              <w:pStyle w:val="18"/>
              <w:spacing w:before="137" w:line="221" w:lineRule="auto"/>
              <w:ind w:left="611"/>
              <w:rPr>
                <w:rFonts w:hint="eastAsia" w:ascii="宋体" w:hAnsi="宋体" w:eastAsia="宋体" w:cs="宋体"/>
                <w:color w:val="auto"/>
                <w:highlight w:val="none"/>
              </w:rPr>
            </w:pPr>
            <w:r>
              <w:rPr>
                <w:rFonts w:hint="eastAsia" w:ascii="宋体" w:hAnsi="宋体" w:eastAsia="宋体" w:cs="宋体"/>
                <w:color w:val="auto"/>
                <w:spacing w:val="-3"/>
                <w:highlight w:val="none"/>
              </w:rPr>
              <w:t>直接管理关系单位名称</w:t>
            </w:r>
          </w:p>
        </w:tc>
        <w:tc>
          <w:tcPr>
            <w:tcW w:w="3551" w:type="dxa"/>
            <w:vAlign w:val="top"/>
          </w:tcPr>
          <w:p w14:paraId="02C8097A">
            <w:pPr>
              <w:pStyle w:val="18"/>
              <w:spacing w:before="137" w:line="220" w:lineRule="auto"/>
              <w:ind w:left="841"/>
              <w:rPr>
                <w:rFonts w:hint="eastAsia" w:ascii="宋体" w:hAnsi="宋体" w:eastAsia="宋体" w:cs="宋体"/>
                <w:color w:val="auto"/>
                <w:highlight w:val="none"/>
              </w:rPr>
            </w:pPr>
            <w:r>
              <w:rPr>
                <w:rFonts w:hint="eastAsia" w:ascii="宋体" w:hAnsi="宋体" w:eastAsia="宋体" w:cs="宋体"/>
                <w:color w:val="auto"/>
                <w:spacing w:val="-5"/>
                <w:highlight w:val="none"/>
              </w:rPr>
              <w:t>统一社会信用代码</w:t>
            </w:r>
          </w:p>
        </w:tc>
        <w:tc>
          <w:tcPr>
            <w:tcW w:w="1705" w:type="dxa"/>
            <w:vAlign w:val="top"/>
          </w:tcPr>
          <w:p w14:paraId="466C5B4E">
            <w:pPr>
              <w:pStyle w:val="18"/>
              <w:spacing w:before="137" w:line="222" w:lineRule="auto"/>
              <w:ind w:left="635"/>
              <w:rPr>
                <w:rFonts w:hint="eastAsia" w:ascii="宋体" w:hAnsi="宋体" w:eastAsia="宋体" w:cs="宋体"/>
                <w:color w:val="auto"/>
                <w:highlight w:val="none"/>
              </w:rPr>
            </w:pPr>
            <w:r>
              <w:rPr>
                <w:rFonts w:hint="eastAsia" w:ascii="宋体" w:hAnsi="宋体" w:eastAsia="宋体" w:cs="宋体"/>
                <w:color w:val="auto"/>
                <w:spacing w:val="-6"/>
                <w:highlight w:val="none"/>
              </w:rPr>
              <w:t>备注</w:t>
            </w:r>
          </w:p>
        </w:tc>
      </w:tr>
      <w:tr w14:paraId="61660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6" w:type="dxa"/>
            <w:vAlign w:val="top"/>
          </w:tcPr>
          <w:p w14:paraId="2FA1F07F">
            <w:pPr>
              <w:pStyle w:val="18"/>
              <w:spacing w:before="173" w:line="184" w:lineRule="auto"/>
              <w:ind w:left="397"/>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94" w:type="dxa"/>
            <w:vAlign w:val="top"/>
          </w:tcPr>
          <w:p w14:paraId="2947F671">
            <w:pPr>
              <w:rPr>
                <w:rFonts w:hint="eastAsia" w:ascii="宋体" w:hAnsi="宋体" w:eastAsia="宋体" w:cs="宋体"/>
                <w:color w:val="auto"/>
                <w:sz w:val="21"/>
                <w:highlight w:val="none"/>
              </w:rPr>
            </w:pPr>
          </w:p>
        </w:tc>
        <w:tc>
          <w:tcPr>
            <w:tcW w:w="3551" w:type="dxa"/>
            <w:vAlign w:val="top"/>
          </w:tcPr>
          <w:p w14:paraId="7548B7B5">
            <w:pPr>
              <w:rPr>
                <w:rFonts w:hint="eastAsia" w:ascii="宋体" w:hAnsi="宋体" w:eastAsia="宋体" w:cs="宋体"/>
                <w:color w:val="auto"/>
                <w:sz w:val="21"/>
                <w:highlight w:val="none"/>
              </w:rPr>
            </w:pPr>
          </w:p>
        </w:tc>
        <w:tc>
          <w:tcPr>
            <w:tcW w:w="1705" w:type="dxa"/>
            <w:vAlign w:val="top"/>
          </w:tcPr>
          <w:p w14:paraId="10BF13EE">
            <w:pPr>
              <w:rPr>
                <w:rFonts w:hint="eastAsia" w:ascii="宋体" w:hAnsi="宋体" w:eastAsia="宋体" w:cs="宋体"/>
                <w:color w:val="auto"/>
                <w:sz w:val="21"/>
                <w:highlight w:val="none"/>
              </w:rPr>
            </w:pPr>
          </w:p>
        </w:tc>
      </w:tr>
      <w:tr w14:paraId="29C95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6" w:type="dxa"/>
            <w:vAlign w:val="top"/>
          </w:tcPr>
          <w:p w14:paraId="22DBE85C">
            <w:pPr>
              <w:pStyle w:val="18"/>
              <w:spacing w:before="175" w:line="184" w:lineRule="auto"/>
              <w:ind w:left="367"/>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94" w:type="dxa"/>
            <w:vAlign w:val="top"/>
          </w:tcPr>
          <w:p w14:paraId="7F81FC79">
            <w:pPr>
              <w:rPr>
                <w:rFonts w:hint="eastAsia" w:ascii="宋体" w:hAnsi="宋体" w:eastAsia="宋体" w:cs="宋体"/>
                <w:color w:val="auto"/>
                <w:sz w:val="21"/>
                <w:highlight w:val="none"/>
              </w:rPr>
            </w:pPr>
          </w:p>
        </w:tc>
        <w:tc>
          <w:tcPr>
            <w:tcW w:w="3551" w:type="dxa"/>
            <w:vAlign w:val="top"/>
          </w:tcPr>
          <w:p w14:paraId="0CF94B52">
            <w:pPr>
              <w:rPr>
                <w:rFonts w:hint="eastAsia" w:ascii="宋体" w:hAnsi="宋体" w:eastAsia="宋体" w:cs="宋体"/>
                <w:color w:val="auto"/>
                <w:sz w:val="21"/>
                <w:highlight w:val="none"/>
              </w:rPr>
            </w:pPr>
          </w:p>
        </w:tc>
        <w:tc>
          <w:tcPr>
            <w:tcW w:w="1705" w:type="dxa"/>
            <w:vAlign w:val="top"/>
          </w:tcPr>
          <w:p w14:paraId="7ABBDFC6">
            <w:pPr>
              <w:rPr>
                <w:rFonts w:hint="eastAsia" w:ascii="宋体" w:hAnsi="宋体" w:eastAsia="宋体" w:cs="宋体"/>
                <w:color w:val="auto"/>
                <w:sz w:val="21"/>
                <w:highlight w:val="none"/>
              </w:rPr>
            </w:pPr>
          </w:p>
        </w:tc>
      </w:tr>
      <w:tr w14:paraId="463F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6" w:type="dxa"/>
            <w:vAlign w:val="top"/>
          </w:tcPr>
          <w:p w14:paraId="16140006">
            <w:pPr>
              <w:pStyle w:val="18"/>
              <w:spacing w:before="174" w:line="184" w:lineRule="auto"/>
              <w:ind w:left="371"/>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594" w:type="dxa"/>
            <w:vAlign w:val="top"/>
          </w:tcPr>
          <w:p w14:paraId="6E9AA73C">
            <w:pPr>
              <w:rPr>
                <w:rFonts w:hint="eastAsia" w:ascii="宋体" w:hAnsi="宋体" w:eastAsia="宋体" w:cs="宋体"/>
                <w:color w:val="auto"/>
                <w:sz w:val="21"/>
                <w:highlight w:val="none"/>
              </w:rPr>
            </w:pPr>
          </w:p>
        </w:tc>
        <w:tc>
          <w:tcPr>
            <w:tcW w:w="3551" w:type="dxa"/>
            <w:vAlign w:val="top"/>
          </w:tcPr>
          <w:p w14:paraId="0B5DC727">
            <w:pPr>
              <w:rPr>
                <w:rFonts w:hint="eastAsia" w:ascii="宋体" w:hAnsi="宋体" w:eastAsia="宋体" w:cs="宋体"/>
                <w:color w:val="auto"/>
                <w:sz w:val="21"/>
                <w:highlight w:val="none"/>
              </w:rPr>
            </w:pPr>
          </w:p>
        </w:tc>
        <w:tc>
          <w:tcPr>
            <w:tcW w:w="1705" w:type="dxa"/>
            <w:vAlign w:val="top"/>
          </w:tcPr>
          <w:p w14:paraId="66EF95D8">
            <w:pPr>
              <w:rPr>
                <w:rFonts w:hint="eastAsia" w:ascii="宋体" w:hAnsi="宋体" w:eastAsia="宋体" w:cs="宋体"/>
                <w:color w:val="auto"/>
                <w:sz w:val="21"/>
                <w:highlight w:val="none"/>
              </w:rPr>
            </w:pPr>
          </w:p>
        </w:tc>
      </w:tr>
      <w:tr w14:paraId="0D43B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6" w:type="dxa"/>
            <w:vAlign w:val="top"/>
          </w:tcPr>
          <w:p w14:paraId="61A63D30">
            <w:pPr>
              <w:pStyle w:val="18"/>
              <w:spacing w:before="209" w:line="228" w:lineRule="auto"/>
              <w:ind w:left="210"/>
              <w:rPr>
                <w:rFonts w:hint="eastAsia" w:ascii="宋体" w:hAnsi="宋体" w:eastAsia="宋体" w:cs="宋体"/>
                <w:color w:val="auto"/>
                <w:highlight w:val="none"/>
              </w:rPr>
            </w:pPr>
            <w:r>
              <w:rPr>
                <w:rFonts w:hint="eastAsia" w:ascii="宋体" w:hAnsi="宋体" w:eastAsia="宋体" w:cs="宋体"/>
                <w:color w:val="auto"/>
                <w:spacing w:val="-11"/>
                <w:highlight w:val="none"/>
              </w:rPr>
              <w:t>……</w:t>
            </w:r>
          </w:p>
        </w:tc>
        <w:tc>
          <w:tcPr>
            <w:tcW w:w="3594" w:type="dxa"/>
            <w:vAlign w:val="top"/>
          </w:tcPr>
          <w:p w14:paraId="65484DD7">
            <w:pPr>
              <w:rPr>
                <w:rFonts w:hint="eastAsia" w:ascii="宋体" w:hAnsi="宋体" w:eastAsia="宋体" w:cs="宋体"/>
                <w:color w:val="auto"/>
                <w:sz w:val="21"/>
                <w:highlight w:val="none"/>
              </w:rPr>
            </w:pPr>
          </w:p>
        </w:tc>
        <w:tc>
          <w:tcPr>
            <w:tcW w:w="3551" w:type="dxa"/>
            <w:vAlign w:val="top"/>
          </w:tcPr>
          <w:p w14:paraId="76E30611">
            <w:pPr>
              <w:rPr>
                <w:rFonts w:hint="eastAsia" w:ascii="宋体" w:hAnsi="宋体" w:eastAsia="宋体" w:cs="宋体"/>
                <w:color w:val="auto"/>
                <w:sz w:val="21"/>
                <w:highlight w:val="none"/>
              </w:rPr>
            </w:pPr>
          </w:p>
        </w:tc>
        <w:tc>
          <w:tcPr>
            <w:tcW w:w="1705" w:type="dxa"/>
            <w:vAlign w:val="top"/>
          </w:tcPr>
          <w:p w14:paraId="087678CA">
            <w:pPr>
              <w:rPr>
                <w:rFonts w:hint="eastAsia" w:ascii="宋体" w:hAnsi="宋体" w:eastAsia="宋体" w:cs="宋体"/>
                <w:color w:val="auto"/>
                <w:sz w:val="21"/>
                <w:highlight w:val="none"/>
              </w:rPr>
            </w:pPr>
          </w:p>
        </w:tc>
      </w:tr>
    </w:tbl>
    <w:p w14:paraId="7BAA90A0">
      <w:pPr>
        <w:spacing w:before="32" w:line="240" w:lineRule="auto"/>
        <w:ind w:left="868"/>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注：</w:t>
      </w:r>
    </w:p>
    <w:p w14:paraId="31916928">
      <w:pPr>
        <w:spacing w:before="282" w:line="240" w:lineRule="auto"/>
        <w:ind w:left="430" w:right="130" w:firstLine="45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1.管理关系：是指不具有出资持股关系的其他单位之间存在的管理与被管理关系，如</w:t>
      </w:r>
      <w:r>
        <w:rPr>
          <w:rFonts w:hint="eastAsia" w:ascii="宋体" w:hAnsi="宋体" w:eastAsia="宋体" w:cs="宋体"/>
          <w:color w:val="auto"/>
          <w:spacing w:val="-3"/>
          <w:sz w:val="22"/>
          <w:szCs w:val="22"/>
          <w:highlight w:val="none"/>
        </w:rPr>
        <w:t>一些上下级</w:t>
      </w:r>
      <w:r>
        <w:rPr>
          <w:rFonts w:hint="eastAsia" w:ascii="宋体" w:hAnsi="宋体" w:eastAsia="宋体" w:cs="宋体"/>
          <w:color w:val="auto"/>
          <w:spacing w:val="-1"/>
          <w:sz w:val="22"/>
          <w:szCs w:val="22"/>
          <w:highlight w:val="none"/>
        </w:rPr>
        <w:t>关系的事业单位和团体组织。</w:t>
      </w:r>
    </w:p>
    <w:p w14:paraId="3862B76D">
      <w:pPr>
        <w:spacing w:before="152" w:line="240" w:lineRule="auto"/>
        <w:ind w:left="87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 xml:space="preserve">2.本表所指的管理关系仅限于直接管理关系，不包括间接的管理关系。 </w:t>
      </w:r>
      <w:r>
        <w:rPr>
          <w:rFonts w:hint="eastAsia" w:ascii="宋体" w:hAnsi="宋体" w:eastAsia="宋体" w:cs="宋体"/>
          <w:color w:val="auto"/>
          <w:sz w:val="22"/>
          <w:szCs w:val="22"/>
          <w:highlight w:val="none"/>
        </w:rPr>
        <w:t>3.供应商不存在直接管</w:t>
      </w:r>
      <w:r>
        <w:rPr>
          <w:rFonts w:hint="eastAsia" w:ascii="宋体" w:hAnsi="宋体" w:eastAsia="宋体" w:cs="宋体"/>
          <w:color w:val="auto"/>
          <w:spacing w:val="1"/>
          <w:sz w:val="22"/>
          <w:szCs w:val="22"/>
          <w:highlight w:val="none"/>
        </w:rPr>
        <w:t>理关系的，则填“无”。</w:t>
      </w:r>
    </w:p>
    <w:p w14:paraId="26F575A6">
      <w:pPr>
        <w:spacing w:before="73" w:line="215" w:lineRule="auto"/>
        <w:ind w:firstLine="5236" w:firstLineChars="2200"/>
        <w:rPr>
          <w:rFonts w:hint="eastAsia" w:ascii="宋体" w:hAnsi="宋体" w:eastAsia="宋体" w:cs="宋体"/>
          <w:color w:val="auto"/>
          <w:spacing w:val="-1"/>
          <w:sz w:val="24"/>
          <w:szCs w:val="24"/>
          <w:highlight w:val="none"/>
        </w:rPr>
      </w:pPr>
    </w:p>
    <w:p w14:paraId="5C406F3D">
      <w:pPr>
        <w:spacing w:before="73" w:line="215" w:lineRule="auto"/>
        <w:ind w:firstLine="5236" w:firstLineChars="2200"/>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供应商名称(电子签章)：</w:t>
      </w:r>
    </w:p>
    <w:p w14:paraId="25EA3453">
      <w:pPr>
        <w:spacing w:before="73" w:line="215" w:lineRule="auto"/>
        <w:ind w:firstLine="5474" w:firstLineChars="2300"/>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日 期：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月   日</w:t>
      </w:r>
    </w:p>
    <w:p w14:paraId="2383522E">
      <w:pPr>
        <w:pStyle w:val="4"/>
        <w:spacing w:line="253" w:lineRule="auto"/>
        <w:rPr>
          <w:rFonts w:hint="eastAsia" w:ascii="宋体" w:hAnsi="宋体" w:eastAsia="宋体" w:cs="宋体"/>
          <w:color w:val="auto"/>
          <w:highlight w:val="none"/>
        </w:rPr>
      </w:pPr>
    </w:p>
    <w:p w14:paraId="6D97E0A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71CD7A">
      <w:pPr>
        <w:spacing w:before="72" w:line="221" w:lineRule="auto"/>
        <w:ind w:left="8"/>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9、资格声明函（格式</w:t>
      </w:r>
      <w:r>
        <w:rPr>
          <w:rFonts w:hint="eastAsia" w:ascii="宋体" w:hAnsi="宋体" w:eastAsia="宋体" w:cs="宋体"/>
          <w:b/>
          <w:bCs/>
          <w:color w:val="auto"/>
          <w:spacing w:val="-1"/>
          <w:sz w:val="22"/>
          <w:szCs w:val="22"/>
          <w:highlight w:val="none"/>
        </w:rPr>
        <w:t>）；</w:t>
      </w:r>
    </w:p>
    <w:p w14:paraId="37F2C5F1">
      <w:pPr>
        <w:spacing w:before="31" w:line="221" w:lineRule="auto"/>
        <w:ind w:left="4687"/>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资格声明函</w:t>
      </w:r>
    </w:p>
    <w:p w14:paraId="1D97E203">
      <w:pPr>
        <w:spacing w:line="221" w:lineRule="auto"/>
        <w:rPr>
          <w:rFonts w:hint="eastAsia" w:ascii="宋体" w:hAnsi="宋体" w:eastAsia="宋体" w:cs="宋体"/>
          <w:color w:val="auto"/>
          <w:sz w:val="28"/>
          <w:szCs w:val="28"/>
          <w:highlight w:val="none"/>
        </w:rPr>
      </w:pPr>
    </w:p>
    <w:p w14:paraId="4050E78D">
      <w:pPr>
        <w:spacing w:before="72" w:line="220" w:lineRule="auto"/>
        <w:ind w:left="10"/>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致</w:t>
      </w:r>
      <w:r>
        <w:rPr>
          <w:rFonts w:hint="eastAsia" w:ascii="宋体" w:hAnsi="宋体" w:eastAsia="宋体" w:cs="宋体"/>
          <w:color w:val="auto"/>
          <w:spacing w:val="-39"/>
          <w:sz w:val="22"/>
          <w:szCs w:val="22"/>
          <w:highlight w:val="none"/>
        </w:rPr>
        <w:t xml:space="preserve"> </w:t>
      </w:r>
      <w:r>
        <w:rPr>
          <w:rFonts w:hint="eastAsia" w:ascii="宋体" w:hAnsi="宋体" w:eastAsia="宋体" w:cs="宋体"/>
          <w:color w:val="auto"/>
          <w:spacing w:val="-24"/>
          <w:sz w:val="22"/>
          <w:szCs w:val="22"/>
          <w:highlight w:val="none"/>
        </w:rPr>
        <w:t>：</w:t>
      </w:r>
      <w:r>
        <w:rPr>
          <w:rFonts w:hint="eastAsia" w:ascii="宋体" w:hAnsi="宋体" w:eastAsia="宋体" w:cs="宋体"/>
          <w:color w:val="auto"/>
          <w:spacing w:val="-24"/>
          <w:sz w:val="22"/>
          <w:szCs w:val="22"/>
          <w:highlight w:val="none"/>
          <w:u w:val="single" w:color="auto"/>
        </w:rPr>
        <w:t>（</w:t>
      </w:r>
      <w:r>
        <w:rPr>
          <w:rFonts w:hint="eastAsia" w:ascii="宋体" w:hAnsi="宋体" w:eastAsia="宋体" w:cs="宋体"/>
          <w:color w:val="auto"/>
          <w:spacing w:val="-7"/>
          <w:sz w:val="22"/>
          <w:szCs w:val="22"/>
          <w:highlight w:val="none"/>
          <w:u w:val="single" w:color="auto"/>
        </w:rPr>
        <w:t>采购人）</w:t>
      </w:r>
      <w:r>
        <w:rPr>
          <w:rFonts w:hint="eastAsia" w:ascii="宋体" w:hAnsi="宋体" w:eastAsia="宋体" w:cs="宋体"/>
          <w:color w:val="auto"/>
          <w:sz w:val="22"/>
          <w:szCs w:val="22"/>
          <w:highlight w:val="none"/>
          <w:u w:val="single" w:color="auto"/>
        </w:rPr>
        <w:t xml:space="preserve">   </w:t>
      </w:r>
    </w:p>
    <w:p w14:paraId="0A8C7E02">
      <w:pPr>
        <w:tabs>
          <w:tab w:val="left" w:pos="627"/>
        </w:tabs>
        <w:spacing w:before="78" w:line="220" w:lineRule="auto"/>
        <w:ind w:left="462"/>
        <w:rPr>
          <w:rFonts w:hint="eastAsia" w:ascii="宋体" w:hAnsi="宋体" w:eastAsia="宋体" w:cs="宋体"/>
          <w:color w:val="auto"/>
          <w:spacing w:val="-9"/>
          <w:sz w:val="22"/>
          <w:szCs w:val="22"/>
          <w:highlight w:val="none"/>
          <w:u w:val="single" w:color="auto"/>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8"/>
          <w:sz w:val="22"/>
          <w:szCs w:val="22"/>
          <w:highlight w:val="none"/>
          <w:u w:val="single" w:color="auto"/>
        </w:rPr>
        <w:t>(</w:t>
      </w:r>
      <w:r>
        <w:rPr>
          <w:rFonts w:hint="eastAsia" w:ascii="宋体" w:hAnsi="宋体" w:eastAsia="宋体" w:cs="宋体"/>
          <w:color w:val="auto"/>
          <w:spacing w:val="-37"/>
          <w:sz w:val="22"/>
          <w:szCs w:val="22"/>
          <w:highlight w:val="none"/>
          <w:u w:val="single" w:color="auto"/>
        </w:rPr>
        <w:t xml:space="preserve"> </w:t>
      </w:r>
      <w:r>
        <w:rPr>
          <w:rFonts w:hint="eastAsia" w:ascii="宋体" w:hAnsi="宋体" w:eastAsia="宋体" w:cs="宋体"/>
          <w:color w:val="auto"/>
          <w:spacing w:val="-8"/>
          <w:sz w:val="22"/>
          <w:szCs w:val="22"/>
          <w:highlight w:val="none"/>
          <w:u w:val="single" w:color="auto"/>
        </w:rPr>
        <w:t>供</w:t>
      </w:r>
      <w:r>
        <w:rPr>
          <w:rFonts w:hint="eastAsia" w:ascii="宋体" w:hAnsi="宋体" w:eastAsia="宋体" w:cs="宋体"/>
          <w:color w:val="auto"/>
          <w:spacing w:val="-51"/>
          <w:sz w:val="22"/>
          <w:szCs w:val="22"/>
          <w:highlight w:val="none"/>
          <w:u w:val="single" w:color="auto"/>
        </w:rPr>
        <w:t xml:space="preserve"> </w:t>
      </w:r>
      <w:r>
        <w:rPr>
          <w:rFonts w:hint="eastAsia" w:ascii="宋体" w:hAnsi="宋体" w:eastAsia="宋体" w:cs="宋体"/>
          <w:color w:val="auto"/>
          <w:spacing w:val="-8"/>
          <w:sz w:val="22"/>
          <w:szCs w:val="22"/>
          <w:highlight w:val="none"/>
          <w:u w:val="single" w:color="auto"/>
        </w:rPr>
        <w:t>应</w:t>
      </w:r>
      <w:r>
        <w:rPr>
          <w:rFonts w:hint="eastAsia" w:ascii="宋体" w:hAnsi="宋体" w:eastAsia="宋体" w:cs="宋体"/>
          <w:color w:val="auto"/>
          <w:spacing w:val="-49"/>
          <w:sz w:val="22"/>
          <w:szCs w:val="22"/>
          <w:highlight w:val="none"/>
          <w:u w:val="single" w:color="auto"/>
        </w:rPr>
        <w:t xml:space="preserve"> </w:t>
      </w:r>
      <w:r>
        <w:rPr>
          <w:rFonts w:hint="eastAsia" w:ascii="宋体" w:hAnsi="宋体" w:eastAsia="宋体" w:cs="宋体"/>
          <w:color w:val="auto"/>
          <w:spacing w:val="-8"/>
          <w:sz w:val="22"/>
          <w:szCs w:val="22"/>
          <w:highlight w:val="none"/>
          <w:u w:val="single" w:color="auto"/>
        </w:rPr>
        <w:t>商</w:t>
      </w:r>
      <w:r>
        <w:rPr>
          <w:rFonts w:hint="eastAsia" w:ascii="宋体" w:hAnsi="宋体" w:eastAsia="宋体" w:cs="宋体"/>
          <w:color w:val="auto"/>
          <w:spacing w:val="-49"/>
          <w:sz w:val="22"/>
          <w:szCs w:val="22"/>
          <w:highlight w:val="none"/>
          <w:u w:val="single" w:color="auto"/>
        </w:rPr>
        <w:t xml:space="preserve"> </w:t>
      </w:r>
      <w:r>
        <w:rPr>
          <w:rFonts w:hint="eastAsia" w:ascii="宋体" w:hAnsi="宋体" w:eastAsia="宋体" w:cs="宋体"/>
          <w:color w:val="auto"/>
          <w:spacing w:val="-8"/>
          <w:sz w:val="22"/>
          <w:szCs w:val="22"/>
          <w:highlight w:val="none"/>
          <w:u w:val="single" w:color="auto"/>
        </w:rPr>
        <w:t>名称</w:t>
      </w:r>
      <w:r>
        <w:rPr>
          <w:rFonts w:hint="eastAsia" w:ascii="宋体" w:hAnsi="宋体" w:eastAsia="宋体" w:cs="宋体"/>
          <w:color w:val="auto"/>
          <w:spacing w:val="-50"/>
          <w:sz w:val="22"/>
          <w:szCs w:val="22"/>
          <w:highlight w:val="none"/>
          <w:u w:val="single" w:color="auto"/>
        </w:rPr>
        <w:t xml:space="preserve"> </w:t>
      </w:r>
      <w:r>
        <w:rPr>
          <w:rFonts w:hint="eastAsia" w:ascii="宋体" w:hAnsi="宋体" w:eastAsia="宋体" w:cs="宋体"/>
          <w:color w:val="auto"/>
          <w:spacing w:val="-8"/>
          <w:sz w:val="22"/>
          <w:szCs w:val="22"/>
          <w:highlight w:val="none"/>
          <w:u w:val="single" w:color="auto"/>
        </w:rPr>
        <w:t>)</w:t>
      </w:r>
      <w:r>
        <w:rPr>
          <w:rFonts w:hint="eastAsia" w:ascii="宋体" w:hAnsi="宋体" w:eastAsia="宋体" w:cs="宋体"/>
          <w:color w:val="auto"/>
          <w:spacing w:val="-46"/>
          <w:sz w:val="22"/>
          <w:szCs w:val="22"/>
          <w:highlight w:val="none"/>
          <w:u w:val="single" w:color="auto"/>
        </w:rPr>
        <w:t xml:space="preserve"> </w:t>
      </w:r>
      <w:r>
        <w:rPr>
          <w:rFonts w:hint="eastAsia" w:ascii="宋体" w:hAnsi="宋体" w:eastAsia="宋体" w:cs="宋体"/>
          <w:color w:val="auto"/>
          <w:spacing w:val="-8"/>
          <w:sz w:val="22"/>
          <w:szCs w:val="22"/>
          <w:highlight w:val="none"/>
        </w:rPr>
        <w:t>系中华人民共和国合法供应商</w:t>
      </w:r>
      <w:r>
        <w:rPr>
          <w:rFonts w:hint="eastAsia" w:ascii="宋体" w:hAnsi="宋体" w:eastAsia="宋体" w:cs="宋体"/>
          <w:color w:val="auto"/>
          <w:spacing w:val="-9"/>
          <w:sz w:val="22"/>
          <w:szCs w:val="22"/>
          <w:highlight w:val="none"/>
        </w:rPr>
        <w:t>，经营地址</w:t>
      </w:r>
      <w:r>
        <w:rPr>
          <w:rFonts w:hint="eastAsia" w:ascii="宋体" w:hAnsi="宋体" w:eastAsia="宋体" w:cs="宋体"/>
          <w:color w:val="auto"/>
          <w:spacing w:val="-9"/>
          <w:sz w:val="22"/>
          <w:szCs w:val="22"/>
          <w:highlight w:val="none"/>
          <w:lang w:eastAsia="zh-CN"/>
        </w:rPr>
        <w:t>：</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
          <w:sz w:val="22"/>
          <w:szCs w:val="22"/>
          <w:highlight w:val="none"/>
          <w:u w:val="single" w:color="auto"/>
        </w:rPr>
        <w:t>。</w:t>
      </w:r>
    </w:p>
    <w:p w14:paraId="1F4402D1">
      <w:pPr>
        <w:tabs>
          <w:tab w:val="left" w:pos="627"/>
        </w:tabs>
        <w:spacing w:before="78" w:line="220" w:lineRule="auto"/>
        <w:ind w:left="462"/>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我方愿意参加贵方组织的</w:t>
      </w:r>
      <w:r>
        <w:rPr>
          <w:rFonts w:hint="eastAsia" w:ascii="宋体" w:hAnsi="宋体" w:eastAsia="宋体" w:cs="宋体"/>
          <w:color w:val="auto"/>
          <w:spacing w:val="6"/>
          <w:sz w:val="22"/>
          <w:szCs w:val="22"/>
          <w:highlight w:val="none"/>
          <w:u w:val="single" w:color="auto"/>
        </w:rPr>
        <w:t>[项目名称]</w:t>
      </w:r>
      <w:r>
        <w:rPr>
          <w:rFonts w:hint="eastAsia" w:ascii="宋体" w:hAnsi="宋体" w:eastAsia="宋体" w:cs="宋体"/>
          <w:color w:val="auto"/>
          <w:spacing w:val="6"/>
          <w:sz w:val="22"/>
          <w:szCs w:val="22"/>
          <w:highlight w:val="none"/>
        </w:rPr>
        <w:t>项目的投标，为便于贵方公正、择优地确定成交供应商及其</w:t>
      </w:r>
      <w:r>
        <w:rPr>
          <w:rFonts w:hint="eastAsia" w:ascii="宋体" w:hAnsi="宋体" w:eastAsia="宋体" w:cs="宋体"/>
          <w:color w:val="auto"/>
          <w:spacing w:val="-1"/>
          <w:sz w:val="22"/>
          <w:szCs w:val="22"/>
          <w:highlight w:val="none"/>
        </w:rPr>
        <w:t>投标产品和服务，我方就本次投标有关事项郑重声明如下：</w:t>
      </w:r>
    </w:p>
    <w:p w14:paraId="366D7057">
      <w:pPr>
        <w:spacing w:before="25" w:line="221" w:lineRule="auto"/>
        <w:ind w:left="511"/>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1.我方向贵方提交的所有响应文件、资料都是准确的和真实的。</w:t>
      </w:r>
    </w:p>
    <w:p w14:paraId="57444B5F">
      <w:pPr>
        <w:spacing w:before="72" w:line="268" w:lineRule="auto"/>
        <w:ind w:firstLine="492"/>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2.我方不是采购人的附属机构；不是为本次采购项目提供整体设计、规范编制或者项目管理、监理、</w:t>
      </w:r>
      <w:r>
        <w:rPr>
          <w:rFonts w:hint="eastAsia" w:ascii="宋体" w:hAnsi="宋体" w:eastAsia="宋体" w:cs="宋体"/>
          <w:color w:val="auto"/>
          <w:spacing w:val="-11"/>
          <w:sz w:val="22"/>
          <w:szCs w:val="22"/>
          <w:highlight w:val="none"/>
        </w:rPr>
        <w:t>检测等服务的供应商；在获知本项目采购信息后，与采购人聘请的为此</w:t>
      </w:r>
      <w:r>
        <w:rPr>
          <w:rFonts w:hint="eastAsia" w:ascii="宋体" w:hAnsi="宋体" w:eastAsia="宋体" w:cs="宋体"/>
          <w:color w:val="auto"/>
          <w:spacing w:val="-12"/>
          <w:sz w:val="22"/>
          <w:szCs w:val="22"/>
          <w:highlight w:val="none"/>
        </w:rPr>
        <w:t>项目提供咨询服务的公司及其附属机构</w:t>
      </w:r>
      <w:r>
        <w:rPr>
          <w:rFonts w:hint="eastAsia" w:ascii="宋体" w:hAnsi="宋体" w:eastAsia="宋体" w:cs="宋体"/>
          <w:color w:val="auto"/>
          <w:spacing w:val="-2"/>
          <w:sz w:val="22"/>
          <w:szCs w:val="22"/>
          <w:highlight w:val="none"/>
        </w:rPr>
        <w:t>没有任何联系。</w:t>
      </w:r>
    </w:p>
    <w:p w14:paraId="77CF6A4C">
      <w:pPr>
        <w:spacing w:before="7" w:line="220" w:lineRule="auto"/>
        <w:ind w:left="504"/>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3.在此，我方宣布同意如下：</w:t>
      </w:r>
    </w:p>
    <w:p w14:paraId="6C26CC20">
      <w:pPr>
        <w:spacing w:before="77" w:line="220" w:lineRule="auto"/>
        <w:ind w:left="510"/>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(1)将按采购文件的约定履行合同责任和义务；</w:t>
      </w:r>
    </w:p>
    <w:p w14:paraId="6F67AC4B">
      <w:pPr>
        <w:spacing w:before="74" w:line="219" w:lineRule="auto"/>
        <w:ind w:left="51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(2)已详细审查全部采购文件，包括澄清或者更正公告(如有)；</w:t>
      </w:r>
    </w:p>
    <w:p w14:paraId="5AA6D7AD">
      <w:pPr>
        <w:spacing w:before="72" w:line="220" w:lineRule="auto"/>
        <w:ind w:left="51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(3)同意提供按照贵方可能要求的与投标有关的一切数据或者资料；</w:t>
      </w:r>
    </w:p>
    <w:p w14:paraId="6ECF7E0F">
      <w:pPr>
        <w:spacing w:before="76" w:line="220" w:lineRule="auto"/>
        <w:ind w:left="510"/>
        <w:rPr>
          <w:rFonts w:hint="eastAsia" w:ascii="宋体" w:hAnsi="宋体" w:eastAsia="宋体" w:cs="宋体"/>
          <w:color w:val="auto"/>
          <w:sz w:val="22"/>
          <w:szCs w:val="22"/>
          <w:highlight w:val="none"/>
        </w:rPr>
      </w:pPr>
      <w:r>
        <w:rPr>
          <w:rFonts w:hint="eastAsia" w:ascii="宋体" w:hAnsi="宋体" w:eastAsia="宋体" w:cs="宋体"/>
          <w:color w:val="auto"/>
          <w:spacing w:val="20"/>
          <w:sz w:val="22"/>
          <w:szCs w:val="22"/>
          <w:highlight w:val="none"/>
        </w:rPr>
        <w:t>(4)响应采购文件规定的投标有效期。</w:t>
      </w:r>
    </w:p>
    <w:p w14:paraId="3D48B892">
      <w:pPr>
        <w:spacing w:before="97" w:line="257" w:lineRule="auto"/>
        <w:ind w:left="5" w:right="77" w:firstLine="48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4.我方承诺已经具备《中华人民共和国政府采购法》第二十二条中规定的参加政府采购活动的供应商</w:t>
      </w:r>
      <w:r>
        <w:rPr>
          <w:rFonts w:hint="eastAsia" w:ascii="宋体" w:hAnsi="宋体" w:eastAsia="宋体" w:cs="宋体"/>
          <w:color w:val="auto"/>
          <w:spacing w:val="-7"/>
          <w:sz w:val="22"/>
          <w:szCs w:val="22"/>
          <w:highlight w:val="none"/>
        </w:rPr>
        <w:t>应当具备的条件并按本项目响应文件“第二章”“供应商须知前附表”中“资格证明文件组成”完整提供</w:t>
      </w:r>
      <w:r>
        <w:rPr>
          <w:rFonts w:hint="eastAsia" w:ascii="宋体" w:hAnsi="宋体" w:eastAsia="宋体" w:cs="宋体"/>
          <w:color w:val="auto"/>
          <w:spacing w:val="-9"/>
          <w:sz w:val="22"/>
          <w:szCs w:val="22"/>
          <w:highlight w:val="none"/>
        </w:rPr>
        <w:t>证明材料。</w:t>
      </w:r>
    </w:p>
    <w:p w14:paraId="26355880">
      <w:pPr>
        <w:spacing w:before="79" w:line="269" w:lineRule="auto"/>
        <w:ind w:right="70" w:firstLine="497"/>
        <w:jc w:val="both"/>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5.我方在此声明，我方在参加本项目的政府采购活动前三年内，</w:t>
      </w:r>
      <w:r>
        <w:rPr>
          <w:rFonts w:hint="eastAsia" w:ascii="宋体" w:hAnsi="宋体" w:eastAsia="宋体" w:cs="宋体"/>
          <w:color w:val="auto"/>
          <w:spacing w:val="-2"/>
          <w:sz w:val="22"/>
          <w:szCs w:val="22"/>
          <w:highlight w:val="none"/>
        </w:rPr>
        <w:t>在经营活动中没有重大违法记录(重</w:t>
      </w:r>
      <w:r>
        <w:rPr>
          <w:rFonts w:hint="eastAsia" w:ascii="宋体" w:hAnsi="宋体" w:eastAsia="宋体" w:cs="宋体"/>
          <w:color w:val="auto"/>
          <w:spacing w:val="-1"/>
          <w:sz w:val="22"/>
          <w:szCs w:val="22"/>
          <w:highlight w:val="none"/>
        </w:rPr>
        <w:t>大违法记录是指供应商因违法经营受到刑事处罚或者责令停产停业、吊销许可证或者执照、</w:t>
      </w:r>
      <w:r>
        <w:rPr>
          <w:rFonts w:hint="eastAsia" w:ascii="宋体" w:hAnsi="宋体" w:eastAsia="宋体" w:cs="宋体"/>
          <w:color w:val="auto"/>
          <w:spacing w:val="-2"/>
          <w:sz w:val="22"/>
          <w:szCs w:val="22"/>
          <w:highlight w:val="none"/>
        </w:rPr>
        <w:t>较大数额罚</w:t>
      </w:r>
      <w:r>
        <w:rPr>
          <w:rFonts w:hint="eastAsia" w:ascii="宋体" w:hAnsi="宋体" w:eastAsia="宋体" w:cs="宋体"/>
          <w:color w:val="auto"/>
          <w:spacing w:val="-19"/>
          <w:sz w:val="22"/>
          <w:szCs w:val="22"/>
          <w:highlight w:val="none"/>
        </w:rPr>
        <w:t>款等行政处罚)，未被列入失信被执行人重大税收违法案件当事人名单、政府采购严重违法失信行为记录名单，完</w:t>
      </w:r>
      <w:r>
        <w:rPr>
          <w:rFonts w:hint="eastAsia" w:ascii="宋体" w:hAnsi="宋体" w:eastAsia="宋体" w:cs="宋体"/>
          <w:color w:val="auto"/>
          <w:sz w:val="22"/>
          <w:szCs w:val="22"/>
          <w:highlight w:val="none"/>
        </w:rPr>
        <w:t>全符合《中华人民共和国政府采购法》第二十二条规定的供应商资格条件，我方对此声明负全部法律责</w:t>
      </w:r>
      <w:r>
        <w:rPr>
          <w:rFonts w:hint="eastAsia" w:ascii="宋体" w:hAnsi="宋体" w:eastAsia="宋体" w:cs="宋体"/>
          <w:color w:val="auto"/>
          <w:spacing w:val="-4"/>
          <w:sz w:val="22"/>
          <w:szCs w:val="22"/>
          <w:highlight w:val="none"/>
        </w:rPr>
        <w:t>任。</w:t>
      </w:r>
    </w:p>
    <w:p w14:paraId="7B1DDEFC">
      <w:pPr>
        <w:spacing w:before="38" w:line="266" w:lineRule="auto"/>
        <w:ind w:left="4" w:right="73" w:firstLine="490"/>
        <w:jc w:val="both"/>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6.根据《中华人民共和国政府采购法实施条例》第五十条要求对政府采购合同进行公告，但</w:t>
      </w:r>
      <w:r>
        <w:rPr>
          <w:rFonts w:hint="eastAsia" w:ascii="宋体" w:hAnsi="宋体" w:eastAsia="宋体" w:cs="宋体"/>
          <w:color w:val="auto"/>
          <w:spacing w:val="-11"/>
          <w:sz w:val="22"/>
          <w:szCs w:val="22"/>
          <w:highlight w:val="none"/>
        </w:rPr>
        <w:t>政府采购合</w:t>
      </w:r>
      <w:r>
        <w:rPr>
          <w:rFonts w:hint="eastAsia" w:ascii="宋体" w:hAnsi="宋体" w:eastAsia="宋体" w:cs="宋体"/>
          <w:color w:val="auto"/>
          <w:spacing w:val="-6"/>
          <w:sz w:val="22"/>
          <w:szCs w:val="22"/>
          <w:highlight w:val="none"/>
        </w:rPr>
        <w:t>同中涉及国家秘密、商业秘密的内容除外。我方就对本次响应文件进行注明如下：(两项内</w:t>
      </w:r>
      <w:r>
        <w:rPr>
          <w:rFonts w:hint="eastAsia" w:ascii="宋体" w:hAnsi="宋体" w:eastAsia="宋体" w:cs="宋体"/>
          <w:color w:val="auto"/>
          <w:spacing w:val="-7"/>
          <w:sz w:val="22"/>
          <w:szCs w:val="22"/>
          <w:highlight w:val="none"/>
        </w:rPr>
        <w:t>容中必须选择一</w:t>
      </w:r>
      <w:r>
        <w:rPr>
          <w:rFonts w:hint="eastAsia" w:ascii="宋体" w:hAnsi="宋体" w:eastAsia="宋体" w:cs="宋体"/>
          <w:color w:val="auto"/>
          <w:spacing w:val="-1"/>
          <w:sz w:val="22"/>
          <w:szCs w:val="22"/>
          <w:highlight w:val="none"/>
        </w:rPr>
        <w:t>项)</w:t>
      </w:r>
    </w:p>
    <w:p w14:paraId="13557F4F">
      <w:pPr>
        <w:spacing w:before="12" w:line="220" w:lineRule="auto"/>
        <w:ind w:left="532"/>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□我方本次响应文件内容中未涉及商业秘密；</w:t>
      </w:r>
    </w:p>
    <w:p w14:paraId="73B78D17">
      <w:pPr>
        <w:spacing w:before="12" w:line="220" w:lineRule="auto"/>
        <w:ind w:left="532"/>
        <w:rPr>
          <w:rFonts w:hint="eastAsia" w:ascii="宋体" w:hAnsi="宋体" w:eastAsia="宋体" w:cs="宋体"/>
          <w:color w:val="auto"/>
          <w:spacing w:val="-24"/>
          <w:sz w:val="22"/>
          <w:szCs w:val="22"/>
          <w:highlight w:val="none"/>
        </w:rPr>
      </w:pPr>
      <w:r>
        <w:rPr>
          <w:rFonts w:hint="eastAsia" w:ascii="宋体" w:hAnsi="宋体" w:eastAsia="宋体" w:cs="宋体"/>
          <w:color w:val="auto"/>
          <w:spacing w:val="-11"/>
          <w:sz w:val="22"/>
          <w:szCs w:val="22"/>
          <w:highlight w:val="none"/>
        </w:rPr>
        <w:t>□我方本次响应文件涉及商业秘密的内容有</w:t>
      </w:r>
      <w:r>
        <w:rPr>
          <w:rFonts w:hint="eastAsia" w:ascii="宋体" w:hAnsi="宋体" w:eastAsia="宋体" w:cs="宋体"/>
          <w:color w:val="auto"/>
          <w:spacing w:val="-24"/>
          <w:sz w:val="22"/>
          <w:szCs w:val="22"/>
          <w:highlight w:val="none"/>
        </w:rPr>
        <w:t>：</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4"/>
          <w:sz w:val="22"/>
          <w:szCs w:val="22"/>
          <w:highlight w:val="none"/>
        </w:rPr>
        <w:t>；</w:t>
      </w:r>
    </w:p>
    <w:p w14:paraId="1C892A39">
      <w:pPr>
        <w:spacing w:before="12" w:line="220" w:lineRule="auto"/>
        <w:ind w:left="532"/>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6"/>
          <w:sz w:val="22"/>
          <w:szCs w:val="22"/>
          <w:highlight w:val="none"/>
        </w:rPr>
        <w:t>7.与本投标有关的一切正式往来信函请寄：</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color w:val="auto"/>
          <w:spacing w:val="-7"/>
          <w:sz w:val="22"/>
          <w:szCs w:val="22"/>
          <w:highlight w:val="none"/>
          <w:u w:val="single" w:color="auto"/>
        </w:rPr>
        <w:t xml:space="preserve">       </w:t>
      </w:r>
      <w:r>
        <w:rPr>
          <w:rFonts w:hint="eastAsia" w:ascii="宋体" w:hAnsi="宋体" w:eastAsia="宋体" w:cs="宋体"/>
          <w:color w:val="auto"/>
          <w:spacing w:val="-85"/>
          <w:sz w:val="22"/>
          <w:szCs w:val="22"/>
          <w:highlight w:val="none"/>
        </w:rPr>
        <w:t xml:space="preserve"> </w:t>
      </w:r>
      <w:r>
        <w:rPr>
          <w:rFonts w:hint="eastAsia" w:ascii="宋体" w:hAnsi="宋体" w:eastAsia="宋体" w:cs="宋体"/>
          <w:color w:val="auto"/>
          <w:spacing w:val="-7"/>
          <w:sz w:val="22"/>
          <w:szCs w:val="22"/>
          <w:highlight w:val="none"/>
        </w:rPr>
        <w:t>邮政编号：</w:t>
      </w:r>
      <w:r>
        <w:rPr>
          <w:rFonts w:hint="eastAsia" w:ascii="宋体" w:hAnsi="宋体" w:eastAsia="宋体" w:cs="宋体"/>
          <w:color w:val="auto"/>
          <w:spacing w:val="-7"/>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8"/>
          <w:sz w:val="22"/>
          <w:szCs w:val="22"/>
          <w:highlight w:val="none"/>
        </w:rPr>
        <w:t>电话/传真：</w:t>
      </w:r>
      <w:r>
        <w:rPr>
          <w:rFonts w:hint="eastAsia" w:ascii="宋体" w:hAnsi="宋体" w:eastAsia="宋体" w:cs="宋体"/>
          <w:color w:val="auto"/>
          <w:spacing w:val="-8"/>
          <w:sz w:val="22"/>
          <w:szCs w:val="22"/>
          <w:highlight w:val="none"/>
          <w:u w:val="single" w:color="auto"/>
        </w:rPr>
        <w:t xml:space="preserve">          </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8"/>
          <w:sz w:val="22"/>
          <w:szCs w:val="22"/>
          <w:highlight w:val="none"/>
        </w:rPr>
        <w:t>电子函件：</w:t>
      </w:r>
      <w:r>
        <w:rPr>
          <w:rFonts w:hint="eastAsia" w:ascii="宋体" w:hAnsi="宋体" w:eastAsia="宋体" w:cs="宋体"/>
          <w:color w:val="auto"/>
          <w:spacing w:val="-8"/>
          <w:sz w:val="22"/>
          <w:szCs w:val="22"/>
          <w:highlight w:val="none"/>
          <w:u w:val="single"/>
          <w:lang w:val="en-US" w:eastAsia="zh-CN"/>
        </w:rPr>
        <w:t xml:space="preserve">         </w:t>
      </w:r>
    </w:p>
    <w:p w14:paraId="05BE1230">
      <w:pPr>
        <w:spacing w:before="70" w:line="222" w:lineRule="auto"/>
        <w:ind w:left="51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15"/>
          <w:sz w:val="22"/>
          <w:szCs w:val="22"/>
          <w:highlight w:val="none"/>
        </w:rPr>
        <w:t>开户银行：</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2"/>
          <w:sz w:val="22"/>
          <w:szCs w:val="22"/>
          <w:highlight w:val="none"/>
        </w:rPr>
        <w:t xml:space="preserve"> </w:t>
      </w:r>
      <w:r>
        <w:rPr>
          <w:rFonts w:hint="eastAsia" w:ascii="宋体" w:hAnsi="宋体" w:eastAsia="宋体" w:cs="宋体"/>
          <w:color w:val="auto"/>
          <w:spacing w:val="-15"/>
          <w:sz w:val="22"/>
          <w:szCs w:val="22"/>
          <w:highlight w:val="none"/>
        </w:rPr>
        <w:t>帐号：</w:t>
      </w:r>
      <w:r>
        <w:rPr>
          <w:rFonts w:hint="eastAsia" w:ascii="宋体" w:hAnsi="宋体" w:eastAsia="宋体" w:cs="宋体"/>
          <w:color w:val="auto"/>
          <w:spacing w:val="-15"/>
          <w:sz w:val="22"/>
          <w:szCs w:val="22"/>
          <w:highlight w:val="none"/>
          <w:u w:val="single"/>
          <w:lang w:val="en-US" w:eastAsia="zh-CN"/>
        </w:rPr>
        <w:t xml:space="preserve">                </w:t>
      </w:r>
    </w:p>
    <w:p w14:paraId="08D1C6EE">
      <w:pPr>
        <w:spacing w:before="97" w:line="262" w:lineRule="auto"/>
        <w:ind w:left="6" w:right="109" w:firstLine="487"/>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8.以上事项如有虚假或者隐瞒，我方愿意承担一切后果，并不再寻求任何旨在 减轻或者免除法律</w:t>
      </w:r>
      <w:r>
        <w:rPr>
          <w:rFonts w:hint="eastAsia" w:ascii="宋体" w:hAnsi="宋体" w:eastAsia="宋体" w:cs="宋体"/>
          <w:color w:val="auto"/>
          <w:spacing w:val="-3"/>
          <w:sz w:val="22"/>
          <w:szCs w:val="22"/>
          <w:highlight w:val="none"/>
        </w:rPr>
        <w:t>责任的辩解。</w:t>
      </w:r>
    </w:p>
    <w:p w14:paraId="3A01F657">
      <w:pPr>
        <w:spacing w:before="13" w:line="221" w:lineRule="auto"/>
        <w:ind w:left="504"/>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特此承诺。</w:t>
      </w:r>
    </w:p>
    <w:p w14:paraId="6944A239">
      <w:pPr>
        <w:spacing w:before="93" w:line="274" w:lineRule="auto"/>
        <w:ind w:left="5" w:right="106" w:firstLine="48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注：如为联合体投标，盖章处须加盖联合体各方公章并由联合体各方法定代表人签署，否则其响应</w:t>
      </w:r>
      <w:r>
        <w:rPr>
          <w:rFonts w:hint="eastAsia" w:ascii="宋体" w:hAnsi="宋体" w:eastAsia="宋体" w:cs="宋体"/>
          <w:color w:val="auto"/>
          <w:spacing w:val="-5"/>
          <w:sz w:val="22"/>
          <w:szCs w:val="22"/>
          <w:highlight w:val="none"/>
        </w:rPr>
        <w:t>文件按无效响应处理。</w:t>
      </w:r>
    </w:p>
    <w:p w14:paraId="771ABB4B">
      <w:pPr>
        <w:pStyle w:val="4"/>
        <w:spacing w:line="281" w:lineRule="auto"/>
        <w:rPr>
          <w:rFonts w:hint="eastAsia" w:ascii="宋体" w:hAnsi="宋体" w:eastAsia="宋体" w:cs="宋体"/>
          <w:color w:val="auto"/>
          <w:highlight w:val="none"/>
        </w:rPr>
      </w:pPr>
    </w:p>
    <w:p w14:paraId="757860EC">
      <w:pPr>
        <w:spacing w:before="73" w:line="215" w:lineRule="auto"/>
        <w:ind w:firstLine="5236" w:firstLineChars="2200"/>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供应商名称(电子签章)：</w:t>
      </w:r>
    </w:p>
    <w:p w14:paraId="6A39189D">
      <w:pPr>
        <w:spacing w:before="73" w:line="215" w:lineRule="auto"/>
        <w:ind w:firstLine="5474" w:firstLineChars="2300"/>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日 期：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月   日</w:t>
      </w:r>
    </w:p>
    <w:p w14:paraId="48488DB2">
      <w:pPr>
        <w:spacing w:before="72" w:line="236" w:lineRule="auto"/>
        <w:ind w:left="3919" w:right="3750" w:hanging="38"/>
        <w:rPr>
          <w:rFonts w:hint="eastAsia" w:ascii="宋体" w:hAnsi="宋体" w:eastAsia="宋体" w:cs="宋体"/>
          <w:color w:val="auto"/>
          <w:sz w:val="22"/>
          <w:szCs w:val="22"/>
          <w:highlight w:val="none"/>
        </w:rPr>
      </w:pPr>
    </w:p>
    <w:p w14:paraId="61CB8613">
      <w:pPr>
        <w:spacing w:line="221" w:lineRule="auto"/>
        <w:rPr>
          <w:rFonts w:hint="eastAsia" w:ascii="宋体" w:hAnsi="宋体" w:eastAsia="宋体" w:cs="宋体"/>
          <w:color w:val="auto"/>
          <w:sz w:val="28"/>
          <w:szCs w:val="28"/>
          <w:highlight w:val="none"/>
        </w:rPr>
        <w:sectPr>
          <w:pgSz w:w="11906" w:h="16839"/>
          <w:pgMar w:top="1440" w:right="1080" w:bottom="1440" w:left="1080" w:header="0" w:footer="0" w:gutter="0"/>
          <w:pgNumType w:fmt="decimal"/>
          <w:cols w:space="720" w:num="1"/>
        </w:sectPr>
      </w:pPr>
    </w:p>
    <w:p w14:paraId="2D1D987A">
      <w:pPr>
        <w:spacing w:before="72" w:line="220" w:lineRule="auto"/>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10、除采购文件规定必须提供以外，供应商认为需要提</w:t>
      </w:r>
      <w:r>
        <w:rPr>
          <w:rFonts w:hint="eastAsia" w:ascii="宋体" w:hAnsi="宋体" w:eastAsia="宋体" w:cs="宋体"/>
          <w:b/>
          <w:bCs/>
          <w:color w:val="auto"/>
          <w:spacing w:val="-3"/>
          <w:sz w:val="22"/>
          <w:szCs w:val="22"/>
          <w:highlight w:val="none"/>
        </w:rPr>
        <w:t>供的其他证明材料；</w:t>
      </w:r>
    </w:p>
    <w:p w14:paraId="730B41E7">
      <w:pPr>
        <w:rPr>
          <w:rFonts w:hint="eastAsia" w:ascii="宋体" w:hAnsi="宋体" w:eastAsia="宋体" w:cs="宋体"/>
          <w:b/>
          <w:bCs/>
          <w:color w:val="auto"/>
          <w:spacing w:val="-3"/>
          <w:sz w:val="28"/>
          <w:szCs w:val="28"/>
          <w:highlight w:val="none"/>
        </w:rPr>
      </w:pPr>
      <w:bookmarkStart w:id="81" w:name="bookmark59"/>
      <w:bookmarkEnd w:id="81"/>
      <w:r>
        <w:rPr>
          <w:rFonts w:hint="eastAsia" w:ascii="宋体" w:hAnsi="宋体" w:eastAsia="宋体" w:cs="宋体"/>
          <w:b/>
          <w:bCs/>
          <w:color w:val="auto"/>
          <w:spacing w:val="-3"/>
          <w:sz w:val="28"/>
          <w:szCs w:val="28"/>
          <w:highlight w:val="none"/>
        </w:rPr>
        <w:br w:type="page"/>
      </w:r>
    </w:p>
    <w:p w14:paraId="43DB189B">
      <w:pPr>
        <w:spacing w:before="91" w:line="221" w:lineRule="auto"/>
        <w:ind w:left="7"/>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第三节：商务技术文件格式</w:t>
      </w:r>
    </w:p>
    <w:p w14:paraId="10397627">
      <w:pPr>
        <w:spacing w:before="125" w:line="221" w:lineRule="auto"/>
        <w:ind w:left="3895"/>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商务技术文件目录</w:t>
      </w:r>
    </w:p>
    <w:p w14:paraId="24D2D13D">
      <w:pPr>
        <w:pStyle w:val="4"/>
        <w:spacing w:line="245" w:lineRule="auto"/>
        <w:rPr>
          <w:rFonts w:hint="eastAsia" w:ascii="宋体" w:hAnsi="宋体" w:eastAsia="宋体" w:cs="宋体"/>
          <w:color w:val="auto"/>
          <w:highlight w:val="none"/>
        </w:rPr>
      </w:pPr>
    </w:p>
    <w:p w14:paraId="0779D755">
      <w:pPr>
        <w:pStyle w:val="4"/>
        <w:spacing w:line="246" w:lineRule="auto"/>
        <w:rPr>
          <w:rFonts w:hint="eastAsia" w:ascii="宋体" w:hAnsi="宋体" w:eastAsia="宋体" w:cs="宋体"/>
          <w:color w:val="auto"/>
          <w:highlight w:val="none"/>
        </w:rPr>
      </w:pPr>
    </w:p>
    <w:p w14:paraId="13AD9985">
      <w:pPr>
        <w:spacing w:before="78" w:line="333" w:lineRule="exact"/>
        <w:ind w:left="24"/>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1、无串标行为承诺函…………………………</w:t>
      </w:r>
      <w:r>
        <w:rPr>
          <w:rFonts w:hint="eastAsia" w:ascii="宋体" w:hAnsi="宋体" w:eastAsia="宋体" w:cs="宋体"/>
          <w:color w:val="auto"/>
          <w:spacing w:val="-2"/>
          <w:position w:val="3"/>
          <w:sz w:val="24"/>
          <w:szCs w:val="24"/>
          <w:highlight w:val="none"/>
        </w:rPr>
        <w:t>………………………………………(页码)</w:t>
      </w:r>
    </w:p>
    <w:p w14:paraId="08D015D2">
      <w:pPr>
        <w:spacing w:before="288" w:line="333" w:lineRule="exact"/>
        <w:ind w:left="1"/>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2、法定代表人身份证明及法定代表人有效身份证正反面复印件…………………(页码)</w:t>
      </w:r>
    </w:p>
    <w:p w14:paraId="040E7684">
      <w:pPr>
        <w:spacing w:before="291" w:line="333"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3、法定代表人授权委托书 (如有委托时)  …………………………………………(页码)</w:t>
      </w:r>
    </w:p>
    <w:p w14:paraId="1114EB3D">
      <w:pPr>
        <w:spacing w:before="288" w:line="334" w:lineRule="exact"/>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4、采购需求偏离表………………………………………………………………………(页码)</w:t>
      </w:r>
    </w:p>
    <w:p w14:paraId="3F167D35">
      <w:pPr>
        <w:spacing w:before="290" w:line="334" w:lineRule="exact"/>
        <w:ind w:left="7"/>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5、供应商情况介绍………………………………………………………………………(页</w:t>
      </w:r>
      <w:r>
        <w:rPr>
          <w:rFonts w:hint="eastAsia" w:ascii="宋体" w:hAnsi="宋体" w:eastAsia="宋体" w:cs="宋体"/>
          <w:color w:val="auto"/>
          <w:spacing w:val="-2"/>
          <w:position w:val="3"/>
          <w:sz w:val="24"/>
          <w:szCs w:val="24"/>
          <w:highlight w:val="none"/>
        </w:rPr>
        <w:t>码)</w:t>
      </w:r>
    </w:p>
    <w:p w14:paraId="01CA0521">
      <w:pPr>
        <w:spacing w:before="288" w:line="333" w:lineRule="exact"/>
        <w:ind w:left="6"/>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6、供应商类似业绩的证明文件 (如有）………………………………………………(页码)</w:t>
      </w:r>
    </w:p>
    <w:p w14:paraId="10FA763C">
      <w:pPr>
        <w:spacing w:before="288" w:line="334"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7、项目</w:t>
      </w:r>
      <w:r>
        <w:rPr>
          <w:rFonts w:hint="eastAsia" w:ascii="宋体" w:hAnsi="宋体" w:eastAsia="宋体" w:cs="宋体"/>
          <w:color w:val="auto"/>
          <w:spacing w:val="-1"/>
          <w:position w:val="3"/>
          <w:sz w:val="24"/>
          <w:szCs w:val="24"/>
          <w:highlight w:val="none"/>
          <w:lang w:val="en-US" w:eastAsia="zh-CN"/>
        </w:rPr>
        <w:t>团队</w:t>
      </w:r>
      <w:r>
        <w:rPr>
          <w:rFonts w:hint="eastAsia" w:ascii="宋体" w:hAnsi="宋体" w:eastAsia="宋体" w:cs="宋体"/>
          <w:color w:val="auto"/>
          <w:spacing w:val="-1"/>
          <w:position w:val="3"/>
          <w:sz w:val="24"/>
          <w:szCs w:val="24"/>
          <w:highlight w:val="none"/>
        </w:rPr>
        <w:t>人员一览表…………………………………………………………………(页码)</w:t>
      </w:r>
    </w:p>
    <w:p w14:paraId="73A63D1D">
      <w:pPr>
        <w:spacing w:before="290" w:line="334" w:lineRule="exact"/>
        <w:ind w:left="10"/>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8、技术方案………………………………………………………………………</w:t>
      </w:r>
      <w:r>
        <w:rPr>
          <w:rFonts w:hint="eastAsia" w:ascii="宋体" w:hAnsi="宋体" w:eastAsia="宋体" w:cs="宋体"/>
          <w:color w:val="auto"/>
          <w:spacing w:val="-2"/>
          <w:position w:val="3"/>
          <w:sz w:val="24"/>
          <w:szCs w:val="24"/>
          <w:highlight w:val="none"/>
        </w:rPr>
        <w:t>… (页码)</w:t>
      </w:r>
    </w:p>
    <w:p w14:paraId="14F1FEEF">
      <w:pPr>
        <w:spacing w:before="288" w:line="333" w:lineRule="exact"/>
        <w:jc w:val="both"/>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9、除采购文件规定必须提供以外，供应商认为需要提供的其他证明材料 …………(页码)</w:t>
      </w:r>
    </w:p>
    <w:p w14:paraId="340A9BF8">
      <w:pPr>
        <w:pStyle w:val="4"/>
        <w:spacing w:line="270" w:lineRule="auto"/>
        <w:rPr>
          <w:rFonts w:hint="eastAsia" w:ascii="宋体" w:hAnsi="宋体" w:eastAsia="宋体" w:cs="宋体"/>
          <w:color w:val="auto"/>
          <w:highlight w:val="none"/>
        </w:rPr>
      </w:pPr>
    </w:p>
    <w:p w14:paraId="4E3FA181">
      <w:pPr>
        <w:spacing w:before="78" w:line="199" w:lineRule="auto"/>
        <w:ind w:left="4"/>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0"/>
          <w:szCs w:val="20"/>
          <w:highlight w:val="none"/>
        </w:rPr>
        <w:t>注：</w:t>
      </w:r>
      <w:r>
        <w:rPr>
          <w:rFonts w:hint="eastAsia" w:ascii="宋体" w:hAnsi="宋体" w:eastAsia="宋体" w:cs="宋体"/>
          <w:color w:val="auto"/>
          <w:spacing w:val="47"/>
          <w:sz w:val="20"/>
          <w:szCs w:val="20"/>
          <w:highlight w:val="none"/>
        </w:rPr>
        <w:t xml:space="preserve"> </w:t>
      </w:r>
      <w:r>
        <w:rPr>
          <w:rFonts w:hint="eastAsia" w:ascii="宋体" w:hAnsi="宋体" w:eastAsia="宋体" w:cs="宋体"/>
          <w:b/>
          <w:bCs/>
          <w:color w:val="auto"/>
          <w:spacing w:val="7"/>
          <w:sz w:val="20"/>
          <w:szCs w:val="20"/>
          <w:highlight w:val="none"/>
        </w:rPr>
        <w:t>以上目录是基本格式要求，各供应商可根据自身情况进一步向下增加内容或细化</w:t>
      </w:r>
      <w:r>
        <w:rPr>
          <w:rFonts w:hint="eastAsia" w:ascii="宋体" w:hAnsi="宋体" w:eastAsia="宋体" w:cs="宋体"/>
          <w:b/>
          <w:bCs/>
          <w:color w:val="auto"/>
          <w:spacing w:val="7"/>
          <w:sz w:val="24"/>
          <w:szCs w:val="24"/>
          <w:highlight w:val="none"/>
        </w:rPr>
        <w:t>。</w:t>
      </w:r>
    </w:p>
    <w:p w14:paraId="78A87F9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1E1395">
      <w:pPr>
        <w:spacing w:before="78" w:line="220" w:lineRule="auto"/>
        <w:ind w:left="1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1、无串标行为承诺函（格式）</w:t>
      </w:r>
    </w:p>
    <w:p w14:paraId="71F9EDE8">
      <w:pPr>
        <w:spacing w:before="304" w:line="220" w:lineRule="auto"/>
        <w:ind w:left="4046"/>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无串标行为承诺函</w:t>
      </w:r>
    </w:p>
    <w:p w14:paraId="065A4F5F">
      <w:pPr>
        <w:pStyle w:val="4"/>
        <w:spacing w:line="295" w:lineRule="auto"/>
        <w:rPr>
          <w:rFonts w:hint="eastAsia" w:ascii="宋体" w:hAnsi="宋体" w:eastAsia="宋体" w:cs="宋体"/>
          <w:color w:val="auto"/>
          <w:highlight w:val="none"/>
        </w:rPr>
      </w:pPr>
    </w:p>
    <w:p w14:paraId="681DC1C2">
      <w:pPr>
        <w:spacing w:before="72" w:line="221" w:lineRule="auto"/>
        <w:ind w:left="44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一、我方承诺无下列相互串通投标的情形：</w:t>
      </w:r>
    </w:p>
    <w:p w14:paraId="14F37982">
      <w:pPr>
        <w:spacing w:before="239" w:line="405" w:lineRule="auto"/>
        <w:ind w:right="51" w:firstLine="45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1.不同供应商的响应文件由同一单位或者个人编制；或者不同供应商报名的IP地址一致的；或者编</w:t>
      </w:r>
      <w:r>
        <w:rPr>
          <w:rFonts w:hint="eastAsia" w:ascii="宋体" w:hAnsi="宋体" w:eastAsia="宋体" w:cs="宋体"/>
          <w:color w:val="auto"/>
          <w:sz w:val="22"/>
          <w:szCs w:val="22"/>
          <w:highlight w:val="none"/>
        </w:rPr>
        <w:t>制响应文件硬件设备CPU编号、硬盘编号</w:t>
      </w:r>
      <w:r>
        <w:rPr>
          <w:rFonts w:hint="eastAsia" w:ascii="宋体" w:hAnsi="宋体" w:eastAsia="宋体" w:cs="宋体"/>
          <w:color w:val="auto"/>
          <w:spacing w:val="-1"/>
          <w:sz w:val="22"/>
          <w:szCs w:val="22"/>
          <w:highlight w:val="none"/>
        </w:rPr>
        <w:t>、网卡地址一致的情况</w:t>
      </w:r>
    </w:p>
    <w:p w14:paraId="3AA44316">
      <w:pPr>
        <w:spacing w:before="32" w:line="220" w:lineRule="auto"/>
        <w:ind w:left="44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2.不同供应商委托同一单位或者个人办理投标事宜；</w:t>
      </w:r>
    </w:p>
    <w:p w14:paraId="672BB328">
      <w:pPr>
        <w:spacing w:before="239" w:line="220" w:lineRule="auto"/>
        <w:ind w:left="443"/>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3.不同的供应商的响应文件载明的项目管理员为同一个人；</w:t>
      </w:r>
    </w:p>
    <w:p w14:paraId="5E65E4B8">
      <w:pPr>
        <w:spacing w:before="239" w:line="220" w:lineRule="auto"/>
        <w:ind w:left="443"/>
        <w:rPr>
          <w:rFonts w:hint="eastAsia" w:ascii="宋体" w:hAnsi="宋体" w:eastAsia="宋体" w:cs="宋体"/>
          <w:color w:val="auto"/>
          <w:spacing w:val="-3"/>
          <w:sz w:val="22"/>
          <w:szCs w:val="22"/>
          <w:highlight w:val="none"/>
        </w:rPr>
      </w:pPr>
      <w:r>
        <w:rPr>
          <w:rFonts w:hint="eastAsia" w:ascii="宋体" w:hAnsi="宋体" w:eastAsia="宋体" w:cs="宋体"/>
          <w:color w:val="auto"/>
          <w:spacing w:val="-2"/>
          <w:sz w:val="22"/>
          <w:szCs w:val="22"/>
          <w:highlight w:val="none"/>
        </w:rPr>
        <w:t>4.不同供应商的响应文件异常一致或者投标报价呈规律</w:t>
      </w:r>
      <w:r>
        <w:rPr>
          <w:rFonts w:hint="eastAsia" w:ascii="宋体" w:hAnsi="宋体" w:eastAsia="宋体" w:cs="宋体"/>
          <w:color w:val="auto"/>
          <w:spacing w:val="-3"/>
          <w:sz w:val="22"/>
          <w:szCs w:val="22"/>
          <w:highlight w:val="none"/>
        </w:rPr>
        <w:t>性差异；</w:t>
      </w:r>
    </w:p>
    <w:p w14:paraId="0E31E08B">
      <w:pPr>
        <w:spacing w:before="239" w:line="405" w:lineRule="auto"/>
        <w:ind w:right="51" w:firstLine="454"/>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5.不同供应商的响应文件相互混装；</w:t>
      </w:r>
    </w:p>
    <w:p w14:paraId="3A6EA05D">
      <w:pPr>
        <w:spacing w:before="239" w:line="405" w:lineRule="auto"/>
        <w:ind w:right="51" w:firstLine="454"/>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6.不同供应商的投标保证金从同一单位或者个人账户转出。</w:t>
      </w:r>
    </w:p>
    <w:p w14:paraId="6A9C3D25">
      <w:pPr>
        <w:spacing w:before="237" w:line="221" w:lineRule="auto"/>
        <w:ind w:left="442"/>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二、我方承诺无下列恶意串通的情形：</w:t>
      </w:r>
    </w:p>
    <w:p w14:paraId="424078B7">
      <w:pPr>
        <w:spacing w:before="237" w:line="221" w:lineRule="auto"/>
        <w:ind w:left="442"/>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1.供应商直接或者间接从采购人或者采购代理机构处获得其他供应商的相关信息并修改其响应文件；</w:t>
      </w:r>
    </w:p>
    <w:p w14:paraId="029DF30E">
      <w:pPr>
        <w:spacing w:before="239" w:line="220" w:lineRule="auto"/>
        <w:ind w:left="44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2.供应商按照采购人或者采购代理机构的授</w:t>
      </w:r>
      <w:r>
        <w:rPr>
          <w:rFonts w:hint="eastAsia" w:ascii="宋体" w:hAnsi="宋体" w:eastAsia="宋体" w:cs="宋体"/>
          <w:color w:val="auto"/>
          <w:spacing w:val="-1"/>
          <w:sz w:val="22"/>
          <w:szCs w:val="22"/>
          <w:highlight w:val="none"/>
        </w:rPr>
        <w:t>意撤换、修改响应文件；</w:t>
      </w:r>
    </w:p>
    <w:p w14:paraId="49FF451E">
      <w:pPr>
        <w:spacing w:before="238" w:line="219" w:lineRule="auto"/>
        <w:ind w:left="443"/>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3.供应商之间协商报价、技术方案等响应文件的实质性内容；</w:t>
      </w:r>
    </w:p>
    <w:p w14:paraId="3D0CCBE5">
      <w:pPr>
        <w:spacing w:before="238" w:line="220" w:lineRule="auto"/>
        <w:ind w:left="4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4.属于同一集团、协会、商会等组织成员的供应商按照该组织要求协同参</w:t>
      </w:r>
      <w:r>
        <w:rPr>
          <w:rFonts w:hint="eastAsia" w:ascii="宋体" w:hAnsi="宋体" w:eastAsia="宋体" w:cs="宋体"/>
          <w:color w:val="auto"/>
          <w:spacing w:val="-1"/>
          <w:sz w:val="22"/>
          <w:szCs w:val="22"/>
          <w:highlight w:val="none"/>
        </w:rPr>
        <w:t>加政府采购活动；</w:t>
      </w:r>
    </w:p>
    <w:p w14:paraId="4482C624">
      <w:pPr>
        <w:spacing w:before="239" w:line="404" w:lineRule="auto"/>
        <w:ind w:right="51" w:firstLine="4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5.供应商之间事先约定一致抬高或者压低投标报价,或者在招标项目中事先约定轮流以</w:t>
      </w:r>
      <w:r>
        <w:rPr>
          <w:rFonts w:hint="eastAsia" w:ascii="宋体" w:hAnsi="宋体" w:eastAsia="宋体" w:cs="宋体"/>
          <w:color w:val="auto"/>
          <w:spacing w:val="-1"/>
          <w:sz w:val="22"/>
          <w:szCs w:val="22"/>
          <w:highlight w:val="none"/>
        </w:rPr>
        <w:t>高价位或者低</w:t>
      </w:r>
      <w:r>
        <w:rPr>
          <w:rFonts w:hint="eastAsia" w:ascii="宋体" w:hAnsi="宋体" w:eastAsia="宋体" w:cs="宋体"/>
          <w:color w:val="auto"/>
          <w:sz w:val="22"/>
          <w:szCs w:val="22"/>
          <w:highlight w:val="none"/>
        </w:rPr>
        <w:t>价位成交,或者事先约定由某一特定供应商成</w:t>
      </w:r>
      <w:r>
        <w:rPr>
          <w:rFonts w:hint="eastAsia" w:ascii="宋体" w:hAnsi="宋体" w:eastAsia="宋体" w:cs="宋体"/>
          <w:color w:val="auto"/>
          <w:spacing w:val="-1"/>
          <w:sz w:val="22"/>
          <w:szCs w:val="22"/>
          <w:highlight w:val="none"/>
        </w:rPr>
        <w:t>交,然后再参加投标；</w:t>
      </w:r>
    </w:p>
    <w:p w14:paraId="3CE83E9B">
      <w:pPr>
        <w:spacing w:before="36" w:line="220" w:lineRule="auto"/>
        <w:ind w:left="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6.供应商之间商定部分供应商放弃参加政府采</w:t>
      </w:r>
      <w:r>
        <w:rPr>
          <w:rFonts w:hint="eastAsia" w:ascii="宋体" w:hAnsi="宋体" w:eastAsia="宋体" w:cs="宋体"/>
          <w:color w:val="auto"/>
          <w:spacing w:val="-1"/>
          <w:sz w:val="22"/>
          <w:szCs w:val="22"/>
          <w:highlight w:val="none"/>
        </w:rPr>
        <w:t>购活动或者放弃成交；</w:t>
      </w:r>
    </w:p>
    <w:p w14:paraId="37040E10">
      <w:pPr>
        <w:spacing w:before="239" w:line="405" w:lineRule="auto"/>
        <w:ind w:right="51" w:firstLine="44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7.供应商与采购人或者采购代理机构之间、供应商相互之间，为谋求特定供应商成</w:t>
      </w:r>
      <w:r>
        <w:rPr>
          <w:rFonts w:hint="eastAsia" w:ascii="宋体" w:hAnsi="宋体" w:eastAsia="宋体" w:cs="宋体"/>
          <w:color w:val="auto"/>
          <w:spacing w:val="-1"/>
          <w:sz w:val="22"/>
          <w:szCs w:val="22"/>
          <w:highlight w:val="none"/>
        </w:rPr>
        <w:t>交或者排斥其他供应商的其他串通行为。</w:t>
      </w:r>
    </w:p>
    <w:p w14:paraId="787B6E60">
      <w:pPr>
        <w:pStyle w:val="4"/>
        <w:spacing w:line="461" w:lineRule="auto"/>
        <w:rPr>
          <w:rFonts w:hint="eastAsia" w:ascii="宋体" w:hAnsi="宋体" w:eastAsia="宋体" w:cs="宋体"/>
          <w:color w:val="auto"/>
          <w:highlight w:val="none"/>
        </w:rPr>
      </w:pPr>
    </w:p>
    <w:p w14:paraId="4657E70A">
      <w:pPr>
        <w:spacing w:before="71" w:line="405" w:lineRule="auto"/>
        <w:ind w:left="3" w:right="51" w:firstLine="46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以上情形一经核查属实，我方愿意承担一切后果，接受政府采购监管部门对我方认定存在围标串标</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
          <w:sz w:val="22"/>
          <w:szCs w:val="22"/>
          <w:highlight w:val="none"/>
        </w:rPr>
        <w:t>行为，并不再寻求任何旨在减轻或者免除法律责任的辩解。</w:t>
      </w:r>
    </w:p>
    <w:p w14:paraId="282D2A05">
      <w:pPr>
        <w:pStyle w:val="4"/>
        <w:spacing w:line="250" w:lineRule="auto"/>
        <w:rPr>
          <w:rFonts w:hint="eastAsia" w:ascii="宋体" w:hAnsi="宋体" w:eastAsia="宋体" w:cs="宋体"/>
          <w:color w:val="auto"/>
          <w:highlight w:val="none"/>
        </w:rPr>
      </w:pPr>
    </w:p>
    <w:p w14:paraId="14AB263F">
      <w:pPr>
        <w:spacing w:before="73" w:line="215" w:lineRule="auto"/>
        <w:ind w:firstLine="5236" w:firstLineChars="2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供应商名称(电子签章)：</w:t>
      </w:r>
    </w:p>
    <w:p w14:paraId="74D8F047">
      <w:pPr>
        <w:spacing w:before="73" w:line="215" w:lineRule="auto"/>
        <w:ind w:firstLine="5474" w:firstLineChars="23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日 期：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月   日</w:t>
      </w:r>
    </w:p>
    <w:p w14:paraId="1A54AFF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695FEE">
      <w:pPr>
        <w:spacing w:before="78" w:line="219" w:lineRule="auto"/>
        <w:ind w:left="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2、身份证明书</w:t>
      </w:r>
    </w:p>
    <w:p w14:paraId="5E273E16">
      <w:pPr>
        <w:spacing w:before="185" w:line="219" w:lineRule="auto"/>
        <w:ind w:left="499"/>
        <w:rPr>
          <w:rFonts w:hint="eastAsia" w:ascii="宋体" w:hAnsi="宋体" w:eastAsia="宋体" w:cs="宋体"/>
          <w:color w:val="auto"/>
          <w:sz w:val="24"/>
          <w:szCs w:val="24"/>
          <w:highlight w:val="none"/>
        </w:rPr>
      </w:pPr>
      <w:r>
        <w:rPr>
          <w:rFonts w:hint="eastAsia" w:ascii="宋体" w:hAnsi="宋体" w:eastAsia="宋体" w:cs="宋体"/>
          <w:b/>
          <w:bCs/>
          <w:color w:val="auto"/>
          <w:spacing w:val="-17"/>
          <w:sz w:val="24"/>
          <w:szCs w:val="24"/>
          <w:highlight w:val="none"/>
        </w:rPr>
        <w:t>附表</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17"/>
          <w:sz w:val="24"/>
          <w:szCs w:val="24"/>
          <w:highlight w:val="none"/>
        </w:rPr>
        <w:t>1：</w:t>
      </w:r>
    </w:p>
    <w:p w14:paraId="02FE55EA">
      <w:pPr>
        <w:spacing w:before="214" w:line="219" w:lineRule="auto"/>
        <w:ind w:left="368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身份证明书（供应商为法人）</w:t>
      </w:r>
    </w:p>
    <w:p w14:paraId="11724067">
      <w:pPr>
        <w:spacing w:before="232" w:line="222" w:lineRule="auto"/>
        <w:ind w:left="440"/>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单位名称：</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p>
    <w:p w14:paraId="3377E0D4">
      <w:pPr>
        <w:spacing w:before="235" w:line="405" w:lineRule="auto"/>
        <w:ind w:left="439"/>
        <w:rPr>
          <w:rFonts w:hint="eastAsia" w:ascii="宋体" w:hAnsi="宋体" w:eastAsia="宋体" w:cs="宋体"/>
          <w:color w:val="auto"/>
          <w:sz w:val="22"/>
          <w:szCs w:val="22"/>
          <w:highlight w:val="none"/>
        </w:rPr>
      </w:pPr>
      <w:r>
        <w:rPr>
          <w:rFonts w:hint="eastAsia" w:ascii="宋体" w:hAnsi="宋体" w:eastAsia="宋体" w:cs="宋体"/>
          <w:color w:val="auto"/>
          <w:spacing w:val="-16"/>
          <w:sz w:val="22"/>
          <w:szCs w:val="22"/>
          <w:highlight w:val="none"/>
        </w:rPr>
        <w:t>地</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16"/>
          <w:sz w:val="22"/>
          <w:szCs w:val="22"/>
          <w:highlight w:val="none"/>
        </w:rPr>
        <w:t>址</w:t>
      </w:r>
      <w:r>
        <w:rPr>
          <w:rFonts w:hint="eastAsia" w:ascii="宋体" w:hAnsi="宋体" w:eastAsia="宋体" w:cs="宋体"/>
          <w:color w:val="auto"/>
          <w:spacing w:val="-81"/>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4"/>
          <w:sz w:val="22"/>
          <w:szCs w:val="22"/>
          <w:highlight w:val="none"/>
        </w:rPr>
        <w:t>姓    名：</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83"/>
          <w:sz w:val="22"/>
          <w:szCs w:val="22"/>
          <w:highlight w:val="none"/>
        </w:rPr>
        <w:t xml:space="preserve"> </w:t>
      </w:r>
      <w:r>
        <w:rPr>
          <w:rFonts w:hint="eastAsia" w:ascii="宋体" w:hAnsi="宋体" w:eastAsia="宋体" w:cs="宋体"/>
          <w:color w:val="auto"/>
          <w:spacing w:val="-4"/>
          <w:sz w:val="22"/>
          <w:szCs w:val="22"/>
          <w:highlight w:val="none"/>
        </w:rPr>
        <w:t>性别：</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4"/>
          <w:sz w:val="22"/>
          <w:szCs w:val="22"/>
          <w:highlight w:val="none"/>
        </w:rPr>
        <w:t>年龄：</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00"/>
          <w:sz w:val="22"/>
          <w:szCs w:val="22"/>
          <w:highlight w:val="none"/>
        </w:rPr>
        <w:t xml:space="preserve"> </w:t>
      </w:r>
      <w:r>
        <w:rPr>
          <w:rFonts w:hint="eastAsia" w:ascii="宋体" w:hAnsi="宋体" w:eastAsia="宋体" w:cs="宋体"/>
          <w:color w:val="auto"/>
          <w:spacing w:val="-4"/>
          <w:sz w:val="22"/>
          <w:szCs w:val="22"/>
          <w:highlight w:val="none"/>
        </w:rPr>
        <w:t>职务：</w:t>
      </w:r>
      <w:r>
        <w:rPr>
          <w:rFonts w:hint="eastAsia" w:ascii="宋体" w:hAnsi="宋体" w:eastAsia="宋体" w:cs="宋体"/>
          <w:color w:val="auto"/>
          <w:spacing w:val="-4"/>
          <w:sz w:val="22"/>
          <w:szCs w:val="22"/>
          <w:highlight w:val="none"/>
          <w:u w:val="single" w:color="auto"/>
        </w:rPr>
        <w:t xml:space="preserve">                   </w:t>
      </w:r>
    </w:p>
    <w:p w14:paraId="5912D5A2">
      <w:pPr>
        <w:spacing w:before="36" w:line="405" w:lineRule="auto"/>
        <w:ind w:left="443" w:firstLine="1"/>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身份证号码：</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83"/>
          <w:sz w:val="22"/>
          <w:szCs w:val="22"/>
          <w:highlight w:val="none"/>
        </w:rPr>
        <w:t xml:space="preserve"> </w:t>
      </w:r>
      <w:r>
        <w:rPr>
          <w:rFonts w:hint="eastAsia" w:ascii="宋体" w:hAnsi="宋体" w:eastAsia="宋体" w:cs="宋体"/>
          <w:color w:val="auto"/>
          <w:sz w:val="22"/>
          <w:szCs w:val="22"/>
          <w:highlight w:val="none"/>
        </w:rPr>
        <w:t>的法定代表人，为</w:t>
      </w:r>
      <w:r>
        <w:rPr>
          <w:rFonts w:hint="eastAsia" w:ascii="宋体" w:hAnsi="宋体" w:eastAsia="宋体" w:cs="宋体"/>
          <w:color w:val="auto"/>
          <w:spacing w:val="-1"/>
          <w:sz w:val="22"/>
          <w:szCs w:val="22"/>
          <w:highlight w:val="none"/>
        </w:rPr>
        <w:t>具有参加</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（项目名称）的投标、签署上述响</w:t>
      </w:r>
    </w:p>
    <w:p w14:paraId="70DF330A">
      <w:pPr>
        <w:spacing w:before="33" w:line="407" w:lineRule="auto"/>
        <w:ind w:left="439" w:right="2568" w:hanging="439"/>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应文件、进行合同谈判、签署合同和处理与之有关的一切事务</w:t>
      </w:r>
      <w:r>
        <w:rPr>
          <w:rFonts w:hint="eastAsia" w:ascii="宋体" w:hAnsi="宋体" w:eastAsia="宋体" w:cs="宋体"/>
          <w:color w:val="auto"/>
          <w:spacing w:val="-2"/>
          <w:sz w:val="22"/>
          <w:szCs w:val="22"/>
          <w:highlight w:val="none"/>
        </w:rPr>
        <w:t>权利的供应商。</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特此证明。</w:t>
      </w:r>
    </w:p>
    <w:p w14:paraId="5E5DBE14">
      <w:pPr>
        <w:pStyle w:val="4"/>
        <w:spacing w:line="455" w:lineRule="auto"/>
        <w:rPr>
          <w:rFonts w:hint="eastAsia" w:ascii="宋体" w:hAnsi="宋体" w:eastAsia="宋体" w:cs="宋体"/>
          <w:color w:val="auto"/>
          <w:highlight w:val="none"/>
        </w:rPr>
      </w:pPr>
    </w:p>
    <w:p w14:paraId="62C1E85F">
      <w:pPr>
        <w:spacing w:before="72" w:line="220" w:lineRule="auto"/>
        <w:ind w:left="456"/>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附：法定代表人身份证正反面彩色扫描件。</w:t>
      </w:r>
    </w:p>
    <w:p w14:paraId="355D5272">
      <w:pPr>
        <w:pStyle w:val="4"/>
        <w:spacing w:line="289" w:lineRule="auto"/>
        <w:rPr>
          <w:rFonts w:hint="eastAsia" w:ascii="宋体" w:hAnsi="宋体" w:eastAsia="宋体" w:cs="宋体"/>
          <w:color w:val="auto"/>
          <w:highlight w:val="none"/>
        </w:rPr>
      </w:pPr>
    </w:p>
    <w:p w14:paraId="3D6B99BA">
      <w:pPr>
        <w:pStyle w:val="4"/>
        <w:spacing w:line="290" w:lineRule="auto"/>
        <w:rPr>
          <w:rFonts w:hint="eastAsia" w:ascii="宋体" w:hAnsi="宋体" w:eastAsia="宋体" w:cs="宋体"/>
          <w:color w:val="auto"/>
          <w:highlight w:val="none"/>
        </w:rPr>
      </w:pPr>
    </w:p>
    <w:p w14:paraId="787753B5">
      <w:pPr>
        <w:pStyle w:val="4"/>
        <w:spacing w:line="290" w:lineRule="auto"/>
        <w:rPr>
          <w:rFonts w:hint="eastAsia" w:ascii="宋体" w:hAnsi="宋体" w:eastAsia="宋体" w:cs="宋体"/>
          <w:color w:val="auto"/>
          <w:highlight w:val="none"/>
        </w:rPr>
      </w:pPr>
    </w:p>
    <w:p w14:paraId="6619231D">
      <w:pPr>
        <w:pStyle w:val="4"/>
        <w:spacing w:line="290" w:lineRule="auto"/>
        <w:rPr>
          <w:rFonts w:hint="eastAsia" w:ascii="宋体" w:hAnsi="宋体" w:eastAsia="宋体" w:cs="宋体"/>
          <w:color w:val="auto"/>
          <w:highlight w:val="none"/>
        </w:rPr>
      </w:pPr>
    </w:p>
    <w:p w14:paraId="571F39AA">
      <w:pPr>
        <w:spacing w:before="72" w:line="322" w:lineRule="auto"/>
        <w:ind w:right="20"/>
        <w:jc w:val="right"/>
        <w:rPr>
          <w:rFonts w:hint="eastAsia" w:ascii="宋体" w:hAnsi="宋体" w:eastAsia="宋体" w:cs="宋体"/>
          <w:color w:val="auto"/>
          <w:spacing w:val="-24"/>
          <w:sz w:val="22"/>
          <w:szCs w:val="22"/>
          <w:highlight w:val="none"/>
        </w:rPr>
      </w:pPr>
      <w:r>
        <w:rPr>
          <w:rFonts w:hint="eastAsia" w:ascii="宋体" w:hAnsi="宋体" w:eastAsia="宋体" w:cs="宋体"/>
          <w:color w:val="auto"/>
          <w:spacing w:val="1"/>
          <w:sz w:val="22"/>
          <w:szCs w:val="22"/>
          <w:highlight w:val="none"/>
        </w:rPr>
        <w:t>法定代表人（签字或盖章</w:t>
      </w:r>
      <w:r>
        <w:rPr>
          <w:rFonts w:hint="eastAsia" w:ascii="宋体" w:hAnsi="宋体" w:eastAsia="宋体" w:cs="宋体"/>
          <w:color w:val="auto"/>
          <w:spacing w:val="-24"/>
          <w:sz w:val="22"/>
          <w:szCs w:val="22"/>
          <w:highlight w:val="none"/>
        </w:rPr>
        <w:t>）：</w:t>
      </w:r>
    </w:p>
    <w:p w14:paraId="6646DD44">
      <w:pPr>
        <w:spacing w:before="72" w:line="322" w:lineRule="auto"/>
        <w:ind w:right="20"/>
        <w:jc w:val="righ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供应商名称(</w:t>
      </w:r>
      <w:r>
        <w:rPr>
          <w:rFonts w:hint="eastAsia" w:ascii="宋体" w:hAnsi="宋体" w:eastAsia="宋体" w:cs="宋体"/>
          <w:color w:val="auto"/>
          <w:spacing w:val="39"/>
          <w:sz w:val="22"/>
          <w:szCs w:val="22"/>
          <w:highlight w:val="none"/>
        </w:rPr>
        <w:t xml:space="preserve"> </w:t>
      </w:r>
      <w:r>
        <w:rPr>
          <w:rFonts w:hint="eastAsia" w:ascii="宋体" w:hAnsi="宋体" w:eastAsia="宋体" w:cs="宋体"/>
          <w:color w:val="auto"/>
          <w:spacing w:val="-2"/>
          <w:sz w:val="22"/>
          <w:szCs w:val="22"/>
          <w:highlight w:val="none"/>
        </w:rPr>
        <w:t>电子签章 )：</w:t>
      </w:r>
    </w:p>
    <w:p w14:paraId="07017096">
      <w:pPr>
        <w:spacing w:before="40" w:line="221" w:lineRule="auto"/>
        <w:jc w:val="righ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3"/>
          <w:sz w:val="22"/>
          <w:szCs w:val="22"/>
          <w:highlight w:val="none"/>
        </w:rPr>
        <w:t>期：</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3"/>
          <w:sz w:val="22"/>
          <w:szCs w:val="22"/>
          <w:highlight w:val="none"/>
        </w:rPr>
        <w:t>日</w:t>
      </w:r>
    </w:p>
    <w:p w14:paraId="3BD41BBB">
      <w:pPr>
        <w:rPr>
          <w:rFonts w:hint="eastAsia" w:ascii="宋体" w:hAnsi="宋体" w:eastAsia="宋体" w:cs="宋体"/>
          <w:b/>
          <w:bCs/>
          <w:color w:val="auto"/>
          <w:spacing w:val="-13"/>
          <w:sz w:val="24"/>
          <w:szCs w:val="24"/>
          <w:highlight w:val="none"/>
        </w:rPr>
      </w:pPr>
      <w:r>
        <w:rPr>
          <w:rFonts w:hint="eastAsia" w:ascii="宋体" w:hAnsi="宋体" w:eastAsia="宋体" w:cs="宋体"/>
          <w:b/>
          <w:bCs/>
          <w:color w:val="auto"/>
          <w:spacing w:val="-13"/>
          <w:sz w:val="24"/>
          <w:szCs w:val="24"/>
          <w:highlight w:val="none"/>
        </w:rPr>
        <w:br w:type="page"/>
      </w:r>
    </w:p>
    <w:p w14:paraId="2EBB9386">
      <w:pPr>
        <w:spacing w:before="7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3"/>
          <w:sz w:val="24"/>
          <w:szCs w:val="24"/>
          <w:highlight w:val="none"/>
        </w:rPr>
        <w:t>附表</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13"/>
          <w:sz w:val="24"/>
          <w:szCs w:val="24"/>
          <w:highlight w:val="none"/>
        </w:rPr>
        <w:t>2：</w:t>
      </w:r>
    </w:p>
    <w:p w14:paraId="51C01B59">
      <w:pPr>
        <w:pStyle w:val="4"/>
        <w:spacing w:line="315" w:lineRule="auto"/>
        <w:rPr>
          <w:rFonts w:hint="eastAsia" w:ascii="宋体" w:hAnsi="宋体" w:eastAsia="宋体" w:cs="宋体"/>
          <w:color w:val="auto"/>
          <w:highlight w:val="none"/>
        </w:rPr>
      </w:pPr>
    </w:p>
    <w:p w14:paraId="5B237548">
      <w:pPr>
        <w:pStyle w:val="4"/>
        <w:spacing w:line="316" w:lineRule="auto"/>
        <w:rPr>
          <w:rFonts w:hint="eastAsia" w:ascii="宋体" w:hAnsi="宋体" w:eastAsia="宋体" w:cs="宋体"/>
          <w:color w:val="auto"/>
          <w:highlight w:val="none"/>
        </w:rPr>
      </w:pPr>
    </w:p>
    <w:p w14:paraId="614D7759">
      <w:pPr>
        <w:spacing w:before="78" w:line="219" w:lineRule="auto"/>
        <w:ind w:left="3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身份证明书（供应商为非法人）</w:t>
      </w:r>
    </w:p>
    <w:p w14:paraId="3CCF2C59">
      <w:pPr>
        <w:pStyle w:val="4"/>
        <w:spacing w:line="260" w:lineRule="auto"/>
        <w:rPr>
          <w:rFonts w:hint="eastAsia" w:ascii="宋体" w:hAnsi="宋体" w:eastAsia="宋体" w:cs="宋体"/>
          <w:color w:val="auto"/>
          <w:highlight w:val="none"/>
        </w:rPr>
      </w:pPr>
    </w:p>
    <w:p w14:paraId="5B784D50">
      <w:pPr>
        <w:pStyle w:val="4"/>
        <w:spacing w:line="260" w:lineRule="auto"/>
        <w:rPr>
          <w:rFonts w:hint="eastAsia" w:ascii="宋体" w:hAnsi="宋体" w:eastAsia="宋体" w:cs="宋体"/>
          <w:color w:val="auto"/>
          <w:highlight w:val="none"/>
        </w:rPr>
      </w:pPr>
    </w:p>
    <w:p w14:paraId="5A4D3D43">
      <w:pPr>
        <w:spacing w:before="72" w:line="410" w:lineRule="auto"/>
        <w:ind w:left="436" w:right="264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姓    名：</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95"/>
          <w:sz w:val="22"/>
          <w:szCs w:val="22"/>
          <w:highlight w:val="none"/>
        </w:rPr>
        <w:t xml:space="preserve"> </w:t>
      </w:r>
      <w:r>
        <w:rPr>
          <w:rFonts w:hint="eastAsia" w:ascii="宋体" w:hAnsi="宋体" w:eastAsia="宋体" w:cs="宋体"/>
          <w:color w:val="auto"/>
          <w:spacing w:val="-2"/>
          <w:sz w:val="22"/>
          <w:szCs w:val="22"/>
          <w:highlight w:val="none"/>
        </w:rPr>
        <w:t>性别：</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99"/>
          <w:sz w:val="22"/>
          <w:szCs w:val="22"/>
          <w:highlight w:val="none"/>
        </w:rPr>
        <w:t xml:space="preserve"> </w:t>
      </w:r>
      <w:r>
        <w:rPr>
          <w:rFonts w:hint="eastAsia" w:ascii="宋体" w:hAnsi="宋体" w:eastAsia="宋体" w:cs="宋体"/>
          <w:color w:val="auto"/>
          <w:spacing w:val="-2"/>
          <w:sz w:val="22"/>
          <w:szCs w:val="22"/>
          <w:highlight w:val="none"/>
        </w:rPr>
        <w:t>年龄：</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00"/>
          <w:sz w:val="22"/>
          <w:szCs w:val="22"/>
          <w:highlight w:val="none"/>
        </w:rPr>
        <w:t xml:space="preserve"> </w:t>
      </w:r>
      <w:r>
        <w:rPr>
          <w:rFonts w:hint="eastAsia" w:ascii="宋体" w:hAnsi="宋体" w:eastAsia="宋体" w:cs="宋体"/>
          <w:color w:val="auto"/>
          <w:spacing w:val="-2"/>
          <w:sz w:val="22"/>
          <w:szCs w:val="22"/>
          <w:highlight w:val="none"/>
        </w:rPr>
        <w:t>职务：</w:t>
      </w:r>
      <w:r>
        <w:rPr>
          <w:rFonts w:hint="eastAsia" w:ascii="宋体" w:hAnsi="宋体" w:eastAsia="宋体" w:cs="宋体"/>
          <w:color w:val="auto"/>
          <w:spacing w:val="7"/>
          <w:sz w:val="22"/>
          <w:szCs w:val="22"/>
          <w:highlight w:val="none"/>
          <w:u w:val="single" w:color="auto"/>
        </w:rPr>
        <w:t xml:space="preserve">              </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6"/>
          <w:sz w:val="22"/>
          <w:szCs w:val="22"/>
          <w:highlight w:val="none"/>
        </w:rPr>
        <w:t>地</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pacing w:val="-16"/>
          <w:sz w:val="22"/>
          <w:szCs w:val="22"/>
          <w:highlight w:val="none"/>
        </w:rPr>
        <w:t>址</w:t>
      </w:r>
      <w:r>
        <w:rPr>
          <w:rFonts w:hint="eastAsia" w:ascii="宋体" w:hAnsi="宋体" w:eastAsia="宋体" w:cs="宋体"/>
          <w:color w:val="auto"/>
          <w:spacing w:val="-81"/>
          <w:sz w:val="22"/>
          <w:szCs w:val="22"/>
          <w:highlight w:val="none"/>
        </w:rPr>
        <w:t xml:space="preserve"> </w:t>
      </w:r>
      <w:r>
        <w:rPr>
          <w:rFonts w:hint="eastAsia" w:ascii="宋体" w:hAnsi="宋体" w:eastAsia="宋体" w:cs="宋体"/>
          <w:color w:val="auto"/>
          <w:spacing w:val="-16"/>
          <w:sz w:val="22"/>
          <w:szCs w:val="22"/>
          <w:highlight w:val="none"/>
        </w:rPr>
        <w:t>：</w:t>
      </w:r>
      <w:r>
        <w:rPr>
          <w:rFonts w:hint="eastAsia" w:ascii="宋体" w:hAnsi="宋体" w:eastAsia="宋体" w:cs="宋体"/>
          <w:color w:val="auto"/>
          <w:sz w:val="22"/>
          <w:szCs w:val="22"/>
          <w:highlight w:val="none"/>
          <w:u w:val="single" w:color="auto"/>
        </w:rPr>
        <w:t xml:space="preserve">                                   </w:t>
      </w:r>
    </w:p>
    <w:p w14:paraId="7ED1CA7A">
      <w:pPr>
        <w:spacing w:before="23" w:line="221" w:lineRule="auto"/>
        <w:ind w:left="44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身份证号码：</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2"/>
          <w:sz w:val="22"/>
          <w:szCs w:val="22"/>
          <w:highlight w:val="none"/>
          <w:u w:val="single" w:color="auto"/>
        </w:rPr>
        <w:t xml:space="preserve">                                             </w:t>
      </w:r>
    </w:p>
    <w:p w14:paraId="7FCE8B53">
      <w:pPr>
        <w:spacing w:before="235" w:line="405" w:lineRule="auto"/>
        <w:ind w:firstLine="439"/>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为具有参加</w:t>
      </w:r>
      <w:r>
        <w:rPr>
          <w:rFonts w:hint="eastAsia" w:ascii="宋体" w:hAnsi="宋体" w:eastAsia="宋体" w:cs="宋体"/>
          <w:color w:val="auto"/>
          <w:spacing w:val="-2"/>
          <w:sz w:val="22"/>
          <w:szCs w:val="22"/>
          <w:highlight w:val="none"/>
          <w:u w:val="single" w:color="auto"/>
        </w:rPr>
        <w:t xml:space="preserve">              </w:t>
      </w:r>
      <w:r>
        <w:rPr>
          <w:rFonts w:hint="eastAsia" w:ascii="宋体" w:hAnsi="宋体" w:eastAsia="宋体" w:cs="宋体"/>
          <w:color w:val="auto"/>
          <w:spacing w:val="-2"/>
          <w:sz w:val="22"/>
          <w:szCs w:val="22"/>
          <w:highlight w:val="none"/>
        </w:rPr>
        <w:t>（项目名称）的投标、签署上述响应文件、进</w:t>
      </w:r>
      <w:r>
        <w:rPr>
          <w:rFonts w:hint="eastAsia" w:ascii="宋体" w:hAnsi="宋体" w:eastAsia="宋体" w:cs="宋体"/>
          <w:color w:val="auto"/>
          <w:spacing w:val="-3"/>
          <w:sz w:val="22"/>
          <w:szCs w:val="22"/>
          <w:highlight w:val="none"/>
        </w:rPr>
        <w:t>行合同谈判、签署合同和处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理与之有关的一切事务权利的供应商。</w:t>
      </w:r>
    </w:p>
    <w:p w14:paraId="170298A0">
      <w:pPr>
        <w:pStyle w:val="4"/>
        <w:spacing w:line="460" w:lineRule="auto"/>
        <w:rPr>
          <w:rFonts w:hint="eastAsia" w:ascii="宋体" w:hAnsi="宋体" w:eastAsia="宋体" w:cs="宋体"/>
          <w:color w:val="auto"/>
          <w:highlight w:val="none"/>
        </w:rPr>
      </w:pPr>
    </w:p>
    <w:p w14:paraId="1177B2AC">
      <w:pPr>
        <w:spacing w:before="72" w:line="221" w:lineRule="auto"/>
        <w:ind w:left="436"/>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特此证明。</w:t>
      </w:r>
    </w:p>
    <w:p w14:paraId="3291B350">
      <w:pPr>
        <w:pStyle w:val="4"/>
        <w:spacing w:line="331" w:lineRule="auto"/>
        <w:rPr>
          <w:rFonts w:hint="eastAsia" w:ascii="宋体" w:hAnsi="宋体" w:eastAsia="宋体" w:cs="宋体"/>
          <w:color w:val="auto"/>
          <w:highlight w:val="none"/>
        </w:rPr>
      </w:pPr>
    </w:p>
    <w:p w14:paraId="01F76662">
      <w:pPr>
        <w:pStyle w:val="4"/>
        <w:spacing w:line="331" w:lineRule="auto"/>
        <w:rPr>
          <w:rFonts w:hint="eastAsia" w:ascii="宋体" w:hAnsi="宋体" w:eastAsia="宋体" w:cs="宋体"/>
          <w:color w:val="auto"/>
          <w:highlight w:val="none"/>
        </w:rPr>
      </w:pPr>
    </w:p>
    <w:p w14:paraId="32A79715">
      <w:pPr>
        <w:spacing w:before="72" w:line="220" w:lineRule="auto"/>
        <w:ind w:left="453"/>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附：身份证正反面彩色扫描件。</w:t>
      </w:r>
    </w:p>
    <w:p w14:paraId="51295429">
      <w:pPr>
        <w:spacing w:before="72" w:line="322" w:lineRule="auto"/>
        <w:ind w:right="20"/>
        <w:jc w:val="right"/>
        <w:rPr>
          <w:rFonts w:hint="eastAsia" w:ascii="宋体" w:hAnsi="宋体" w:eastAsia="宋体" w:cs="宋体"/>
          <w:color w:val="auto"/>
          <w:spacing w:val="-24"/>
          <w:sz w:val="22"/>
          <w:szCs w:val="22"/>
          <w:highlight w:val="none"/>
        </w:rPr>
      </w:pPr>
      <w:r>
        <w:rPr>
          <w:rFonts w:hint="eastAsia" w:ascii="宋体" w:hAnsi="宋体" w:eastAsia="宋体" w:cs="宋体"/>
          <w:color w:val="auto"/>
          <w:spacing w:val="1"/>
          <w:sz w:val="22"/>
          <w:szCs w:val="22"/>
          <w:highlight w:val="none"/>
        </w:rPr>
        <w:t>法定代表人（签字或盖章</w:t>
      </w:r>
      <w:r>
        <w:rPr>
          <w:rFonts w:hint="eastAsia" w:ascii="宋体" w:hAnsi="宋体" w:eastAsia="宋体" w:cs="宋体"/>
          <w:color w:val="auto"/>
          <w:spacing w:val="-24"/>
          <w:sz w:val="22"/>
          <w:szCs w:val="22"/>
          <w:highlight w:val="none"/>
        </w:rPr>
        <w:t>）：</w:t>
      </w:r>
    </w:p>
    <w:p w14:paraId="27D3CE77">
      <w:pPr>
        <w:spacing w:before="72" w:line="322" w:lineRule="auto"/>
        <w:ind w:right="20"/>
        <w:jc w:val="righ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供应商名称(电子签章 )：</w:t>
      </w:r>
    </w:p>
    <w:p w14:paraId="424F61AF">
      <w:pPr>
        <w:spacing w:before="40" w:line="221" w:lineRule="auto"/>
        <w:jc w:val="righ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3"/>
          <w:sz w:val="22"/>
          <w:szCs w:val="22"/>
          <w:highlight w:val="none"/>
        </w:rPr>
        <w:t>期：</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3"/>
          <w:sz w:val="22"/>
          <w:szCs w:val="22"/>
          <w:highlight w:val="none"/>
        </w:rPr>
        <w:t>日</w:t>
      </w:r>
    </w:p>
    <w:p w14:paraId="5130B69F">
      <w:pPr>
        <w:pStyle w:val="4"/>
        <w:spacing w:line="253" w:lineRule="auto"/>
        <w:rPr>
          <w:rFonts w:hint="eastAsia" w:ascii="宋体" w:hAnsi="宋体" w:eastAsia="宋体" w:cs="宋体"/>
          <w:color w:val="auto"/>
          <w:highlight w:val="none"/>
        </w:rPr>
      </w:pPr>
    </w:p>
    <w:p w14:paraId="6A499120">
      <w:pPr>
        <w:pStyle w:val="4"/>
        <w:spacing w:line="254" w:lineRule="auto"/>
        <w:rPr>
          <w:rFonts w:hint="eastAsia" w:ascii="宋体" w:hAnsi="宋体" w:eastAsia="宋体" w:cs="宋体"/>
          <w:color w:val="auto"/>
          <w:highlight w:val="none"/>
        </w:rPr>
      </w:pPr>
    </w:p>
    <w:p w14:paraId="05C5BE56">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1326AB5">
      <w:pPr>
        <w:spacing w:before="78" w:line="219" w:lineRule="auto"/>
        <w:ind w:left="14"/>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3、授权委托书</w:t>
      </w:r>
    </w:p>
    <w:p w14:paraId="4A8E5AAD">
      <w:pPr>
        <w:pStyle w:val="4"/>
        <w:spacing w:line="301" w:lineRule="auto"/>
        <w:rPr>
          <w:rFonts w:hint="eastAsia" w:ascii="宋体" w:hAnsi="宋体" w:eastAsia="宋体" w:cs="宋体"/>
          <w:color w:val="auto"/>
          <w:highlight w:val="none"/>
        </w:rPr>
      </w:pPr>
    </w:p>
    <w:p w14:paraId="589E5511">
      <w:pPr>
        <w:spacing w:before="78" w:line="219" w:lineRule="auto"/>
        <w:ind w:left="308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法定代表人授权委托书（供应商为法人）</w:t>
      </w:r>
    </w:p>
    <w:p w14:paraId="51C2AFBF">
      <w:pPr>
        <w:pStyle w:val="4"/>
        <w:spacing w:line="259" w:lineRule="auto"/>
        <w:rPr>
          <w:rFonts w:hint="eastAsia" w:ascii="宋体" w:hAnsi="宋体" w:eastAsia="宋体" w:cs="宋体"/>
          <w:color w:val="auto"/>
          <w:highlight w:val="none"/>
        </w:rPr>
      </w:pPr>
    </w:p>
    <w:p w14:paraId="28B59B2F">
      <w:pPr>
        <w:tabs>
          <w:tab w:val="left" w:pos="1978"/>
        </w:tabs>
        <w:spacing w:before="72" w:line="2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1"/>
          <w:sz w:val="22"/>
          <w:szCs w:val="22"/>
          <w:highlight w:val="none"/>
        </w:rPr>
        <w:t>（采购人</w:t>
      </w:r>
      <w:r>
        <w:rPr>
          <w:rFonts w:hint="eastAsia" w:ascii="宋体" w:hAnsi="宋体" w:eastAsia="宋体" w:cs="宋体"/>
          <w:color w:val="auto"/>
          <w:spacing w:val="1"/>
          <w:sz w:val="22"/>
          <w:szCs w:val="22"/>
          <w:highlight w:val="none"/>
        </w:rPr>
        <w:t>）：</w:t>
      </w:r>
    </w:p>
    <w:p w14:paraId="65579FE0">
      <w:pPr>
        <w:spacing w:before="236" w:line="411" w:lineRule="auto"/>
        <w:ind w:left="15" w:firstLine="433"/>
        <w:jc w:val="both"/>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本授权声明</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6"/>
          <w:sz w:val="22"/>
          <w:szCs w:val="22"/>
          <w:highlight w:val="none"/>
        </w:rPr>
        <w:t>供应商名称</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6"/>
          <w:sz w:val="22"/>
          <w:szCs w:val="22"/>
          <w:highlight w:val="none"/>
        </w:rPr>
        <w:t>法定代表人姓名、职务）授权</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4"/>
          <w:sz w:val="22"/>
          <w:szCs w:val="22"/>
          <w:highlight w:val="none"/>
        </w:rPr>
        <w:t>（被授权人姓名、职务）为我方</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4"/>
          <w:sz w:val="22"/>
          <w:szCs w:val="22"/>
          <w:highlight w:val="none"/>
        </w:rPr>
        <w:t>（项目名称、项目编号）”</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4"/>
          <w:sz w:val="22"/>
          <w:szCs w:val="22"/>
          <w:highlight w:val="none"/>
        </w:rPr>
        <w:t>项目投标活动的合法代表，</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以我方名义全权处理该项目有关投标、签订合同以及执行合同等一切事宜。</w:t>
      </w:r>
    </w:p>
    <w:p w14:paraId="3F237414">
      <w:pPr>
        <w:spacing w:before="31" w:line="220" w:lineRule="auto"/>
        <w:ind w:left="44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被授权人无权转让本授权，特此声明。</w:t>
      </w:r>
    </w:p>
    <w:p w14:paraId="011E1B32">
      <w:pPr>
        <w:spacing w:before="239" w:line="220" w:lineRule="auto"/>
        <w:ind w:left="46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附：法定代表人及被授权人身份证正反面彩色</w:t>
      </w:r>
      <w:r>
        <w:rPr>
          <w:rFonts w:hint="eastAsia" w:ascii="宋体" w:hAnsi="宋体" w:eastAsia="宋体" w:cs="宋体"/>
          <w:color w:val="auto"/>
          <w:spacing w:val="-2"/>
          <w:sz w:val="22"/>
          <w:szCs w:val="22"/>
          <w:highlight w:val="none"/>
        </w:rPr>
        <w:t>扫描件</w:t>
      </w:r>
    </w:p>
    <w:p w14:paraId="06A58AFB">
      <w:pPr>
        <w:pStyle w:val="4"/>
        <w:spacing w:line="294" w:lineRule="auto"/>
        <w:rPr>
          <w:rFonts w:hint="eastAsia" w:ascii="宋体" w:hAnsi="宋体" w:eastAsia="宋体" w:cs="宋体"/>
          <w:color w:val="auto"/>
          <w:highlight w:val="none"/>
        </w:rPr>
      </w:pPr>
    </w:p>
    <w:p w14:paraId="2DD6EB5F">
      <w:pPr>
        <w:pStyle w:val="4"/>
        <w:spacing w:line="294" w:lineRule="auto"/>
        <w:rPr>
          <w:rFonts w:hint="eastAsia" w:ascii="宋体" w:hAnsi="宋体" w:eastAsia="宋体" w:cs="宋体"/>
          <w:color w:val="auto"/>
          <w:highlight w:val="none"/>
        </w:rPr>
      </w:pPr>
    </w:p>
    <w:p w14:paraId="062A91EE">
      <w:pPr>
        <w:pStyle w:val="4"/>
        <w:spacing w:line="294" w:lineRule="auto"/>
        <w:rPr>
          <w:rFonts w:hint="eastAsia" w:ascii="宋体" w:hAnsi="宋体" w:eastAsia="宋体" w:cs="宋体"/>
          <w:color w:val="auto"/>
          <w:highlight w:val="none"/>
        </w:rPr>
      </w:pPr>
    </w:p>
    <w:p w14:paraId="7A2C3420">
      <w:pPr>
        <w:pStyle w:val="4"/>
        <w:spacing w:line="295" w:lineRule="auto"/>
        <w:rPr>
          <w:rFonts w:hint="eastAsia" w:ascii="宋体" w:hAnsi="宋体" w:eastAsia="宋体" w:cs="宋体"/>
          <w:color w:val="auto"/>
          <w:highlight w:val="none"/>
        </w:rPr>
      </w:pPr>
    </w:p>
    <w:p w14:paraId="6BAE50A9">
      <w:pPr>
        <w:spacing w:before="72" w:line="322" w:lineRule="auto"/>
        <w:ind w:right="20"/>
        <w:jc w:val="right"/>
        <w:rPr>
          <w:rFonts w:hint="eastAsia" w:ascii="宋体" w:hAnsi="宋体" w:eastAsia="宋体" w:cs="宋体"/>
          <w:color w:val="auto"/>
          <w:spacing w:val="-24"/>
          <w:sz w:val="22"/>
          <w:szCs w:val="22"/>
          <w:highlight w:val="none"/>
        </w:rPr>
      </w:pPr>
      <w:r>
        <w:rPr>
          <w:rFonts w:hint="eastAsia" w:ascii="宋体" w:hAnsi="宋体" w:eastAsia="宋体" w:cs="宋体"/>
          <w:color w:val="auto"/>
          <w:spacing w:val="1"/>
          <w:sz w:val="22"/>
          <w:szCs w:val="22"/>
          <w:highlight w:val="none"/>
        </w:rPr>
        <w:t>法定代表人（签字或盖章</w:t>
      </w:r>
      <w:r>
        <w:rPr>
          <w:rFonts w:hint="eastAsia" w:ascii="宋体" w:hAnsi="宋体" w:eastAsia="宋体" w:cs="宋体"/>
          <w:color w:val="auto"/>
          <w:spacing w:val="-24"/>
          <w:sz w:val="22"/>
          <w:szCs w:val="22"/>
          <w:highlight w:val="none"/>
        </w:rPr>
        <w:t>）：</w:t>
      </w:r>
    </w:p>
    <w:p w14:paraId="72BAEEB0">
      <w:pPr>
        <w:spacing w:before="72" w:line="322" w:lineRule="auto"/>
        <w:ind w:right="20"/>
        <w:jc w:val="righ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供应商名称(电子签章)：</w:t>
      </w:r>
    </w:p>
    <w:p w14:paraId="41A90DEB">
      <w:pPr>
        <w:spacing w:before="40" w:line="221" w:lineRule="auto"/>
        <w:jc w:val="righ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3"/>
          <w:sz w:val="22"/>
          <w:szCs w:val="22"/>
          <w:highlight w:val="none"/>
        </w:rPr>
        <w:t>期：</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3"/>
          <w:sz w:val="22"/>
          <w:szCs w:val="22"/>
          <w:highlight w:val="none"/>
        </w:rPr>
        <w:t>日</w:t>
      </w:r>
    </w:p>
    <w:p w14:paraId="688D6917">
      <w:pPr>
        <w:pStyle w:val="4"/>
        <w:spacing w:line="252" w:lineRule="auto"/>
        <w:rPr>
          <w:rFonts w:hint="eastAsia" w:ascii="宋体" w:hAnsi="宋体" w:eastAsia="宋体" w:cs="宋体"/>
          <w:color w:val="auto"/>
          <w:highlight w:val="none"/>
        </w:rPr>
      </w:pPr>
    </w:p>
    <w:p w14:paraId="0E012331">
      <w:pPr>
        <w:pStyle w:val="4"/>
        <w:spacing w:line="252" w:lineRule="auto"/>
        <w:rPr>
          <w:rFonts w:hint="eastAsia" w:ascii="宋体" w:hAnsi="宋体" w:eastAsia="宋体" w:cs="宋体"/>
          <w:color w:val="auto"/>
          <w:highlight w:val="none"/>
        </w:rPr>
      </w:pPr>
    </w:p>
    <w:p w14:paraId="4AA70FEC">
      <w:pPr>
        <w:pStyle w:val="4"/>
        <w:spacing w:line="252" w:lineRule="auto"/>
        <w:rPr>
          <w:rFonts w:hint="eastAsia" w:ascii="宋体" w:hAnsi="宋体" w:eastAsia="宋体" w:cs="宋体"/>
          <w:color w:val="auto"/>
          <w:highlight w:val="none"/>
        </w:rPr>
      </w:pPr>
    </w:p>
    <w:p w14:paraId="4B1E4A13">
      <w:pPr>
        <w:pStyle w:val="4"/>
        <w:spacing w:line="252" w:lineRule="auto"/>
        <w:rPr>
          <w:rFonts w:hint="eastAsia" w:ascii="宋体" w:hAnsi="宋体" w:eastAsia="宋体" w:cs="宋体"/>
          <w:color w:val="auto"/>
          <w:highlight w:val="none"/>
        </w:rPr>
      </w:pPr>
    </w:p>
    <w:p w14:paraId="547F0330">
      <w:pPr>
        <w:pStyle w:val="4"/>
        <w:spacing w:line="252" w:lineRule="auto"/>
        <w:rPr>
          <w:rFonts w:hint="eastAsia" w:ascii="宋体" w:hAnsi="宋体" w:eastAsia="宋体" w:cs="宋体"/>
          <w:color w:val="auto"/>
          <w:highlight w:val="none"/>
        </w:rPr>
      </w:pPr>
    </w:p>
    <w:p w14:paraId="67043D84">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66B89C2">
      <w:pPr>
        <w:spacing w:before="78" w:line="219" w:lineRule="auto"/>
        <w:ind w:left="357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授权委托书（供应商为非法人）</w:t>
      </w:r>
    </w:p>
    <w:p w14:paraId="5C837486">
      <w:pPr>
        <w:pStyle w:val="4"/>
        <w:spacing w:line="327" w:lineRule="auto"/>
        <w:rPr>
          <w:rFonts w:hint="eastAsia" w:ascii="宋体" w:hAnsi="宋体" w:eastAsia="宋体" w:cs="宋体"/>
          <w:color w:val="auto"/>
          <w:highlight w:val="none"/>
        </w:rPr>
      </w:pPr>
    </w:p>
    <w:p w14:paraId="3504B2A3">
      <w:pPr>
        <w:tabs>
          <w:tab w:val="left" w:pos="1978"/>
        </w:tabs>
        <w:spacing w:before="71" w:line="22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color w:val="auto"/>
          <w:spacing w:val="-1"/>
          <w:sz w:val="22"/>
          <w:szCs w:val="22"/>
          <w:highlight w:val="none"/>
        </w:rPr>
        <w:t>（采购人</w:t>
      </w:r>
      <w:r>
        <w:rPr>
          <w:rFonts w:hint="eastAsia" w:ascii="宋体" w:hAnsi="宋体" w:eastAsia="宋体" w:cs="宋体"/>
          <w:color w:val="auto"/>
          <w:spacing w:val="1"/>
          <w:sz w:val="22"/>
          <w:szCs w:val="22"/>
          <w:highlight w:val="none"/>
        </w:rPr>
        <w:t>）：</w:t>
      </w:r>
    </w:p>
    <w:p w14:paraId="4640DAEC">
      <w:pPr>
        <w:spacing w:before="238" w:line="410" w:lineRule="auto"/>
        <w:ind w:left="11" w:firstLine="437"/>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本授权声明</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9"/>
          <w:sz w:val="22"/>
          <w:szCs w:val="22"/>
          <w:highlight w:val="none"/>
        </w:rPr>
        <w:t>供应商名称）授权</w:t>
      </w:r>
      <w:r>
        <w:rPr>
          <w:rFonts w:hint="eastAsia" w:ascii="宋体" w:hAnsi="宋体" w:eastAsia="宋体" w:cs="宋体"/>
          <w:color w:val="auto"/>
          <w:spacing w:val="-102"/>
          <w:sz w:val="22"/>
          <w:szCs w:val="22"/>
          <w:highlight w:val="none"/>
        </w:rPr>
        <w:t xml:space="preserve"> </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9"/>
          <w:sz w:val="22"/>
          <w:szCs w:val="22"/>
          <w:highlight w:val="none"/>
        </w:rPr>
        <w:t>（被授权人姓名、职务）</w:t>
      </w:r>
      <w:r>
        <w:rPr>
          <w:rFonts w:hint="eastAsia" w:ascii="宋体" w:hAnsi="宋体" w:eastAsia="宋体" w:cs="宋体"/>
          <w:color w:val="auto"/>
          <w:spacing w:val="16"/>
          <w:sz w:val="22"/>
          <w:szCs w:val="22"/>
          <w:highlight w:val="none"/>
        </w:rPr>
        <w:t xml:space="preserve"> </w:t>
      </w:r>
      <w:r>
        <w:rPr>
          <w:rFonts w:hint="eastAsia" w:ascii="宋体" w:hAnsi="宋体" w:eastAsia="宋体" w:cs="宋体"/>
          <w:color w:val="auto"/>
          <w:spacing w:val="-1"/>
          <w:sz w:val="22"/>
          <w:szCs w:val="22"/>
          <w:highlight w:val="none"/>
        </w:rPr>
        <w:t xml:space="preserve">为我方 “ </w:t>
      </w:r>
      <w:r>
        <w:rPr>
          <w:rFonts w:hint="eastAsia" w:ascii="宋体" w:hAnsi="宋体" w:eastAsia="宋体" w:cs="宋体"/>
          <w:color w:val="auto"/>
          <w:spacing w:val="-1"/>
          <w:sz w:val="22"/>
          <w:szCs w:val="22"/>
          <w:highlight w:val="none"/>
          <w:u w:val="single" w:color="auto"/>
        </w:rPr>
        <w:t xml:space="preserve">             </w:t>
      </w:r>
      <w:r>
        <w:rPr>
          <w:rFonts w:hint="eastAsia" w:ascii="宋体" w:hAnsi="宋体" w:eastAsia="宋体" w:cs="宋体"/>
          <w:color w:val="auto"/>
          <w:spacing w:val="-1"/>
          <w:sz w:val="22"/>
          <w:szCs w:val="22"/>
          <w:highlight w:val="none"/>
        </w:rPr>
        <w:t>（项目名称、项</w:t>
      </w:r>
      <w:r>
        <w:rPr>
          <w:rFonts w:hint="eastAsia" w:ascii="宋体" w:hAnsi="宋体" w:eastAsia="宋体" w:cs="宋体"/>
          <w:color w:val="auto"/>
          <w:spacing w:val="-2"/>
          <w:sz w:val="22"/>
          <w:szCs w:val="22"/>
          <w:highlight w:val="none"/>
        </w:rPr>
        <w:t>目编号）”</w:t>
      </w:r>
      <w:r>
        <w:rPr>
          <w:rFonts w:hint="eastAsia" w:ascii="宋体" w:hAnsi="宋体" w:eastAsia="宋体" w:cs="宋体"/>
          <w:color w:val="auto"/>
          <w:spacing w:val="-35"/>
          <w:sz w:val="22"/>
          <w:szCs w:val="22"/>
          <w:highlight w:val="none"/>
        </w:rPr>
        <w:t xml:space="preserve"> </w:t>
      </w:r>
      <w:r>
        <w:rPr>
          <w:rFonts w:hint="eastAsia" w:ascii="宋体" w:hAnsi="宋体" w:eastAsia="宋体" w:cs="宋体"/>
          <w:color w:val="auto"/>
          <w:spacing w:val="-2"/>
          <w:sz w:val="22"/>
          <w:szCs w:val="22"/>
          <w:highlight w:val="none"/>
        </w:rPr>
        <w:t>项目投标活动的合法代表，以我方名义全权处理该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项目有关投标、签订合同以及执行合同等一切事宜。</w:t>
      </w:r>
    </w:p>
    <w:p w14:paraId="4045C396">
      <w:pPr>
        <w:spacing w:before="35" w:line="220" w:lineRule="auto"/>
        <w:ind w:left="447"/>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被授权人无权转让本授权，特此声明。</w:t>
      </w:r>
    </w:p>
    <w:p w14:paraId="1E881ACB">
      <w:pPr>
        <w:spacing w:before="237" w:line="220" w:lineRule="auto"/>
        <w:ind w:left="46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附：授权人及被授权人身份证正反面彩色扫描件</w:t>
      </w:r>
    </w:p>
    <w:p w14:paraId="24CF1319">
      <w:pPr>
        <w:pStyle w:val="4"/>
        <w:spacing w:line="294" w:lineRule="auto"/>
        <w:rPr>
          <w:rFonts w:hint="eastAsia" w:ascii="宋体" w:hAnsi="宋体" w:eastAsia="宋体" w:cs="宋体"/>
          <w:color w:val="auto"/>
          <w:highlight w:val="none"/>
        </w:rPr>
      </w:pPr>
    </w:p>
    <w:p w14:paraId="01895800">
      <w:pPr>
        <w:pStyle w:val="4"/>
        <w:spacing w:line="294" w:lineRule="auto"/>
        <w:rPr>
          <w:rFonts w:hint="eastAsia" w:ascii="宋体" w:hAnsi="宋体" w:eastAsia="宋体" w:cs="宋体"/>
          <w:color w:val="auto"/>
          <w:highlight w:val="none"/>
        </w:rPr>
      </w:pPr>
    </w:p>
    <w:p w14:paraId="3646ADB0">
      <w:pPr>
        <w:pStyle w:val="4"/>
        <w:spacing w:line="294" w:lineRule="auto"/>
        <w:rPr>
          <w:rFonts w:hint="eastAsia" w:ascii="宋体" w:hAnsi="宋体" w:eastAsia="宋体" w:cs="宋体"/>
          <w:color w:val="auto"/>
          <w:highlight w:val="none"/>
        </w:rPr>
      </w:pPr>
    </w:p>
    <w:p w14:paraId="23DC25DA">
      <w:pPr>
        <w:pStyle w:val="4"/>
        <w:spacing w:line="295" w:lineRule="auto"/>
        <w:rPr>
          <w:rFonts w:hint="eastAsia" w:ascii="宋体" w:hAnsi="宋体" w:eastAsia="宋体" w:cs="宋体"/>
          <w:color w:val="auto"/>
          <w:highlight w:val="none"/>
        </w:rPr>
      </w:pPr>
    </w:p>
    <w:p w14:paraId="5F854F68">
      <w:pPr>
        <w:spacing w:before="72" w:line="322" w:lineRule="auto"/>
        <w:ind w:right="20"/>
        <w:jc w:val="right"/>
        <w:rPr>
          <w:rFonts w:hint="eastAsia" w:ascii="宋体" w:hAnsi="宋体" w:eastAsia="宋体" w:cs="宋体"/>
          <w:color w:val="auto"/>
          <w:spacing w:val="-24"/>
          <w:sz w:val="22"/>
          <w:szCs w:val="22"/>
          <w:highlight w:val="none"/>
        </w:rPr>
      </w:pPr>
      <w:r>
        <w:rPr>
          <w:rFonts w:hint="eastAsia" w:ascii="宋体" w:hAnsi="宋体" w:eastAsia="宋体" w:cs="宋体"/>
          <w:color w:val="auto"/>
          <w:spacing w:val="1"/>
          <w:sz w:val="22"/>
          <w:szCs w:val="22"/>
          <w:highlight w:val="none"/>
        </w:rPr>
        <w:t>法定代表人（签字或盖章</w:t>
      </w:r>
      <w:r>
        <w:rPr>
          <w:rFonts w:hint="eastAsia" w:ascii="宋体" w:hAnsi="宋体" w:eastAsia="宋体" w:cs="宋体"/>
          <w:color w:val="auto"/>
          <w:spacing w:val="-24"/>
          <w:sz w:val="22"/>
          <w:szCs w:val="22"/>
          <w:highlight w:val="none"/>
        </w:rPr>
        <w:t>）：</w:t>
      </w:r>
    </w:p>
    <w:p w14:paraId="5AAAFBFD">
      <w:pPr>
        <w:spacing w:before="72" w:line="322" w:lineRule="auto"/>
        <w:ind w:right="20"/>
        <w:jc w:val="righ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供应商名称(电子签章)：</w:t>
      </w:r>
    </w:p>
    <w:p w14:paraId="6D052C29">
      <w:pPr>
        <w:spacing w:before="40" w:line="221" w:lineRule="auto"/>
        <w:jc w:val="right"/>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日</w:t>
      </w:r>
      <w:r>
        <w:rPr>
          <w:rFonts w:hint="eastAsia" w:ascii="宋体" w:hAnsi="宋体" w:eastAsia="宋体" w:cs="宋体"/>
          <w:color w:val="auto"/>
          <w:spacing w:val="13"/>
          <w:sz w:val="22"/>
          <w:szCs w:val="22"/>
          <w:highlight w:val="none"/>
        </w:rPr>
        <w:t xml:space="preserve"> </w:t>
      </w:r>
      <w:r>
        <w:rPr>
          <w:rFonts w:hint="eastAsia" w:ascii="宋体" w:hAnsi="宋体" w:eastAsia="宋体" w:cs="宋体"/>
          <w:color w:val="auto"/>
          <w:spacing w:val="-13"/>
          <w:sz w:val="22"/>
          <w:szCs w:val="22"/>
          <w:highlight w:val="none"/>
        </w:rPr>
        <w:t>期：</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10"/>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17"/>
          <w:sz w:val="22"/>
          <w:szCs w:val="22"/>
          <w:highlight w:val="none"/>
        </w:rPr>
        <w:t xml:space="preserve">   </w:t>
      </w:r>
      <w:r>
        <w:rPr>
          <w:rFonts w:hint="eastAsia" w:ascii="宋体" w:hAnsi="宋体" w:eastAsia="宋体" w:cs="宋体"/>
          <w:color w:val="auto"/>
          <w:spacing w:val="-13"/>
          <w:sz w:val="22"/>
          <w:szCs w:val="22"/>
          <w:highlight w:val="none"/>
        </w:rPr>
        <w:t>日</w:t>
      </w:r>
    </w:p>
    <w:p w14:paraId="5C773812">
      <w:pPr>
        <w:pStyle w:val="4"/>
        <w:spacing w:line="254" w:lineRule="auto"/>
        <w:rPr>
          <w:rFonts w:hint="eastAsia" w:ascii="宋体" w:hAnsi="宋体" w:eastAsia="宋体" w:cs="宋体"/>
          <w:color w:val="auto"/>
          <w:highlight w:val="none"/>
        </w:rPr>
      </w:pPr>
    </w:p>
    <w:p w14:paraId="06132A54">
      <w:pPr>
        <w:pStyle w:val="4"/>
        <w:spacing w:line="255" w:lineRule="auto"/>
        <w:rPr>
          <w:rFonts w:hint="eastAsia" w:ascii="宋体" w:hAnsi="宋体" w:eastAsia="宋体" w:cs="宋体"/>
          <w:color w:val="auto"/>
          <w:highlight w:val="none"/>
        </w:rPr>
      </w:pPr>
    </w:p>
    <w:p w14:paraId="08118DDC">
      <w:pPr>
        <w:pStyle w:val="4"/>
        <w:spacing w:line="255" w:lineRule="auto"/>
        <w:rPr>
          <w:rFonts w:hint="eastAsia" w:ascii="宋体" w:hAnsi="宋体" w:eastAsia="宋体" w:cs="宋体"/>
          <w:color w:val="auto"/>
          <w:highlight w:val="none"/>
        </w:rPr>
      </w:pPr>
    </w:p>
    <w:p w14:paraId="5778BCC0">
      <w:pPr>
        <w:pStyle w:val="4"/>
        <w:spacing w:line="255" w:lineRule="auto"/>
        <w:rPr>
          <w:rFonts w:hint="eastAsia" w:ascii="宋体" w:hAnsi="宋体" w:eastAsia="宋体" w:cs="宋体"/>
          <w:color w:val="auto"/>
          <w:highlight w:val="none"/>
        </w:rPr>
      </w:pPr>
    </w:p>
    <w:p w14:paraId="140525E2">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4D54FC60">
      <w:pPr>
        <w:spacing w:before="78" w:line="219" w:lineRule="auto"/>
        <w:ind w:left="2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4、采购需求偏离表（格式）</w:t>
      </w:r>
    </w:p>
    <w:p w14:paraId="393D4C88">
      <w:pPr>
        <w:pStyle w:val="4"/>
        <w:spacing w:line="269" w:lineRule="auto"/>
        <w:rPr>
          <w:rFonts w:hint="eastAsia" w:ascii="宋体" w:hAnsi="宋体" w:eastAsia="宋体" w:cs="宋体"/>
          <w:color w:val="auto"/>
          <w:highlight w:val="none"/>
        </w:rPr>
      </w:pPr>
    </w:p>
    <w:p w14:paraId="3CA21426">
      <w:pPr>
        <w:pStyle w:val="4"/>
        <w:spacing w:line="269" w:lineRule="auto"/>
        <w:rPr>
          <w:rFonts w:hint="eastAsia" w:ascii="宋体" w:hAnsi="宋体" w:eastAsia="宋体" w:cs="宋体"/>
          <w:color w:val="auto"/>
          <w:highlight w:val="none"/>
        </w:rPr>
      </w:pPr>
    </w:p>
    <w:p w14:paraId="6A0ED1C7">
      <w:pPr>
        <w:spacing w:before="91" w:line="220" w:lineRule="auto"/>
        <w:ind w:left="4333"/>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采购需求偏离表</w:t>
      </w:r>
    </w:p>
    <w:p w14:paraId="307ECC5E">
      <w:pPr>
        <w:spacing w:before="111" w:line="214" w:lineRule="auto"/>
        <w:ind w:left="2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采购项目名称：                                              </w:t>
      </w:r>
      <w:r>
        <w:rPr>
          <w:rFonts w:hint="eastAsia" w:ascii="宋体" w:hAnsi="宋体" w:eastAsia="宋体" w:cs="宋体"/>
          <w:color w:val="auto"/>
          <w:spacing w:val="-1"/>
          <w:sz w:val="22"/>
          <w:szCs w:val="22"/>
          <w:highlight w:val="none"/>
        </w:rPr>
        <w:t xml:space="preserve">    项目编号：</w:t>
      </w:r>
    </w:p>
    <w:tbl>
      <w:tblPr>
        <w:tblStyle w:val="17"/>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2360"/>
        <w:gridCol w:w="2373"/>
        <w:gridCol w:w="1936"/>
        <w:gridCol w:w="2325"/>
      </w:tblGrid>
      <w:tr w14:paraId="06B8E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927" w:type="dxa"/>
            <w:vAlign w:val="top"/>
          </w:tcPr>
          <w:p w14:paraId="2866038A">
            <w:pPr>
              <w:pStyle w:val="18"/>
              <w:spacing w:before="275" w:line="222" w:lineRule="auto"/>
              <w:ind w:left="246"/>
              <w:rPr>
                <w:rFonts w:hint="eastAsia" w:ascii="宋体" w:hAnsi="宋体" w:eastAsia="宋体" w:cs="宋体"/>
                <w:color w:val="auto"/>
                <w:highlight w:val="none"/>
              </w:rPr>
            </w:pPr>
            <w:r>
              <w:rPr>
                <w:rFonts w:hint="eastAsia" w:ascii="宋体" w:hAnsi="宋体" w:eastAsia="宋体" w:cs="宋体"/>
                <w:b/>
                <w:bCs/>
                <w:color w:val="auto"/>
                <w:spacing w:val="-6"/>
                <w:highlight w:val="none"/>
              </w:rPr>
              <w:t>序号</w:t>
            </w:r>
          </w:p>
        </w:tc>
        <w:tc>
          <w:tcPr>
            <w:tcW w:w="2360" w:type="dxa"/>
            <w:vAlign w:val="top"/>
          </w:tcPr>
          <w:p w14:paraId="782A264C">
            <w:pPr>
              <w:pStyle w:val="18"/>
              <w:spacing w:before="275" w:line="221" w:lineRule="auto"/>
              <w:ind w:left="411"/>
              <w:rPr>
                <w:rFonts w:hint="eastAsia" w:ascii="宋体" w:hAnsi="宋体" w:eastAsia="宋体" w:cs="宋体"/>
                <w:color w:val="auto"/>
                <w:highlight w:val="none"/>
              </w:rPr>
            </w:pPr>
            <w:r>
              <w:rPr>
                <w:rFonts w:hint="eastAsia" w:ascii="宋体" w:hAnsi="宋体" w:eastAsia="宋体" w:cs="宋体"/>
                <w:b/>
                <w:bCs/>
                <w:color w:val="auto"/>
                <w:spacing w:val="-3"/>
                <w:highlight w:val="none"/>
              </w:rPr>
              <w:t>招标文件条目号</w:t>
            </w:r>
          </w:p>
        </w:tc>
        <w:tc>
          <w:tcPr>
            <w:tcW w:w="2373" w:type="dxa"/>
            <w:vAlign w:val="top"/>
          </w:tcPr>
          <w:p w14:paraId="353B1E0B">
            <w:pPr>
              <w:pStyle w:val="18"/>
              <w:spacing w:before="275" w:line="221" w:lineRule="auto"/>
              <w:ind w:left="530"/>
              <w:rPr>
                <w:rFonts w:hint="eastAsia" w:ascii="宋体" w:hAnsi="宋体" w:eastAsia="宋体" w:cs="宋体"/>
                <w:color w:val="auto"/>
                <w:highlight w:val="none"/>
              </w:rPr>
            </w:pPr>
            <w:r>
              <w:rPr>
                <w:rFonts w:hint="eastAsia" w:ascii="宋体" w:hAnsi="宋体" w:eastAsia="宋体" w:cs="宋体"/>
                <w:b/>
                <w:bCs/>
                <w:color w:val="auto"/>
                <w:spacing w:val="-4"/>
                <w:highlight w:val="none"/>
              </w:rPr>
              <w:t>招标文件条款</w:t>
            </w:r>
          </w:p>
        </w:tc>
        <w:tc>
          <w:tcPr>
            <w:tcW w:w="1936" w:type="dxa"/>
            <w:vAlign w:val="top"/>
          </w:tcPr>
          <w:p w14:paraId="7E1F6285">
            <w:pPr>
              <w:pStyle w:val="18"/>
              <w:spacing w:before="275" w:line="221" w:lineRule="auto"/>
              <w:ind w:left="212"/>
              <w:rPr>
                <w:rFonts w:hint="eastAsia" w:ascii="宋体" w:hAnsi="宋体" w:eastAsia="宋体" w:cs="宋体"/>
                <w:color w:val="auto"/>
                <w:highlight w:val="none"/>
              </w:rPr>
            </w:pPr>
            <w:r>
              <w:rPr>
                <w:rFonts w:hint="eastAsia" w:ascii="宋体" w:hAnsi="宋体" w:eastAsia="宋体" w:cs="宋体"/>
                <w:b/>
                <w:bCs/>
                <w:color w:val="auto"/>
                <w:spacing w:val="-5"/>
                <w:highlight w:val="none"/>
              </w:rPr>
              <w:t>响应文件的条款</w:t>
            </w:r>
          </w:p>
        </w:tc>
        <w:tc>
          <w:tcPr>
            <w:tcW w:w="2325" w:type="dxa"/>
            <w:vAlign w:val="top"/>
          </w:tcPr>
          <w:p w14:paraId="2B3163E8">
            <w:pPr>
              <w:pStyle w:val="18"/>
              <w:spacing w:before="275" w:line="221" w:lineRule="auto"/>
              <w:ind w:left="504"/>
              <w:rPr>
                <w:rFonts w:hint="eastAsia" w:ascii="宋体" w:hAnsi="宋体" w:eastAsia="宋体" w:cs="宋体"/>
                <w:color w:val="auto"/>
                <w:highlight w:val="none"/>
              </w:rPr>
            </w:pPr>
            <w:r>
              <w:rPr>
                <w:rFonts w:hint="eastAsia" w:ascii="宋体" w:hAnsi="宋体" w:eastAsia="宋体" w:cs="宋体"/>
                <w:b/>
                <w:bCs/>
                <w:color w:val="auto"/>
                <w:spacing w:val="-3"/>
                <w:highlight w:val="none"/>
              </w:rPr>
              <w:t>偏离情况说明</w:t>
            </w:r>
          </w:p>
        </w:tc>
      </w:tr>
      <w:tr w14:paraId="17E7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 w:type="dxa"/>
            <w:vAlign w:val="top"/>
          </w:tcPr>
          <w:p w14:paraId="41C88446">
            <w:pPr>
              <w:pStyle w:val="18"/>
              <w:spacing w:before="208" w:line="184" w:lineRule="auto"/>
              <w:ind w:left="42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60" w:type="dxa"/>
            <w:vAlign w:val="top"/>
          </w:tcPr>
          <w:p w14:paraId="69E3744A">
            <w:pPr>
              <w:rPr>
                <w:rFonts w:hint="eastAsia" w:ascii="宋体" w:hAnsi="宋体" w:eastAsia="宋体" w:cs="宋体"/>
                <w:color w:val="auto"/>
                <w:sz w:val="21"/>
                <w:highlight w:val="none"/>
              </w:rPr>
            </w:pPr>
          </w:p>
        </w:tc>
        <w:tc>
          <w:tcPr>
            <w:tcW w:w="2373" w:type="dxa"/>
            <w:vAlign w:val="top"/>
          </w:tcPr>
          <w:p w14:paraId="7464EFC8">
            <w:pPr>
              <w:rPr>
                <w:rFonts w:hint="eastAsia" w:ascii="宋体" w:hAnsi="宋体" w:eastAsia="宋体" w:cs="宋体"/>
                <w:color w:val="auto"/>
                <w:sz w:val="21"/>
                <w:highlight w:val="none"/>
              </w:rPr>
            </w:pPr>
          </w:p>
        </w:tc>
        <w:tc>
          <w:tcPr>
            <w:tcW w:w="1936" w:type="dxa"/>
            <w:vAlign w:val="top"/>
          </w:tcPr>
          <w:p w14:paraId="3805529F">
            <w:pPr>
              <w:rPr>
                <w:rFonts w:hint="eastAsia" w:ascii="宋体" w:hAnsi="宋体" w:eastAsia="宋体" w:cs="宋体"/>
                <w:color w:val="auto"/>
                <w:sz w:val="21"/>
                <w:highlight w:val="none"/>
              </w:rPr>
            </w:pPr>
          </w:p>
        </w:tc>
        <w:tc>
          <w:tcPr>
            <w:tcW w:w="2325" w:type="dxa"/>
            <w:vAlign w:val="top"/>
          </w:tcPr>
          <w:p w14:paraId="58E6198A">
            <w:pPr>
              <w:pStyle w:val="18"/>
              <w:spacing w:before="31" w:line="224" w:lineRule="auto"/>
              <w:ind w:left="119" w:right="105"/>
              <w:rPr>
                <w:rFonts w:hint="eastAsia" w:ascii="宋体" w:hAnsi="宋体" w:eastAsia="宋体" w:cs="宋体"/>
                <w:color w:val="auto"/>
                <w:highlight w:val="none"/>
              </w:rPr>
            </w:pPr>
            <w:r>
              <w:rPr>
                <w:rFonts w:hint="eastAsia" w:ascii="宋体" w:hAnsi="宋体" w:eastAsia="宋体" w:cs="宋体"/>
                <w:color w:val="auto"/>
                <w:highlight w:val="none"/>
              </w:rPr>
              <w:t>正偏离(负偏离或无偏</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离)</w:t>
            </w:r>
          </w:p>
        </w:tc>
      </w:tr>
      <w:tr w14:paraId="097F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 w:type="dxa"/>
            <w:vAlign w:val="top"/>
          </w:tcPr>
          <w:p w14:paraId="6E18BB25">
            <w:pPr>
              <w:pStyle w:val="18"/>
              <w:spacing w:before="208" w:line="184" w:lineRule="auto"/>
              <w:ind w:left="415"/>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60" w:type="dxa"/>
            <w:vAlign w:val="top"/>
          </w:tcPr>
          <w:p w14:paraId="30398A16">
            <w:pPr>
              <w:rPr>
                <w:rFonts w:hint="eastAsia" w:ascii="宋体" w:hAnsi="宋体" w:eastAsia="宋体" w:cs="宋体"/>
                <w:color w:val="auto"/>
                <w:sz w:val="21"/>
                <w:highlight w:val="none"/>
              </w:rPr>
            </w:pPr>
          </w:p>
        </w:tc>
        <w:tc>
          <w:tcPr>
            <w:tcW w:w="2373" w:type="dxa"/>
            <w:vAlign w:val="top"/>
          </w:tcPr>
          <w:p w14:paraId="7F45ACDA">
            <w:pPr>
              <w:rPr>
                <w:rFonts w:hint="eastAsia" w:ascii="宋体" w:hAnsi="宋体" w:eastAsia="宋体" w:cs="宋体"/>
                <w:color w:val="auto"/>
                <w:sz w:val="21"/>
                <w:highlight w:val="none"/>
              </w:rPr>
            </w:pPr>
          </w:p>
        </w:tc>
        <w:tc>
          <w:tcPr>
            <w:tcW w:w="1936" w:type="dxa"/>
            <w:vAlign w:val="top"/>
          </w:tcPr>
          <w:p w14:paraId="2A4B8B09">
            <w:pPr>
              <w:rPr>
                <w:rFonts w:hint="eastAsia" w:ascii="宋体" w:hAnsi="宋体" w:eastAsia="宋体" w:cs="宋体"/>
                <w:color w:val="auto"/>
                <w:sz w:val="21"/>
                <w:highlight w:val="none"/>
              </w:rPr>
            </w:pPr>
          </w:p>
        </w:tc>
        <w:tc>
          <w:tcPr>
            <w:tcW w:w="2325" w:type="dxa"/>
            <w:vAlign w:val="top"/>
          </w:tcPr>
          <w:p w14:paraId="16B6B209">
            <w:pPr>
              <w:pStyle w:val="18"/>
              <w:spacing w:before="33" w:line="223" w:lineRule="auto"/>
              <w:ind w:left="119" w:right="105"/>
              <w:rPr>
                <w:rFonts w:hint="eastAsia" w:ascii="宋体" w:hAnsi="宋体" w:eastAsia="宋体" w:cs="宋体"/>
                <w:color w:val="auto"/>
                <w:highlight w:val="none"/>
              </w:rPr>
            </w:pPr>
            <w:r>
              <w:rPr>
                <w:rFonts w:hint="eastAsia" w:ascii="宋体" w:hAnsi="宋体" w:eastAsia="宋体" w:cs="宋体"/>
                <w:color w:val="auto"/>
                <w:highlight w:val="none"/>
              </w:rPr>
              <w:t>正偏离(负偏离或无偏</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离)</w:t>
            </w:r>
          </w:p>
        </w:tc>
      </w:tr>
      <w:tr w14:paraId="2EE70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 w:type="dxa"/>
            <w:vAlign w:val="top"/>
          </w:tcPr>
          <w:p w14:paraId="03B5BDA5">
            <w:pPr>
              <w:pStyle w:val="18"/>
              <w:spacing w:before="209" w:line="184" w:lineRule="auto"/>
              <w:ind w:left="417"/>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60" w:type="dxa"/>
            <w:vAlign w:val="top"/>
          </w:tcPr>
          <w:p w14:paraId="4119B5FC">
            <w:pPr>
              <w:rPr>
                <w:rFonts w:hint="eastAsia" w:ascii="宋体" w:hAnsi="宋体" w:eastAsia="宋体" w:cs="宋体"/>
                <w:color w:val="auto"/>
                <w:sz w:val="21"/>
                <w:highlight w:val="none"/>
              </w:rPr>
            </w:pPr>
          </w:p>
        </w:tc>
        <w:tc>
          <w:tcPr>
            <w:tcW w:w="2373" w:type="dxa"/>
            <w:vAlign w:val="top"/>
          </w:tcPr>
          <w:p w14:paraId="21D04D7F">
            <w:pPr>
              <w:rPr>
                <w:rFonts w:hint="eastAsia" w:ascii="宋体" w:hAnsi="宋体" w:eastAsia="宋体" w:cs="宋体"/>
                <w:color w:val="auto"/>
                <w:sz w:val="21"/>
                <w:highlight w:val="none"/>
              </w:rPr>
            </w:pPr>
          </w:p>
        </w:tc>
        <w:tc>
          <w:tcPr>
            <w:tcW w:w="1936" w:type="dxa"/>
            <w:vAlign w:val="top"/>
          </w:tcPr>
          <w:p w14:paraId="168A5A75">
            <w:pPr>
              <w:rPr>
                <w:rFonts w:hint="eastAsia" w:ascii="宋体" w:hAnsi="宋体" w:eastAsia="宋体" w:cs="宋体"/>
                <w:color w:val="auto"/>
                <w:sz w:val="21"/>
                <w:highlight w:val="none"/>
              </w:rPr>
            </w:pPr>
          </w:p>
        </w:tc>
        <w:tc>
          <w:tcPr>
            <w:tcW w:w="2325" w:type="dxa"/>
            <w:vAlign w:val="top"/>
          </w:tcPr>
          <w:p w14:paraId="1604C8D4">
            <w:pPr>
              <w:pStyle w:val="18"/>
              <w:spacing w:before="33" w:line="223" w:lineRule="auto"/>
              <w:ind w:left="119" w:right="105"/>
              <w:rPr>
                <w:rFonts w:hint="eastAsia" w:ascii="宋体" w:hAnsi="宋体" w:eastAsia="宋体" w:cs="宋体"/>
                <w:color w:val="auto"/>
                <w:highlight w:val="none"/>
              </w:rPr>
            </w:pPr>
            <w:r>
              <w:rPr>
                <w:rFonts w:hint="eastAsia" w:ascii="宋体" w:hAnsi="宋体" w:eastAsia="宋体" w:cs="宋体"/>
                <w:color w:val="auto"/>
                <w:highlight w:val="none"/>
              </w:rPr>
              <w:t>正偏离(负偏离或无偏</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离)</w:t>
            </w:r>
          </w:p>
        </w:tc>
      </w:tr>
      <w:tr w14:paraId="6C2B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 w:type="dxa"/>
            <w:vAlign w:val="top"/>
          </w:tcPr>
          <w:p w14:paraId="0237D76E">
            <w:pPr>
              <w:pStyle w:val="18"/>
              <w:spacing w:before="210" w:line="184" w:lineRule="auto"/>
              <w:ind w:left="412"/>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360" w:type="dxa"/>
            <w:vAlign w:val="top"/>
          </w:tcPr>
          <w:p w14:paraId="0A072A05">
            <w:pPr>
              <w:rPr>
                <w:rFonts w:hint="eastAsia" w:ascii="宋体" w:hAnsi="宋体" w:eastAsia="宋体" w:cs="宋体"/>
                <w:color w:val="auto"/>
                <w:sz w:val="21"/>
                <w:highlight w:val="none"/>
              </w:rPr>
            </w:pPr>
          </w:p>
        </w:tc>
        <w:tc>
          <w:tcPr>
            <w:tcW w:w="2373" w:type="dxa"/>
            <w:vAlign w:val="top"/>
          </w:tcPr>
          <w:p w14:paraId="086A762B">
            <w:pPr>
              <w:rPr>
                <w:rFonts w:hint="eastAsia" w:ascii="宋体" w:hAnsi="宋体" w:eastAsia="宋体" w:cs="宋体"/>
                <w:color w:val="auto"/>
                <w:sz w:val="21"/>
                <w:highlight w:val="none"/>
              </w:rPr>
            </w:pPr>
          </w:p>
        </w:tc>
        <w:tc>
          <w:tcPr>
            <w:tcW w:w="1936" w:type="dxa"/>
            <w:vAlign w:val="top"/>
          </w:tcPr>
          <w:p w14:paraId="11476697">
            <w:pPr>
              <w:rPr>
                <w:rFonts w:hint="eastAsia" w:ascii="宋体" w:hAnsi="宋体" w:eastAsia="宋体" w:cs="宋体"/>
                <w:color w:val="auto"/>
                <w:sz w:val="21"/>
                <w:highlight w:val="none"/>
              </w:rPr>
            </w:pPr>
          </w:p>
        </w:tc>
        <w:tc>
          <w:tcPr>
            <w:tcW w:w="2325" w:type="dxa"/>
            <w:vAlign w:val="top"/>
          </w:tcPr>
          <w:p w14:paraId="0B07C774">
            <w:pPr>
              <w:pStyle w:val="18"/>
              <w:spacing w:before="33" w:line="223" w:lineRule="auto"/>
              <w:ind w:left="119" w:right="105"/>
              <w:rPr>
                <w:rFonts w:hint="eastAsia" w:ascii="宋体" w:hAnsi="宋体" w:eastAsia="宋体" w:cs="宋体"/>
                <w:color w:val="auto"/>
                <w:highlight w:val="none"/>
              </w:rPr>
            </w:pPr>
            <w:r>
              <w:rPr>
                <w:rFonts w:hint="eastAsia" w:ascii="宋体" w:hAnsi="宋体" w:eastAsia="宋体" w:cs="宋体"/>
                <w:color w:val="auto"/>
                <w:highlight w:val="none"/>
              </w:rPr>
              <w:t>正偏离(负偏离或无偏</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离)</w:t>
            </w:r>
          </w:p>
        </w:tc>
      </w:tr>
      <w:tr w14:paraId="193AA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 w:type="dxa"/>
            <w:vAlign w:val="top"/>
          </w:tcPr>
          <w:p w14:paraId="5A3D5B11">
            <w:pPr>
              <w:pStyle w:val="18"/>
              <w:spacing w:before="213" w:line="182" w:lineRule="auto"/>
              <w:ind w:left="417"/>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360" w:type="dxa"/>
            <w:vAlign w:val="top"/>
          </w:tcPr>
          <w:p w14:paraId="3BB6B6AB">
            <w:pPr>
              <w:rPr>
                <w:rFonts w:hint="eastAsia" w:ascii="宋体" w:hAnsi="宋体" w:eastAsia="宋体" w:cs="宋体"/>
                <w:color w:val="auto"/>
                <w:sz w:val="21"/>
                <w:highlight w:val="none"/>
              </w:rPr>
            </w:pPr>
          </w:p>
        </w:tc>
        <w:tc>
          <w:tcPr>
            <w:tcW w:w="2373" w:type="dxa"/>
            <w:vAlign w:val="top"/>
          </w:tcPr>
          <w:p w14:paraId="3680C964">
            <w:pPr>
              <w:rPr>
                <w:rFonts w:hint="eastAsia" w:ascii="宋体" w:hAnsi="宋体" w:eastAsia="宋体" w:cs="宋体"/>
                <w:color w:val="auto"/>
                <w:sz w:val="21"/>
                <w:highlight w:val="none"/>
              </w:rPr>
            </w:pPr>
          </w:p>
        </w:tc>
        <w:tc>
          <w:tcPr>
            <w:tcW w:w="1936" w:type="dxa"/>
            <w:vAlign w:val="top"/>
          </w:tcPr>
          <w:p w14:paraId="64A0FF5E">
            <w:pPr>
              <w:rPr>
                <w:rFonts w:hint="eastAsia" w:ascii="宋体" w:hAnsi="宋体" w:eastAsia="宋体" w:cs="宋体"/>
                <w:color w:val="auto"/>
                <w:sz w:val="21"/>
                <w:highlight w:val="none"/>
              </w:rPr>
            </w:pPr>
          </w:p>
        </w:tc>
        <w:tc>
          <w:tcPr>
            <w:tcW w:w="2325" w:type="dxa"/>
            <w:vAlign w:val="top"/>
          </w:tcPr>
          <w:p w14:paraId="33980336">
            <w:pPr>
              <w:pStyle w:val="18"/>
              <w:spacing w:before="35" w:line="222" w:lineRule="auto"/>
              <w:ind w:left="119" w:right="105"/>
              <w:rPr>
                <w:rFonts w:hint="eastAsia" w:ascii="宋体" w:hAnsi="宋体" w:eastAsia="宋体" w:cs="宋体"/>
                <w:color w:val="auto"/>
                <w:highlight w:val="none"/>
              </w:rPr>
            </w:pPr>
            <w:r>
              <w:rPr>
                <w:rFonts w:hint="eastAsia" w:ascii="宋体" w:hAnsi="宋体" w:eastAsia="宋体" w:cs="宋体"/>
                <w:color w:val="auto"/>
                <w:highlight w:val="none"/>
              </w:rPr>
              <w:t>正偏离(负偏离或无偏</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离)</w:t>
            </w:r>
          </w:p>
        </w:tc>
      </w:tr>
      <w:tr w14:paraId="6C53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 w:type="dxa"/>
            <w:vAlign w:val="top"/>
          </w:tcPr>
          <w:p w14:paraId="6587C653">
            <w:pPr>
              <w:pStyle w:val="18"/>
              <w:spacing w:before="212" w:line="184" w:lineRule="auto"/>
              <w:ind w:left="414"/>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360" w:type="dxa"/>
            <w:vAlign w:val="top"/>
          </w:tcPr>
          <w:p w14:paraId="78C22E82">
            <w:pPr>
              <w:rPr>
                <w:rFonts w:hint="eastAsia" w:ascii="宋体" w:hAnsi="宋体" w:eastAsia="宋体" w:cs="宋体"/>
                <w:color w:val="auto"/>
                <w:sz w:val="21"/>
                <w:highlight w:val="none"/>
              </w:rPr>
            </w:pPr>
          </w:p>
        </w:tc>
        <w:tc>
          <w:tcPr>
            <w:tcW w:w="2373" w:type="dxa"/>
            <w:vAlign w:val="top"/>
          </w:tcPr>
          <w:p w14:paraId="7026D6B5">
            <w:pPr>
              <w:rPr>
                <w:rFonts w:hint="eastAsia" w:ascii="宋体" w:hAnsi="宋体" w:eastAsia="宋体" w:cs="宋体"/>
                <w:color w:val="auto"/>
                <w:sz w:val="21"/>
                <w:highlight w:val="none"/>
              </w:rPr>
            </w:pPr>
          </w:p>
        </w:tc>
        <w:tc>
          <w:tcPr>
            <w:tcW w:w="1936" w:type="dxa"/>
            <w:vAlign w:val="top"/>
          </w:tcPr>
          <w:p w14:paraId="46A1A305">
            <w:pPr>
              <w:rPr>
                <w:rFonts w:hint="eastAsia" w:ascii="宋体" w:hAnsi="宋体" w:eastAsia="宋体" w:cs="宋体"/>
                <w:color w:val="auto"/>
                <w:sz w:val="21"/>
                <w:highlight w:val="none"/>
              </w:rPr>
            </w:pPr>
          </w:p>
        </w:tc>
        <w:tc>
          <w:tcPr>
            <w:tcW w:w="2325" w:type="dxa"/>
            <w:vAlign w:val="top"/>
          </w:tcPr>
          <w:p w14:paraId="09AC98CA">
            <w:pPr>
              <w:pStyle w:val="18"/>
              <w:spacing w:before="35" w:line="222" w:lineRule="auto"/>
              <w:ind w:left="119" w:right="105"/>
              <w:rPr>
                <w:rFonts w:hint="eastAsia" w:ascii="宋体" w:hAnsi="宋体" w:eastAsia="宋体" w:cs="宋体"/>
                <w:color w:val="auto"/>
                <w:highlight w:val="none"/>
              </w:rPr>
            </w:pPr>
            <w:r>
              <w:rPr>
                <w:rFonts w:hint="eastAsia" w:ascii="宋体" w:hAnsi="宋体" w:eastAsia="宋体" w:cs="宋体"/>
                <w:color w:val="auto"/>
                <w:highlight w:val="none"/>
              </w:rPr>
              <w:t>正偏离(负偏离或无偏</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离)</w:t>
            </w:r>
          </w:p>
        </w:tc>
      </w:tr>
      <w:tr w14:paraId="71AF1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27" w:type="dxa"/>
            <w:vAlign w:val="top"/>
          </w:tcPr>
          <w:p w14:paraId="7118E3CA">
            <w:pPr>
              <w:pStyle w:val="18"/>
              <w:spacing w:before="178" w:line="348" w:lineRule="exact"/>
              <w:ind w:left="263"/>
              <w:rPr>
                <w:rFonts w:hint="eastAsia" w:ascii="宋体" w:hAnsi="宋体" w:eastAsia="宋体" w:cs="宋体"/>
                <w:color w:val="auto"/>
                <w:highlight w:val="none"/>
              </w:rPr>
            </w:pPr>
            <w:r>
              <w:rPr>
                <w:rFonts w:hint="eastAsia" w:ascii="宋体" w:hAnsi="宋体" w:eastAsia="宋体" w:cs="宋体"/>
                <w:color w:val="auto"/>
                <w:spacing w:val="-11"/>
                <w:position w:val="3"/>
                <w:highlight w:val="none"/>
              </w:rPr>
              <w:t>……</w:t>
            </w:r>
          </w:p>
        </w:tc>
        <w:tc>
          <w:tcPr>
            <w:tcW w:w="2360" w:type="dxa"/>
            <w:vAlign w:val="top"/>
          </w:tcPr>
          <w:p w14:paraId="6CF726EA">
            <w:pPr>
              <w:rPr>
                <w:rFonts w:hint="eastAsia" w:ascii="宋体" w:hAnsi="宋体" w:eastAsia="宋体" w:cs="宋体"/>
                <w:color w:val="auto"/>
                <w:sz w:val="21"/>
                <w:highlight w:val="none"/>
              </w:rPr>
            </w:pPr>
          </w:p>
        </w:tc>
        <w:tc>
          <w:tcPr>
            <w:tcW w:w="2373" w:type="dxa"/>
            <w:vAlign w:val="top"/>
          </w:tcPr>
          <w:p w14:paraId="65468718">
            <w:pPr>
              <w:rPr>
                <w:rFonts w:hint="eastAsia" w:ascii="宋体" w:hAnsi="宋体" w:eastAsia="宋体" w:cs="宋体"/>
                <w:color w:val="auto"/>
                <w:sz w:val="21"/>
                <w:highlight w:val="none"/>
              </w:rPr>
            </w:pPr>
          </w:p>
        </w:tc>
        <w:tc>
          <w:tcPr>
            <w:tcW w:w="1936" w:type="dxa"/>
            <w:vAlign w:val="top"/>
          </w:tcPr>
          <w:p w14:paraId="47808761">
            <w:pPr>
              <w:rPr>
                <w:rFonts w:hint="eastAsia" w:ascii="宋体" w:hAnsi="宋体" w:eastAsia="宋体" w:cs="宋体"/>
                <w:color w:val="auto"/>
                <w:sz w:val="21"/>
                <w:highlight w:val="none"/>
              </w:rPr>
            </w:pPr>
          </w:p>
        </w:tc>
        <w:tc>
          <w:tcPr>
            <w:tcW w:w="2325" w:type="dxa"/>
            <w:vAlign w:val="top"/>
          </w:tcPr>
          <w:p w14:paraId="51F5F143">
            <w:pPr>
              <w:pStyle w:val="18"/>
              <w:spacing w:before="35" w:line="222" w:lineRule="auto"/>
              <w:ind w:left="119" w:right="105"/>
              <w:rPr>
                <w:rFonts w:hint="eastAsia" w:ascii="宋体" w:hAnsi="宋体" w:eastAsia="宋体" w:cs="宋体"/>
                <w:color w:val="auto"/>
                <w:highlight w:val="none"/>
              </w:rPr>
            </w:pPr>
            <w:r>
              <w:rPr>
                <w:rFonts w:hint="eastAsia" w:ascii="宋体" w:hAnsi="宋体" w:eastAsia="宋体" w:cs="宋体"/>
                <w:color w:val="auto"/>
                <w:highlight w:val="none"/>
              </w:rPr>
              <w:t>正偏离(负偏离或无偏</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6"/>
                <w:highlight w:val="none"/>
              </w:rPr>
              <w:t>离)</w:t>
            </w:r>
          </w:p>
        </w:tc>
      </w:tr>
      <w:tr w14:paraId="16D9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921" w:type="dxa"/>
            <w:gridSpan w:val="5"/>
            <w:vAlign w:val="top"/>
          </w:tcPr>
          <w:p w14:paraId="6D113EF0">
            <w:pPr>
              <w:pStyle w:val="18"/>
              <w:spacing w:before="231" w:line="222" w:lineRule="auto"/>
              <w:ind w:left="118"/>
              <w:rPr>
                <w:rFonts w:hint="eastAsia" w:ascii="宋体" w:hAnsi="宋体" w:eastAsia="宋体" w:cs="宋体"/>
                <w:color w:val="auto"/>
                <w:highlight w:val="none"/>
              </w:rPr>
            </w:pPr>
            <w:r>
              <w:rPr>
                <w:rFonts w:hint="eastAsia" w:ascii="宋体" w:hAnsi="宋体" w:eastAsia="宋体" w:cs="宋体"/>
                <w:color w:val="auto"/>
                <w:spacing w:val="-2"/>
                <w:highlight w:val="none"/>
              </w:rPr>
              <w:t>分标(此处有分标时填写具体分标号，无分标时填写“无</w:t>
            </w:r>
            <w:r>
              <w:rPr>
                <w:rFonts w:hint="eastAsia" w:ascii="宋体" w:hAnsi="宋体" w:eastAsia="宋体" w:cs="宋体"/>
                <w:color w:val="auto"/>
                <w:spacing w:val="-67"/>
                <w:highlight w:val="none"/>
              </w:rPr>
              <w:t xml:space="preserve"> </w:t>
            </w:r>
            <w:r>
              <w:rPr>
                <w:rFonts w:hint="eastAsia" w:ascii="宋体" w:hAnsi="宋体" w:eastAsia="宋体" w:cs="宋体"/>
                <w:color w:val="auto"/>
                <w:spacing w:val="-2"/>
                <w:highlight w:val="none"/>
              </w:rPr>
              <w:t>”)</w:t>
            </w:r>
          </w:p>
        </w:tc>
      </w:tr>
    </w:tbl>
    <w:p w14:paraId="2F7B05A8">
      <w:pPr>
        <w:spacing w:before="272" w:line="233" w:lineRule="auto"/>
        <w:ind w:left="2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14:paraId="510F4A57">
      <w:pPr>
        <w:spacing w:before="20" w:line="220" w:lineRule="auto"/>
        <w:ind w:left="48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1.说明：应对照采购文件“第三章采购需求”中的条款逐条作出明确响应，并作出偏离说明。</w:t>
      </w:r>
    </w:p>
    <w:p w14:paraId="6843BF86">
      <w:pPr>
        <w:spacing w:before="24" w:line="233" w:lineRule="auto"/>
        <w:ind w:left="29" w:firstLine="43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2.供应商应根据自身的承诺，对照采购文件要求</w:t>
      </w:r>
      <w:r>
        <w:rPr>
          <w:rFonts w:hint="eastAsia" w:ascii="宋体" w:hAnsi="宋体" w:eastAsia="宋体" w:cs="宋体"/>
          <w:color w:val="auto"/>
          <w:spacing w:val="-2"/>
          <w:sz w:val="22"/>
          <w:szCs w:val="22"/>
          <w:highlight w:val="none"/>
        </w:rPr>
        <w:t>，在“偏离说明”中注明“正偏离”、“负偏离”或者“无偏离”。既不属于“正偏离”也不属于“负偏离”即为 “无偏离”。当响应文件的内容低于采购文件要求时，供应商应当如实写明“负偏离”，否则视为虚假应标</w:t>
      </w:r>
    </w:p>
    <w:p w14:paraId="52A64B88">
      <w:pPr>
        <w:spacing w:before="23" w:line="220" w:lineRule="auto"/>
        <w:ind w:left="46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3.表格内容均需按要求填写并盖章，不得留空，</w:t>
      </w:r>
      <w:r>
        <w:rPr>
          <w:rFonts w:hint="eastAsia" w:ascii="宋体" w:hAnsi="宋体" w:eastAsia="宋体" w:cs="宋体"/>
          <w:color w:val="auto"/>
          <w:spacing w:val="-1"/>
          <w:sz w:val="22"/>
          <w:szCs w:val="22"/>
          <w:highlight w:val="none"/>
        </w:rPr>
        <w:t>否则按投标无效处理。</w:t>
      </w:r>
    </w:p>
    <w:p w14:paraId="537EA13A">
      <w:pPr>
        <w:spacing w:before="24" w:line="236" w:lineRule="auto"/>
        <w:ind w:left="28" w:firstLine="43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4.如果采购需求为小于、小于等于、大于或大于等于某个数值标准时， 响应文件承诺不</w:t>
      </w:r>
      <w:r>
        <w:rPr>
          <w:rFonts w:hint="eastAsia" w:ascii="宋体" w:hAnsi="宋体" w:eastAsia="宋体" w:cs="宋体"/>
          <w:color w:val="auto"/>
          <w:spacing w:val="-2"/>
          <w:sz w:val="22"/>
          <w:szCs w:val="22"/>
          <w:highlight w:val="none"/>
        </w:rPr>
        <w:t>得直接复制采购需求，响应文件承诺内容应当写明投标货物具体参数或商</w:t>
      </w:r>
      <w:r>
        <w:rPr>
          <w:rFonts w:hint="eastAsia" w:ascii="宋体" w:hAnsi="宋体" w:eastAsia="宋体" w:cs="宋体"/>
          <w:color w:val="auto"/>
          <w:spacing w:val="-3"/>
          <w:sz w:val="22"/>
          <w:szCs w:val="22"/>
          <w:highlight w:val="none"/>
        </w:rPr>
        <w:t>务响应承诺的具体数值，否则按投标无效处</w:t>
      </w:r>
      <w:r>
        <w:rPr>
          <w:rFonts w:hint="eastAsia" w:ascii="宋体" w:hAnsi="宋体" w:eastAsia="宋体" w:cs="宋体"/>
          <w:color w:val="auto"/>
          <w:spacing w:val="-4"/>
          <w:sz w:val="22"/>
          <w:szCs w:val="22"/>
          <w:highlight w:val="none"/>
        </w:rPr>
        <w:t>理。</w:t>
      </w:r>
    </w:p>
    <w:p w14:paraId="0D587AC7">
      <w:pPr>
        <w:pStyle w:val="4"/>
        <w:spacing w:line="247" w:lineRule="auto"/>
        <w:rPr>
          <w:rFonts w:hint="eastAsia" w:ascii="宋体" w:hAnsi="宋体" w:eastAsia="宋体" w:cs="宋体"/>
          <w:color w:val="auto"/>
          <w:highlight w:val="none"/>
        </w:rPr>
      </w:pPr>
    </w:p>
    <w:p w14:paraId="0F8408CB">
      <w:pPr>
        <w:spacing w:before="71" w:line="220" w:lineRule="auto"/>
        <w:ind w:left="4743"/>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供应商名称(</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1"/>
          <w:sz w:val="22"/>
          <w:szCs w:val="22"/>
          <w:highlight w:val="none"/>
        </w:rPr>
        <w:t>电子签章 )：</w:t>
      </w:r>
    </w:p>
    <w:p w14:paraId="206D45BD">
      <w:pPr>
        <w:spacing w:before="74" w:line="221" w:lineRule="auto"/>
        <w:ind w:left="4716"/>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8"/>
          <w:sz w:val="22"/>
          <w:szCs w:val="22"/>
          <w:highlight w:val="none"/>
        </w:rPr>
        <w:t>期</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18"/>
          <w:sz w:val="22"/>
          <w:szCs w:val="22"/>
          <w:highlight w:val="none"/>
        </w:rPr>
        <w:t>日</w:t>
      </w:r>
    </w:p>
    <w:p w14:paraId="53EFBE1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8DEACD3">
      <w:pPr>
        <w:spacing w:before="91" w:line="220" w:lineRule="auto"/>
        <w:ind w:left="35"/>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5、供应商情况介绍（自行编写）</w:t>
      </w:r>
    </w:p>
    <w:p w14:paraId="1CBA9C4C">
      <w:pPr>
        <w:pStyle w:val="4"/>
        <w:spacing w:line="280" w:lineRule="auto"/>
        <w:rPr>
          <w:rFonts w:hint="eastAsia" w:ascii="宋体" w:hAnsi="宋体" w:eastAsia="宋体" w:cs="宋体"/>
          <w:color w:val="auto"/>
          <w:highlight w:val="none"/>
        </w:rPr>
      </w:pPr>
    </w:p>
    <w:p w14:paraId="4DAFD141">
      <w:pPr>
        <w:pStyle w:val="4"/>
        <w:spacing w:line="280" w:lineRule="auto"/>
        <w:rPr>
          <w:rFonts w:hint="eastAsia" w:ascii="宋体" w:hAnsi="宋体" w:eastAsia="宋体" w:cs="宋体"/>
          <w:color w:val="auto"/>
          <w:highlight w:val="none"/>
        </w:rPr>
      </w:pPr>
    </w:p>
    <w:p w14:paraId="4129EB34">
      <w:pPr>
        <w:pStyle w:val="4"/>
        <w:spacing w:line="280" w:lineRule="auto"/>
        <w:rPr>
          <w:rFonts w:hint="eastAsia" w:ascii="宋体" w:hAnsi="宋体" w:eastAsia="宋体" w:cs="宋体"/>
          <w:color w:val="auto"/>
          <w:highlight w:val="none"/>
        </w:rPr>
      </w:pPr>
    </w:p>
    <w:p w14:paraId="4CCFD87C">
      <w:pPr>
        <w:pStyle w:val="4"/>
        <w:spacing w:line="281" w:lineRule="auto"/>
        <w:rPr>
          <w:rFonts w:hint="eastAsia" w:ascii="宋体" w:hAnsi="宋体" w:eastAsia="宋体" w:cs="宋体"/>
          <w:color w:val="auto"/>
          <w:highlight w:val="none"/>
        </w:rPr>
      </w:pPr>
    </w:p>
    <w:p w14:paraId="2619FAB8">
      <w:pPr>
        <w:spacing w:before="71" w:line="290" w:lineRule="exact"/>
        <w:ind w:left="5967"/>
        <w:rPr>
          <w:rFonts w:hint="eastAsia" w:ascii="宋体" w:hAnsi="宋体" w:eastAsia="宋体" w:cs="宋体"/>
          <w:color w:val="auto"/>
          <w:sz w:val="22"/>
          <w:szCs w:val="22"/>
          <w:highlight w:val="none"/>
        </w:rPr>
      </w:pPr>
      <w:r>
        <w:rPr>
          <w:rFonts w:hint="eastAsia" w:ascii="宋体" w:hAnsi="宋体" w:eastAsia="宋体" w:cs="宋体"/>
          <w:color w:val="auto"/>
          <w:spacing w:val="-4"/>
          <w:position w:val="2"/>
          <w:sz w:val="22"/>
          <w:szCs w:val="22"/>
          <w:highlight w:val="none"/>
        </w:rPr>
        <w:t>供应商名称(</w:t>
      </w:r>
      <w:r>
        <w:rPr>
          <w:rFonts w:hint="eastAsia" w:ascii="宋体" w:hAnsi="宋体" w:eastAsia="宋体" w:cs="宋体"/>
          <w:color w:val="auto"/>
          <w:spacing w:val="22"/>
          <w:position w:val="2"/>
          <w:sz w:val="22"/>
          <w:szCs w:val="22"/>
          <w:highlight w:val="none"/>
        </w:rPr>
        <w:t xml:space="preserve">  </w:t>
      </w:r>
      <w:r>
        <w:rPr>
          <w:rFonts w:hint="eastAsia" w:ascii="宋体" w:hAnsi="宋体" w:eastAsia="宋体" w:cs="宋体"/>
          <w:color w:val="auto"/>
          <w:spacing w:val="-4"/>
          <w:position w:val="2"/>
          <w:sz w:val="22"/>
          <w:szCs w:val="22"/>
          <w:highlight w:val="none"/>
        </w:rPr>
        <w:t>电子签章 )：</w:t>
      </w:r>
    </w:p>
    <w:p w14:paraId="68AF06AF">
      <w:pPr>
        <w:spacing w:before="28" w:line="221" w:lineRule="auto"/>
        <w:ind w:left="5676"/>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11"/>
          <w:sz w:val="22"/>
          <w:szCs w:val="22"/>
          <w:highlight w:val="none"/>
        </w:rPr>
        <w:t xml:space="preserve"> </w:t>
      </w:r>
      <w:r>
        <w:rPr>
          <w:rFonts w:hint="eastAsia" w:ascii="宋体" w:hAnsi="宋体" w:eastAsia="宋体" w:cs="宋体"/>
          <w:color w:val="auto"/>
          <w:spacing w:val="-18"/>
          <w:sz w:val="22"/>
          <w:szCs w:val="22"/>
          <w:highlight w:val="none"/>
        </w:rPr>
        <w:t>期</w:t>
      </w:r>
      <w:r>
        <w:rPr>
          <w:rFonts w:hint="eastAsia" w:ascii="宋体" w:hAnsi="宋体" w:eastAsia="宋体" w:cs="宋体"/>
          <w:color w:val="auto"/>
          <w:spacing w:val="28"/>
          <w:sz w:val="22"/>
          <w:szCs w:val="22"/>
          <w:highlight w:val="none"/>
        </w:rPr>
        <w:t xml:space="preserve"> </w:t>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5"/>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18"/>
          <w:sz w:val="22"/>
          <w:szCs w:val="22"/>
          <w:highlight w:val="none"/>
        </w:rPr>
        <w:t>日</w:t>
      </w:r>
    </w:p>
    <w:p w14:paraId="1645227B">
      <w:pPr>
        <w:pStyle w:val="4"/>
        <w:spacing w:line="290" w:lineRule="auto"/>
        <w:rPr>
          <w:rFonts w:hint="eastAsia" w:ascii="宋体" w:hAnsi="宋体" w:eastAsia="宋体" w:cs="宋体"/>
          <w:color w:val="auto"/>
          <w:highlight w:val="none"/>
        </w:rPr>
      </w:pPr>
    </w:p>
    <w:p w14:paraId="13046638">
      <w:pPr>
        <w:spacing w:before="91" w:line="220" w:lineRule="auto"/>
        <w:ind w:left="31"/>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6、供应商类似业绩的证明文件</w:t>
      </w:r>
      <w:r>
        <w:rPr>
          <w:rFonts w:hint="eastAsia" w:ascii="宋体" w:hAnsi="宋体" w:eastAsia="宋体" w:cs="宋体"/>
          <w:color w:val="auto"/>
          <w:spacing w:val="78"/>
          <w:sz w:val="28"/>
          <w:szCs w:val="28"/>
          <w:highlight w:val="none"/>
        </w:rPr>
        <w:t xml:space="preserve"> </w:t>
      </w:r>
      <w:r>
        <w:rPr>
          <w:rFonts w:hint="eastAsia" w:ascii="宋体" w:hAnsi="宋体" w:eastAsia="宋体" w:cs="宋体"/>
          <w:b/>
          <w:bCs/>
          <w:color w:val="auto"/>
          <w:spacing w:val="-7"/>
          <w:sz w:val="28"/>
          <w:szCs w:val="28"/>
          <w:highlight w:val="none"/>
        </w:rPr>
        <w:t>(如有)</w:t>
      </w:r>
    </w:p>
    <w:p w14:paraId="18C4E6DB">
      <w:pPr>
        <w:spacing w:before="96"/>
        <w:rPr>
          <w:rFonts w:hint="eastAsia" w:ascii="宋体" w:hAnsi="宋体" w:eastAsia="宋体" w:cs="宋体"/>
          <w:color w:val="auto"/>
          <w:highlight w:val="none"/>
        </w:rPr>
      </w:pPr>
    </w:p>
    <w:p w14:paraId="74DCD298">
      <w:pPr>
        <w:spacing w:before="95"/>
        <w:rPr>
          <w:rFonts w:hint="eastAsia" w:ascii="宋体" w:hAnsi="宋体" w:eastAsia="宋体" w:cs="宋体"/>
          <w:color w:val="auto"/>
          <w:highlight w:val="none"/>
        </w:rPr>
      </w:pPr>
    </w:p>
    <w:tbl>
      <w:tblPr>
        <w:tblStyle w:val="17"/>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1265"/>
        <w:gridCol w:w="1085"/>
        <w:gridCol w:w="1085"/>
        <w:gridCol w:w="1205"/>
        <w:gridCol w:w="1325"/>
        <w:gridCol w:w="2590"/>
      </w:tblGrid>
      <w:tr w14:paraId="2F51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89" w:type="dxa"/>
            <w:vMerge w:val="restart"/>
            <w:tcBorders>
              <w:bottom w:val="nil"/>
            </w:tcBorders>
            <w:vAlign w:val="top"/>
          </w:tcPr>
          <w:p w14:paraId="17953BDF">
            <w:pPr>
              <w:pStyle w:val="18"/>
              <w:spacing w:before="252" w:line="222" w:lineRule="auto"/>
              <w:ind w:left="30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265" w:type="dxa"/>
            <w:vMerge w:val="restart"/>
            <w:tcBorders>
              <w:bottom w:val="nil"/>
            </w:tcBorders>
            <w:vAlign w:val="top"/>
          </w:tcPr>
          <w:p w14:paraId="4FCC2B53">
            <w:pPr>
              <w:pStyle w:val="18"/>
              <w:spacing w:before="129" w:line="242" w:lineRule="auto"/>
              <w:ind w:left="527" w:right="209" w:hanging="31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采购人名</w:t>
            </w:r>
            <w:r>
              <w:rPr>
                <w:rFonts w:hint="eastAsia" w:ascii="宋体" w:hAnsi="宋体" w:eastAsia="宋体" w:cs="宋体"/>
                <w:color w:val="auto"/>
                <w:spacing w:val="1"/>
                <w:sz w:val="20"/>
                <w:szCs w:val="20"/>
                <w:highlight w:val="none"/>
              </w:rPr>
              <w:t xml:space="preserve"> 称</w:t>
            </w:r>
          </w:p>
        </w:tc>
        <w:tc>
          <w:tcPr>
            <w:tcW w:w="1085" w:type="dxa"/>
            <w:vMerge w:val="restart"/>
            <w:tcBorders>
              <w:bottom w:val="nil"/>
            </w:tcBorders>
            <w:vAlign w:val="top"/>
          </w:tcPr>
          <w:p w14:paraId="20BE5591">
            <w:pPr>
              <w:pStyle w:val="18"/>
              <w:spacing w:before="267" w:line="229" w:lineRule="auto"/>
              <w:ind w:left="127"/>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项目名称</w:t>
            </w:r>
          </w:p>
        </w:tc>
        <w:tc>
          <w:tcPr>
            <w:tcW w:w="1085" w:type="dxa"/>
            <w:vMerge w:val="restart"/>
            <w:tcBorders>
              <w:bottom w:val="nil"/>
            </w:tcBorders>
            <w:vAlign w:val="top"/>
          </w:tcPr>
          <w:p w14:paraId="4F93C6FC">
            <w:pPr>
              <w:pStyle w:val="18"/>
              <w:spacing w:before="36"/>
              <w:ind w:left="266" w:right="121" w:hanging="14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合同金额</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4"/>
                <w:sz w:val="20"/>
                <w:szCs w:val="20"/>
                <w:highlight w:val="none"/>
              </w:rPr>
              <w:t>(万元)</w:t>
            </w:r>
          </w:p>
        </w:tc>
        <w:tc>
          <w:tcPr>
            <w:tcW w:w="2530" w:type="dxa"/>
            <w:gridSpan w:val="2"/>
            <w:vAlign w:val="top"/>
          </w:tcPr>
          <w:p w14:paraId="4B5F1472">
            <w:pPr>
              <w:pStyle w:val="18"/>
              <w:spacing w:before="36" w:line="228" w:lineRule="auto"/>
              <w:ind w:firstLine="214" w:firstLineChars="100"/>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附件在响应文件中页码</w:t>
            </w:r>
          </w:p>
        </w:tc>
        <w:tc>
          <w:tcPr>
            <w:tcW w:w="2590" w:type="dxa"/>
            <w:vMerge w:val="restart"/>
            <w:tcBorders>
              <w:bottom w:val="nil"/>
            </w:tcBorders>
            <w:vAlign w:val="top"/>
          </w:tcPr>
          <w:p w14:paraId="41E8302F">
            <w:pPr>
              <w:pStyle w:val="18"/>
              <w:spacing w:before="118" w:line="231" w:lineRule="auto"/>
              <w:ind w:left="281" w:right="164" w:hanging="11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采购人联系人</w:t>
            </w:r>
          </w:p>
          <w:p w14:paraId="1876B4E7">
            <w:pPr>
              <w:pStyle w:val="18"/>
              <w:spacing w:before="118" w:line="231" w:lineRule="auto"/>
              <w:ind w:left="281" w:right="164" w:hanging="110"/>
              <w:rPr>
                <w:rFonts w:hint="eastAsia" w:ascii="宋体" w:hAnsi="宋体" w:eastAsia="宋体" w:cs="宋体"/>
                <w:color w:val="auto"/>
                <w:highlight w:val="none"/>
              </w:rPr>
            </w:pPr>
            <w:r>
              <w:rPr>
                <w:rFonts w:hint="eastAsia" w:ascii="宋体" w:hAnsi="宋体" w:eastAsia="宋体" w:cs="宋体"/>
                <w:color w:val="auto"/>
                <w:spacing w:val="-2"/>
                <w:highlight w:val="none"/>
              </w:rPr>
              <w:t>及联系电话</w:t>
            </w:r>
          </w:p>
        </w:tc>
      </w:tr>
      <w:tr w14:paraId="5EFF7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089" w:type="dxa"/>
            <w:vMerge w:val="continue"/>
            <w:tcBorders>
              <w:top w:val="nil"/>
            </w:tcBorders>
            <w:vAlign w:val="top"/>
          </w:tcPr>
          <w:p w14:paraId="10FA8492">
            <w:pPr>
              <w:rPr>
                <w:rFonts w:hint="eastAsia" w:ascii="宋体" w:hAnsi="宋体" w:eastAsia="宋体" w:cs="宋体"/>
                <w:color w:val="auto"/>
                <w:sz w:val="21"/>
                <w:highlight w:val="none"/>
              </w:rPr>
            </w:pPr>
          </w:p>
        </w:tc>
        <w:tc>
          <w:tcPr>
            <w:tcW w:w="1265" w:type="dxa"/>
            <w:vMerge w:val="continue"/>
            <w:tcBorders>
              <w:top w:val="nil"/>
            </w:tcBorders>
            <w:vAlign w:val="top"/>
          </w:tcPr>
          <w:p w14:paraId="437AF566">
            <w:pPr>
              <w:rPr>
                <w:rFonts w:hint="eastAsia" w:ascii="宋体" w:hAnsi="宋体" w:eastAsia="宋体" w:cs="宋体"/>
                <w:color w:val="auto"/>
                <w:sz w:val="21"/>
                <w:highlight w:val="none"/>
              </w:rPr>
            </w:pPr>
          </w:p>
        </w:tc>
        <w:tc>
          <w:tcPr>
            <w:tcW w:w="1085" w:type="dxa"/>
            <w:vMerge w:val="continue"/>
            <w:tcBorders>
              <w:top w:val="nil"/>
            </w:tcBorders>
            <w:vAlign w:val="top"/>
          </w:tcPr>
          <w:p w14:paraId="7B459C03">
            <w:pPr>
              <w:rPr>
                <w:rFonts w:hint="eastAsia" w:ascii="宋体" w:hAnsi="宋体" w:eastAsia="宋体" w:cs="宋体"/>
                <w:color w:val="auto"/>
                <w:sz w:val="21"/>
                <w:highlight w:val="none"/>
              </w:rPr>
            </w:pPr>
          </w:p>
        </w:tc>
        <w:tc>
          <w:tcPr>
            <w:tcW w:w="1085" w:type="dxa"/>
            <w:vMerge w:val="continue"/>
            <w:tcBorders>
              <w:top w:val="nil"/>
            </w:tcBorders>
            <w:vAlign w:val="top"/>
          </w:tcPr>
          <w:p w14:paraId="37B467FA">
            <w:pPr>
              <w:rPr>
                <w:rFonts w:hint="eastAsia" w:ascii="宋体" w:hAnsi="宋体" w:eastAsia="宋体" w:cs="宋体"/>
                <w:color w:val="auto"/>
                <w:sz w:val="21"/>
                <w:highlight w:val="none"/>
              </w:rPr>
            </w:pPr>
          </w:p>
        </w:tc>
        <w:tc>
          <w:tcPr>
            <w:tcW w:w="1205" w:type="dxa"/>
            <w:vAlign w:val="top"/>
          </w:tcPr>
          <w:p w14:paraId="0C1D835E">
            <w:pPr>
              <w:pStyle w:val="18"/>
              <w:spacing w:before="114" w:line="231" w:lineRule="auto"/>
              <w:ind w:left="39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合同</w:t>
            </w:r>
          </w:p>
        </w:tc>
        <w:tc>
          <w:tcPr>
            <w:tcW w:w="1325" w:type="dxa"/>
            <w:vAlign w:val="top"/>
          </w:tcPr>
          <w:p w14:paraId="3AC948F7">
            <w:pPr>
              <w:pStyle w:val="18"/>
              <w:spacing w:before="114" w:line="227" w:lineRule="auto"/>
              <w:ind w:left="244"/>
              <w:rPr>
                <w:rFonts w:hint="default" w:ascii="宋体" w:hAnsi="宋体" w:eastAsia="宋体" w:cs="宋体"/>
                <w:color w:val="auto"/>
                <w:sz w:val="20"/>
                <w:szCs w:val="20"/>
                <w:highlight w:val="none"/>
                <w:lang w:val="en-US" w:eastAsia="zh-CN"/>
              </w:rPr>
            </w:pPr>
            <w:r>
              <w:rPr>
                <w:rFonts w:hint="eastAsia" w:cs="宋体"/>
                <w:color w:val="auto"/>
                <w:spacing w:val="7"/>
                <w:sz w:val="20"/>
                <w:szCs w:val="20"/>
                <w:highlight w:val="none"/>
                <w:lang w:val="en-US" w:eastAsia="zh-CN"/>
              </w:rPr>
              <w:t>中标通知书</w:t>
            </w:r>
          </w:p>
        </w:tc>
        <w:tc>
          <w:tcPr>
            <w:tcW w:w="2590" w:type="dxa"/>
            <w:vMerge w:val="continue"/>
            <w:tcBorders>
              <w:top w:val="nil"/>
            </w:tcBorders>
            <w:vAlign w:val="top"/>
          </w:tcPr>
          <w:p w14:paraId="520C8E37">
            <w:pPr>
              <w:rPr>
                <w:rFonts w:hint="eastAsia" w:ascii="宋体" w:hAnsi="宋体" w:eastAsia="宋体" w:cs="宋体"/>
                <w:color w:val="auto"/>
                <w:sz w:val="21"/>
                <w:highlight w:val="none"/>
              </w:rPr>
            </w:pPr>
          </w:p>
        </w:tc>
      </w:tr>
      <w:tr w14:paraId="74EF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089" w:type="dxa"/>
            <w:vAlign w:val="top"/>
          </w:tcPr>
          <w:p w14:paraId="17597B34">
            <w:pPr>
              <w:pStyle w:val="18"/>
              <w:spacing w:before="117" w:line="184" w:lineRule="auto"/>
              <w:ind w:left="5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5" w:type="dxa"/>
            <w:vAlign w:val="top"/>
          </w:tcPr>
          <w:p w14:paraId="17E3741F">
            <w:pPr>
              <w:rPr>
                <w:rFonts w:hint="eastAsia" w:ascii="宋体" w:hAnsi="宋体" w:eastAsia="宋体" w:cs="宋体"/>
                <w:color w:val="auto"/>
                <w:sz w:val="21"/>
                <w:highlight w:val="none"/>
              </w:rPr>
            </w:pPr>
          </w:p>
        </w:tc>
        <w:tc>
          <w:tcPr>
            <w:tcW w:w="1085" w:type="dxa"/>
            <w:vAlign w:val="top"/>
          </w:tcPr>
          <w:p w14:paraId="64DF55F9">
            <w:pPr>
              <w:rPr>
                <w:rFonts w:hint="eastAsia" w:ascii="宋体" w:hAnsi="宋体" w:eastAsia="宋体" w:cs="宋体"/>
                <w:color w:val="auto"/>
                <w:sz w:val="21"/>
                <w:highlight w:val="none"/>
              </w:rPr>
            </w:pPr>
          </w:p>
        </w:tc>
        <w:tc>
          <w:tcPr>
            <w:tcW w:w="1085" w:type="dxa"/>
            <w:vAlign w:val="top"/>
          </w:tcPr>
          <w:p w14:paraId="0ECD6B16">
            <w:pPr>
              <w:rPr>
                <w:rFonts w:hint="eastAsia" w:ascii="宋体" w:hAnsi="宋体" w:eastAsia="宋体" w:cs="宋体"/>
                <w:color w:val="auto"/>
                <w:sz w:val="21"/>
                <w:highlight w:val="none"/>
              </w:rPr>
            </w:pPr>
          </w:p>
        </w:tc>
        <w:tc>
          <w:tcPr>
            <w:tcW w:w="1205" w:type="dxa"/>
            <w:vAlign w:val="top"/>
          </w:tcPr>
          <w:p w14:paraId="1172493B">
            <w:pPr>
              <w:rPr>
                <w:rFonts w:hint="eastAsia" w:ascii="宋体" w:hAnsi="宋体" w:eastAsia="宋体" w:cs="宋体"/>
                <w:color w:val="auto"/>
                <w:sz w:val="21"/>
                <w:highlight w:val="none"/>
              </w:rPr>
            </w:pPr>
          </w:p>
        </w:tc>
        <w:tc>
          <w:tcPr>
            <w:tcW w:w="1325" w:type="dxa"/>
            <w:vAlign w:val="top"/>
          </w:tcPr>
          <w:p w14:paraId="78C74C38">
            <w:pPr>
              <w:rPr>
                <w:rFonts w:hint="eastAsia" w:ascii="宋体" w:hAnsi="宋体" w:eastAsia="宋体" w:cs="宋体"/>
                <w:color w:val="auto"/>
                <w:sz w:val="21"/>
                <w:highlight w:val="none"/>
              </w:rPr>
            </w:pPr>
          </w:p>
        </w:tc>
        <w:tc>
          <w:tcPr>
            <w:tcW w:w="2590" w:type="dxa"/>
            <w:vAlign w:val="top"/>
          </w:tcPr>
          <w:p w14:paraId="7662FDE2">
            <w:pPr>
              <w:rPr>
                <w:rFonts w:hint="eastAsia" w:ascii="宋体" w:hAnsi="宋体" w:eastAsia="宋体" w:cs="宋体"/>
                <w:color w:val="auto"/>
                <w:sz w:val="21"/>
                <w:highlight w:val="none"/>
              </w:rPr>
            </w:pPr>
          </w:p>
        </w:tc>
      </w:tr>
      <w:tr w14:paraId="3E38D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089" w:type="dxa"/>
            <w:vAlign w:val="top"/>
          </w:tcPr>
          <w:p w14:paraId="2B06F70B">
            <w:pPr>
              <w:pStyle w:val="18"/>
              <w:spacing w:before="120" w:line="183" w:lineRule="auto"/>
              <w:ind w:left="4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5" w:type="dxa"/>
            <w:vAlign w:val="top"/>
          </w:tcPr>
          <w:p w14:paraId="5E21BD79">
            <w:pPr>
              <w:rPr>
                <w:rFonts w:hint="eastAsia" w:ascii="宋体" w:hAnsi="宋体" w:eastAsia="宋体" w:cs="宋体"/>
                <w:color w:val="auto"/>
                <w:sz w:val="21"/>
                <w:highlight w:val="none"/>
              </w:rPr>
            </w:pPr>
          </w:p>
        </w:tc>
        <w:tc>
          <w:tcPr>
            <w:tcW w:w="1085" w:type="dxa"/>
            <w:vAlign w:val="top"/>
          </w:tcPr>
          <w:p w14:paraId="0F6A7573">
            <w:pPr>
              <w:rPr>
                <w:rFonts w:hint="eastAsia" w:ascii="宋体" w:hAnsi="宋体" w:eastAsia="宋体" w:cs="宋体"/>
                <w:color w:val="auto"/>
                <w:sz w:val="21"/>
                <w:highlight w:val="none"/>
              </w:rPr>
            </w:pPr>
          </w:p>
        </w:tc>
        <w:tc>
          <w:tcPr>
            <w:tcW w:w="1085" w:type="dxa"/>
            <w:vAlign w:val="top"/>
          </w:tcPr>
          <w:p w14:paraId="3BEB5C0E">
            <w:pPr>
              <w:rPr>
                <w:rFonts w:hint="eastAsia" w:ascii="宋体" w:hAnsi="宋体" w:eastAsia="宋体" w:cs="宋体"/>
                <w:color w:val="auto"/>
                <w:sz w:val="21"/>
                <w:highlight w:val="none"/>
              </w:rPr>
            </w:pPr>
          </w:p>
        </w:tc>
        <w:tc>
          <w:tcPr>
            <w:tcW w:w="1205" w:type="dxa"/>
            <w:vAlign w:val="top"/>
          </w:tcPr>
          <w:p w14:paraId="36450B40">
            <w:pPr>
              <w:rPr>
                <w:rFonts w:hint="eastAsia" w:ascii="宋体" w:hAnsi="宋体" w:eastAsia="宋体" w:cs="宋体"/>
                <w:color w:val="auto"/>
                <w:sz w:val="21"/>
                <w:highlight w:val="none"/>
              </w:rPr>
            </w:pPr>
          </w:p>
        </w:tc>
        <w:tc>
          <w:tcPr>
            <w:tcW w:w="1325" w:type="dxa"/>
            <w:vAlign w:val="top"/>
          </w:tcPr>
          <w:p w14:paraId="788CE9DD">
            <w:pPr>
              <w:rPr>
                <w:rFonts w:hint="eastAsia" w:ascii="宋体" w:hAnsi="宋体" w:eastAsia="宋体" w:cs="宋体"/>
                <w:color w:val="auto"/>
                <w:sz w:val="21"/>
                <w:highlight w:val="none"/>
              </w:rPr>
            </w:pPr>
          </w:p>
        </w:tc>
        <w:tc>
          <w:tcPr>
            <w:tcW w:w="2590" w:type="dxa"/>
            <w:vAlign w:val="top"/>
          </w:tcPr>
          <w:p w14:paraId="6229FDDD">
            <w:pPr>
              <w:rPr>
                <w:rFonts w:hint="eastAsia" w:ascii="宋体" w:hAnsi="宋体" w:eastAsia="宋体" w:cs="宋体"/>
                <w:color w:val="auto"/>
                <w:sz w:val="21"/>
                <w:highlight w:val="none"/>
              </w:rPr>
            </w:pPr>
          </w:p>
        </w:tc>
      </w:tr>
      <w:tr w14:paraId="6CC51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089" w:type="dxa"/>
            <w:vAlign w:val="top"/>
          </w:tcPr>
          <w:p w14:paraId="0D184C3A">
            <w:pPr>
              <w:pStyle w:val="18"/>
              <w:spacing w:before="121" w:line="183" w:lineRule="auto"/>
              <w:ind w:left="4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5" w:type="dxa"/>
            <w:vAlign w:val="top"/>
          </w:tcPr>
          <w:p w14:paraId="7B280EC5">
            <w:pPr>
              <w:rPr>
                <w:rFonts w:hint="eastAsia" w:ascii="宋体" w:hAnsi="宋体" w:eastAsia="宋体" w:cs="宋体"/>
                <w:color w:val="auto"/>
                <w:sz w:val="21"/>
                <w:highlight w:val="none"/>
              </w:rPr>
            </w:pPr>
          </w:p>
        </w:tc>
        <w:tc>
          <w:tcPr>
            <w:tcW w:w="1085" w:type="dxa"/>
            <w:vAlign w:val="top"/>
          </w:tcPr>
          <w:p w14:paraId="57C648C2">
            <w:pPr>
              <w:rPr>
                <w:rFonts w:hint="eastAsia" w:ascii="宋体" w:hAnsi="宋体" w:eastAsia="宋体" w:cs="宋体"/>
                <w:color w:val="auto"/>
                <w:sz w:val="21"/>
                <w:highlight w:val="none"/>
              </w:rPr>
            </w:pPr>
          </w:p>
        </w:tc>
        <w:tc>
          <w:tcPr>
            <w:tcW w:w="1085" w:type="dxa"/>
            <w:vAlign w:val="top"/>
          </w:tcPr>
          <w:p w14:paraId="04055AEB">
            <w:pPr>
              <w:rPr>
                <w:rFonts w:hint="eastAsia" w:ascii="宋体" w:hAnsi="宋体" w:eastAsia="宋体" w:cs="宋体"/>
                <w:color w:val="auto"/>
                <w:sz w:val="21"/>
                <w:highlight w:val="none"/>
              </w:rPr>
            </w:pPr>
          </w:p>
        </w:tc>
        <w:tc>
          <w:tcPr>
            <w:tcW w:w="1205" w:type="dxa"/>
            <w:vAlign w:val="top"/>
          </w:tcPr>
          <w:p w14:paraId="7E53A50E">
            <w:pPr>
              <w:rPr>
                <w:rFonts w:hint="eastAsia" w:ascii="宋体" w:hAnsi="宋体" w:eastAsia="宋体" w:cs="宋体"/>
                <w:color w:val="auto"/>
                <w:sz w:val="21"/>
                <w:highlight w:val="none"/>
              </w:rPr>
            </w:pPr>
          </w:p>
        </w:tc>
        <w:tc>
          <w:tcPr>
            <w:tcW w:w="1325" w:type="dxa"/>
            <w:vAlign w:val="top"/>
          </w:tcPr>
          <w:p w14:paraId="0942EFF1">
            <w:pPr>
              <w:rPr>
                <w:rFonts w:hint="eastAsia" w:ascii="宋体" w:hAnsi="宋体" w:eastAsia="宋体" w:cs="宋体"/>
                <w:color w:val="auto"/>
                <w:sz w:val="21"/>
                <w:highlight w:val="none"/>
              </w:rPr>
            </w:pPr>
          </w:p>
        </w:tc>
        <w:tc>
          <w:tcPr>
            <w:tcW w:w="2590" w:type="dxa"/>
            <w:vAlign w:val="top"/>
          </w:tcPr>
          <w:p w14:paraId="64B2B36A">
            <w:pPr>
              <w:rPr>
                <w:rFonts w:hint="eastAsia" w:ascii="宋体" w:hAnsi="宋体" w:eastAsia="宋体" w:cs="宋体"/>
                <w:color w:val="auto"/>
                <w:sz w:val="21"/>
                <w:highlight w:val="none"/>
              </w:rPr>
            </w:pPr>
          </w:p>
        </w:tc>
      </w:tr>
      <w:tr w14:paraId="2FA08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089" w:type="dxa"/>
            <w:vAlign w:val="top"/>
          </w:tcPr>
          <w:p w14:paraId="5C66F685">
            <w:pPr>
              <w:pStyle w:val="18"/>
              <w:spacing w:before="122" w:line="183"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65" w:type="dxa"/>
            <w:vAlign w:val="top"/>
          </w:tcPr>
          <w:p w14:paraId="119C6B2B">
            <w:pPr>
              <w:rPr>
                <w:rFonts w:hint="eastAsia" w:ascii="宋体" w:hAnsi="宋体" w:eastAsia="宋体" w:cs="宋体"/>
                <w:color w:val="auto"/>
                <w:sz w:val="21"/>
                <w:highlight w:val="none"/>
              </w:rPr>
            </w:pPr>
          </w:p>
        </w:tc>
        <w:tc>
          <w:tcPr>
            <w:tcW w:w="1085" w:type="dxa"/>
            <w:vAlign w:val="top"/>
          </w:tcPr>
          <w:p w14:paraId="412A842D">
            <w:pPr>
              <w:rPr>
                <w:rFonts w:hint="eastAsia" w:ascii="宋体" w:hAnsi="宋体" w:eastAsia="宋体" w:cs="宋体"/>
                <w:color w:val="auto"/>
                <w:sz w:val="21"/>
                <w:highlight w:val="none"/>
              </w:rPr>
            </w:pPr>
          </w:p>
        </w:tc>
        <w:tc>
          <w:tcPr>
            <w:tcW w:w="1085" w:type="dxa"/>
            <w:vAlign w:val="top"/>
          </w:tcPr>
          <w:p w14:paraId="3F4D8477">
            <w:pPr>
              <w:rPr>
                <w:rFonts w:hint="eastAsia" w:ascii="宋体" w:hAnsi="宋体" w:eastAsia="宋体" w:cs="宋体"/>
                <w:color w:val="auto"/>
                <w:sz w:val="21"/>
                <w:highlight w:val="none"/>
              </w:rPr>
            </w:pPr>
          </w:p>
        </w:tc>
        <w:tc>
          <w:tcPr>
            <w:tcW w:w="1205" w:type="dxa"/>
            <w:vAlign w:val="top"/>
          </w:tcPr>
          <w:p w14:paraId="06699B95">
            <w:pPr>
              <w:rPr>
                <w:rFonts w:hint="eastAsia" w:ascii="宋体" w:hAnsi="宋体" w:eastAsia="宋体" w:cs="宋体"/>
                <w:color w:val="auto"/>
                <w:sz w:val="21"/>
                <w:highlight w:val="none"/>
              </w:rPr>
            </w:pPr>
          </w:p>
        </w:tc>
        <w:tc>
          <w:tcPr>
            <w:tcW w:w="1325" w:type="dxa"/>
            <w:vAlign w:val="top"/>
          </w:tcPr>
          <w:p w14:paraId="61A1D030">
            <w:pPr>
              <w:rPr>
                <w:rFonts w:hint="eastAsia" w:ascii="宋体" w:hAnsi="宋体" w:eastAsia="宋体" w:cs="宋体"/>
                <w:color w:val="auto"/>
                <w:sz w:val="21"/>
                <w:highlight w:val="none"/>
              </w:rPr>
            </w:pPr>
          </w:p>
        </w:tc>
        <w:tc>
          <w:tcPr>
            <w:tcW w:w="2590" w:type="dxa"/>
            <w:vAlign w:val="top"/>
          </w:tcPr>
          <w:p w14:paraId="6D166070">
            <w:pPr>
              <w:rPr>
                <w:rFonts w:hint="eastAsia" w:ascii="宋体" w:hAnsi="宋体" w:eastAsia="宋体" w:cs="宋体"/>
                <w:color w:val="auto"/>
                <w:sz w:val="21"/>
                <w:highlight w:val="none"/>
              </w:rPr>
            </w:pPr>
          </w:p>
        </w:tc>
      </w:tr>
    </w:tbl>
    <w:p w14:paraId="241D006F">
      <w:pPr>
        <w:spacing w:before="285" w:line="220" w:lineRule="auto"/>
        <w:ind w:left="44"/>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附表</w:t>
      </w:r>
      <w:r>
        <w:rPr>
          <w:rFonts w:hint="eastAsia" w:ascii="宋体" w:hAnsi="宋体" w:eastAsia="宋体" w:cs="宋体"/>
          <w:color w:val="auto"/>
          <w:spacing w:val="52"/>
          <w:sz w:val="22"/>
          <w:szCs w:val="22"/>
          <w:highlight w:val="none"/>
        </w:rPr>
        <w:t xml:space="preserve"> </w:t>
      </w:r>
      <w:r>
        <w:rPr>
          <w:rFonts w:hint="eastAsia" w:ascii="宋体" w:hAnsi="宋体" w:eastAsia="宋体" w:cs="宋体"/>
          <w:color w:val="auto"/>
          <w:spacing w:val="-2"/>
          <w:sz w:val="22"/>
          <w:szCs w:val="22"/>
          <w:highlight w:val="none"/>
        </w:rPr>
        <w:t>:相关项目业绩一览表(供应商同类项目合同、中标（成交）通知的原件扫描件)</w:t>
      </w:r>
    </w:p>
    <w:p w14:paraId="3A310064">
      <w:pPr>
        <w:spacing w:before="24" w:line="230" w:lineRule="auto"/>
        <w:ind w:left="27"/>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注：供应商可按上述的格式自行编制，须随表提交相应的合同</w:t>
      </w:r>
      <w:r>
        <w:rPr>
          <w:rFonts w:hint="eastAsia" w:ascii="宋体" w:hAnsi="宋体" w:eastAsia="宋体" w:cs="宋体"/>
          <w:color w:val="auto"/>
          <w:spacing w:val="-2"/>
          <w:sz w:val="22"/>
          <w:szCs w:val="22"/>
          <w:highlight w:val="none"/>
          <w:lang w:val="en-US" w:eastAsia="zh-CN"/>
        </w:rPr>
        <w:t>或</w:t>
      </w:r>
      <w:r>
        <w:rPr>
          <w:rFonts w:hint="eastAsia" w:ascii="宋体" w:hAnsi="宋体" w:eastAsia="宋体" w:cs="宋体"/>
          <w:color w:val="auto"/>
          <w:spacing w:val="-2"/>
          <w:sz w:val="22"/>
          <w:szCs w:val="22"/>
          <w:highlight w:val="none"/>
        </w:rPr>
        <w:t>中标（成交）通知书扫描件并注明所在响</w:t>
      </w:r>
      <w:r>
        <w:rPr>
          <w:rFonts w:hint="eastAsia" w:ascii="宋体" w:hAnsi="宋体" w:eastAsia="宋体" w:cs="宋体"/>
          <w:color w:val="auto"/>
          <w:spacing w:val="-1"/>
          <w:sz w:val="22"/>
          <w:szCs w:val="22"/>
          <w:highlight w:val="none"/>
        </w:rPr>
        <w:t>应文件中的页码。</w:t>
      </w:r>
    </w:p>
    <w:p w14:paraId="25A8D2D0">
      <w:pPr>
        <w:pStyle w:val="4"/>
        <w:spacing w:line="259" w:lineRule="auto"/>
        <w:rPr>
          <w:rFonts w:hint="eastAsia" w:ascii="宋体" w:hAnsi="宋体" w:eastAsia="宋体" w:cs="宋体"/>
          <w:color w:val="auto"/>
          <w:highlight w:val="none"/>
        </w:rPr>
      </w:pPr>
    </w:p>
    <w:p w14:paraId="014665C0">
      <w:pPr>
        <w:pStyle w:val="4"/>
        <w:spacing w:line="259" w:lineRule="auto"/>
        <w:rPr>
          <w:rFonts w:hint="eastAsia" w:ascii="宋体" w:hAnsi="宋体" w:eastAsia="宋体" w:cs="宋体"/>
          <w:color w:val="auto"/>
          <w:highlight w:val="none"/>
        </w:rPr>
      </w:pPr>
    </w:p>
    <w:p w14:paraId="0D710DA7">
      <w:pPr>
        <w:pStyle w:val="4"/>
        <w:spacing w:line="259" w:lineRule="auto"/>
        <w:rPr>
          <w:rFonts w:hint="eastAsia" w:ascii="宋体" w:hAnsi="宋体" w:eastAsia="宋体" w:cs="宋体"/>
          <w:color w:val="auto"/>
          <w:highlight w:val="none"/>
        </w:rPr>
      </w:pPr>
    </w:p>
    <w:p w14:paraId="66AAE07D">
      <w:pPr>
        <w:pStyle w:val="4"/>
        <w:spacing w:line="259" w:lineRule="auto"/>
        <w:rPr>
          <w:rFonts w:hint="eastAsia" w:ascii="宋体" w:hAnsi="宋体" w:eastAsia="宋体" w:cs="宋体"/>
          <w:color w:val="auto"/>
          <w:highlight w:val="none"/>
        </w:rPr>
      </w:pPr>
    </w:p>
    <w:p w14:paraId="24781034">
      <w:pPr>
        <w:pStyle w:val="4"/>
        <w:spacing w:line="259" w:lineRule="auto"/>
        <w:rPr>
          <w:rFonts w:hint="eastAsia" w:ascii="宋体" w:hAnsi="宋体" w:eastAsia="宋体" w:cs="宋体"/>
          <w:color w:val="auto"/>
          <w:highlight w:val="none"/>
        </w:rPr>
      </w:pPr>
    </w:p>
    <w:p w14:paraId="41744699">
      <w:pPr>
        <w:spacing w:before="71" w:line="220" w:lineRule="auto"/>
        <w:ind w:left="4743"/>
        <w:jc w:val="right"/>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供应商名称(</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1"/>
          <w:sz w:val="22"/>
          <w:szCs w:val="22"/>
          <w:highlight w:val="none"/>
        </w:rPr>
        <w:t>电子签章 )：</w:t>
      </w:r>
    </w:p>
    <w:p w14:paraId="723A0DC8">
      <w:pPr>
        <w:spacing w:before="74" w:line="221" w:lineRule="auto"/>
        <w:ind w:left="4716"/>
        <w:jc w:val="right"/>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8"/>
          <w:sz w:val="22"/>
          <w:szCs w:val="22"/>
          <w:highlight w:val="none"/>
        </w:rPr>
        <w:t>期</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18"/>
          <w:sz w:val="22"/>
          <w:szCs w:val="22"/>
          <w:highlight w:val="none"/>
        </w:rPr>
        <w:t>日</w:t>
      </w:r>
    </w:p>
    <w:p w14:paraId="2286C013">
      <w:pPr>
        <w:pStyle w:val="4"/>
        <w:spacing w:line="269" w:lineRule="auto"/>
        <w:jc w:val="right"/>
        <w:rPr>
          <w:rFonts w:hint="eastAsia" w:ascii="宋体" w:hAnsi="宋体" w:eastAsia="宋体" w:cs="宋体"/>
          <w:color w:val="auto"/>
          <w:highlight w:val="none"/>
        </w:rPr>
      </w:pPr>
    </w:p>
    <w:p w14:paraId="639A3586">
      <w:pPr>
        <w:pStyle w:val="4"/>
        <w:spacing w:line="270" w:lineRule="auto"/>
        <w:rPr>
          <w:rFonts w:hint="eastAsia" w:ascii="宋体" w:hAnsi="宋体" w:eastAsia="宋体" w:cs="宋体"/>
          <w:color w:val="auto"/>
          <w:highlight w:val="none"/>
        </w:rPr>
      </w:pPr>
    </w:p>
    <w:p w14:paraId="11952A00">
      <w:pPr>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br w:type="page"/>
      </w:r>
    </w:p>
    <w:p w14:paraId="31A7777D">
      <w:pPr>
        <w:spacing w:before="91" w:line="221" w:lineRule="auto"/>
        <w:ind w:left="36"/>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7、项目</w:t>
      </w:r>
      <w:r>
        <w:rPr>
          <w:rFonts w:hint="eastAsia" w:ascii="宋体" w:hAnsi="宋体" w:eastAsia="宋体" w:cs="宋体"/>
          <w:b/>
          <w:bCs/>
          <w:color w:val="auto"/>
          <w:spacing w:val="-4"/>
          <w:sz w:val="28"/>
          <w:szCs w:val="28"/>
          <w:highlight w:val="none"/>
          <w:lang w:val="en-US" w:eastAsia="zh-CN"/>
        </w:rPr>
        <w:t>团队</w:t>
      </w:r>
      <w:r>
        <w:rPr>
          <w:rFonts w:hint="eastAsia" w:ascii="宋体" w:hAnsi="宋体" w:eastAsia="宋体" w:cs="宋体"/>
          <w:b/>
          <w:bCs/>
          <w:color w:val="auto"/>
          <w:spacing w:val="-4"/>
          <w:sz w:val="28"/>
          <w:szCs w:val="28"/>
          <w:highlight w:val="none"/>
        </w:rPr>
        <w:t>人员一览表</w:t>
      </w:r>
    </w:p>
    <w:p w14:paraId="4F594371">
      <w:pPr>
        <w:pStyle w:val="4"/>
        <w:spacing w:line="466" w:lineRule="auto"/>
        <w:rPr>
          <w:rFonts w:hint="eastAsia" w:ascii="宋体" w:hAnsi="宋体" w:eastAsia="宋体" w:cs="宋体"/>
          <w:color w:val="auto"/>
          <w:highlight w:val="none"/>
        </w:rPr>
      </w:pPr>
    </w:p>
    <w:p w14:paraId="5A4E4FBD">
      <w:pPr>
        <w:spacing w:before="91" w:line="221" w:lineRule="auto"/>
        <w:ind w:left="4066"/>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项目</w:t>
      </w:r>
      <w:r>
        <w:rPr>
          <w:rFonts w:hint="eastAsia" w:ascii="宋体" w:hAnsi="宋体" w:eastAsia="宋体" w:cs="宋体"/>
          <w:b/>
          <w:bCs/>
          <w:color w:val="auto"/>
          <w:spacing w:val="-4"/>
          <w:sz w:val="28"/>
          <w:szCs w:val="28"/>
          <w:highlight w:val="none"/>
          <w:lang w:val="en-US" w:eastAsia="zh-CN"/>
        </w:rPr>
        <w:t>团队</w:t>
      </w:r>
      <w:r>
        <w:rPr>
          <w:rFonts w:hint="eastAsia" w:ascii="宋体" w:hAnsi="宋体" w:eastAsia="宋体" w:cs="宋体"/>
          <w:b/>
          <w:bCs/>
          <w:color w:val="auto"/>
          <w:spacing w:val="-4"/>
          <w:sz w:val="28"/>
          <w:szCs w:val="28"/>
          <w:highlight w:val="none"/>
        </w:rPr>
        <w:t>人员一览表</w:t>
      </w:r>
    </w:p>
    <w:p w14:paraId="760071A4">
      <w:pPr>
        <w:spacing w:before="27" w:line="220" w:lineRule="auto"/>
        <w:ind w:left="2428"/>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71"/>
          <w:sz w:val="22"/>
          <w:szCs w:val="22"/>
          <w:highlight w:val="none"/>
        </w:rPr>
        <w:t xml:space="preserve"> </w:t>
      </w:r>
      <w:r>
        <w:rPr>
          <w:rFonts w:hint="eastAsia" w:ascii="宋体" w:hAnsi="宋体" w:eastAsia="宋体" w:cs="宋体"/>
          <w:color w:val="auto"/>
          <w:spacing w:val="8"/>
          <w:sz w:val="22"/>
          <w:szCs w:val="22"/>
          <w:highlight w:val="none"/>
        </w:rPr>
        <w:t>由供应商根据采购需求及采购文件要求编制)</w:t>
      </w:r>
    </w:p>
    <w:p w14:paraId="34CD8349">
      <w:pPr>
        <w:spacing w:before="2"/>
        <w:rPr>
          <w:rFonts w:hint="eastAsia" w:ascii="宋体" w:hAnsi="宋体" w:eastAsia="宋体" w:cs="宋体"/>
          <w:color w:val="auto"/>
          <w:highlight w:val="none"/>
        </w:rPr>
      </w:pPr>
    </w:p>
    <w:p w14:paraId="76AA6120">
      <w:pPr>
        <w:spacing w:before="1"/>
        <w:rPr>
          <w:rFonts w:hint="eastAsia" w:ascii="宋体" w:hAnsi="宋体" w:eastAsia="宋体" w:cs="宋体"/>
          <w:color w:val="auto"/>
          <w:highlight w:val="none"/>
        </w:rPr>
      </w:pPr>
    </w:p>
    <w:tbl>
      <w:tblPr>
        <w:tblStyle w:val="17"/>
        <w:tblW w:w="9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2042"/>
        <w:gridCol w:w="1578"/>
        <w:gridCol w:w="1578"/>
        <w:gridCol w:w="1578"/>
        <w:gridCol w:w="1583"/>
      </w:tblGrid>
      <w:tr w14:paraId="2289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19" w:type="dxa"/>
            <w:vAlign w:val="top"/>
          </w:tcPr>
          <w:p w14:paraId="2EAA1887">
            <w:pPr>
              <w:pStyle w:val="18"/>
              <w:spacing w:before="300" w:line="222" w:lineRule="auto"/>
              <w:ind w:left="484"/>
              <w:rPr>
                <w:rFonts w:hint="eastAsia" w:ascii="宋体" w:hAnsi="宋体" w:eastAsia="宋体" w:cs="宋体"/>
                <w:color w:val="auto"/>
                <w:highlight w:val="none"/>
              </w:rPr>
            </w:pPr>
            <w:r>
              <w:rPr>
                <w:rFonts w:hint="eastAsia" w:ascii="宋体" w:hAnsi="宋体" w:eastAsia="宋体" w:cs="宋体"/>
                <w:color w:val="auto"/>
                <w:spacing w:val="-3"/>
                <w:highlight w:val="none"/>
              </w:rPr>
              <w:t>序号</w:t>
            </w:r>
          </w:p>
        </w:tc>
        <w:tc>
          <w:tcPr>
            <w:tcW w:w="2042" w:type="dxa"/>
            <w:vAlign w:val="top"/>
          </w:tcPr>
          <w:p w14:paraId="43C26DAF">
            <w:pPr>
              <w:pStyle w:val="18"/>
              <w:spacing w:before="299" w:line="221" w:lineRule="auto"/>
              <w:ind w:left="482"/>
              <w:rPr>
                <w:rFonts w:hint="eastAsia" w:ascii="宋体" w:hAnsi="宋体" w:eastAsia="宋体" w:cs="宋体"/>
                <w:color w:val="auto"/>
                <w:highlight w:val="none"/>
              </w:rPr>
            </w:pPr>
            <w:r>
              <w:rPr>
                <w:rFonts w:hint="eastAsia" w:ascii="宋体" w:hAnsi="宋体" w:eastAsia="宋体" w:cs="宋体"/>
                <w:color w:val="auto"/>
                <w:spacing w:val="-4"/>
                <w:highlight w:val="none"/>
              </w:rPr>
              <w:t>姓名</w:t>
            </w:r>
          </w:p>
        </w:tc>
        <w:tc>
          <w:tcPr>
            <w:tcW w:w="1578" w:type="dxa"/>
            <w:vAlign w:val="top"/>
          </w:tcPr>
          <w:p w14:paraId="1E5042CE">
            <w:pPr>
              <w:pStyle w:val="18"/>
              <w:spacing w:before="299" w:line="221" w:lineRule="auto"/>
              <w:ind w:left="482"/>
              <w:rPr>
                <w:rFonts w:hint="eastAsia" w:ascii="宋体" w:hAnsi="宋体" w:eastAsia="宋体" w:cs="宋体"/>
                <w:color w:val="auto"/>
                <w:highlight w:val="none"/>
              </w:rPr>
            </w:pPr>
            <w:r>
              <w:rPr>
                <w:rFonts w:hint="eastAsia" w:ascii="宋体" w:hAnsi="宋体" w:eastAsia="宋体" w:cs="宋体"/>
                <w:color w:val="auto"/>
                <w:spacing w:val="-4"/>
                <w:highlight w:val="none"/>
              </w:rPr>
              <w:t>年龄</w:t>
            </w:r>
          </w:p>
        </w:tc>
        <w:tc>
          <w:tcPr>
            <w:tcW w:w="1578" w:type="dxa"/>
            <w:vAlign w:val="top"/>
          </w:tcPr>
          <w:p w14:paraId="1992E297">
            <w:pPr>
              <w:pStyle w:val="18"/>
              <w:spacing w:before="299" w:line="222" w:lineRule="auto"/>
              <w:ind w:left="482"/>
              <w:rPr>
                <w:rFonts w:hint="eastAsia" w:ascii="宋体" w:hAnsi="宋体" w:eastAsia="宋体" w:cs="宋体"/>
                <w:color w:val="auto"/>
                <w:highlight w:val="none"/>
              </w:rPr>
            </w:pPr>
            <w:r>
              <w:rPr>
                <w:rFonts w:hint="eastAsia" w:ascii="宋体" w:hAnsi="宋体" w:eastAsia="宋体" w:cs="宋体"/>
                <w:color w:val="auto"/>
                <w:spacing w:val="-4"/>
                <w:highlight w:val="none"/>
              </w:rPr>
              <w:t>性别</w:t>
            </w:r>
          </w:p>
        </w:tc>
        <w:tc>
          <w:tcPr>
            <w:tcW w:w="1578" w:type="dxa"/>
            <w:vAlign w:val="top"/>
          </w:tcPr>
          <w:p w14:paraId="07D76002">
            <w:pPr>
              <w:pStyle w:val="18"/>
              <w:spacing w:before="299" w:line="222" w:lineRule="auto"/>
              <w:ind w:left="508"/>
              <w:rPr>
                <w:rFonts w:hint="eastAsia" w:ascii="宋体" w:hAnsi="宋体" w:eastAsia="宋体" w:cs="宋体"/>
                <w:color w:val="auto"/>
                <w:highlight w:val="none"/>
              </w:rPr>
            </w:pPr>
            <w:r>
              <w:rPr>
                <w:rFonts w:hint="eastAsia" w:ascii="宋体" w:hAnsi="宋体" w:eastAsia="宋体" w:cs="宋体"/>
                <w:color w:val="auto"/>
                <w:spacing w:val="-16"/>
                <w:highlight w:val="none"/>
              </w:rPr>
              <w:t>岗位</w:t>
            </w:r>
          </w:p>
        </w:tc>
        <w:tc>
          <w:tcPr>
            <w:tcW w:w="1583" w:type="dxa"/>
            <w:vAlign w:val="top"/>
          </w:tcPr>
          <w:p w14:paraId="6D6BB1DA">
            <w:pPr>
              <w:pStyle w:val="18"/>
              <w:spacing w:before="157" w:line="230" w:lineRule="auto"/>
              <w:ind w:left="611" w:right="145" w:hanging="454"/>
              <w:rPr>
                <w:rFonts w:hint="eastAsia" w:ascii="宋体" w:hAnsi="宋体" w:eastAsia="宋体" w:cs="宋体"/>
                <w:color w:val="auto"/>
                <w:highlight w:val="none"/>
              </w:rPr>
            </w:pPr>
            <w:r>
              <w:rPr>
                <w:rFonts w:hint="eastAsia" w:ascii="宋体" w:hAnsi="宋体" w:eastAsia="宋体" w:cs="宋体"/>
                <w:color w:val="auto"/>
                <w:spacing w:val="-2"/>
                <w:highlight w:val="none"/>
              </w:rPr>
              <w:t>从事工作年</w:t>
            </w:r>
            <w:r>
              <w:rPr>
                <w:rFonts w:hint="eastAsia" w:ascii="宋体" w:hAnsi="宋体" w:eastAsia="宋体" w:cs="宋体"/>
                <w:color w:val="auto"/>
                <w:highlight w:val="none"/>
              </w:rPr>
              <w:t xml:space="preserve"> 限</w:t>
            </w:r>
          </w:p>
        </w:tc>
      </w:tr>
      <w:tr w14:paraId="6275E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19" w:type="dxa"/>
            <w:vAlign w:val="top"/>
          </w:tcPr>
          <w:p w14:paraId="3A409C1C">
            <w:pPr>
              <w:pStyle w:val="18"/>
              <w:spacing w:before="124" w:line="184" w:lineRule="auto"/>
              <w:ind w:left="667"/>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42" w:type="dxa"/>
            <w:vAlign w:val="top"/>
          </w:tcPr>
          <w:p w14:paraId="498AA4B9">
            <w:pPr>
              <w:rPr>
                <w:rFonts w:hint="eastAsia" w:ascii="宋体" w:hAnsi="宋体" w:eastAsia="宋体" w:cs="宋体"/>
                <w:color w:val="auto"/>
                <w:sz w:val="21"/>
                <w:highlight w:val="none"/>
              </w:rPr>
            </w:pPr>
          </w:p>
        </w:tc>
        <w:tc>
          <w:tcPr>
            <w:tcW w:w="1578" w:type="dxa"/>
            <w:vAlign w:val="top"/>
          </w:tcPr>
          <w:p w14:paraId="0872DAC6">
            <w:pPr>
              <w:rPr>
                <w:rFonts w:hint="eastAsia" w:ascii="宋体" w:hAnsi="宋体" w:eastAsia="宋体" w:cs="宋体"/>
                <w:color w:val="auto"/>
                <w:sz w:val="21"/>
                <w:highlight w:val="none"/>
              </w:rPr>
            </w:pPr>
          </w:p>
        </w:tc>
        <w:tc>
          <w:tcPr>
            <w:tcW w:w="1578" w:type="dxa"/>
            <w:vAlign w:val="top"/>
          </w:tcPr>
          <w:p w14:paraId="4D8724D8">
            <w:pPr>
              <w:rPr>
                <w:rFonts w:hint="eastAsia" w:ascii="宋体" w:hAnsi="宋体" w:eastAsia="宋体" w:cs="宋体"/>
                <w:color w:val="auto"/>
                <w:sz w:val="21"/>
                <w:highlight w:val="none"/>
              </w:rPr>
            </w:pPr>
          </w:p>
        </w:tc>
        <w:tc>
          <w:tcPr>
            <w:tcW w:w="1578" w:type="dxa"/>
            <w:vAlign w:val="top"/>
          </w:tcPr>
          <w:p w14:paraId="6E23924D">
            <w:pPr>
              <w:rPr>
                <w:rFonts w:hint="eastAsia" w:ascii="宋体" w:hAnsi="宋体" w:eastAsia="宋体" w:cs="宋体"/>
                <w:color w:val="auto"/>
                <w:sz w:val="21"/>
                <w:highlight w:val="none"/>
              </w:rPr>
            </w:pPr>
          </w:p>
        </w:tc>
        <w:tc>
          <w:tcPr>
            <w:tcW w:w="1583" w:type="dxa"/>
            <w:vAlign w:val="top"/>
          </w:tcPr>
          <w:p w14:paraId="7A602787">
            <w:pPr>
              <w:rPr>
                <w:rFonts w:hint="eastAsia" w:ascii="宋体" w:hAnsi="宋体" w:eastAsia="宋体" w:cs="宋体"/>
                <w:color w:val="auto"/>
                <w:sz w:val="21"/>
                <w:highlight w:val="none"/>
              </w:rPr>
            </w:pPr>
          </w:p>
        </w:tc>
      </w:tr>
      <w:tr w14:paraId="0E63E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19" w:type="dxa"/>
            <w:vAlign w:val="top"/>
          </w:tcPr>
          <w:p w14:paraId="5EC4D49B">
            <w:pPr>
              <w:pStyle w:val="18"/>
              <w:spacing w:before="125" w:line="184" w:lineRule="auto"/>
              <w:ind w:left="654"/>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42" w:type="dxa"/>
            <w:vAlign w:val="top"/>
          </w:tcPr>
          <w:p w14:paraId="1E0513A9">
            <w:pPr>
              <w:rPr>
                <w:rFonts w:hint="eastAsia" w:ascii="宋体" w:hAnsi="宋体" w:eastAsia="宋体" w:cs="宋体"/>
                <w:color w:val="auto"/>
                <w:sz w:val="21"/>
                <w:highlight w:val="none"/>
              </w:rPr>
            </w:pPr>
          </w:p>
        </w:tc>
        <w:tc>
          <w:tcPr>
            <w:tcW w:w="1578" w:type="dxa"/>
            <w:vAlign w:val="top"/>
          </w:tcPr>
          <w:p w14:paraId="140F0A75">
            <w:pPr>
              <w:rPr>
                <w:rFonts w:hint="eastAsia" w:ascii="宋体" w:hAnsi="宋体" w:eastAsia="宋体" w:cs="宋体"/>
                <w:color w:val="auto"/>
                <w:sz w:val="21"/>
                <w:highlight w:val="none"/>
              </w:rPr>
            </w:pPr>
          </w:p>
        </w:tc>
        <w:tc>
          <w:tcPr>
            <w:tcW w:w="1578" w:type="dxa"/>
            <w:vAlign w:val="top"/>
          </w:tcPr>
          <w:p w14:paraId="14A1BD06">
            <w:pPr>
              <w:rPr>
                <w:rFonts w:hint="eastAsia" w:ascii="宋体" w:hAnsi="宋体" w:eastAsia="宋体" w:cs="宋体"/>
                <w:color w:val="auto"/>
                <w:sz w:val="21"/>
                <w:highlight w:val="none"/>
              </w:rPr>
            </w:pPr>
          </w:p>
        </w:tc>
        <w:tc>
          <w:tcPr>
            <w:tcW w:w="1578" w:type="dxa"/>
            <w:vAlign w:val="top"/>
          </w:tcPr>
          <w:p w14:paraId="540EF8F5">
            <w:pPr>
              <w:rPr>
                <w:rFonts w:hint="eastAsia" w:ascii="宋体" w:hAnsi="宋体" w:eastAsia="宋体" w:cs="宋体"/>
                <w:color w:val="auto"/>
                <w:sz w:val="21"/>
                <w:highlight w:val="none"/>
              </w:rPr>
            </w:pPr>
          </w:p>
        </w:tc>
        <w:tc>
          <w:tcPr>
            <w:tcW w:w="1583" w:type="dxa"/>
            <w:vAlign w:val="top"/>
          </w:tcPr>
          <w:p w14:paraId="4F7DCBBF">
            <w:pPr>
              <w:rPr>
                <w:rFonts w:hint="eastAsia" w:ascii="宋体" w:hAnsi="宋体" w:eastAsia="宋体" w:cs="宋体"/>
                <w:color w:val="auto"/>
                <w:sz w:val="21"/>
                <w:highlight w:val="none"/>
              </w:rPr>
            </w:pPr>
          </w:p>
        </w:tc>
      </w:tr>
      <w:tr w14:paraId="2D1D3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19" w:type="dxa"/>
            <w:vAlign w:val="top"/>
          </w:tcPr>
          <w:p w14:paraId="7ADB70EF">
            <w:pPr>
              <w:pStyle w:val="18"/>
              <w:spacing w:before="124" w:line="184" w:lineRule="auto"/>
              <w:ind w:left="655"/>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42" w:type="dxa"/>
            <w:vAlign w:val="top"/>
          </w:tcPr>
          <w:p w14:paraId="11C07696">
            <w:pPr>
              <w:rPr>
                <w:rFonts w:hint="eastAsia" w:ascii="宋体" w:hAnsi="宋体" w:eastAsia="宋体" w:cs="宋体"/>
                <w:color w:val="auto"/>
                <w:sz w:val="21"/>
                <w:highlight w:val="none"/>
              </w:rPr>
            </w:pPr>
          </w:p>
        </w:tc>
        <w:tc>
          <w:tcPr>
            <w:tcW w:w="1578" w:type="dxa"/>
            <w:vAlign w:val="top"/>
          </w:tcPr>
          <w:p w14:paraId="2706AB90">
            <w:pPr>
              <w:rPr>
                <w:rFonts w:hint="eastAsia" w:ascii="宋体" w:hAnsi="宋体" w:eastAsia="宋体" w:cs="宋体"/>
                <w:color w:val="auto"/>
                <w:sz w:val="21"/>
                <w:highlight w:val="none"/>
              </w:rPr>
            </w:pPr>
          </w:p>
        </w:tc>
        <w:tc>
          <w:tcPr>
            <w:tcW w:w="1578" w:type="dxa"/>
            <w:vAlign w:val="top"/>
          </w:tcPr>
          <w:p w14:paraId="13EC1BF7">
            <w:pPr>
              <w:rPr>
                <w:rFonts w:hint="eastAsia" w:ascii="宋体" w:hAnsi="宋体" w:eastAsia="宋体" w:cs="宋体"/>
                <w:color w:val="auto"/>
                <w:sz w:val="21"/>
                <w:highlight w:val="none"/>
              </w:rPr>
            </w:pPr>
          </w:p>
        </w:tc>
        <w:tc>
          <w:tcPr>
            <w:tcW w:w="1578" w:type="dxa"/>
            <w:vAlign w:val="top"/>
          </w:tcPr>
          <w:p w14:paraId="34DD84B5">
            <w:pPr>
              <w:rPr>
                <w:rFonts w:hint="eastAsia" w:ascii="宋体" w:hAnsi="宋体" w:eastAsia="宋体" w:cs="宋体"/>
                <w:color w:val="auto"/>
                <w:sz w:val="21"/>
                <w:highlight w:val="none"/>
              </w:rPr>
            </w:pPr>
          </w:p>
        </w:tc>
        <w:tc>
          <w:tcPr>
            <w:tcW w:w="1583" w:type="dxa"/>
            <w:vAlign w:val="top"/>
          </w:tcPr>
          <w:p w14:paraId="7061B430">
            <w:pPr>
              <w:rPr>
                <w:rFonts w:hint="eastAsia" w:ascii="宋体" w:hAnsi="宋体" w:eastAsia="宋体" w:cs="宋体"/>
                <w:color w:val="auto"/>
                <w:sz w:val="21"/>
                <w:highlight w:val="none"/>
              </w:rPr>
            </w:pPr>
          </w:p>
        </w:tc>
      </w:tr>
      <w:tr w14:paraId="4139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19" w:type="dxa"/>
            <w:vAlign w:val="top"/>
          </w:tcPr>
          <w:p w14:paraId="0E0E26AC">
            <w:pPr>
              <w:pStyle w:val="18"/>
              <w:spacing w:before="256" w:line="90" w:lineRule="exact"/>
              <w:ind w:left="546"/>
              <w:rPr>
                <w:rFonts w:hint="eastAsia" w:ascii="宋体" w:hAnsi="宋体" w:eastAsia="宋体" w:cs="宋体"/>
                <w:color w:val="auto"/>
                <w:highlight w:val="none"/>
              </w:rPr>
            </w:pPr>
            <w:r>
              <w:rPr>
                <w:rFonts w:hint="eastAsia" w:ascii="宋体" w:hAnsi="宋体" w:eastAsia="宋体" w:cs="宋体"/>
                <w:color w:val="auto"/>
                <w:position w:val="1"/>
                <w:highlight w:val="none"/>
              </w:rPr>
              <w:t>...</w:t>
            </w:r>
          </w:p>
        </w:tc>
        <w:tc>
          <w:tcPr>
            <w:tcW w:w="2042" w:type="dxa"/>
            <w:vAlign w:val="top"/>
          </w:tcPr>
          <w:p w14:paraId="451D7012">
            <w:pPr>
              <w:rPr>
                <w:rFonts w:hint="eastAsia" w:ascii="宋体" w:hAnsi="宋体" w:eastAsia="宋体" w:cs="宋体"/>
                <w:color w:val="auto"/>
                <w:sz w:val="21"/>
                <w:highlight w:val="none"/>
              </w:rPr>
            </w:pPr>
          </w:p>
        </w:tc>
        <w:tc>
          <w:tcPr>
            <w:tcW w:w="1578" w:type="dxa"/>
            <w:vAlign w:val="top"/>
          </w:tcPr>
          <w:p w14:paraId="5200F015">
            <w:pPr>
              <w:rPr>
                <w:rFonts w:hint="eastAsia" w:ascii="宋体" w:hAnsi="宋体" w:eastAsia="宋体" w:cs="宋体"/>
                <w:color w:val="auto"/>
                <w:sz w:val="21"/>
                <w:highlight w:val="none"/>
              </w:rPr>
            </w:pPr>
          </w:p>
        </w:tc>
        <w:tc>
          <w:tcPr>
            <w:tcW w:w="1578" w:type="dxa"/>
            <w:vAlign w:val="top"/>
          </w:tcPr>
          <w:p w14:paraId="7232B67B">
            <w:pPr>
              <w:rPr>
                <w:rFonts w:hint="eastAsia" w:ascii="宋体" w:hAnsi="宋体" w:eastAsia="宋体" w:cs="宋体"/>
                <w:color w:val="auto"/>
                <w:sz w:val="21"/>
                <w:highlight w:val="none"/>
              </w:rPr>
            </w:pPr>
          </w:p>
        </w:tc>
        <w:tc>
          <w:tcPr>
            <w:tcW w:w="1578" w:type="dxa"/>
            <w:vAlign w:val="top"/>
          </w:tcPr>
          <w:p w14:paraId="2FC68A27">
            <w:pPr>
              <w:rPr>
                <w:rFonts w:hint="eastAsia" w:ascii="宋体" w:hAnsi="宋体" w:eastAsia="宋体" w:cs="宋体"/>
                <w:color w:val="auto"/>
                <w:sz w:val="21"/>
                <w:highlight w:val="none"/>
              </w:rPr>
            </w:pPr>
          </w:p>
        </w:tc>
        <w:tc>
          <w:tcPr>
            <w:tcW w:w="1583" w:type="dxa"/>
            <w:vAlign w:val="top"/>
          </w:tcPr>
          <w:p w14:paraId="25727AFF">
            <w:pPr>
              <w:rPr>
                <w:rFonts w:hint="eastAsia" w:ascii="宋体" w:hAnsi="宋体" w:eastAsia="宋体" w:cs="宋体"/>
                <w:color w:val="auto"/>
                <w:sz w:val="21"/>
                <w:highlight w:val="none"/>
              </w:rPr>
            </w:pPr>
          </w:p>
        </w:tc>
      </w:tr>
      <w:tr w14:paraId="68F9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19" w:type="dxa"/>
            <w:vAlign w:val="top"/>
          </w:tcPr>
          <w:p w14:paraId="559B217D">
            <w:pPr>
              <w:rPr>
                <w:rFonts w:hint="eastAsia" w:ascii="宋体" w:hAnsi="宋体" w:eastAsia="宋体" w:cs="宋体"/>
                <w:color w:val="auto"/>
                <w:sz w:val="21"/>
                <w:highlight w:val="none"/>
              </w:rPr>
            </w:pPr>
          </w:p>
        </w:tc>
        <w:tc>
          <w:tcPr>
            <w:tcW w:w="2042" w:type="dxa"/>
            <w:vAlign w:val="top"/>
          </w:tcPr>
          <w:p w14:paraId="46E2D5F5">
            <w:pPr>
              <w:rPr>
                <w:rFonts w:hint="eastAsia" w:ascii="宋体" w:hAnsi="宋体" w:eastAsia="宋体" w:cs="宋体"/>
                <w:color w:val="auto"/>
                <w:sz w:val="21"/>
                <w:highlight w:val="none"/>
              </w:rPr>
            </w:pPr>
          </w:p>
        </w:tc>
        <w:tc>
          <w:tcPr>
            <w:tcW w:w="1578" w:type="dxa"/>
            <w:vAlign w:val="top"/>
          </w:tcPr>
          <w:p w14:paraId="245C777C">
            <w:pPr>
              <w:rPr>
                <w:rFonts w:hint="eastAsia" w:ascii="宋体" w:hAnsi="宋体" w:eastAsia="宋体" w:cs="宋体"/>
                <w:color w:val="auto"/>
                <w:sz w:val="21"/>
                <w:highlight w:val="none"/>
              </w:rPr>
            </w:pPr>
          </w:p>
        </w:tc>
        <w:tc>
          <w:tcPr>
            <w:tcW w:w="1578" w:type="dxa"/>
            <w:vAlign w:val="top"/>
          </w:tcPr>
          <w:p w14:paraId="2787E23E">
            <w:pPr>
              <w:rPr>
                <w:rFonts w:hint="eastAsia" w:ascii="宋体" w:hAnsi="宋体" w:eastAsia="宋体" w:cs="宋体"/>
                <w:color w:val="auto"/>
                <w:sz w:val="21"/>
                <w:highlight w:val="none"/>
              </w:rPr>
            </w:pPr>
          </w:p>
        </w:tc>
        <w:tc>
          <w:tcPr>
            <w:tcW w:w="1578" w:type="dxa"/>
            <w:vAlign w:val="top"/>
          </w:tcPr>
          <w:p w14:paraId="009A61C7">
            <w:pPr>
              <w:rPr>
                <w:rFonts w:hint="eastAsia" w:ascii="宋体" w:hAnsi="宋体" w:eastAsia="宋体" w:cs="宋体"/>
                <w:color w:val="auto"/>
                <w:sz w:val="21"/>
                <w:highlight w:val="none"/>
              </w:rPr>
            </w:pPr>
          </w:p>
        </w:tc>
        <w:tc>
          <w:tcPr>
            <w:tcW w:w="1583" w:type="dxa"/>
            <w:vAlign w:val="top"/>
          </w:tcPr>
          <w:p w14:paraId="099B09BD">
            <w:pPr>
              <w:rPr>
                <w:rFonts w:hint="eastAsia" w:ascii="宋体" w:hAnsi="宋体" w:eastAsia="宋体" w:cs="宋体"/>
                <w:color w:val="auto"/>
                <w:sz w:val="21"/>
                <w:highlight w:val="none"/>
              </w:rPr>
            </w:pPr>
          </w:p>
        </w:tc>
      </w:tr>
      <w:tr w14:paraId="4BF6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19" w:type="dxa"/>
            <w:vAlign w:val="top"/>
          </w:tcPr>
          <w:p w14:paraId="4F1A6164">
            <w:pPr>
              <w:rPr>
                <w:rFonts w:hint="eastAsia" w:ascii="宋体" w:hAnsi="宋体" w:eastAsia="宋体" w:cs="宋体"/>
                <w:color w:val="auto"/>
                <w:sz w:val="21"/>
                <w:highlight w:val="none"/>
              </w:rPr>
            </w:pPr>
          </w:p>
        </w:tc>
        <w:tc>
          <w:tcPr>
            <w:tcW w:w="2042" w:type="dxa"/>
            <w:vAlign w:val="top"/>
          </w:tcPr>
          <w:p w14:paraId="64DF749B">
            <w:pPr>
              <w:rPr>
                <w:rFonts w:hint="eastAsia" w:ascii="宋体" w:hAnsi="宋体" w:eastAsia="宋体" w:cs="宋体"/>
                <w:color w:val="auto"/>
                <w:sz w:val="21"/>
                <w:highlight w:val="none"/>
              </w:rPr>
            </w:pPr>
          </w:p>
        </w:tc>
        <w:tc>
          <w:tcPr>
            <w:tcW w:w="1578" w:type="dxa"/>
            <w:vAlign w:val="top"/>
          </w:tcPr>
          <w:p w14:paraId="09179A6F">
            <w:pPr>
              <w:rPr>
                <w:rFonts w:hint="eastAsia" w:ascii="宋体" w:hAnsi="宋体" w:eastAsia="宋体" w:cs="宋体"/>
                <w:color w:val="auto"/>
                <w:sz w:val="21"/>
                <w:highlight w:val="none"/>
              </w:rPr>
            </w:pPr>
          </w:p>
        </w:tc>
        <w:tc>
          <w:tcPr>
            <w:tcW w:w="1578" w:type="dxa"/>
            <w:vAlign w:val="top"/>
          </w:tcPr>
          <w:p w14:paraId="651748AD">
            <w:pPr>
              <w:rPr>
                <w:rFonts w:hint="eastAsia" w:ascii="宋体" w:hAnsi="宋体" w:eastAsia="宋体" w:cs="宋体"/>
                <w:color w:val="auto"/>
                <w:sz w:val="21"/>
                <w:highlight w:val="none"/>
              </w:rPr>
            </w:pPr>
          </w:p>
        </w:tc>
        <w:tc>
          <w:tcPr>
            <w:tcW w:w="1578" w:type="dxa"/>
            <w:vAlign w:val="top"/>
          </w:tcPr>
          <w:p w14:paraId="451B40B7">
            <w:pPr>
              <w:rPr>
                <w:rFonts w:hint="eastAsia" w:ascii="宋体" w:hAnsi="宋体" w:eastAsia="宋体" w:cs="宋体"/>
                <w:color w:val="auto"/>
                <w:sz w:val="21"/>
                <w:highlight w:val="none"/>
              </w:rPr>
            </w:pPr>
          </w:p>
        </w:tc>
        <w:tc>
          <w:tcPr>
            <w:tcW w:w="1583" w:type="dxa"/>
            <w:vAlign w:val="top"/>
          </w:tcPr>
          <w:p w14:paraId="0B8BA406">
            <w:pPr>
              <w:rPr>
                <w:rFonts w:hint="eastAsia" w:ascii="宋体" w:hAnsi="宋体" w:eastAsia="宋体" w:cs="宋体"/>
                <w:color w:val="auto"/>
                <w:sz w:val="21"/>
                <w:highlight w:val="none"/>
              </w:rPr>
            </w:pPr>
          </w:p>
        </w:tc>
      </w:tr>
      <w:tr w14:paraId="64AD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19" w:type="dxa"/>
            <w:vAlign w:val="top"/>
          </w:tcPr>
          <w:p w14:paraId="34F96F25">
            <w:pPr>
              <w:rPr>
                <w:rFonts w:hint="eastAsia" w:ascii="宋体" w:hAnsi="宋体" w:eastAsia="宋体" w:cs="宋体"/>
                <w:color w:val="auto"/>
                <w:sz w:val="21"/>
                <w:highlight w:val="none"/>
              </w:rPr>
            </w:pPr>
          </w:p>
        </w:tc>
        <w:tc>
          <w:tcPr>
            <w:tcW w:w="2042" w:type="dxa"/>
            <w:vAlign w:val="top"/>
          </w:tcPr>
          <w:p w14:paraId="33D4E463">
            <w:pPr>
              <w:rPr>
                <w:rFonts w:hint="eastAsia" w:ascii="宋体" w:hAnsi="宋体" w:eastAsia="宋体" w:cs="宋体"/>
                <w:color w:val="auto"/>
                <w:sz w:val="21"/>
                <w:highlight w:val="none"/>
              </w:rPr>
            </w:pPr>
          </w:p>
        </w:tc>
        <w:tc>
          <w:tcPr>
            <w:tcW w:w="1578" w:type="dxa"/>
            <w:vAlign w:val="top"/>
          </w:tcPr>
          <w:p w14:paraId="3F93D5A7">
            <w:pPr>
              <w:rPr>
                <w:rFonts w:hint="eastAsia" w:ascii="宋体" w:hAnsi="宋体" w:eastAsia="宋体" w:cs="宋体"/>
                <w:color w:val="auto"/>
                <w:sz w:val="21"/>
                <w:highlight w:val="none"/>
              </w:rPr>
            </w:pPr>
          </w:p>
        </w:tc>
        <w:tc>
          <w:tcPr>
            <w:tcW w:w="1578" w:type="dxa"/>
            <w:vAlign w:val="top"/>
          </w:tcPr>
          <w:p w14:paraId="2A1333A9">
            <w:pPr>
              <w:rPr>
                <w:rFonts w:hint="eastAsia" w:ascii="宋体" w:hAnsi="宋体" w:eastAsia="宋体" w:cs="宋体"/>
                <w:color w:val="auto"/>
                <w:sz w:val="21"/>
                <w:highlight w:val="none"/>
              </w:rPr>
            </w:pPr>
          </w:p>
        </w:tc>
        <w:tc>
          <w:tcPr>
            <w:tcW w:w="1578" w:type="dxa"/>
            <w:vAlign w:val="top"/>
          </w:tcPr>
          <w:p w14:paraId="29433D51">
            <w:pPr>
              <w:rPr>
                <w:rFonts w:hint="eastAsia" w:ascii="宋体" w:hAnsi="宋体" w:eastAsia="宋体" w:cs="宋体"/>
                <w:color w:val="auto"/>
                <w:sz w:val="21"/>
                <w:highlight w:val="none"/>
              </w:rPr>
            </w:pPr>
          </w:p>
        </w:tc>
        <w:tc>
          <w:tcPr>
            <w:tcW w:w="1583" w:type="dxa"/>
            <w:vAlign w:val="top"/>
          </w:tcPr>
          <w:p w14:paraId="70956E45">
            <w:pPr>
              <w:rPr>
                <w:rFonts w:hint="eastAsia" w:ascii="宋体" w:hAnsi="宋体" w:eastAsia="宋体" w:cs="宋体"/>
                <w:color w:val="auto"/>
                <w:sz w:val="21"/>
                <w:highlight w:val="none"/>
              </w:rPr>
            </w:pPr>
          </w:p>
        </w:tc>
      </w:tr>
      <w:tr w14:paraId="2E3E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19" w:type="dxa"/>
            <w:vAlign w:val="top"/>
          </w:tcPr>
          <w:p w14:paraId="140A63B0">
            <w:pPr>
              <w:rPr>
                <w:rFonts w:hint="eastAsia" w:ascii="宋体" w:hAnsi="宋体" w:eastAsia="宋体" w:cs="宋体"/>
                <w:color w:val="auto"/>
                <w:sz w:val="21"/>
                <w:highlight w:val="none"/>
              </w:rPr>
            </w:pPr>
          </w:p>
        </w:tc>
        <w:tc>
          <w:tcPr>
            <w:tcW w:w="2042" w:type="dxa"/>
            <w:vAlign w:val="top"/>
          </w:tcPr>
          <w:p w14:paraId="3CE97179">
            <w:pPr>
              <w:rPr>
                <w:rFonts w:hint="eastAsia" w:ascii="宋体" w:hAnsi="宋体" w:eastAsia="宋体" w:cs="宋体"/>
                <w:color w:val="auto"/>
                <w:sz w:val="21"/>
                <w:highlight w:val="none"/>
              </w:rPr>
            </w:pPr>
          </w:p>
        </w:tc>
        <w:tc>
          <w:tcPr>
            <w:tcW w:w="1578" w:type="dxa"/>
            <w:vAlign w:val="top"/>
          </w:tcPr>
          <w:p w14:paraId="7220B3F0">
            <w:pPr>
              <w:rPr>
                <w:rFonts w:hint="eastAsia" w:ascii="宋体" w:hAnsi="宋体" w:eastAsia="宋体" w:cs="宋体"/>
                <w:color w:val="auto"/>
                <w:sz w:val="21"/>
                <w:highlight w:val="none"/>
              </w:rPr>
            </w:pPr>
          </w:p>
        </w:tc>
        <w:tc>
          <w:tcPr>
            <w:tcW w:w="1578" w:type="dxa"/>
            <w:vAlign w:val="top"/>
          </w:tcPr>
          <w:p w14:paraId="3819454C">
            <w:pPr>
              <w:rPr>
                <w:rFonts w:hint="eastAsia" w:ascii="宋体" w:hAnsi="宋体" w:eastAsia="宋体" w:cs="宋体"/>
                <w:color w:val="auto"/>
                <w:sz w:val="21"/>
                <w:highlight w:val="none"/>
              </w:rPr>
            </w:pPr>
          </w:p>
        </w:tc>
        <w:tc>
          <w:tcPr>
            <w:tcW w:w="1578" w:type="dxa"/>
            <w:vAlign w:val="top"/>
          </w:tcPr>
          <w:p w14:paraId="362A1DDA">
            <w:pPr>
              <w:rPr>
                <w:rFonts w:hint="eastAsia" w:ascii="宋体" w:hAnsi="宋体" w:eastAsia="宋体" w:cs="宋体"/>
                <w:color w:val="auto"/>
                <w:sz w:val="21"/>
                <w:highlight w:val="none"/>
              </w:rPr>
            </w:pPr>
          </w:p>
        </w:tc>
        <w:tc>
          <w:tcPr>
            <w:tcW w:w="1583" w:type="dxa"/>
            <w:vAlign w:val="top"/>
          </w:tcPr>
          <w:p w14:paraId="2C9C07B3">
            <w:pPr>
              <w:rPr>
                <w:rFonts w:hint="eastAsia" w:ascii="宋体" w:hAnsi="宋体" w:eastAsia="宋体" w:cs="宋体"/>
                <w:color w:val="auto"/>
                <w:sz w:val="21"/>
                <w:highlight w:val="none"/>
              </w:rPr>
            </w:pPr>
          </w:p>
        </w:tc>
      </w:tr>
      <w:tr w14:paraId="7AF87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19" w:type="dxa"/>
            <w:vAlign w:val="top"/>
          </w:tcPr>
          <w:p w14:paraId="684B2318">
            <w:pPr>
              <w:rPr>
                <w:rFonts w:hint="eastAsia" w:ascii="宋体" w:hAnsi="宋体" w:eastAsia="宋体" w:cs="宋体"/>
                <w:color w:val="auto"/>
                <w:sz w:val="21"/>
                <w:highlight w:val="none"/>
              </w:rPr>
            </w:pPr>
          </w:p>
        </w:tc>
        <w:tc>
          <w:tcPr>
            <w:tcW w:w="2042" w:type="dxa"/>
            <w:vAlign w:val="top"/>
          </w:tcPr>
          <w:p w14:paraId="12BFD034">
            <w:pPr>
              <w:rPr>
                <w:rFonts w:hint="eastAsia" w:ascii="宋体" w:hAnsi="宋体" w:eastAsia="宋体" w:cs="宋体"/>
                <w:color w:val="auto"/>
                <w:sz w:val="21"/>
                <w:highlight w:val="none"/>
              </w:rPr>
            </w:pPr>
          </w:p>
        </w:tc>
        <w:tc>
          <w:tcPr>
            <w:tcW w:w="1578" w:type="dxa"/>
            <w:vAlign w:val="top"/>
          </w:tcPr>
          <w:p w14:paraId="75E363B3">
            <w:pPr>
              <w:rPr>
                <w:rFonts w:hint="eastAsia" w:ascii="宋体" w:hAnsi="宋体" w:eastAsia="宋体" w:cs="宋体"/>
                <w:color w:val="auto"/>
                <w:sz w:val="21"/>
                <w:highlight w:val="none"/>
              </w:rPr>
            </w:pPr>
          </w:p>
        </w:tc>
        <w:tc>
          <w:tcPr>
            <w:tcW w:w="1578" w:type="dxa"/>
            <w:vAlign w:val="top"/>
          </w:tcPr>
          <w:p w14:paraId="6CD6AB79">
            <w:pPr>
              <w:rPr>
                <w:rFonts w:hint="eastAsia" w:ascii="宋体" w:hAnsi="宋体" w:eastAsia="宋体" w:cs="宋体"/>
                <w:color w:val="auto"/>
                <w:sz w:val="21"/>
                <w:highlight w:val="none"/>
              </w:rPr>
            </w:pPr>
          </w:p>
        </w:tc>
        <w:tc>
          <w:tcPr>
            <w:tcW w:w="1578" w:type="dxa"/>
            <w:vAlign w:val="top"/>
          </w:tcPr>
          <w:p w14:paraId="40054CA8">
            <w:pPr>
              <w:rPr>
                <w:rFonts w:hint="eastAsia" w:ascii="宋体" w:hAnsi="宋体" w:eastAsia="宋体" w:cs="宋体"/>
                <w:color w:val="auto"/>
                <w:sz w:val="21"/>
                <w:highlight w:val="none"/>
              </w:rPr>
            </w:pPr>
          </w:p>
        </w:tc>
        <w:tc>
          <w:tcPr>
            <w:tcW w:w="1583" w:type="dxa"/>
            <w:vAlign w:val="top"/>
          </w:tcPr>
          <w:p w14:paraId="421D2451">
            <w:pPr>
              <w:rPr>
                <w:rFonts w:hint="eastAsia" w:ascii="宋体" w:hAnsi="宋体" w:eastAsia="宋体" w:cs="宋体"/>
                <w:color w:val="auto"/>
                <w:sz w:val="21"/>
                <w:highlight w:val="none"/>
              </w:rPr>
            </w:pPr>
          </w:p>
        </w:tc>
      </w:tr>
      <w:tr w14:paraId="4A27D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19" w:type="dxa"/>
            <w:vAlign w:val="top"/>
          </w:tcPr>
          <w:p w14:paraId="08EDF2FE">
            <w:pPr>
              <w:rPr>
                <w:rFonts w:hint="eastAsia" w:ascii="宋体" w:hAnsi="宋体" w:eastAsia="宋体" w:cs="宋体"/>
                <w:color w:val="auto"/>
                <w:sz w:val="21"/>
                <w:highlight w:val="none"/>
              </w:rPr>
            </w:pPr>
          </w:p>
        </w:tc>
        <w:tc>
          <w:tcPr>
            <w:tcW w:w="2042" w:type="dxa"/>
            <w:vAlign w:val="top"/>
          </w:tcPr>
          <w:p w14:paraId="37A7E01E">
            <w:pPr>
              <w:rPr>
                <w:rFonts w:hint="eastAsia" w:ascii="宋体" w:hAnsi="宋体" w:eastAsia="宋体" w:cs="宋体"/>
                <w:color w:val="auto"/>
                <w:sz w:val="21"/>
                <w:highlight w:val="none"/>
              </w:rPr>
            </w:pPr>
          </w:p>
        </w:tc>
        <w:tc>
          <w:tcPr>
            <w:tcW w:w="1578" w:type="dxa"/>
            <w:vAlign w:val="top"/>
          </w:tcPr>
          <w:p w14:paraId="6ECAEF39">
            <w:pPr>
              <w:rPr>
                <w:rFonts w:hint="eastAsia" w:ascii="宋体" w:hAnsi="宋体" w:eastAsia="宋体" w:cs="宋体"/>
                <w:color w:val="auto"/>
                <w:sz w:val="21"/>
                <w:highlight w:val="none"/>
              </w:rPr>
            </w:pPr>
          </w:p>
        </w:tc>
        <w:tc>
          <w:tcPr>
            <w:tcW w:w="1578" w:type="dxa"/>
            <w:vAlign w:val="top"/>
          </w:tcPr>
          <w:p w14:paraId="772C87AA">
            <w:pPr>
              <w:rPr>
                <w:rFonts w:hint="eastAsia" w:ascii="宋体" w:hAnsi="宋体" w:eastAsia="宋体" w:cs="宋体"/>
                <w:color w:val="auto"/>
                <w:sz w:val="21"/>
                <w:highlight w:val="none"/>
              </w:rPr>
            </w:pPr>
          </w:p>
        </w:tc>
        <w:tc>
          <w:tcPr>
            <w:tcW w:w="1578" w:type="dxa"/>
            <w:vAlign w:val="top"/>
          </w:tcPr>
          <w:p w14:paraId="5311A3D3">
            <w:pPr>
              <w:rPr>
                <w:rFonts w:hint="eastAsia" w:ascii="宋体" w:hAnsi="宋体" w:eastAsia="宋体" w:cs="宋体"/>
                <w:color w:val="auto"/>
                <w:sz w:val="21"/>
                <w:highlight w:val="none"/>
              </w:rPr>
            </w:pPr>
          </w:p>
        </w:tc>
        <w:tc>
          <w:tcPr>
            <w:tcW w:w="1583" w:type="dxa"/>
            <w:vAlign w:val="top"/>
          </w:tcPr>
          <w:p w14:paraId="4D9DDEC3">
            <w:pPr>
              <w:rPr>
                <w:rFonts w:hint="eastAsia" w:ascii="宋体" w:hAnsi="宋体" w:eastAsia="宋体" w:cs="宋体"/>
                <w:color w:val="auto"/>
                <w:sz w:val="21"/>
                <w:highlight w:val="none"/>
              </w:rPr>
            </w:pPr>
          </w:p>
        </w:tc>
      </w:tr>
      <w:tr w14:paraId="5C565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19" w:type="dxa"/>
            <w:vAlign w:val="top"/>
          </w:tcPr>
          <w:p w14:paraId="04158863">
            <w:pPr>
              <w:rPr>
                <w:rFonts w:hint="eastAsia" w:ascii="宋体" w:hAnsi="宋体" w:eastAsia="宋体" w:cs="宋体"/>
                <w:color w:val="auto"/>
                <w:sz w:val="21"/>
                <w:highlight w:val="none"/>
              </w:rPr>
            </w:pPr>
          </w:p>
        </w:tc>
        <w:tc>
          <w:tcPr>
            <w:tcW w:w="2042" w:type="dxa"/>
            <w:vAlign w:val="top"/>
          </w:tcPr>
          <w:p w14:paraId="253A6B8E">
            <w:pPr>
              <w:rPr>
                <w:rFonts w:hint="eastAsia" w:ascii="宋体" w:hAnsi="宋体" w:eastAsia="宋体" w:cs="宋体"/>
                <w:color w:val="auto"/>
                <w:sz w:val="21"/>
                <w:highlight w:val="none"/>
              </w:rPr>
            </w:pPr>
          </w:p>
        </w:tc>
        <w:tc>
          <w:tcPr>
            <w:tcW w:w="1578" w:type="dxa"/>
            <w:vAlign w:val="top"/>
          </w:tcPr>
          <w:p w14:paraId="783FD6F4">
            <w:pPr>
              <w:rPr>
                <w:rFonts w:hint="eastAsia" w:ascii="宋体" w:hAnsi="宋体" w:eastAsia="宋体" w:cs="宋体"/>
                <w:color w:val="auto"/>
                <w:sz w:val="21"/>
                <w:highlight w:val="none"/>
              </w:rPr>
            </w:pPr>
          </w:p>
        </w:tc>
        <w:tc>
          <w:tcPr>
            <w:tcW w:w="1578" w:type="dxa"/>
            <w:vAlign w:val="top"/>
          </w:tcPr>
          <w:p w14:paraId="01CDBC9D">
            <w:pPr>
              <w:rPr>
                <w:rFonts w:hint="eastAsia" w:ascii="宋体" w:hAnsi="宋体" w:eastAsia="宋体" w:cs="宋体"/>
                <w:color w:val="auto"/>
                <w:sz w:val="21"/>
                <w:highlight w:val="none"/>
              </w:rPr>
            </w:pPr>
          </w:p>
        </w:tc>
        <w:tc>
          <w:tcPr>
            <w:tcW w:w="1578" w:type="dxa"/>
            <w:vAlign w:val="top"/>
          </w:tcPr>
          <w:p w14:paraId="4FB2F3E0">
            <w:pPr>
              <w:rPr>
                <w:rFonts w:hint="eastAsia" w:ascii="宋体" w:hAnsi="宋体" w:eastAsia="宋体" w:cs="宋体"/>
                <w:color w:val="auto"/>
                <w:sz w:val="21"/>
                <w:highlight w:val="none"/>
              </w:rPr>
            </w:pPr>
          </w:p>
        </w:tc>
        <w:tc>
          <w:tcPr>
            <w:tcW w:w="1583" w:type="dxa"/>
            <w:vAlign w:val="top"/>
          </w:tcPr>
          <w:p w14:paraId="1D25D12A">
            <w:pPr>
              <w:rPr>
                <w:rFonts w:hint="eastAsia" w:ascii="宋体" w:hAnsi="宋体" w:eastAsia="宋体" w:cs="宋体"/>
                <w:color w:val="auto"/>
                <w:sz w:val="21"/>
                <w:highlight w:val="none"/>
              </w:rPr>
            </w:pPr>
          </w:p>
        </w:tc>
      </w:tr>
    </w:tbl>
    <w:p w14:paraId="2C2E2627">
      <w:pPr>
        <w:spacing w:before="273"/>
        <w:ind w:left="30" w:hanging="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本表格式仅供参考，可根据实际情况修改编制。以上人员需提供</w:t>
      </w:r>
      <w:r>
        <w:rPr>
          <w:rFonts w:hint="eastAsia" w:ascii="宋体" w:hAnsi="宋体" w:eastAsia="宋体" w:cs="宋体"/>
          <w:color w:val="auto"/>
          <w:spacing w:val="8"/>
          <w:sz w:val="20"/>
          <w:szCs w:val="20"/>
          <w:highlight w:val="none"/>
        </w:rPr>
        <w:t>相关证书及劳动合同。</w:t>
      </w:r>
      <w:r>
        <w:rPr>
          <w:rFonts w:hint="eastAsia" w:ascii="宋体" w:hAnsi="宋体" w:eastAsia="宋体" w:cs="宋体"/>
          <w:color w:val="auto"/>
          <w:spacing w:val="9"/>
          <w:sz w:val="20"/>
          <w:szCs w:val="20"/>
          <w:highlight w:val="none"/>
        </w:rPr>
        <w:t>（扫描件须加盖公章</w:t>
      </w:r>
      <w:r>
        <w:rPr>
          <w:rFonts w:hint="eastAsia" w:ascii="宋体" w:hAnsi="宋体" w:eastAsia="宋体" w:cs="宋体"/>
          <w:color w:val="auto"/>
          <w:spacing w:val="5"/>
          <w:sz w:val="20"/>
          <w:szCs w:val="20"/>
          <w:highlight w:val="none"/>
        </w:rPr>
        <w:t>）；</w:t>
      </w:r>
    </w:p>
    <w:p w14:paraId="09174FE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C2FE6D">
      <w:pPr>
        <w:spacing w:before="91" w:line="221" w:lineRule="auto"/>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rPr>
        <w:t>8、</w:t>
      </w:r>
      <w:r>
        <w:rPr>
          <w:rFonts w:hint="eastAsia" w:ascii="宋体" w:hAnsi="宋体" w:eastAsia="宋体" w:cs="宋体"/>
          <w:b/>
          <w:bCs/>
          <w:color w:val="auto"/>
          <w:spacing w:val="-5"/>
          <w:sz w:val="28"/>
          <w:szCs w:val="28"/>
          <w:highlight w:val="none"/>
          <w:lang w:val="en-US" w:eastAsia="zh-CN"/>
        </w:rPr>
        <w:t>技术</w:t>
      </w:r>
      <w:r>
        <w:rPr>
          <w:rFonts w:hint="eastAsia" w:ascii="宋体" w:hAnsi="宋体" w:eastAsia="宋体" w:cs="宋体"/>
          <w:b/>
          <w:bCs/>
          <w:color w:val="auto"/>
          <w:spacing w:val="-5"/>
          <w:sz w:val="28"/>
          <w:szCs w:val="28"/>
          <w:highlight w:val="none"/>
        </w:rPr>
        <w:t>方案</w:t>
      </w:r>
    </w:p>
    <w:p w14:paraId="57E1EB0F">
      <w:pPr>
        <w:pStyle w:val="4"/>
        <w:spacing w:line="374" w:lineRule="auto"/>
        <w:rPr>
          <w:rFonts w:hint="eastAsia" w:ascii="宋体" w:hAnsi="宋体" w:eastAsia="宋体" w:cs="宋体"/>
          <w:color w:val="auto"/>
          <w:highlight w:val="none"/>
        </w:rPr>
      </w:pPr>
    </w:p>
    <w:p w14:paraId="02AE98AA">
      <w:pPr>
        <w:spacing w:before="71" w:line="350" w:lineRule="auto"/>
        <w:ind w:firstLine="442"/>
        <w:jc w:val="both"/>
        <w:rPr>
          <w:rFonts w:hint="eastAsia" w:ascii="宋体" w:hAnsi="宋体" w:eastAsia="宋体" w:cs="宋体"/>
          <w:color w:val="auto"/>
          <w:sz w:val="20"/>
          <w:szCs w:val="20"/>
          <w:highlight w:val="none"/>
        </w:rPr>
      </w:pPr>
      <w:r>
        <w:rPr>
          <w:rFonts w:hint="eastAsia" w:ascii="宋体" w:hAnsi="宋体" w:eastAsia="宋体" w:cs="宋体"/>
          <w:color w:val="auto"/>
          <w:spacing w:val="-1"/>
          <w:sz w:val="22"/>
          <w:szCs w:val="22"/>
          <w:highlight w:val="none"/>
        </w:rPr>
        <w:t>供应商应按照招标文件“采购需求</w:t>
      </w:r>
      <w:r>
        <w:rPr>
          <w:rFonts w:hint="eastAsia" w:ascii="宋体" w:hAnsi="宋体" w:eastAsia="宋体" w:cs="宋体"/>
          <w:color w:val="auto"/>
          <w:spacing w:val="-81"/>
          <w:sz w:val="22"/>
          <w:szCs w:val="22"/>
          <w:highlight w:val="none"/>
        </w:rPr>
        <w:t xml:space="preserve"> </w:t>
      </w:r>
      <w:r>
        <w:rPr>
          <w:rFonts w:hint="eastAsia" w:ascii="宋体" w:hAnsi="宋体" w:eastAsia="宋体" w:cs="宋体"/>
          <w:color w:val="auto"/>
          <w:spacing w:val="-1"/>
          <w:sz w:val="22"/>
          <w:szCs w:val="22"/>
          <w:highlight w:val="none"/>
        </w:rPr>
        <w:t>”中的要求、以及</w:t>
      </w:r>
      <w:r>
        <w:rPr>
          <w:rFonts w:hint="eastAsia" w:ascii="宋体" w:hAnsi="宋体" w:eastAsia="宋体" w:cs="宋体"/>
          <w:color w:val="auto"/>
          <w:spacing w:val="-2"/>
          <w:sz w:val="22"/>
          <w:szCs w:val="22"/>
          <w:highlight w:val="none"/>
        </w:rPr>
        <w:t>“详细评审</w:t>
      </w:r>
      <w:r>
        <w:rPr>
          <w:rFonts w:hint="eastAsia" w:ascii="宋体" w:hAnsi="宋体" w:eastAsia="宋体" w:cs="宋体"/>
          <w:color w:val="auto"/>
          <w:spacing w:val="-83"/>
          <w:sz w:val="22"/>
          <w:szCs w:val="22"/>
          <w:highlight w:val="none"/>
        </w:rPr>
        <w:t xml:space="preserve"> </w:t>
      </w:r>
      <w:r>
        <w:rPr>
          <w:rFonts w:hint="eastAsia" w:ascii="宋体" w:hAnsi="宋体" w:eastAsia="宋体" w:cs="宋体"/>
          <w:color w:val="auto"/>
          <w:spacing w:val="-2"/>
          <w:sz w:val="22"/>
          <w:szCs w:val="22"/>
          <w:highlight w:val="none"/>
        </w:rPr>
        <w:t>”相关内容自行编写。 方案须条理清晰、突出重点、科学合理、细致周到。详尽、易于理解、评审和富于建设性的技术方案将在评标</w:t>
      </w:r>
      <w:r>
        <w:rPr>
          <w:rFonts w:hint="eastAsia" w:ascii="宋体" w:hAnsi="宋体" w:eastAsia="宋体" w:cs="宋体"/>
          <w:color w:val="auto"/>
          <w:spacing w:val="-3"/>
          <w:sz w:val="22"/>
          <w:szCs w:val="22"/>
          <w:highlight w:val="none"/>
        </w:rPr>
        <w:t>时具有</w:t>
      </w:r>
      <w:r>
        <w:rPr>
          <w:rFonts w:hint="eastAsia" w:ascii="宋体" w:hAnsi="宋体" w:eastAsia="宋体" w:cs="宋体"/>
          <w:color w:val="auto"/>
          <w:spacing w:val="-1"/>
          <w:sz w:val="22"/>
          <w:szCs w:val="22"/>
          <w:highlight w:val="none"/>
        </w:rPr>
        <w:t>优势。</w:t>
      </w:r>
      <w:r>
        <w:rPr>
          <w:rFonts w:hint="eastAsia" w:ascii="宋体" w:hAnsi="宋体" w:eastAsia="宋体" w:cs="宋体"/>
          <w:color w:val="auto"/>
          <w:spacing w:val="9"/>
          <w:sz w:val="20"/>
          <w:szCs w:val="20"/>
          <w:highlight w:val="none"/>
        </w:rPr>
        <w:t>（供应商按招标文件采购需求及《</w:t>
      </w:r>
      <w:r>
        <w:rPr>
          <w:rFonts w:hint="eastAsia" w:ascii="宋体" w:hAnsi="宋体" w:eastAsia="宋体" w:cs="宋体"/>
          <w:color w:val="auto"/>
          <w:spacing w:val="9"/>
          <w:sz w:val="20"/>
          <w:szCs w:val="20"/>
          <w:highlight w:val="none"/>
          <w:lang w:val="en-US" w:eastAsia="zh-CN"/>
        </w:rPr>
        <w:t>评分标准</w:t>
      </w:r>
      <w:r>
        <w:rPr>
          <w:rFonts w:hint="eastAsia" w:ascii="宋体" w:hAnsi="宋体" w:eastAsia="宋体" w:cs="宋体"/>
          <w:color w:val="auto"/>
          <w:spacing w:val="9"/>
          <w:sz w:val="20"/>
          <w:szCs w:val="20"/>
          <w:highlight w:val="none"/>
        </w:rPr>
        <w:t>》要求自行提供，加盖单位电子公章）</w:t>
      </w:r>
    </w:p>
    <w:p w14:paraId="2E48DC28">
      <w:pPr>
        <w:pStyle w:val="4"/>
        <w:spacing w:line="258" w:lineRule="auto"/>
        <w:rPr>
          <w:rFonts w:hint="eastAsia" w:ascii="宋体" w:hAnsi="宋体" w:eastAsia="宋体" w:cs="宋体"/>
          <w:color w:val="auto"/>
          <w:highlight w:val="none"/>
        </w:rPr>
      </w:pPr>
    </w:p>
    <w:p w14:paraId="59CFDD00">
      <w:pPr>
        <w:pStyle w:val="4"/>
        <w:spacing w:line="258" w:lineRule="auto"/>
        <w:rPr>
          <w:rFonts w:hint="eastAsia" w:ascii="宋体" w:hAnsi="宋体" w:eastAsia="宋体" w:cs="宋体"/>
          <w:color w:val="auto"/>
          <w:highlight w:val="none"/>
        </w:rPr>
      </w:pPr>
    </w:p>
    <w:p w14:paraId="566F8E3A">
      <w:pPr>
        <w:spacing w:before="79" w:line="219" w:lineRule="auto"/>
        <w:ind w:left="2"/>
        <w:rPr>
          <w:rFonts w:hint="eastAsia" w:ascii="宋体" w:hAnsi="宋体" w:eastAsia="宋体" w:cs="宋体"/>
          <w:b/>
          <w:bCs/>
          <w:color w:val="auto"/>
          <w:spacing w:val="-3"/>
          <w:sz w:val="24"/>
          <w:szCs w:val="24"/>
          <w:highlight w:val="none"/>
        </w:rPr>
      </w:pPr>
    </w:p>
    <w:p w14:paraId="2DC63684">
      <w:pPr>
        <w:spacing w:before="79" w:line="219" w:lineRule="auto"/>
        <w:ind w:left="2"/>
        <w:rPr>
          <w:rFonts w:hint="eastAsia" w:ascii="宋体" w:hAnsi="宋体" w:eastAsia="宋体" w:cs="宋体"/>
          <w:b/>
          <w:bCs/>
          <w:color w:val="auto"/>
          <w:spacing w:val="-3"/>
          <w:sz w:val="24"/>
          <w:szCs w:val="24"/>
          <w:highlight w:val="none"/>
        </w:rPr>
      </w:pPr>
    </w:p>
    <w:p w14:paraId="20360A25">
      <w:pPr>
        <w:spacing w:before="79" w:line="219" w:lineRule="auto"/>
        <w:ind w:left="2"/>
        <w:rPr>
          <w:rFonts w:hint="eastAsia" w:ascii="宋体" w:hAnsi="宋体" w:eastAsia="宋体" w:cs="宋体"/>
          <w:b/>
          <w:bCs/>
          <w:color w:val="auto"/>
          <w:spacing w:val="-3"/>
          <w:sz w:val="24"/>
          <w:szCs w:val="24"/>
          <w:highlight w:val="none"/>
        </w:rPr>
      </w:pPr>
    </w:p>
    <w:p w14:paraId="65FA31E8">
      <w:pPr>
        <w:spacing w:before="79" w:line="219" w:lineRule="auto"/>
        <w:ind w:left="2"/>
        <w:rPr>
          <w:rFonts w:hint="eastAsia" w:ascii="宋体" w:hAnsi="宋体" w:eastAsia="宋体" w:cs="宋体"/>
          <w:b/>
          <w:bCs/>
          <w:color w:val="auto"/>
          <w:spacing w:val="-3"/>
          <w:sz w:val="24"/>
          <w:szCs w:val="24"/>
          <w:highlight w:val="none"/>
        </w:rPr>
      </w:pPr>
    </w:p>
    <w:p w14:paraId="45FD64C9">
      <w:pPr>
        <w:spacing w:before="79" w:line="219" w:lineRule="auto"/>
        <w:ind w:left="2"/>
        <w:rPr>
          <w:rFonts w:hint="eastAsia" w:ascii="宋体" w:hAnsi="宋体" w:eastAsia="宋体" w:cs="宋体"/>
          <w:b/>
          <w:bCs/>
          <w:color w:val="auto"/>
          <w:spacing w:val="-3"/>
          <w:sz w:val="24"/>
          <w:szCs w:val="24"/>
          <w:highlight w:val="none"/>
        </w:rPr>
      </w:pPr>
    </w:p>
    <w:p w14:paraId="163DD73D">
      <w:pPr>
        <w:spacing w:before="79" w:line="219" w:lineRule="auto"/>
        <w:ind w:left="2"/>
        <w:rPr>
          <w:rFonts w:hint="eastAsia" w:ascii="宋体" w:hAnsi="宋体" w:eastAsia="宋体" w:cs="宋体"/>
          <w:b/>
          <w:bCs/>
          <w:color w:val="auto"/>
          <w:spacing w:val="-3"/>
          <w:sz w:val="24"/>
          <w:szCs w:val="24"/>
          <w:highlight w:val="none"/>
        </w:rPr>
      </w:pPr>
    </w:p>
    <w:p w14:paraId="57DC7A8F">
      <w:pPr>
        <w:spacing w:before="79" w:line="219" w:lineRule="auto"/>
        <w:ind w:left="2"/>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9、供应商认为需要提供的其他有关资料</w:t>
      </w:r>
    </w:p>
    <w:p w14:paraId="37B69A47">
      <w:pPr>
        <w:pStyle w:val="4"/>
        <w:spacing w:line="246" w:lineRule="auto"/>
        <w:rPr>
          <w:rFonts w:hint="eastAsia" w:ascii="宋体" w:hAnsi="宋体" w:eastAsia="宋体" w:cs="宋体"/>
          <w:color w:val="auto"/>
          <w:highlight w:val="none"/>
        </w:rPr>
      </w:pPr>
    </w:p>
    <w:p w14:paraId="30E69D31">
      <w:pPr>
        <w:pStyle w:val="4"/>
        <w:spacing w:line="247" w:lineRule="auto"/>
        <w:rPr>
          <w:rFonts w:hint="eastAsia" w:ascii="宋体" w:hAnsi="宋体" w:eastAsia="宋体" w:cs="宋体"/>
          <w:color w:val="auto"/>
          <w:highlight w:val="none"/>
        </w:rPr>
      </w:pPr>
    </w:p>
    <w:p w14:paraId="09F0AD38">
      <w:pPr>
        <w:pStyle w:val="4"/>
        <w:spacing w:line="247" w:lineRule="auto"/>
        <w:rPr>
          <w:rFonts w:hint="eastAsia" w:ascii="宋体" w:hAnsi="宋体" w:eastAsia="宋体" w:cs="宋体"/>
          <w:color w:val="auto"/>
          <w:highlight w:val="none"/>
        </w:rPr>
      </w:pPr>
    </w:p>
    <w:p w14:paraId="554FF123">
      <w:pPr>
        <w:pStyle w:val="4"/>
        <w:spacing w:line="247" w:lineRule="auto"/>
        <w:rPr>
          <w:rFonts w:hint="eastAsia" w:ascii="宋体" w:hAnsi="宋体" w:eastAsia="宋体" w:cs="宋体"/>
          <w:color w:val="auto"/>
          <w:highlight w:val="none"/>
        </w:rPr>
      </w:pPr>
    </w:p>
    <w:p w14:paraId="5BCC0624">
      <w:pPr>
        <w:pStyle w:val="4"/>
        <w:spacing w:line="247" w:lineRule="auto"/>
        <w:rPr>
          <w:rFonts w:hint="eastAsia" w:ascii="宋体" w:hAnsi="宋体" w:eastAsia="宋体" w:cs="宋体"/>
          <w:color w:val="auto"/>
          <w:highlight w:val="none"/>
        </w:rPr>
      </w:pPr>
    </w:p>
    <w:p w14:paraId="7A3AADEB">
      <w:pPr>
        <w:spacing w:before="71" w:line="220" w:lineRule="auto"/>
        <w:ind w:left="4743"/>
        <w:jc w:val="right"/>
        <w:rPr>
          <w:rFonts w:hint="eastAsia" w:ascii="宋体" w:hAnsi="宋体" w:eastAsia="宋体" w:cs="宋体"/>
          <w:color w:val="auto"/>
          <w:sz w:val="22"/>
          <w:szCs w:val="22"/>
          <w:highlight w:val="none"/>
        </w:rPr>
      </w:pPr>
      <w:bookmarkStart w:id="82" w:name="bookmark61"/>
      <w:bookmarkEnd w:id="82"/>
      <w:r>
        <w:rPr>
          <w:rFonts w:hint="eastAsia" w:ascii="宋体" w:hAnsi="宋体" w:eastAsia="宋体" w:cs="宋体"/>
          <w:color w:val="auto"/>
          <w:spacing w:val="-11"/>
          <w:sz w:val="22"/>
          <w:szCs w:val="22"/>
          <w:highlight w:val="none"/>
        </w:rPr>
        <w:t>供应商名称(</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1"/>
          <w:sz w:val="22"/>
          <w:szCs w:val="22"/>
          <w:highlight w:val="none"/>
        </w:rPr>
        <w:t>电子签章 )：</w:t>
      </w:r>
    </w:p>
    <w:p w14:paraId="56F93D62">
      <w:pPr>
        <w:spacing w:before="74" w:line="221" w:lineRule="auto"/>
        <w:ind w:left="4716"/>
        <w:jc w:val="right"/>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8"/>
          <w:sz w:val="22"/>
          <w:szCs w:val="22"/>
          <w:highlight w:val="none"/>
        </w:rPr>
        <w:t>期</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18"/>
          <w:sz w:val="22"/>
          <w:szCs w:val="22"/>
          <w:highlight w:val="none"/>
        </w:rPr>
        <w:t>日</w:t>
      </w:r>
    </w:p>
    <w:p w14:paraId="1EC48549">
      <w:pPr>
        <w:pStyle w:val="4"/>
        <w:spacing w:line="269" w:lineRule="auto"/>
        <w:rPr>
          <w:rFonts w:hint="eastAsia" w:ascii="宋体" w:hAnsi="宋体" w:eastAsia="宋体" w:cs="宋体"/>
          <w:color w:val="auto"/>
          <w:highlight w:val="none"/>
        </w:rPr>
      </w:pPr>
    </w:p>
    <w:p w14:paraId="373EB23B">
      <w:pPr>
        <w:rPr>
          <w:rFonts w:hint="eastAsia" w:ascii="宋体" w:hAnsi="宋体" w:eastAsia="宋体" w:cs="宋体"/>
          <w:b/>
          <w:bCs/>
          <w:color w:val="auto"/>
          <w:spacing w:val="-3"/>
          <w:sz w:val="28"/>
          <w:szCs w:val="28"/>
          <w:highlight w:val="none"/>
        </w:rPr>
      </w:pPr>
      <w:r>
        <w:rPr>
          <w:rFonts w:hint="eastAsia" w:ascii="宋体" w:hAnsi="宋体" w:eastAsia="宋体" w:cs="宋体"/>
          <w:b/>
          <w:bCs/>
          <w:color w:val="auto"/>
          <w:spacing w:val="-3"/>
          <w:sz w:val="28"/>
          <w:szCs w:val="28"/>
          <w:highlight w:val="none"/>
        </w:rPr>
        <w:br w:type="page"/>
      </w:r>
    </w:p>
    <w:p w14:paraId="2E793F91">
      <w:pPr>
        <w:spacing w:before="91" w:line="219" w:lineRule="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第四节：报价文件格式</w:t>
      </w:r>
    </w:p>
    <w:p w14:paraId="1B8DC6D4">
      <w:pPr>
        <w:spacing w:before="128" w:line="219" w:lineRule="auto"/>
        <w:ind w:left="4173"/>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报价文件目录</w:t>
      </w:r>
    </w:p>
    <w:p w14:paraId="1B654BE0">
      <w:pPr>
        <w:pStyle w:val="4"/>
        <w:spacing w:line="367" w:lineRule="auto"/>
        <w:rPr>
          <w:rFonts w:hint="eastAsia" w:ascii="宋体" w:hAnsi="宋体" w:eastAsia="宋体" w:cs="宋体"/>
          <w:color w:val="auto"/>
          <w:highlight w:val="none"/>
        </w:rPr>
      </w:pPr>
    </w:p>
    <w:p w14:paraId="2D5F9961">
      <w:pPr>
        <w:spacing w:before="78" w:line="333" w:lineRule="exact"/>
        <w:ind w:left="2"/>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一、响应函………………………………………………………(页码)</w:t>
      </w:r>
    </w:p>
    <w:p w14:paraId="12FEA429">
      <w:pPr>
        <w:spacing w:before="290" w:line="334" w:lineRule="exact"/>
        <w:ind w:left="2"/>
        <w:rPr>
          <w:rFonts w:hint="eastAsia" w:ascii="宋体" w:hAnsi="宋体" w:eastAsia="宋体" w:cs="宋体"/>
          <w:color w:val="auto"/>
          <w:sz w:val="24"/>
          <w:szCs w:val="24"/>
          <w:highlight w:val="none"/>
        </w:rPr>
      </w:pPr>
      <w:r>
        <w:rPr>
          <w:rFonts w:hint="eastAsia" w:ascii="宋体" w:hAnsi="宋体" w:eastAsia="宋体" w:cs="宋体"/>
          <w:color w:val="auto"/>
          <w:spacing w:val="-1"/>
          <w:position w:val="3"/>
          <w:sz w:val="24"/>
          <w:szCs w:val="24"/>
          <w:highlight w:val="none"/>
        </w:rPr>
        <w:t>二、响应报价表……………………………………………………(页码)</w:t>
      </w:r>
    </w:p>
    <w:p w14:paraId="72EA1BE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1729E0">
      <w:pPr>
        <w:spacing w:before="91" w:line="221" w:lineRule="auto"/>
        <w:ind w:left="24"/>
        <w:outlineLvl w:val="9"/>
        <w:rPr>
          <w:rFonts w:hint="eastAsia" w:ascii="宋体" w:hAnsi="宋体" w:eastAsia="宋体" w:cs="宋体"/>
          <w:color w:val="auto"/>
          <w:sz w:val="28"/>
          <w:szCs w:val="28"/>
          <w:highlight w:val="none"/>
        </w:rPr>
      </w:pPr>
      <w:bookmarkStart w:id="83" w:name="bookmark63"/>
      <w:bookmarkEnd w:id="83"/>
      <w:r>
        <w:rPr>
          <w:rFonts w:hint="eastAsia" w:ascii="宋体" w:hAnsi="宋体" w:eastAsia="宋体" w:cs="宋体"/>
          <w:b/>
          <w:bCs/>
          <w:color w:val="auto"/>
          <w:spacing w:val="-6"/>
          <w:sz w:val="28"/>
          <w:szCs w:val="28"/>
          <w:highlight w:val="none"/>
        </w:rPr>
        <w:t>1、响应函（格式）</w:t>
      </w:r>
    </w:p>
    <w:p w14:paraId="20E41BDF">
      <w:pPr>
        <w:pStyle w:val="4"/>
        <w:spacing w:line="366" w:lineRule="auto"/>
        <w:rPr>
          <w:rFonts w:hint="eastAsia" w:ascii="宋体" w:hAnsi="宋体" w:eastAsia="宋体" w:cs="宋体"/>
          <w:color w:val="auto"/>
          <w:highlight w:val="none"/>
        </w:rPr>
      </w:pPr>
    </w:p>
    <w:p w14:paraId="214923DF">
      <w:pPr>
        <w:spacing w:before="91" w:line="222" w:lineRule="auto"/>
        <w:ind w:left="4824"/>
        <w:rPr>
          <w:rFonts w:hint="eastAsia" w:ascii="宋体" w:hAnsi="宋体" w:eastAsia="宋体" w:cs="宋体"/>
          <w:color w:val="auto"/>
          <w:sz w:val="28"/>
          <w:szCs w:val="28"/>
          <w:highlight w:val="none"/>
        </w:rPr>
      </w:pPr>
      <w:r>
        <w:rPr>
          <w:rFonts w:hint="eastAsia" w:ascii="宋体" w:hAnsi="宋体" w:eastAsia="宋体" w:cs="宋体"/>
          <w:b/>
          <w:bCs/>
          <w:color w:val="auto"/>
          <w:spacing w:val="-11"/>
          <w:sz w:val="28"/>
          <w:szCs w:val="28"/>
          <w:highlight w:val="none"/>
        </w:rPr>
        <w:t>响应函</w:t>
      </w:r>
    </w:p>
    <w:p w14:paraId="52346602">
      <w:pPr>
        <w:spacing w:before="135" w:line="228" w:lineRule="auto"/>
        <w:ind w:left="10"/>
        <w:rPr>
          <w:rFonts w:hint="eastAsia" w:ascii="宋体" w:hAnsi="宋体" w:eastAsia="宋体" w:cs="宋体"/>
          <w:color w:val="auto"/>
          <w:sz w:val="20"/>
          <w:szCs w:val="20"/>
          <w:highlight w:val="none"/>
          <w:u w:val="single"/>
          <w:lang w:val="en-US" w:eastAsia="zh-CN"/>
        </w:rPr>
      </w:pPr>
      <w:r>
        <w:rPr>
          <w:rFonts w:hint="eastAsia" w:ascii="宋体" w:hAnsi="宋体" w:eastAsia="宋体" w:cs="宋体"/>
          <w:color w:val="auto"/>
          <w:spacing w:val="-3"/>
          <w:sz w:val="20"/>
          <w:szCs w:val="20"/>
          <w:highlight w:val="none"/>
        </w:rPr>
        <w:t>致：</w:t>
      </w:r>
      <w:r>
        <w:rPr>
          <w:rFonts w:hint="eastAsia" w:ascii="宋体" w:hAnsi="宋体" w:eastAsia="宋体" w:cs="宋体"/>
          <w:color w:val="auto"/>
          <w:spacing w:val="-3"/>
          <w:sz w:val="20"/>
          <w:szCs w:val="20"/>
          <w:highlight w:val="none"/>
          <w:lang w:val="en-US" w:eastAsia="zh-CN"/>
        </w:rPr>
        <w:t xml:space="preserve"> </w:t>
      </w:r>
      <w:r>
        <w:rPr>
          <w:rFonts w:hint="eastAsia" w:ascii="宋体" w:hAnsi="宋体" w:eastAsia="宋体" w:cs="宋体"/>
          <w:color w:val="auto"/>
          <w:spacing w:val="-3"/>
          <w:sz w:val="20"/>
          <w:szCs w:val="20"/>
          <w:highlight w:val="none"/>
          <w:u w:val="single"/>
          <w:lang w:val="en-US" w:eastAsia="zh-CN"/>
        </w:rPr>
        <w:t xml:space="preserve"> 采购人                    </w:t>
      </w:r>
    </w:p>
    <w:p w14:paraId="6C57B484">
      <w:pPr>
        <w:spacing w:before="243" w:line="244" w:lineRule="auto"/>
        <w:ind w:left="2" w:right="78" w:firstLine="44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我方已仔细阅读了贵方组织的</w:t>
      </w:r>
      <w:r>
        <w:rPr>
          <w:rFonts w:hint="eastAsia" w:ascii="宋体" w:hAnsi="宋体" w:eastAsia="宋体" w:cs="宋体"/>
          <w:color w:val="auto"/>
          <w:sz w:val="22"/>
          <w:szCs w:val="22"/>
          <w:highlight w:val="none"/>
          <w:u w:val="single" w:color="auto"/>
        </w:rPr>
        <w:t xml:space="preserve">[项目采购-项目名称_]  </w:t>
      </w:r>
      <w:r>
        <w:rPr>
          <w:rFonts w:hint="eastAsia" w:ascii="宋体" w:hAnsi="宋体" w:eastAsia="宋体" w:cs="宋体"/>
          <w:color w:val="auto"/>
          <w:sz w:val="22"/>
          <w:szCs w:val="22"/>
          <w:highlight w:val="none"/>
        </w:rPr>
        <w:t>项目(</w:t>
      </w:r>
      <w:r>
        <w:rPr>
          <w:rFonts w:hint="eastAsia" w:ascii="宋体" w:hAnsi="宋体" w:eastAsia="宋体" w:cs="宋体"/>
          <w:color w:val="auto"/>
          <w:spacing w:val="-1"/>
          <w:sz w:val="22"/>
          <w:szCs w:val="22"/>
          <w:highlight w:val="none"/>
        </w:rPr>
        <w:t>项目编号：</w:t>
      </w:r>
      <w:r>
        <w:rPr>
          <w:rFonts w:hint="eastAsia" w:ascii="宋体" w:hAnsi="宋体" w:eastAsia="宋体" w:cs="宋体"/>
          <w:color w:val="auto"/>
          <w:spacing w:val="-1"/>
          <w:sz w:val="22"/>
          <w:szCs w:val="22"/>
          <w:highlight w:val="none"/>
          <w:u w:val="single" w:color="auto"/>
        </w:rPr>
        <w:t xml:space="preserve">  [项目采购-项目编号_])</w:t>
      </w:r>
      <w:r>
        <w:rPr>
          <w:rFonts w:hint="eastAsia" w:ascii="宋体" w:hAnsi="宋体" w:eastAsia="宋体" w:cs="宋体"/>
          <w:color w:val="auto"/>
          <w:spacing w:val="-1"/>
          <w:sz w:val="22"/>
          <w:szCs w:val="22"/>
          <w:highlight w:val="none"/>
        </w:rPr>
        <w:t>的采购</w:t>
      </w:r>
      <w:r>
        <w:rPr>
          <w:rFonts w:hint="eastAsia" w:ascii="宋体" w:hAnsi="宋体" w:eastAsia="宋体" w:cs="宋体"/>
          <w:color w:val="auto"/>
          <w:sz w:val="22"/>
          <w:szCs w:val="22"/>
          <w:highlight w:val="none"/>
        </w:rPr>
        <w:t xml:space="preserve"> 文件的全部内容，现正式递交下述文件参加贵方组织</w:t>
      </w:r>
      <w:r>
        <w:rPr>
          <w:rFonts w:hint="eastAsia" w:ascii="宋体" w:hAnsi="宋体" w:eastAsia="宋体" w:cs="宋体"/>
          <w:color w:val="auto"/>
          <w:spacing w:val="-1"/>
          <w:sz w:val="22"/>
          <w:szCs w:val="22"/>
          <w:highlight w:val="none"/>
        </w:rPr>
        <w:t>的本次政府采购活动：</w:t>
      </w:r>
    </w:p>
    <w:p w14:paraId="3F6557D2">
      <w:pPr>
        <w:spacing w:before="23" w:line="220" w:lineRule="auto"/>
        <w:ind w:left="44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据此函，签字人兹宣布：</w:t>
      </w:r>
    </w:p>
    <w:p w14:paraId="110D1CEA">
      <w:pPr>
        <w:spacing w:before="23" w:line="236" w:lineRule="auto"/>
        <w:ind w:left="1" w:right="22" w:firstLine="482"/>
        <w:rPr>
          <w:rFonts w:hint="eastAsia" w:ascii="宋体" w:hAnsi="宋体" w:eastAsia="宋体" w:cs="宋体"/>
          <w:color w:val="auto"/>
          <w:sz w:val="22"/>
          <w:szCs w:val="22"/>
          <w:highlight w:val="none"/>
        </w:rPr>
      </w:pPr>
      <w:r>
        <w:rPr>
          <w:rFonts w:hint="eastAsia" w:ascii="宋体" w:hAnsi="宋体" w:eastAsia="宋体" w:cs="宋体"/>
          <w:color w:val="auto"/>
          <w:spacing w:val="4"/>
          <w:sz w:val="20"/>
          <w:szCs w:val="20"/>
          <w:highlight w:val="none"/>
        </w:rPr>
        <w:t>1、我方愿意以大写（人民币）</w:t>
      </w:r>
      <w:r>
        <w:rPr>
          <w:rFonts w:hint="eastAsia" w:ascii="宋体" w:hAnsi="宋体" w:eastAsia="宋体" w:cs="宋体"/>
          <w:color w:val="auto"/>
          <w:spacing w:val="-85"/>
          <w:sz w:val="20"/>
          <w:szCs w:val="20"/>
          <w:highlight w:val="none"/>
        </w:rPr>
        <w:t xml:space="preserve"> </w:t>
      </w:r>
      <w:r>
        <w:rPr>
          <w:rFonts w:hint="eastAsia" w:ascii="宋体" w:hAnsi="宋体" w:eastAsia="宋体" w:cs="宋体"/>
          <w:color w:val="auto"/>
          <w:spacing w:val="2"/>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，小写：</w:t>
      </w:r>
      <w:r>
        <w:rPr>
          <w:rFonts w:hint="eastAsia" w:ascii="宋体" w:hAnsi="宋体" w:eastAsia="宋体" w:cs="宋体"/>
          <w:color w:val="auto"/>
          <w:spacing w:val="42"/>
          <w:sz w:val="20"/>
          <w:szCs w:val="20"/>
          <w:highlight w:val="none"/>
          <w:u w:val="single" w:color="auto"/>
        </w:rPr>
        <w:t xml:space="preserve">  </w:t>
      </w:r>
      <w:r>
        <w:rPr>
          <w:rFonts w:hint="eastAsia" w:ascii="宋体" w:hAnsi="宋体" w:eastAsia="宋体" w:cs="宋体"/>
          <w:color w:val="auto"/>
          <w:spacing w:val="-96"/>
          <w:sz w:val="20"/>
          <w:szCs w:val="20"/>
          <w:highlight w:val="none"/>
        </w:rPr>
        <w:t xml:space="preserve"> </w:t>
      </w:r>
      <w:r>
        <w:rPr>
          <w:rFonts w:hint="eastAsia" w:ascii="宋体" w:hAnsi="宋体" w:eastAsia="宋体" w:cs="宋体"/>
          <w:color w:val="auto"/>
          <w:spacing w:val="-96"/>
          <w:sz w:val="20"/>
          <w:szCs w:val="20"/>
          <w:highlight w:val="none"/>
          <w:lang w:val="en-US" w:eastAsia="zh-CN"/>
        </w:rPr>
        <w:t xml:space="preserve">   </w:t>
      </w:r>
      <w:r>
        <w:rPr>
          <w:rFonts w:hint="eastAsia" w:ascii="宋体" w:hAnsi="宋体" w:eastAsia="宋体" w:cs="宋体"/>
          <w:color w:val="auto"/>
          <w:spacing w:val="4"/>
          <w:sz w:val="20"/>
          <w:szCs w:val="20"/>
          <w:highlight w:val="none"/>
        </w:rPr>
        <w:t>)的投标总报价，交货期</w:t>
      </w:r>
      <w:r>
        <w:rPr>
          <w:rFonts w:hint="eastAsia" w:ascii="宋体" w:hAnsi="宋体" w:eastAsia="宋体" w:cs="宋体"/>
          <w:color w:val="auto"/>
          <w:spacing w:val="-49"/>
          <w:sz w:val="20"/>
          <w:szCs w:val="20"/>
          <w:highlight w:val="none"/>
        </w:rPr>
        <w:t>：</w:t>
      </w:r>
      <w:r>
        <w:rPr>
          <w:rFonts w:hint="eastAsia" w:ascii="宋体" w:hAnsi="宋体" w:eastAsia="宋体" w:cs="宋体"/>
          <w:color w:val="auto"/>
          <w:spacing w:val="3"/>
          <w:sz w:val="20"/>
          <w:szCs w:val="20"/>
          <w:highlight w:val="none"/>
          <w:u w:val="single" w:color="auto"/>
        </w:rPr>
        <w:t xml:space="preserve">             </w:t>
      </w:r>
      <w:r>
        <w:rPr>
          <w:rFonts w:hint="eastAsia" w:ascii="宋体" w:hAnsi="宋体" w:eastAsia="宋体" w:cs="宋体"/>
          <w:color w:val="auto"/>
          <w:spacing w:val="-49"/>
          <w:sz w:val="20"/>
          <w:szCs w:val="20"/>
          <w:highlight w:val="none"/>
        </w:rPr>
        <w:t>，</w:t>
      </w:r>
      <w:r>
        <w:rPr>
          <w:rFonts w:hint="eastAsia" w:ascii="宋体" w:hAnsi="宋体" w:eastAsia="宋体" w:cs="宋体"/>
          <w:color w:val="auto"/>
          <w:sz w:val="22"/>
          <w:szCs w:val="22"/>
          <w:highlight w:val="none"/>
        </w:rPr>
        <w:t>提供本项目公开招标采购文件第三章“采购需求”</w:t>
      </w:r>
      <w:r>
        <w:rPr>
          <w:rFonts w:hint="eastAsia" w:ascii="宋体" w:hAnsi="宋体" w:eastAsia="宋体" w:cs="宋体"/>
          <w:color w:val="auto"/>
          <w:spacing w:val="-1"/>
          <w:sz w:val="22"/>
          <w:szCs w:val="22"/>
          <w:highlight w:val="none"/>
        </w:rPr>
        <w:t>中相应的采购内容。</w:t>
      </w:r>
    </w:p>
    <w:p w14:paraId="21482BC0">
      <w:pPr>
        <w:spacing w:before="20" w:line="230" w:lineRule="auto"/>
        <w:ind w:right="76" w:firstLine="43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2、我方同意自本项目公开招标采购文件采购公告规定的递交响应文件截止时间起遵循本响应函</w:t>
      </w:r>
      <w:r>
        <w:rPr>
          <w:rFonts w:hint="eastAsia" w:ascii="宋体" w:hAnsi="宋体" w:eastAsia="宋体" w:cs="宋体"/>
          <w:color w:val="auto"/>
          <w:spacing w:val="-1"/>
          <w:sz w:val="22"/>
          <w:szCs w:val="22"/>
          <w:highlight w:val="none"/>
        </w:rPr>
        <w:t>，并</w:t>
      </w:r>
      <w:r>
        <w:rPr>
          <w:rFonts w:hint="eastAsia" w:ascii="宋体" w:hAnsi="宋体" w:eastAsia="宋体" w:cs="宋体"/>
          <w:color w:val="auto"/>
          <w:sz w:val="22"/>
          <w:szCs w:val="22"/>
          <w:highlight w:val="none"/>
        </w:rPr>
        <w:t>承诺在“第二章 供应商须知”规定的响应有效期内不修改</w:t>
      </w:r>
      <w:r>
        <w:rPr>
          <w:rFonts w:hint="eastAsia" w:ascii="宋体" w:hAnsi="宋体" w:eastAsia="宋体" w:cs="宋体"/>
          <w:color w:val="auto"/>
          <w:spacing w:val="-1"/>
          <w:sz w:val="22"/>
          <w:szCs w:val="22"/>
          <w:highlight w:val="none"/>
        </w:rPr>
        <w:t>、撤销响应文件。</w:t>
      </w:r>
    </w:p>
    <w:p w14:paraId="5E69EBB4">
      <w:pPr>
        <w:spacing w:before="24" w:line="221" w:lineRule="auto"/>
        <w:ind w:left="44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3、我方在此声明，所递交的响应文件及有关资料内容完整、真实和准确。</w:t>
      </w:r>
    </w:p>
    <w:p w14:paraId="4A6355D9">
      <w:pPr>
        <w:spacing w:before="22" w:line="220" w:lineRule="auto"/>
        <w:jc w:val="righ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4、如本项目采购内容涉及须符合国家强制规定的，我方承诺我方本次投标均符合国家有关强制规定。</w:t>
      </w:r>
    </w:p>
    <w:p w14:paraId="26E4D7BE">
      <w:pPr>
        <w:spacing w:before="25" w:line="233" w:lineRule="auto"/>
        <w:ind w:right="78" w:firstLine="444"/>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5、如我方成交，我方承诺在收到成交通知书后，在成交通知书规定的期限内，根据公开招标采购文</w:t>
      </w:r>
      <w:r>
        <w:rPr>
          <w:rFonts w:hint="eastAsia" w:ascii="宋体" w:hAnsi="宋体" w:eastAsia="宋体" w:cs="宋体"/>
          <w:color w:val="auto"/>
          <w:spacing w:val="-1"/>
          <w:sz w:val="22"/>
          <w:szCs w:val="22"/>
          <w:highlight w:val="none"/>
        </w:rPr>
        <w:t>件、我方的响应文件及有关澄清承诺书的要求按第五章“合</w:t>
      </w:r>
      <w:r>
        <w:rPr>
          <w:rFonts w:hint="eastAsia" w:ascii="宋体" w:hAnsi="宋体" w:eastAsia="宋体" w:cs="宋体"/>
          <w:color w:val="auto"/>
          <w:spacing w:val="-2"/>
          <w:sz w:val="22"/>
          <w:szCs w:val="22"/>
          <w:highlight w:val="none"/>
        </w:rPr>
        <w:t>同文本”与采购人订立书面合同，并按照合同约</w:t>
      </w:r>
      <w:r>
        <w:rPr>
          <w:rFonts w:hint="eastAsia" w:ascii="宋体" w:hAnsi="宋体" w:eastAsia="宋体" w:cs="宋体"/>
          <w:color w:val="auto"/>
          <w:spacing w:val="-1"/>
          <w:sz w:val="22"/>
          <w:szCs w:val="22"/>
          <w:highlight w:val="none"/>
        </w:rPr>
        <w:t>定承担完成合同的责任和义务。</w:t>
      </w:r>
    </w:p>
    <w:p w14:paraId="7B0AF23E">
      <w:pPr>
        <w:spacing w:before="20" w:line="220" w:lineRule="auto"/>
        <w:ind w:left="443"/>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6、我方已详细审核采购文件，我方知道必须放弃提出含糊不清或误解问题的权利。</w:t>
      </w:r>
    </w:p>
    <w:p w14:paraId="69C2F9D5">
      <w:pPr>
        <w:spacing w:before="23" w:line="220" w:lineRule="auto"/>
        <w:ind w:left="44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7、我方承诺满足采购文件第五章“合同文本”的条款，承担完成合同的责任和义务。</w:t>
      </w:r>
    </w:p>
    <w:p w14:paraId="257EAC2C">
      <w:pPr>
        <w:spacing w:before="23" w:line="230" w:lineRule="auto"/>
        <w:ind w:left="19" w:right="78" w:firstLine="42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8、我方同意应贵方要求提供与本投标有关的任何数据或资料。若贵</w:t>
      </w:r>
      <w:r>
        <w:rPr>
          <w:rFonts w:hint="eastAsia" w:ascii="宋体" w:hAnsi="宋体" w:eastAsia="宋体" w:cs="宋体"/>
          <w:color w:val="auto"/>
          <w:spacing w:val="-1"/>
          <w:sz w:val="22"/>
          <w:szCs w:val="22"/>
          <w:highlight w:val="none"/>
        </w:rPr>
        <w:t>方需要，我方愿意提供我方作出</w:t>
      </w:r>
      <w:r>
        <w:rPr>
          <w:rFonts w:hint="eastAsia" w:ascii="宋体" w:hAnsi="宋体" w:eastAsia="宋体" w:cs="宋体"/>
          <w:color w:val="auto"/>
          <w:spacing w:val="-3"/>
          <w:sz w:val="22"/>
          <w:szCs w:val="22"/>
          <w:highlight w:val="none"/>
        </w:rPr>
        <w:t>的一切承诺的证明材料。</w:t>
      </w:r>
    </w:p>
    <w:p w14:paraId="05B38782">
      <w:pPr>
        <w:spacing w:before="24" w:line="219" w:lineRule="auto"/>
        <w:ind w:left="442"/>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9、我方完全理解贵方不一定接受响应报价最低的投标人为成交供应商的行为。</w:t>
      </w:r>
    </w:p>
    <w:p w14:paraId="4F28F381">
      <w:pPr>
        <w:spacing w:before="26" w:line="232" w:lineRule="auto"/>
        <w:ind w:right="16" w:firstLine="459"/>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10、我方将严格遵守《中华人民共和国政府采购法》第七十七条的规定，即供应商有下列情形之一的，</w:t>
      </w:r>
      <w:r>
        <w:rPr>
          <w:rFonts w:hint="eastAsia" w:ascii="宋体" w:hAnsi="宋体" w:eastAsia="宋体" w:cs="宋体"/>
          <w:color w:val="auto"/>
          <w:sz w:val="22"/>
          <w:szCs w:val="22"/>
          <w:highlight w:val="none"/>
        </w:rPr>
        <w:t>处以采购金额千分之五以上千分之十以下的罚款，列入不良行为记录名单，在一至三年内禁止参加政府采购活动，有违法所得的，并处没收违法所得，情节严重的，由工商行政管理机关吊销营业执照；构成</w:t>
      </w:r>
      <w:r>
        <w:rPr>
          <w:rFonts w:hint="eastAsia" w:ascii="宋体" w:hAnsi="宋体" w:eastAsia="宋体" w:cs="宋体"/>
          <w:color w:val="auto"/>
          <w:spacing w:val="-1"/>
          <w:sz w:val="22"/>
          <w:szCs w:val="22"/>
          <w:highlight w:val="none"/>
        </w:rPr>
        <w:t>犯罪的，依法追究刑事责任：</w:t>
      </w:r>
    </w:p>
    <w:p w14:paraId="3380B6B7">
      <w:pPr>
        <w:spacing w:line="241" w:lineRule="auto"/>
        <w:ind w:left="661"/>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2"/>
          <w:sz w:val="22"/>
          <w:szCs w:val="22"/>
          <w:highlight w:val="none"/>
          <w:lang w:val="en-US" w:eastAsia="zh-CN"/>
        </w:rPr>
        <w:t>1</w:t>
      </w:r>
      <w:r>
        <w:rPr>
          <w:rFonts w:hint="eastAsia" w:ascii="宋体" w:hAnsi="宋体" w:eastAsia="宋体" w:cs="宋体"/>
          <w:color w:val="auto"/>
          <w:spacing w:val="-2"/>
          <w:sz w:val="22"/>
          <w:szCs w:val="22"/>
          <w:highlight w:val="none"/>
        </w:rPr>
        <w:t>) 提供虚假材料谋取中标、成交的；</w:t>
      </w:r>
    </w:p>
    <w:p w14:paraId="4FF05B08">
      <w:pPr>
        <w:spacing w:before="1" w:line="239" w:lineRule="auto"/>
        <w:ind w:left="66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 采取不正当手段诋毁、排挤其他供应商的；</w:t>
      </w:r>
    </w:p>
    <w:p w14:paraId="7CE4EFF6">
      <w:pPr>
        <w:spacing w:before="1" w:line="239" w:lineRule="auto"/>
        <w:ind w:left="66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与采购人、其他供应商或者采购代理</w:t>
      </w:r>
      <w:r>
        <w:rPr>
          <w:rFonts w:hint="eastAsia" w:ascii="宋体" w:hAnsi="宋体" w:eastAsia="宋体" w:cs="宋体"/>
          <w:color w:val="auto"/>
          <w:spacing w:val="-1"/>
          <w:sz w:val="22"/>
          <w:szCs w:val="22"/>
          <w:highlight w:val="none"/>
        </w:rPr>
        <w:t>机构恶意串通的；</w:t>
      </w:r>
    </w:p>
    <w:p w14:paraId="54FC5480">
      <w:pPr>
        <w:spacing w:before="1" w:line="238" w:lineRule="auto"/>
        <w:ind w:left="661"/>
        <w:rPr>
          <w:rFonts w:hint="eastAsia" w:ascii="宋体" w:hAnsi="宋体" w:eastAsia="宋体" w:cs="宋体"/>
          <w:color w:val="auto"/>
          <w:spacing w:val="-2"/>
          <w:sz w:val="22"/>
          <w:szCs w:val="22"/>
          <w:highlight w:val="none"/>
        </w:rPr>
      </w:pPr>
      <w:r>
        <w:rPr>
          <w:rFonts w:hint="eastAsia" w:ascii="宋体" w:hAnsi="宋体" w:eastAsia="宋体" w:cs="宋体"/>
          <w:color w:val="auto"/>
          <w:spacing w:val="-1"/>
          <w:sz w:val="22"/>
          <w:szCs w:val="22"/>
          <w:highlight w:val="none"/>
        </w:rPr>
        <w:t>(4)</w:t>
      </w:r>
      <w:r>
        <w:rPr>
          <w:rFonts w:hint="eastAsia" w:ascii="宋体" w:hAnsi="宋体" w:eastAsia="宋体" w:cs="宋体"/>
          <w:color w:val="auto"/>
          <w:spacing w:val="15"/>
          <w:sz w:val="22"/>
          <w:szCs w:val="22"/>
          <w:highlight w:val="none"/>
        </w:rPr>
        <w:t xml:space="preserve"> </w:t>
      </w:r>
      <w:r>
        <w:rPr>
          <w:rFonts w:hint="eastAsia" w:ascii="宋体" w:hAnsi="宋体" w:eastAsia="宋体" w:cs="宋体"/>
          <w:color w:val="auto"/>
          <w:spacing w:val="-1"/>
          <w:sz w:val="22"/>
          <w:szCs w:val="22"/>
          <w:highlight w:val="none"/>
        </w:rPr>
        <w:t>向采购人、采购代理机构行贿或者提</w:t>
      </w:r>
      <w:r>
        <w:rPr>
          <w:rFonts w:hint="eastAsia" w:ascii="宋体" w:hAnsi="宋体" w:eastAsia="宋体" w:cs="宋体"/>
          <w:color w:val="auto"/>
          <w:spacing w:val="-2"/>
          <w:sz w:val="22"/>
          <w:szCs w:val="22"/>
          <w:highlight w:val="none"/>
        </w:rPr>
        <w:t>供其他不正当利益的；</w:t>
      </w:r>
    </w:p>
    <w:p w14:paraId="2D54D4E4">
      <w:pPr>
        <w:spacing w:before="1" w:line="238" w:lineRule="auto"/>
        <w:ind w:left="661"/>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(5) 在采购过程中与采购人进行协商谈判的；</w:t>
      </w:r>
    </w:p>
    <w:p w14:paraId="47084834">
      <w:pPr>
        <w:spacing w:before="1" w:line="238" w:lineRule="auto"/>
        <w:ind w:left="661"/>
        <w:rPr>
          <w:rFonts w:hint="eastAsia" w:ascii="宋体" w:hAnsi="宋体" w:eastAsia="宋体" w:cs="宋体"/>
          <w:color w:val="auto"/>
          <w:spacing w:val="7"/>
          <w:sz w:val="22"/>
          <w:szCs w:val="22"/>
          <w:highlight w:val="none"/>
        </w:rPr>
      </w:pPr>
      <w:r>
        <w:rPr>
          <w:rFonts w:hint="eastAsia" w:ascii="宋体" w:hAnsi="宋体" w:eastAsia="宋体" w:cs="宋体"/>
          <w:color w:val="auto"/>
          <w:spacing w:val="-2"/>
          <w:sz w:val="22"/>
          <w:szCs w:val="22"/>
          <w:highlight w:val="none"/>
        </w:rPr>
        <w:t>(6) 拒绝有关部门监督检查或提供虚假情况的。</w:t>
      </w:r>
      <w:r>
        <w:rPr>
          <w:rFonts w:hint="eastAsia" w:ascii="宋体" w:hAnsi="宋体" w:eastAsia="宋体" w:cs="宋体"/>
          <w:color w:val="auto"/>
          <w:spacing w:val="7"/>
          <w:sz w:val="22"/>
          <w:szCs w:val="22"/>
          <w:highlight w:val="none"/>
        </w:rPr>
        <w:t xml:space="preserve"> </w:t>
      </w:r>
    </w:p>
    <w:p w14:paraId="5C5291DB">
      <w:pPr>
        <w:spacing w:before="1" w:line="238" w:lineRule="auto"/>
        <w:ind w:left="661"/>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11.与本投标有关的一切正式往来信函请寄：</w:t>
      </w:r>
    </w:p>
    <w:p w14:paraId="5BE0E13F">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地址：</w:t>
      </w:r>
    </w:p>
    <w:p w14:paraId="36CEF84C">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电话：</w:t>
      </w:r>
    </w:p>
    <w:p w14:paraId="15D56E9E">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传真：</w:t>
      </w:r>
    </w:p>
    <w:p w14:paraId="66A9C609">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邮政编码：</w:t>
      </w:r>
    </w:p>
    <w:p w14:paraId="317B16A6">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开户名称：</w:t>
      </w:r>
    </w:p>
    <w:p w14:paraId="4B4E578A">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开户银行：</w:t>
      </w:r>
    </w:p>
    <w:p w14:paraId="535A7ACB">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银行账号：</w:t>
      </w:r>
    </w:p>
    <w:p w14:paraId="5437B057">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特此承诺。</w:t>
      </w:r>
    </w:p>
    <w:p w14:paraId="6CAD5C4F">
      <w:pPr>
        <w:spacing w:before="71" w:line="220" w:lineRule="auto"/>
        <w:ind w:left="4743"/>
        <w:jc w:val="right"/>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供应商名称(</w:t>
      </w:r>
      <w:r>
        <w:rPr>
          <w:rFonts w:hint="eastAsia" w:ascii="宋体" w:hAnsi="宋体" w:eastAsia="宋体" w:cs="宋体"/>
          <w:color w:val="auto"/>
          <w:spacing w:val="27"/>
          <w:sz w:val="22"/>
          <w:szCs w:val="22"/>
          <w:highlight w:val="none"/>
        </w:rPr>
        <w:t xml:space="preserve"> </w:t>
      </w:r>
      <w:r>
        <w:rPr>
          <w:rFonts w:hint="eastAsia" w:ascii="宋体" w:hAnsi="宋体" w:eastAsia="宋体" w:cs="宋体"/>
          <w:color w:val="auto"/>
          <w:spacing w:val="-11"/>
          <w:sz w:val="22"/>
          <w:szCs w:val="22"/>
          <w:highlight w:val="none"/>
        </w:rPr>
        <w:t>电子签章 )：</w:t>
      </w:r>
    </w:p>
    <w:p w14:paraId="5E2391D4">
      <w:pPr>
        <w:spacing w:before="74" w:line="221" w:lineRule="auto"/>
        <w:ind w:left="4716"/>
        <w:jc w:val="right"/>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56"/>
          <w:sz w:val="22"/>
          <w:szCs w:val="22"/>
          <w:highlight w:val="none"/>
        </w:rPr>
        <w:t xml:space="preserve"> </w:t>
      </w:r>
      <w:r>
        <w:rPr>
          <w:rFonts w:hint="eastAsia" w:ascii="宋体" w:hAnsi="宋体" w:eastAsia="宋体" w:cs="宋体"/>
          <w:color w:val="auto"/>
          <w:spacing w:val="-18"/>
          <w:sz w:val="22"/>
          <w:szCs w:val="22"/>
          <w:highlight w:val="none"/>
        </w:rPr>
        <w:t>期</w:t>
      </w:r>
      <w:r>
        <w:rPr>
          <w:rFonts w:hint="eastAsia" w:ascii="宋体" w:hAnsi="宋体" w:eastAsia="宋体" w:cs="宋体"/>
          <w:color w:val="auto"/>
          <w:spacing w:val="-30"/>
          <w:sz w:val="22"/>
          <w:szCs w:val="22"/>
          <w:highlight w:val="none"/>
        </w:rPr>
        <w:t xml:space="preserve"> </w:t>
      </w:r>
      <w:r>
        <w:rPr>
          <w:rFonts w:hint="eastAsia" w:ascii="宋体" w:hAnsi="宋体" w:eastAsia="宋体" w:cs="宋体"/>
          <w:color w:val="auto"/>
          <w:spacing w:val="-18"/>
          <w:sz w:val="22"/>
          <w:szCs w:val="22"/>
          <w:highlight w:val="none"/>
        </w:rPr>
        <w:t>：</w:t>
      </w:r>
      <w:r>
        <w:rPr>
          <w:rFonts w:hint="eastAsia" w:ascii="宋体" w:hAnsi="宋体" w:eastAsia="宋体" w:cs="宋体"/>
          <w:color w:val="auto"/>
          <w:spacing w:val="20"/>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7"/>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32"/>
          <w:sz w:val="22"/>
          <w:szCs w:val="22"/>
          <w:highlight w:val="none"/>
        </w:rPr>
        <w:t xml:space="preserve">   </w:t>
      </w:r>
      <w:r>
        <w:rPr>
          <w:rFonts w:hint="eastAsia" w:ascii="宋体" w:hAnsi="宋体" w:eastAsia="宋体" w:cs="宋体"/>
          <w:color w:val="auto"/>
          <w:spacing w:val="-18"/>
          <w:sz w:val="22"/>
          <w:szCs w:val="22"/>
          <w:highlight w:val="none"/>
        </w:rPr>
        <w:t>日</w:t>
      </w:r>
    </w:p>
    <w:p w14:paraId="0FA74F3C">
      <w:pPr>
        <w:pStyle w:val="4"/>
        <w:spacing w:line="269" w:lineRule="auto"/>
        <w:rPr>
          <w:rFonts w:hint="eastAsia" w:ascii="宋体" w:hAnsi="宋体" w:eastAsia="宋体" w:cs="宋体"/>
          <w:color w:val="auto"/>
          <w:highlight w:val="none"/>
        </w:rPr>
      </w:pPr>
    </w:p>
    <w:p w14:paraId="52AB6254">
      <w:pPr>
        <w:spacing w:line="243" w:lineRule="auto"/>
        <w:rPr>
          <w:rFonts w:hint="eastAsia" w:ascii="宋体" w:hAnsi="宋体" w:eastAsia="宋体" w:cs="宋体"/>
          <w:color w:val="auto"/>
          <w:sz w:val="22"/>
          <w:szCs w:val="22"/>
          <w:highlight w:val="none"/>
        </w:rPr>
        <w:sectPr>
          <w:pgSz w:w="11907" w:h="16840"/>
          <w:pgMar w:top="1440" w:right="1080" w:bottom="1440" w:left="1080" w:header="0" w:footer="0" w:gutter="0"/>
          <w:pgNumType w:fmt="decimal"/>
          <w:cols w:space="720" w:num="1"/>
        </w:sectPr>
      </w:pPr>
    </w:p>
    <w:p w14:paraId="0693F023">
      <w:pPr>
        <w:spacing w:before="91" w:line="219" w:lineRule="auto"/>
        <w:ind w:left="35"/>
        <w:outlineLvl w:val="9"/>
        <w:rPr>
          <w:rFonts w:hint="eastAsia" w:ascii="宋体" w:hAnsi="宋体" w:eastAsia="宋体" w:cs="宋体"/>
          <w:color w:val="auto"/>
          <w:sz w:val="28"/>
          <w:szCs w:val="28"/>
          <w:highlight w:val="none"/>
        </w:rPr>
      </w:pPr>
      <w:bookmarkStart w:id="84" w:name="bookmark65"/>
      <w:bookmarkEnd w:id="84"/>
      <w:r>
        <w:rPr>
          <w:rFonts w:hint="eastAsia" w:ascii="宋体" w:hAnsi="宋体" w:eastAsia="宋体" w:cs="宋体"/>
          <w:b/>
          <w:bCs/>
          <w:color w:val="auto"/>
          <w:spacing w:val="-4"/>
          <w:sz w:val="28"/>
          <w:szCs w:val="28"/>
          <w:highlight w:val="none"/>
        </w:rPr>
        <w:t>3、响应报价表格式</w:t>
      </w:r>
    </w:p>
    <w:p w14:paraId="75BEDEBA">
      <w:pPr>
        <w:pStyle w:val="4"/>
        <w:spacing w:line="277" w:lineRule="auto"/>
        <w:rPr>
          <w:rFonts w:hint="eastAsia" w:ascii="宋体" w:hAnsi="宋体" w:eastAsia="宋体" w:cs="宋体"/>
          <w:color w:val="auto"/>
          <w:highlight w:val="none"/>
        </w:rPr>
      </w:pPr>
    </w:p>
    <w:p w14:paraId="03B6039C">
      <w:pPr>
        <w:pStyle w:val="4"/>
        <w:spacing w:line="278" w:lineRule="auto"/>
        <w:rPr>
          <w:rFonts w:hint="eastAsia" w:ascii="宋体" w:hAnsi="宋体" w:eastAsia="宋体" w:cs="宋体"/>
          <w:color w:val="auto"/>
          <w:highlight w:val="none"/>
        </w:rPr>
      </w:pPr>
    </w:p>
    <w:p w14:paraId="76C0BB4D">
      <w:pPr>
        <w:spacing w:before="101" w:line="226" w:lineRule="auto"/>
        <w:ind w:left="3971"/>
        <w:outlineLvl w:val="9"/>
        <w:rPr>
          <w:rFonts w:hint="eastAsia" w:ascii="宋体" w:hAnsi="宋体" w:eastAsia="宋体" w:cs="宋体"/>
          <w:color w:val="auto"/>
          <w:sz w:val="31"/>
          <w:szCs w:val="31"/>
          <w:highlight w:val="none"/>
        </w:rPr>
      </w:pPr>
      <w:r>
        <w:rPr>
          <w:rFonts w:hint="eastAsia" w:ascii="宋体" w:hAnsi="宋体" w:eastAsia="宋体" w:cs="宋体"/>
          <w:b/>
          <w:bCs/>
          <w:color w:val="auto"/>
          <w:spacing w:val="1"/>
          <w:sz w:val="31"/>
          <w:szCs w:val="31"/>
          <w:highlight w:val="none"/>
        </w:rPr>
        <w:t>3.1</w:t>
      </w:r>
      <w:r>
        <w:rPr>
          <w:rFonts w:hint="eastAsia" w:ascii="宋体" w:hAnsi="宋体" w:eastAsia="宋体" w:cs="宋体"/>
          <w:color w:val="auto"/>
          <w:spacing w:val="-57"/>
          <w:sz w:val="31"/>
          <w:szCs w:val="31"/>
          <w:highlight w:val="none"/>
        </w:rPr>
        <w:t xml:space="preserve"> </w:t>
      </w:r>
      <w:r>
        <w:rPr>
          <w:rFonts w:hint="eastAsia" w:ascii="宋体" w:hAnsi="宋体" w:eastAsia="宋体" w:cs="宋体"/>
          <w:b/>
          <w:bCs/>
          <w:color w:val="auto"/>
          <w:spacing w:val="1"/>
          <w:sz w:val="31"/>
          <w:szCs w:val="31"/>
          <w:highlight w:val="none"/>
        </w:rPr>
        <w:t>开标一览表</w:t>
      </w:r>
    </w:p>
    <w:tbl>
      <w:tblPr>
        <w:tblStyle w:val="17"/>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4D31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895" w:type="dxa"/>
            <w:vAlign w:val="top"/>
          </w:tcPr>
          <w:p w14:paraId="40C37EC6">
            <w:pPr>
              <w:pStyle w:val="18"/>
              <w:spacing w:before="199" w:line="221" w:lineRule="auto"/>
              <w:ind w:left="9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项目名称</w:t>
            </w:r>
          </w:p>
        </w:tc>
        <w:tc>
          <w:tcPr>
            <w:tcW w:w="6329" w:type="dxa"/>
            <w:vAlign w:val="top"/>
          </w:tcPr>
          <w:p w14:paraId="1E14EF4C">
            <w:pPr>
              <w:rPr>
                <w:rFonts w:hint="eastAsia" w:ascii="宋体" w:hAnsi="宋体" w:eastAsia="宋体" w:cs="宋体"/>
                <w:color w:val="auto"/>
                <w:sz w:val="21"/>
                <w:highlight w:val="none"/>
              </w:rPr>
            </w:pPr>
          </w:p>
        </w:tc>
      </w:tr>
      <w:tr w14:paraId="6ED6F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895" w:type="dxa"/>
            <w:vAlign w:val="top"/>
          </w:tcPr>
          <w:p w14:paraId="4F3EA789">
            <w:pPr>
              <w:pStyle w:val="18"/>
              <w:spacing w:before="181" w:line="220" w:lineRule="auto"/>
              <w:ind w:left="97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招标编号</w:t>
            </w:r>
          </w:p>
        </w:tc>
        <w:tc>
          <w:tcPr>
            <w:tcW w:w="6329" w:type="dxa"/>
            <w:vAlign w:val="top"/>
          </w:tcPr>
          <w:p w14:paraId="0AB597D7">
            <w:pPr>
              <w:rPr>
                <w:rFonts w:hint="eastAsia" w:ascii="宋体" w:hAnsi="宋体" w:eastAsia="宋体" w:cs="宋体"/>
                <w:color w:val="auto"/>
                <w:sz w:val="21"/>
                <w:highlight w:val="none"/>
              </w:rPr>
            </w:pPr>
          </w:p>
        </w:tc>
      </w:tr>
      <w:tr w14:paraId="3A619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895" w:type="dxa"/>
            <w:vAlign w:val="top"/>
          </w:tcPr>
          <w:p w14:paraId="1EE05D32">
            <w:pPr>
              <w:pStyle w:val="18"/>
              <w:spacing w:before="249" w:line="220" w:lineRule="auto"/>
              <w:ind w:left="9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r>
              <w:rPr>
                <w:rFonts w:hint="eastAsia" w:cs="宋体"/>
                <w:color w:val="auto"/>
                <w:spacing w:val="-2"/>
                <w:sz w:val="24"/>
                <w:szCs w:val="24"/>
                <w:highlight w:val="none"/>
                <w:lang w:val="en-US" w:eastAsia="zh-CN"/>
              </w:rPr>
              <w:t>元</w:t>
            </w:r>
            <w:r>
              <w:rPr>
                <w:rFonts w:hint="eastAsia" w:ascii="宋体" w:hAnsi="宋体" w:eastAsia="宋体" w:cs="宋体"/>
                <w:color w:val="auto"/>
                <w:spacing w:val="-2"/>
                <w:sz w:val="24"/>
                <w:szCs w:val="24"/>
                <w:highlight w:val="none"/>
              </w:rPr>
              <w:t>）</w:t>
            </w:r>
          </w:p>
        </w:tc>
        <w:tc>
          <w:tcPr>
            <w:tcW w:w="6329" w:type="dxa"/>
            <w:vAlign w:val="top"/>
          </w:tcPr>
          <w:p w14:paraId="603F7F79">
            <w:pPr>
              <w:rPr>
                <w:rFonts w:hint="eastAsia" w:ascii="宋体" w:hAnsi="宋体" w:eastAsia="宋体" w:cs="宋体"/>
                <w:color w:val="auto"/>
                <w:sz w:val="21"/>
                <w:highlight w:val="none"/>
              </w:rPr>
            </w:pPr>
          </w:p>
        </w:tc>
      </w:tr>
      <w:tr w14:paraId="1624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895" w:type="dxa"/>
            <w:vAlign w:val="top"/>
          </w:tcPr>
          <w:p w14:paraId="387EE955">
            <w:pPr>
              <w:pStyle w:val="18"/>
              <w:spacing w:before="182" w:line="219" w:lineRule="auto"/>
              <w:ind w:firstLine="928" w:firstLineChars="400"/>
              <w:rPr>
                <w:rFonts w:hint="eastAsia" w:ascii="宋体" w:hAnsi="宋体" w:eastAsia="宋体" w:cs="宋体"/>
                <w:color w:val="auto"/>
                <w:sz w:val="24"/>
                <w:szCs w:val="24"/>
                <w:highlight w:val="none"/>
                <w:lang w:eastAsia="zh-CN"/>
              </w:rPr>
            </w:pPr>
            <w:r>
              <w:rPr>
                <w:rFonts w:hint="eastAsia" w:cs="宋体"/>
                <w:color w:val="auto"/>
                <w:spacing w:val="-4"/>
                <w:sz w:val="24"/>
                <w:szCs w:val="24"/>
                <w:highlight w:val="none"/>
                <w:lang w:eastAsia="zh-CN"/>
              </w:rPr>
              <w:t>完成期限</w:t>
            </w:r>
          </w:p>
        </w:tc>
        <w:tc>
          <w:tcPr>
            <w:tcW w:w="6329" w:type="dxa"/>
            <w:vAlign w:val="top"/>
          </w:tcPr>
          <w:p w14:paraId="1EC596B7">
            <w:pPr>
              <w:rPr>
                <w:rFonts w:hint="eastAsia" w:ascii="宋体" w:hAnsi="宋体" w:eastAsia="宋体" w:cs="宋体"/>
                <w:color w:val="auto"/>
                <w:sz w:val="21"/>
                <w:highlight w:val="none"/>
              </w:rPr>
            </w:pPr>
          </w:p>
        </w:tc>
      </w:tr>
      <w:tr w14:paraId="2B25C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895" w:type="dxa"/>
            <w:vAlign w:val="top"/>
          </w:tcPr>
          <w:p w14:paraId="1BF2A7C6">
            <w:pPr>
              <w:pStyle w:val="18"/>
              <w:spacing w:before="182" w:line="219" w:lineRule="auto"/>
              <w:ind w:left="438" w:firstLine="480" w:firstLineChars="200"/>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质量标准</w:t>
            </w:r>
          </w:p>
        </w:tc>
        <w:tc>
          <w:tcPr>
            <w:tcW w:w="6329" w:type="dxa"/>
            <w:vAlign w:val="top"/>
          </w:tcPr>
          <w:p w14:paraId="6A39A061">
            <w:pPr>
              <w:rPr>
                <w:rFonts w:hint="eastAsia" w:ascii="宋体" w:hAnsi="宋体" w:eastAsia="宋体" w:cs="宋体"/>
                <w:color w:val="auto"/>
                <w:sz w:val="21"/>
                <w:highlight w:val="none"/>
              </w:rPr>
            </w:pPr>
          </w:p>
        </w:tc>
      </w:tr>
      <w:tr w14:paraId="0C96B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895" w:type="dxa"/>
            <w:vAlign w:val="top"/>
          </w:tcPr>
          <w:p w14:paraId="4EEF2B7C">
            <w:pPr>
              <w:pStyle w:val="18"/>
              <w:spacing w:before="182" w:line="219" w:lineRule="auto"/>
              <w:ind w:left="438" w:firstLine="480" w:firstLineChars="200"/>
              <w:rPr>
                <w:rFonts w:hint="eastAsia" w:cs="宋体"/>
                <w:color w:val="auto"/>
                <w:sz w:val="24"/>
                <w:szCs w:val="24"/>
                <w:highlight w:val="none"/>
                <w:lang w:eastAsia="zh-CN"/>
              </w:rPr>
            </w:pPr>
            <w:r>
              <w:rPr>
                <w:rFonts w:hint="eastAsia" w:cs="宋体"/>
                <w:color w:val="auto"/>
                <w:sz w:val="24"/>
                <w:szCs w:val="24"/>
                <w:highlight w:val="none"/>
                <w:lang w:eastAsia="zh-CN"/>
              </w:rPr>
              <w:t>质保期</w:t>
            </w:r>
          </w:p>
        </w:tc>
        <w:tc>
          <w:tcPr>
            <w:tcW w:w="6329" w:type="dxa"/>
            <w:vAlign w:val="top"/>
          </w:tcPr>
          <w:p w14:paraId="7044B93C">
            <w:pPr>
              <w:rPr>
                <w:rFonts w:hint="eastAsia" w:ascii="宋体" w:hAnsi="宋体" w:eastAsia="宋体" w:cs="宋体"/>
                <w:color w:val="auto"/>
                <w:sz w:val="21"/>
                <w:highlight w:val="none"/>
              </w:rPr>
            </w:pPr>
          </w:p>
        </w:tc>
      </w:tr>
    </w:tbl>
    <w:p w14:paraId="181CE3A0">
      <w:pPr>
        <w:pStyle w:val="4"/>
        <w:spacing w:line="421" w:lineRule="auto"/>
        <w:rPr>
          <w:rFonts w:hint="eastAsia" w:ascii="宋体" w:hAnsi="宋体" w:eastAsia="宋体" w:cs="宋体"/>
          <w:color w:val="auto"/>
          <w:highlight w:val="none"/>
        </w:rPr>
      </w:pPr>
    </w:p>
    <w:p w14:paraId="4088436D">
      <w:pPr>
        <w:spacing w:before="78" w:line="219" w:lineRule="auto"/>
        <w:ind w:left="27"/>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注：1、“投标总价</w:t>
      </w:r>
      <w:r>
        <w:rPr>
          <w:rFonts w:hint="eastAsia" w:ascii="宋体" w:hAnsi="宋体" w:eastAsia="宋体" w:cs="宋体"/>
          <w:color w:val="auto"/>
          <w:spacing w:val="-87"/>
          <w:sz w:val="22"/>
          <w:szCs w:val="22"/>
          <w:highlight w:val="none"/>
        </w:rPr>
        <w:t xml:space="preserve"> </w:t>
      </w:r>
      <w:r>
        <w:rPr>
          <w:rFonts w:hint="eastAsia" w:ascii="宋体" w:hAnsi="宋体" w:eastAsia="宋体" w:cs="宋体"/>
          <w:color w:val="auto"/>
          <w:spacing w:val="-4"/>
          <w:sz w:val="22"/>
          <w:szCs w:val="22"/>
          <w:highlight w:val="none"/>
        </w:rPr>
        <w:t>”应与“投标函</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4"/>
          <w:sz w:val="22"/>
          <w:szCs w:val="22"/>
          <w:highlight w:val="none"/>
        </w:rPr>
        <w:t>”中“投标总价</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4"/>
          <w:sz w:val="22"/>
          <w:szCs w:val="22"/>
          <w:highlight w:val="none"/>
        </w:rPr>
        <w:t>”一致。</w:t>
      </w:r>
    </w:p>
    <w:p w14:paraId="38CB3DEE">
      <w:pPr>
        <w:spacing w:before="78" w:line="219" w:lineRule="auto"/>
        <w:ind w:left="27" w:firstLine="432" w:firstLineChars="200"/>
        <w:rPr>
          <w:rFonts w:hint="eastAsia" w:ascii="宋体" w:hAnsi="宋体" w:eastAsia="宋体" w:cs="宋体"/>
          <w:color w:val="auto"/>
          <w:spacing w:val="-3"/>
          <w:sz w:val="22"/>
          <w:szCs w:val="22"/>
          <w:highlight w:val="none"/>
        </w:rPr>
      </w:pPr>
      <w:r>
        <w:rPr>
          <w:rFonts w:hint="eastAsia" w:ascii="宋体" w:hAnsi="宋体" w:eastAsia="宋体" w:cs="宋体"/>
          <w:color w:val="auto"/>
          <w:spacing w:val="-2"/>
          <w:sz w:val="22"/>
          <w:szCs w:val="22"/>
          <w:highlight w:val="none"/>
        </w:rPr>
        <w:t>2.“开标一览表</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”为多页的，每页均需由法定代表人或授权代表签字并</w:t>
      </w:r>
      <w:r>
        <w:rPr>
          <w:rFonts w:hint="eastAsia" w:ascii="宋体" w:hAnsi="宋体" w:eastAsia="宋体" w:cs="宋体"/>
          <w:color w:val="auto"/>
          <w:spacing w:val="-3"/>
          <w:sz w:val="22"/>
          <w:szCs w:val="22"/>
          <w:highlight w:val="none"/>
        </w:rPr>
        <w:t>盖供应商印章。</w:t>
      </w:r>
    </w:p>
    <w:p w14:paraId="2860653E">
      <w:pPr>
        <w:spacing w:before="78" w:line="219" w:lineRule="auto"/>
        <w:ind w:left="27" w:firstLine="428" w:firstLineChars="200"/>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3、“开标一览表</w:t>
      </w:r>
      <w:r>
        <w:rPr>
          <w:rFonts w:hint="eastAsia" w:ascii="宋体" w:hAnsi="宋体" w:eastAsia="宋体" w:cs="宋体"/>
          <w:color w:val="auto"/>
          <w:spacing w:val="-85"/>
          <w:sz w:val="22"/>
          <w:szCs w:val="22"/>
          <w:highlight w:val="none"/>
        </w:rPr>
        <w:t xml:space="preserve"> </w:t>
      </w:r>
      <w:r>
        <w:rPr>
          <w:rFonts w:hint="eastAsia" w:ascii="宋体" w:hAnsi="宋体" w:eastAsia="宋体" w:cs="宋体"/>
          <w:color w:val="auto"/>
          <w:spacing w:val="-3"/>
          <w:sz w:val="22"/>
          <w:szCs w:val="22"/>
          <w:highlight w:val="none"/>
        </w:rPr>
        <w:t>”以</w:t>
      </w:r>
      <w:r>
        <w:rPr>
          <w:rFonts w:hint="eastAsia" w:ascii="宋体" w:hAnsi="宋体" w:eastAsia="宋体" w:cs="宋体"/>
          <w:color w:val="auto"/>
          <w:spacing w:val="-3"/>
          <w:sz w:val="22"/>
          <w:szCs w:val="22"/>
          <w:highlight w:val="none"/>
          <w:lang w:val="en-US" w:eastAsia="zh-CN"/>
        </w:rPr>
        <w:t>项</w:t>
      </w:r>
      <w:r>
        <w:rPr>
          <w:rFonts w:hint="eastAsia" w:ascii="宋体" w:hAnsi="宋体" w:eastAsia="宋体" w:cs="宋体"/>
          <w:color w:val="auto"/>
          <w:spacing w:val="-3"/>
          <w:sz w:val="22"/>
          <w:szCs w:val="22"/>
          <w:highlight w:val="none"/>
        </w:rPr>
        <w:t>为单位填写。</w:t>
      </w:r>
    </w:p>
    <w:p w14:paraId="4F860623">
      <w:pPr>
        <w:spacing w:before="33" w:line="219" w:lineRule="auto"/>
        <w:ind w:left="601"/>
        <w:rPr>
          <w:rFonts w:hint="eastAsia" w:ascii="宋体" w:hAnsi="宋体" w:eastAsia="宋体" w:cs="宋体"/>
          <w:color w:val="FF0000"/>
          <w:sz w:val="22"/>
          <w:szCs w:val="22"/>
          <w:highlight w:val="none"/>
        </w:rPr>
      </w:pP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FF0000"/>
          <w:spacing w:val="1"/>
          <w:sz w:val="22"/>
          <w:szCs w:val="22"/>
          <w:highlight w:val="none"/>
        </w:rPr>
        <w:t>供应商报价中的</w:t>
      </w:r>
      <w:r>
        <w:rPr>
          <w:rFonts w:hint="eastAsia" w:ascii="宋体" w:hAnsi="宋体" w:eastAsia="宋体" w:cs="宋体"/>
          <w:color w:val="FF0000"/>
          <w:spacing w:val="1"/>
          <w:sz w:val="22"/>
          <w:szCs w:val="22"/>
          <w:highlight w:val="none"/>
          <w:lang w:eastAsia="zh-CN"/>
        </w:rPr>
        <w:t>总价</w:t>
      </w:r>
      <w:r>
        <w:rPr>
          <w:rFonts w:hint="eastAsia" w:ascii="宋体" w:hAnsi="宋体" w:eastAsia="宋体" w:cs="宋体"/>
          <w:color w:val="FF0000"/>
          <w:spacing w:val="1"/>
          <w:sz w:val="22"/>
          <w:szCs w:val="22"/>
          <w:highlight w:val="none"/>
        </w:rPr>
        <w:t>包括设备的供货、运输、储藏、保险、安装调试、 检测、验收、运行试车、技术培训、售后服务、税金、利润及其他伴随服务等一切费用。</w:t>
      </w:r>
      <w:r>
        <w:rPr>
          <w:rFonts w:hint="eastAsia" w:ascii="宋体" w:hAnsi="宋体" w:eastAsia="宋体" w:cs="宋体"/>
          <w:color w:val="FF0000"/>
          <w:spacing w:val="-1"/>
          <w:sz w:val="22"/>
          <w:szCs w:val="22"/>
          <w:highlight w:val="none"/>
        </w:rPr>
        <w:t>此价格将作为中标依据。</w:t>
      </w:r>
    </w:p>
    <w:p w14:paraId="492481A3">
      <w:pPr>
        <w:spacing w:before="78" w:line="219" w:lineRule="auto"/>
        <w:ind w:left="27" w:firstLine="428" w:firstLineChars="200"/>
        <w:rPr>
          <w:rFonts w:hint="eastAsia" w:ascii="宋体" w:hAnsi="宋体" w:eastAsia="宋体" w:cs="宋体"/>
          <w:color w:val="auto"/>
          <w:spacing w:val="-3"/>
          <w:sz w:val="22"/>
          <w:szCs w:val="22"/>
          <w:highlight w:val="none"/>
          <w:lang w:val="en-US" w:eastAsia="zh-CN"/>
        </w:rPr>
      </w:pPr>
    </w:p>
    <w:p w14:paraId="1D5C4ADB">
      <w:pPr>
        <w:pStyle w:val="4"/>
        <w:spacing w:line="353" w:lineRule="auto"/>
        <w:rPr>
          <w:rFonts w:hint="eastAsia" w:ascii="宋体" w:hAnsi="宋体" w:eastAsia="宋体" w:cs="宋体"/>
          <w:color w:val="auto"/>
          <w:highlight w:val="none"/>
        </w:rPr>
      </w:pPr>
    </w:p>
    <w:p w14:paraId="6C36A86F">
      <w:pPr>
        <w:spacing w:before="261" w:line="219" w:lineRule="auto"/>
        <w:jc w:val="righ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供应商名称( 电子签章 )：</w:t>
      </w:r>
    </w:p>
    <w:p w14:paraId="7DB70E20">
      <w:pPr>
        <w:spacing w:before="261" w:line="219" w:lineRule="auto"/>
        <w:jc w:val="righ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法定代表人或授权代表（签字）：</w:t>
      </w:r>
    </w:p>
    <w:p w14:paraId="214A2184">
      <w:pPr>
        <w:spacing w:before="261" w:line="219" w:lineRule="auto"/>
        <w:jc w:val="righ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日 期：   年    月    日</w:t>
      </w:r>
    </w:p>
    <w:p w14:paraId="0A0BE78B">
      <w:pP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br w:type="page"/>
      </w:r>
    </w:p>
    <w:p w14:paraId="42AD8248">
      <w:pPr>
        <w:spacing w:before="101" w:line="224" w:lineRule="auto"/>
        <w:ind w:left="3740"/>
        <w:outlineLvl w:val="9"/>
        <w:rPr>
          <w:rFonts w:hint="eastAsia" w:ascii="宋体" w:hAnsi="宋体" w:eastAsia="宋体" w:cs="宋体"/>
          <w:color w:val="auto"/>
          <w:sz w:val="31"/>
          <w:szCs w:val="31"/>
          <w:highlight w:val="none"/>
        </w:rPr>
      </w:pPr>
      <w:r>
        <w:rPr>
          <w:rFonts w:hint="eastAsia" w:ascii="宋体" w:hAnsi="宋体" w:eastAsia="宋体" w:cs="宋体"/>
          <w:b/>
          <w:bCs/>
          <w:color w:val="auto"/>
          <w:spacing w:val="2"/>
          <w:sz w:val="31"/>
          <w:szCs w:val="31"/>
          <w:highlight w:val="none"/>
        </w:rPr>
        <w:t>3.2</w:t>
      </w:r>
      <w:r>
        <w:rPr>
          <w:rFonts w:hint="eastAsia" w:ascii="宋体" w:hAnsi="宋体" w:eastAsia="宋体" w:cs="宋体"/>
          <w:color w:val="auto"/>
          <w:spacing w:val="-53"/>
          <w:sz w:val="31"/>
          <w:szCs w:val="31"/>
          <w:highlight w:val="none"/>
        </w:rPr>
        <w:t xml:space="preserve"> </w:t>
      </w:r>
      <w:r>
        <w:rPr>
          <w:rFonts w:hint="eastAsia" w:ascii="宋体" w:hAnsi="宋体" w:eastAsia="宋体" w:cs="宋体"/>
          <w:b/>
          <w:bCs/>
          <w:color w:val="auto"/>
          <w:spacing w:val="2"/>
          <w:sz w:val="31"/>
          <w:szCs w:val="31"/>
          <w:highlight w:val="none"/>
        </w:rPr>
        <w:t>分项报价明细表</w:t>
      </w:r>
    </w:p>
    <w:p w14:paraId="4B9FB652">
      <w:pPr>
        <w:pStyle w:val="4"/>
        <w:spacing w:line="302" w:lineRule="auto"/>
        <w:rPr>
          <w:rFonts w:hint="eastAsia" w:ascii="宋体" w:hAnsi="宋体" w:eastAsia="宋体" w:cs="宋体"/>
          <w:color w:val="auto"/>
          <w:highlight w:val="none"/>
        </w:rPr>
      </w:pPr>
    </w:p>
    <w:p w14:paraId="32946EBD">
      <w:pPr>
        <w:spacing w:before="24" w:line="221" w:lineRule="auto"/>
        <w:ind w:left="442" w:firstLine="218" w:firstLineChars="100"/>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项目名称：</w:t>
      </w:r>
      <w:r>
        <w:rPr>
          <w:rFonts w:hint="eastAsia" w:ascii="宋体" w:hAnsi="宋体" w:eastAsia="宋体" w:cs="宋体"/>
          <w:color w:val="auto"/>
          <w:spacing w:val="-1"/>
          <w:sz w:val="22"/>
          <w:szCs w:val="22"/>
          <w:highlight w:val="none"/>
          <w:lang w:val="en-US" w:eastAsia="zh-CN"/>
        </w:rPr>
        <w:t xml:space="preserve">                                                     </w:t>
      </w:r>
      <w:r>
        <w:rPr>
          <w:rFonts w:hint="eastAsia" w:ascii="宋体" w:hAnsi="宋体" w:eastAsia="宋体" w:cs="宋体"/>
          <w:color w:val="auto"/>
          <w:spacing w:val="-1"/>
          <w:sz w:val="22"/>
          <w:szCs w:val="22"/>
          <w:highlight w:val="none"/>
        </w:rPr>
        <w:t>招标编号：</w:t>
      </w:r>
    </w:p>
    <w:tbl>
      <w:tblPr>
        <w:tblStyle w:val="17"/>
        <w:tblW w:w="10063" w:type="dxa"/>
        <w:tblInd w:w="-1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2782"/>
        <w:gridCol w:w="1622"/>
        <w:gridCol w:w="1159"/>
        <w:gridCol w:w="819"/>
        <w:gridCol w:w="954"/>
        <w:gridCol w:w="954"/>
        <w:gridCol w:w="1132"/>
      </w:tblGrid>
      <w:tr w14:paraId="5294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641" w:type="dxa"/>
            <w:textDirection w:val="tbRlV"/>
            <w:vAlign w:val="top"/>
          </w:tcPr>
          <w:p w14:paraId="50AC1966">
            <w:pPr>
              <w:pStyle w:val="18"/>
              <w:spacing w:before="108" w:line="210" w:lineRule="auto"/>
              <w:ind w:left="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z w:val="24"/>
                <w:szCs w:val="24"/>
                <w:highlight w:val="none"/>
              </w:rPr>
              <w:t>号</w:t>
            </w:r>
          </w:p>
        </w:tc>
        <w:tc>
          <w:tcPr>
            <w:tcW w:w="2782" w:type="dxa"/>
            <w:vAlign w:val="center"/>
          </w:tcPr>
          <w:p w14:paraId="75000DC1">
            <w:pPr>
              <w:spacing w:line="314" w:lineRule="auto"/>
              <w:jc w:val="center"/>
              <w:rPr>
                <w:rFonts w:hint="eastAsia" w:ascii="宋体" w:hAnsi="宋体" w:eastAsia="宋体" w:cs="宋体"/>
                <w:color w:val="auto"/>
                <w:sz w:val="21"/>
                <w:highlight w:val="none"/>
              </w:rPr>
            </w:pPr>
          </w:p>
          <w:p w14:paraId="7BCD11FB">
            <w:pPr>
              <w:pStyle w:val="18"/>
              <w:spacing w:before="78" w:line="219" w:lineRule="auto"/>
              <w:ind w:left="251"/>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货物名称</w:t>
            </w:r>
          </w:p>
        </w:tc>
        <w:tc>
          <w:tcPr>
            <w:tcW w:w="1622" w:type="dxa"/>
            <w:vAlign w:val="center"/>
          </w:tcPr>
          <w:p w14:paraId="7F44E888">
            <w:pPr>
              <w:spacing w:line="314" w:lineRule="auto"/>
              <w:jc w:val="center"/>
              <w:rPr>
                <w:rFonts w:hint="eastAsia" w:ascii="宋体" w:hAnsi="宋体" w:eastAsia="宋体" w:cs="宋体"/>
                <w:color w:val="auto"/>
                <w:sz w:val="21"/>
                <w:highlight w:val="none"/>
              </w:rPr>
            </w:pPr>
          </w:p>
          <w:p w14:paraId="615A45D7">
            <w:pPr>
              <w:pStyle w:val="18"/>
              <w:spacing w:before="78" w:line="22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规格、型号</w:t>
            </w:r>
            <w:r>
              <w:rPr>
                <w:rFonts w:hint="eastAsia" w:cs="宋体"/>
                <w:color w:val="auto"/>
                <w:spacing w:val="-3"/>
                <w:sz w:val="24"/>
                <w:szCs w:val="24"/>
                <w:highlight w:val="none"/>
                <w:lang w:eastAsia="zh-CN"/>
              </w:rPr>
              <w:t>、参数配置</w:t>
            </w:r>
          </w:p>
        </w:tc>
        <w:tc>
          <w:tcPr>
            <w:tcW w:w="1159" w:type="dxa"/>
            <w:vAlign w:val="center"/>
          </w:tcPr>
          <w:p w14:paraId="4489259F">
            <w:pPr>
              <w:spacing w:line="314" w:lineRule="auto"/>
              <w:jc w:val="center"/>
              <w:rPr>
                <w:rFonts w:hint="eastAsia" w:ascii="宋体" w:hAnsi="宋体" w:eastAsia="宋体" w:cs="宋体"/>
                <w:color w:val="auto"/>
                <w:sz w:val="21"/>
                <w:highlight w:val="none"/>
              </w:rPr>
            </w:pPr>
          </w:p>
          <w:p w14:paraId="322D6305">
            <w:pPr>
              <w:pStyle w:val="18"/>
              <w:spacing w:before="78" w:line="220" w:lineRule="auto"/>
              <w:ind w:left="190"/>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品牌厂商及产地</w:t>
            </w:r>
          </w:p>
        </w:tc>
        <w:tc>
          <w:tcPr>
            <w:tcW w:w="819" w:type="dxa"/>
            <w:vAlign w:val="center"/>
          </w:tcPr>
          <w:p w14:paraId="3BB706E1">
            <w:pPr>
              <w:spacing w:line="314" w:lineRule="auto"/>
              <w:jc w:val="center"/>
              <w:rPr>
                <w:rFonts w:hint="eastAsia" w:ascii="宋体" w:hAnsi="宋体" w:eastAsia="宋体" w:cs="宋体"/>
                <w:color w:val="auto"/>
                <w:sz w:val="21"/>
                <w:highlight w:val="none"/>
              </w:rPr>
            </w:pPr>
          </w:p>
          <w:p w14:paraId="69B7C14B">
            <w:pPr>
              <w:pStyle w:val="18"/>
              <w:spacing w:before="78" w:line="220" w:lineRule="auto"/>
              <w:ind w:firstLine="240" w:firstLineChars="100"/>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单位</w:t>
            </w:r>
          </w:p>
        </w:tc>
        <w:tc>
          <w:tcPr>
            <w:tcW w:w="954" w:type="dxa"/>
            <w:vAlign w:val="center"/>
          </w:tcPr>
          <w:p w14:paraId="4EEE2B06">
            <w:pPr>
              <w:pStyle w:val="18"/>
              <w:spacing w:before="78" w:line="220" w:lineRule="auto"/>
              <w:ind w:left="342"/>
              <w:jc w:val="center"/>
              <w:rPr>
                <w:rFonts w:hint="eastAsia" w:ascii="宋体" w:hAnsi="宋体" w:eastAsia="宋体" w:cs="宋体"/>
                <w:color w:val="auto"/>
                <w:spacing w:val="-6"/>
                <w:sz w:val="24"/>
                <w:szCs w:val="24"/>
                <w:highlight w:val="none"/>
                <w:lang w:eastAsia="zh-CN"/>
              </w:rPr>
            </w:pPr>
            <w:r>
              <w:rPr>
                <w:rFonts w:hint="eastAsia" w:cs="宋体"/>
                <w:color w:val="auto"/>
                <w:spacing w:val="-6"/>
                <w:sz w:val="24"/>
                <w:szCs w:val="24"/>
                <w:highlight w:val="none"/>
                <w:lang w:eastAsia="zh-CN"/>
              </w:rPr>
              <w:t>数量</w:t>
            </w:r>
          </w:p>
        </w:tc>
        <w:tc>
          <w:tcPr>
            <w:tcW w:w="954" w:type="dxa"/>
            <w:vAlign w:val="center"/>
          </w:tcPr>
          <w:p w14:paraId="1D5784B0">
            <w:pPr>
              <w:pStyle w:val="18"/>
              <w:spacing w:before="181" w:line="232" w:lineRule="auto"/>
              <w:jc w:val="center"/>
              <w:rPr>
                <w:rFonts w:hint="eastAsia" w:cs="宋体"/>
                <w:color w:val="auto"/>
                <w:spacing w:val="-3"/>
                <w:sz w:val="24"/>
                <w:szCs w:val="24"/>
                <w:highlight w:val="none"/>
                <w:lang w:val="en-US" w:eastAsia="zh-CN"/>
              </w:rPr>
            </w:pPr>
            <w:r>
              <w:rPr>
                <w:rFonts w:hint="eastAsia" w:cs="宋体"/>
                <w:color w:val="auto"/>
                <w:spacing w:val="-3"/>
                <w:sz w:val="24"/>
                <w:szCs w:val="24"/>
                <w:highlight w:val="none"/>
                <w:lang w:val="en-US" w:eastAsia="zh-CN"/>
              </w:rPr>
              <w:t>单价</w:t>
            </w:r>
          </w:p>
          <w:p w14:paraId="69E990B5">
            <w:pPr>
              <w:pStyle w:val="18"/>
              <w:spacing w:before="181" w:line="232" w:lineRule="auto"/>
              <w:jc w:val="center"/>
              <w:rPr>
                <w:rFonts w:hint="eastAsia" w:ascii="宋体" w:hAnsi="宋体" w:eastAsia="宋体" w:cs="宋体"/>
                <w:color w:val="auto"/>
                <w:sz w:val="24"/>
                <w:szCs w:val="24"/>
                <w:highlight w:val="none"/>
                <w:lang w:eastAsia="zh-CN"/>
              </w:rPr>
            </w:pPr>
            <w:r>
              <w:rPr>
                <w:rFonts w:hint="eastAsia" w:cs="宋体"/>
                <w:color w:val="auto"/>
                <w:spacing w:val="-3"/>
                <w:sz w:val="24"/>
                <w:szCs w:val="24"/>
                <w:highlight w:val="none"/>
                <w:lang w:val="en-US" w:eastAsia="zh-CN"/>
              </w:rPr>
              <w:t>（元）</w:t>
            </w:r>
          </w:p>
        </w:tc>
        <w:tc>
          <w:tcPr>
            <w:tcW w:w="1132" w:type="dxa"/>
            <w:vAlign w:val="center"/>
          </w:tcPr>
          <w:p w14:paraId="195A4C87">
            <w:pPr>
              <w:spacing w:line="313" w:lineRule="auto"/>
              <w:jc w:val="center"/>
              <w:rPr>
                <w:rFonts w:hint="eastAsia" w:ascii="宋体" w:hAnsi="宋体" w:eastAsia="宋体" w:cs="宋体"/>
                <w:color w:val="auto"/>
                <w:sz w:val="21"/>
                <w:highlight w:val="none"/>
              </w:rPr>
            </w:pPr>
          </w:p>
          <w:p w14:paraId="03529EEF">
            <w:pPr>
              <w:pStyle w:val="18"/>
              <w:spacing w:before="78" w:line="222" w:lineRule="auto"/>
              <w:ind w:left="394"/>
              <w:jc w:val="center"/>
              <w:rPr>
                <w:rFonts w:hint="eastAsia" w:cs="宋体"/>
                <w:color w:val="auto"/>
                <w:spacing w:val="-3"/>
                <w:sz w:val="24"/>
                <w:szCs w:val="24"/>
                <w:highlight w:val="none"/>
                <w:lang w:val="en-US" w:eastAsia="zh-CN"/>
              </w:rPr>
            </w:pPr>
            <w:r>
              <w:rPr>
                <w:rFonts w:hint="eastAsia" w:cs="宋体"/>
                <w:color w:val="auto"/>
                <w:spacing w:val="-3"/>
                <w:sz w:val="24"/>
                <w:szCs w:val="24"/>
                <w:highlight w:val="none"/>
                <w:lang w:val="en-US" w:eastAsia="zh-CN"/>
              </w:rPr>
              <w:t>总价</w:t>
            </w:r>
          </w:p>
          <w:p w14:paraId="7901766F">
            <w:pPr>
              <w:pStyle w:val="18"/>
              <w:spacing w:before="78" w:line="222" w:lineRule="auto"/>
              <w:ind w:left="394"/>
              <w:jc w:val="center"/>
              <w:rPr>
                <w:rFonts w:hint="eastAsia" w:ascii="宋体" w:hAnsi="宋体" w:eastAsia="宋体" w:cs="宋体"/>
                <w:color w:val="auto"/>
                <w:sz w:val="24"/>
                <w:szCs w:val="24"/>
                <w:highlight w:val="none"/>
              </w:rPr>
            </w:pPr>
            <w:r>
              <w:rPr>
                <w:rFonts w:hint="eastAsia" w:cs="宋体"/>
                <w:color w:val="auto"/>
                <w:spacing w:val="-3"/>
                <w:sz w:val="24"/>
                <w:szCs w:val="24"/>
                <w:highlight w:val="none"/>
                <w:lang w:val="en-US" w:eastAsia="zh-CN"/>
              </w:rPr>
              <w:t>（元）</w:t>
            </w:r>
          </w:p>
        </w:tc>
      </w:tr>
      <w:tr w14:paraId="68C0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1D17640F">
            <w:pPr>
              <w:pStyle w:val="18"/>
              <w:spacing w:before="73" w:line="184" w:lineRule="auto"/>
              <w:ind w:left="194"/>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一</w:t>
            </w:r>
          </w:p>
        </w:tc>
        <w:tc>
          <w:tcPr>
            <w:tcW w:w="2782" w:type="dxa"/>
            <w:vAlign w:val="top"/>
          </w:tcPr>
          <w:p w14:paraId="3EDD2DAF">
            <w:pPr>
              <w:jc w:val="center"/>
              <w:rPr>
                <w:rFonts w:hint="eastAsia" w:ascii="宋体" w:hAnsi="宋体" w:cs="宋体"/>
                <w:b/>
                <w:color w:val="000000"/>
                <w:kern w:val="0"/>
                <w:sz w:val="24"/>
                <w:szCs w:val="21"/>
              </w:rPr>
            </w:pPr>
            <w:r>
              <w:rPr>
                <w:rFonts w:hint="eastAsia" w:ascii="宋体" w:hAnsi="宋体" w:cs="宋体"/>
                <w:b/>
                <w:color w:val="000000"/>
                <w:kern w:val="0"/>
                <w:sz w:val="24"/>
                <w:szCs w:val="21"/>
              </w:rPr>
              <w:t>肉牛屠宰</w:t>
            </w:r>
          </w:p>
          <w:p w14:paraId="5237DDB2">
            <w:pPr>
              <w:jc w:val="center"/>
              <w:rPr>
                <w:rFonts w:hint="eastAsia" w:ascii="宋体" w:hAnsi="宋体" w:eastAsia="宋体" w:cs="宋体"/>
                <w:color w:val="auto"/>
                <w:sz w:val="21"/>
                <w:highlight w:val="none"/>
              </w:rPr>
            </w:pPr>
            <w:r>
              <w:rPr>
                <w:rFonts w:hint="eastAsia" w:ascii="宋体" w:hAnsi="宋体" w:cs="宋体"/>
                <w:b/>
                <w:color w:val="000000"/>
                <w:kern w:val="0"/>
                <w:sz w:val="24"/>
                <w:szCs w:val="21"/>
              </w:rPr>
              <w:t>加工区域</w:t>
            </w:r>
          </w:p>
        </w:tc>
        <w:tc>
          <w:tcPr>
            <w:tcW w:w="1622" w:type="dxa"/>
            <w:vAlign w:val="top"/>
          </w:tcPr>
          <w:p w14:paraId="2D388EFC">
            <w:pPr>
              <w:rPr>
                <w:rFonts w:hint="eastAsia" w:ascii="宋体" w:hAnsi="宋体" w:eastAsia="宋体" w:cs="宋体"/>
                <w:color w:val="auto"/>
                <w:sz w:val="21"/>
                <w:highlight w:val="none"/>
              </w:rPr>
            </w:pPr>
          </w:p>
        </w:tc>
        <w:tc>
          <w:tcPr>
            <w:tcW w:w="1159" w:type="dxa"/>
            <w:vAlign w:val="top"/>
          </w:tcPr>
          <w:p w14:paraId="43F453C5">
            <w:pPr>
              <w:rPr>
                <w:rFonts w:hint="eastAsia" w:ascii="宋体" w:hAnsi="宋体" w:eastAsia="宋体" w:cs="宋体"/>
                <w:color w:val="auto"/>
                <w:sz w:val="21"/>
                <w:highlight w:val="none"/>
              </w:rPr>
            </w:pPr>
          </w:p>
        </w:tc>
        <w:tc>
          <w:tcPr>
            <w:tcW w:w="819" w:type="dxa"/>
            <w:vAlign w:val="top"/>
          </w:tcPr>
          <w:p w14:paraId="043697C3">
            <w:pPr>
              <w:rPr>
                <w:rFonts w:hint="eastAsia" w:ascii="宋体" w:hAnsi="宋体" w:eastAsia="宋体" w:cs="宋体"/>
                <w:color w:val="auto"/>
                <w:sz w:val="21"/>
                <w:highlight w:val="none"/>
              </w:rPr>
            </w:pPr>
          </w:p>
        </w:tc>
        <w:tc>
          <w:tcPr>
            <w:tcW w:w="954" w:type="dxa"/>
            <w:vAlign w:val="top"/>
          </w:tcPr>
          <w:p w14:paraId="25E83DD8">
            <w:pPr>
              <w:rPr>
                <w:rFonts w:hint="eastAsia" w:ascii="宋体" w:hAnsi="宋体" w:eastAsia="宋体" w:cs="宋体"/>
                <w:color w:val="auto"/>
                <w:sz w:val="21"/>
                <w:highlight w:val="none"/>
              </w:rPr>
            </w:pPr>
          </w:p>
        </w:tc>
        <w:tc>
          <w:tcPr>
            <w:tcW w:w="954" w:type="dxa"/>
            <w:vAlign w:val="top"/>
          </w:tcPr>
          <w:p w14:paraId="38D0082E">
            <w:pPr>
              <w:rPr>
                <w:rFonts w:hint="eastAsia" w:ascii="宋体" w:hAnsi="宋体" w:eastAsia="宋体" w:cs="宋体"/>
                <w:color w:val="auto"/>
                <w:sz w:val="21"/>
                <w:highlight w:val="none"/>
              </w:rPr>
            </w:pPr>
          </w:p>
        </w:tc>
        <w:tc>
          <w:tcPr>
            <w:tcW w:w="1132" w:type="dxa"/>
            <w:vAlign w:val="top"/>
          </w:tcPr>
          <w:p w14:paraId="4E8C3899">
            <w:pPr>
              <w:rPr>
                <w:rFonts w:hint="eastAsia" w:ascii="宋体" w:hAnsi="宋体" w:eastAsia="宋体" w:cs="宋体"/>
                <w:color w:val="auto"/>
                <w:sz w:val="21"/>
                <w:highlight w:val="none"/>
              </w:rPr>
            </w:pPr>
          </w:p>
        </w:tc>
      </w:tr>
      <w:tr w14:paraId="7FEA2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3981ADF6">
            <w:pPr>
              <w:pStyle w:val="18"/>
              <w:spacing w:before="73" w:line="184" w:lineRule="auto"/>
              <w:ind w:left="194"/>
              <w:rPr>
                <w:rFonts w:hint="default" w:cs="宋体"/>
                <w:color w:val="auto"/>
                <w:sz w:val="24"/>
                <w:szCs w:val="24"/>
                <w:highlight w:val="none"/>
                <w:lang w:val="en-US" w:eastAsia="zh-CN"/>
              </w:rPr>
            </w:pPr>
            <w:r>
              <w:rPr>
                <w:rFonts w:hint="eastAsia" w:cs="宋体"/>
                <w:color w:val="auto"/>
                <w:sz w:val="24"/>
                <w:szCs w:val="24"/>
                <w:highlight w:val="none"/>
                <w:lang w:val="en-US" w:eastAsia="zh-CN"/>
              </w:rPr>
              <w:t>1.1</w:t>
            </w:r>
          </w:p>
        </w:tc>
        <w:tc>
          <w:tcPr>
            <w:tcW w:w="2782" w:type="dxa"/>
            <w:vAlign w:val="top"/>
          </w:tcPr>
          <w:p w14:paraId="5A62CB15">
            <w:pPr>
              <w:jc w:val="center"/>
              <w:rPr>
                <w:rFonts w:hint="eastAsia" w:ascii="宋体" w:hAnsi="宋体" w:cs="宋体"/>
                <w:b/>
                <w:color w:val="000000"/>
                <w:kern w:val="0"/>
                <w:sz w:val="24"/>
                <w:szCs w:val="21"/>
              </w:rPr>
            </w:pPr>
          </w:p>
        </w:tc>
        <w:tc>
          <w:tcPr>
            <w:tcW w:w="1622" w:type="dxa"/>
            <w:vAlign w:val="top"/>
          </w:tcPr>
          <w:p w14:paraId="649811CA">
            <w:pPr>
              <w:rPr>
                <w:rFonts w:hint="eastAsia" w:ascii="宋体" w:hAnsi="宋体" w:eastAsia="宋体" w:cs="宋体"/>
                <w:color w:val="auto"/>
                <w:sz w:val="21"/>
                <w:highlight w:val="none"/>
              </w:rPr>
            </w:pPr>
          </w:p>
        </w:tc>
        <w:tc>
          <w:tcPr>
            <w:tcW w:w="1159" w:type="dxa"/>
            <w:vAlign w:val="top"/>
          </w:tcPr>
          <w:p w14:paraId="0CD99976">
            <w:pPr>
              <w:rPr>
                <w:rFonts w:hint="eastAsia" w:ascii="宋体" w:hAnsi="宋体" w:eastAsia="宋体" w:cs="宋体"/>
                <w:color w:val="auto"/>
                <w:sz w:val="21"/>
                <w:highlight w:val="none"/>
              </w:rPr>
            </w:pPr>
          </w:p>
        </w:tc>
        <w:tc>
          <w:tcPr>
            <w:tcW w:w="819" w:type="dxa"/>
            <w:vAlign w:val="top"/>
          </w:tcPr>
          <w:p w14:paraId="1710C741">
            <w:pPr>
              <w:rPr>
                <w:rFonts w:hint="eastAsia" w:ascii="宋体" w:hAnsi="宋体" w:eastAsia="宋体" w:cs="宋体"/>
                <w:color w:val="auto"/>
                <w:sz w:val="21"/>
                <w:highlight w:val="none"/>
              </w:rPr>
            </w:pPr>
          </w:p>
        </w:tc>
        <w:tc>
          <w:tcPr>
            <w:tcW w:w="954" w:type="dxa"/>
            <w:vAlign w:val="top"/>
          </w:tcPr>
          <w:p w14:paraId="5B315703">
            <w:pPr>
              <w:rPr>
                <w:rFonts w:hint="eastAsia" w:ascii="宋体" w:hAnsi="宋体" w:eastAsia="宋体" w:cs="宋体"/>
                <w:color w:val="auto"/>
                <w:sz w:val="21"/>
                <w:highlight w:val="none"/>
              </w:rPr>
            </w:pPr>
          </w:p>
        </w:tc>
        <w:tc>
          <w:tcPr>
            <w:tcW w:w="954" w:type="dxa"/>
            <w:vAlign w:val="top"/>
          </w:tcPr>
          <w:p w14:paraId="4DE89D8E">
            <w:pPr>
              <w:rPr>
                <w:rFonts w:hint="eastAsia" w:ascii="宋体" w:hAnsi="宋体" w:eastAsia="宋体" w:cs="宋体"/>
                <w:color w:val="auto"/>
                <w:sz w:val="21"/>
                <w:highlight w:val="none"/>
              </w:rPr>
            </w:pPr>
          </w:p>
        </w:tc>
        <w:tc>
          <w:tcPr>
            <w:tcW w:w="1132" w:type="dxa"/>
            <w:vAlign w:val="top"/>
          </w:tcPr>
          <w:p w14:paraId="4A652398">
            <w:pPr>
              <w:rPr>
                <w:rFonts w:hint="eastAsia" w:ascii="宋体" w:hAnsi="宋体" w:eastAsia="宋体" w:cs="宋体"/>
                <w:color w:val="auto"/>
                <w:sz w:val="21"/>
                <w:highlight w:val="none"/>
              </w:rPr>
            </w:pPr>
          </w:p>
        </w:tc>
      </w:tr>
      <w:tr w14:paraId="405F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24C307B1">
            <w:pPr>
              <w:pStyle w:val="18"/>
              <w:spacing w:before="73" w:line="184" w:lineRule="auto"/>
              <w:ind w:left="194"/>
              <w:rPr>
                <w:rFonts w:hint="default" w:cs="宋体"/>
                <w:color w:val="auto"/>
                <w:sz w:val="24"/>
                <w:szCs w:val="24"/>
                <w:highlight w:val="none"/>
                <w:lang w:val="en-US" w:eastAsia="zh-CN"/>
              </w:rPr>
            </w:pPr>
            <w:r>
              <w:rPr>
                <w:rFonts w:hint="eastAsia" w:cs="宋体"/>
                <w:color w:val="auto"/>
                <w:sz w:val="24"/>
                <w:szCs w:val="24"/>
                <w:highlight w:val="none"/>
                <w:lang w:val="en-US" w:eastAsia="zh-CN"/>
              </w:rPr>
              <w:t>...</w:t>
            </w:r>
          </w:p>
        </w:tc>
        <w:tc>
          <w:tcPr>
            <w:tcW w:w="2782" w:type="dxa"/>
            <w:vAlign w:val="top"/>
          </w:tcPr>
          <w:p w14:paraId="5AF82B71">
            <w:pPr>
              <w:jc w:val="center"/>
              <w:rPr>
                <w:rFonts w:hint="eastAsia" w:ascii="宋体" w:hAnsi="宋体" w:cs="宋体"/>
                <w:b/>
                <w:color w:val="000000"/>
                <w:kern w:val="0"/>
                <w:sz w:val="24"/>
                <w:szCs w:val="21"/>
              </w:rPr>
            </w:pPr>
          </w:p>
        </w:tc>
        <w:tc>
          <w:tcPr>
            <w:tcW w:w="1622" w:type="dxa"/>
            <w:vAlign w:val="top"/>
          </w:tcPr>
          <w:p w14:paraId="5300529F">
            <w:pPr>
              <w:rPr>
                <w:rFonts w:hint="eastAsia" w:ascii="宋体" w:hAnsi="宋体" w:eastAsia="宋体" w:cs="宋体"/>
                <w:color w:val="auto"/>
                <w:sz w:val="21"/>
                <w:highlight w:val="none"/>
              </w:rPr>
            </w:pPr>
          </w:p>
        </w:tc>
        <w:tc>
          <w:tcPr>
            <w:tcW w:w="1159" w:type="dxa"/>
            <w:vAlign w:val="top"/>
          </w:tcPr>
          <w:p w14:paraId="541DBC67">
            <w:pPr>
              <w:rPr>
                <w:rFonts w:hint="eastAsia" w:ascii="宋体" w:hAnsi="宋体" w:eastAsia="宋体" w:cs="宋体"/>
                <w:color w:val="auto"/>
                <w:sz w:val="21"/>
                <w:highlight w:val="none"/>
              </w:rPr>
            </w:pPr>
          </w:p>
        </w:tc>
        <w:tc>
          <w:tcPr>
            <w:tcW w:w="819" w:type="dxa"/>
            <w:vAlign w:val="top"/>
          </w:tcPr>
          <w:p w14:paraId="6D08E115">
            <w:pPr>
              <w:rPr>
                <w:rFonts w:hint="eastAsia" w:ascii="宋体" w:hAnsi="宋体" w:eastAsia="宋体" w:cs="宋体"/>
                <w:color w:val="auto"/>
                <w:sz w:val="21"/>
                <w:highlight w:val="none"/>
              </w:rPr>
            </w:pPr>
          </w:p>
        </w:tc>
        <w:tc>
          <w:tcPr>
            <w:tcW w:w="954" w:type="dxa"/>
            <w:vAlign w:val="top"/>
          </w:tcPr>
          <w:p w14:paraId="0D6DCBA4">
            <w:pPr>
              <w:rPr>
                <w:rFonts w:hint="eastAsia" w:ascii="宋体" w:hAnsi="宋体" w:eastAsia="宋体" w:cs="宋体"/>
                <w:color w:val="auto"/>
                <w:sz w:val="21"/>
                <w:highlight w:val="none"/>
              </w:rPr>
            </w:pPr>
          </w:p>
        </w:tc>
        <w:tc>
          <w:tcPr>
            <w:tcW w:w="954" w:type="dxa"/>
            <w:vAlign w:val="top"/>
          </w:tcPr>
          <w:p w14:paraId="325340D5">
            <w:pPr>
              <w:rPr>
                <w:rFonts w:hint="eastAsia" w:ascii="宋体" w:hAnsi="宋体" w:eastAsia="宋体" w:cs="宋体"/>
                <w:color w:val="auto"/>
                <w:sz w:val="21"/>
                <w:highlight w:val="none"/>
              </w:rPr>
            </w:pPr>
          </w:p>
        </w:tc>
        <w:tc>
          <w:tcPr>
            <w:tcW w:w="1132" w:type="dxa"/>
            <w:vAlign w:val="top"/>
          </w:tcPr>
          <w:p w14:paraId="5AD0D76A">
            <w:pPr>
              <w:rPr>
                <w:rFonts w:hint="eastAsia" w:ascii="宋体" w:hAnsi="宋体" w:eastAsia="宋体" w:cs="宋体"/>
                <w:color w:val="auto"/>
                <w:sz w:val="21"/>
                <w:highlight w:val="none"/>
              </w:rPr>
            </w:pPr>
          </w:p>
        </w:tc>
      </w:tr>
      <w:tr w14:paraId="71ACF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1B9784D6">
            <w:pPr>
              <w:pStyle w:val="18"/>
              <w:spacing w:before="73" w:line="183" w:lineRule="auto"/>
              <w:ind w:left="179"/>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二</w:t>
            </w:r>
          </w:p>
        </w:tc>
        <w:tc>
          <w:tcPr>
            <w:tcW w:w="2782" w:type="dxa"/>
            <w:vAlign w:val="top"/>
          </w:tcPr>
          <w:p w14:paraId="350E3C52">
            <w:pPr>
              <w:jc w:val="center"/>
              <w:rPr>
                <w:rFonts w:hint="eastAsia" w:ascii="宋体" w:hAnsi="宋体" w:cs="宋体"/>
                <w:b/>
                <w:color w:val="000000"/>
                <w:kern w:val="0"/>
                <w:sz w:val="24"/>
                <w:szCs w:val="21"/>
              </w:rPr>
            </w:pPr>
            <w:r>
              <w:rPr>
                <w:rFonts w:hint="eastAsia" w:ascii="宋体" w:hAnsi="宋体" w:cs="宋体"/>
                <w:b/>
                <w:color w:val="000000"/>
                <w:kern w:val="0"/>
                <w:sz w:val="24"/>
                <w:szCs w:val="21"/>
              </w:rPr>
              <w:t>肉羊屠宰</w:t>
            </w:r>
          </w:p>
          <w:p w14:paraId="7A8D2284">
            <w:pPr>
              <w:jc w:val="center"/>
              <w:rPr>
                <w:rFonts w:hint="eastAsia" w:ascii="宋体" w:hAnsi="宋体" w:eastAsia="宋体" w:cs="宋体"/>
                <w:color w:val="auto"/>
                <w:sz w:val="21"/>
                <w:highlight w:val="none"/>
              </w:rPr>
            </w:pPr>
            <w:r>
              <w:rPr>
                <w:rFonts w:hint="eastAsia" w:ascii="宋体" w:hAnsi="宋体" w:cs="宋体"/>
                <w:b/>
                <w:color w:val="000000"/>
                <w:kern w:val="0"/>
                <w:sz w:val="24"/>
                <w:szCs w:val="21"/>
              </w:rPr>
              <w:t>加工区域</w:t>
            </w:r>
          </w:p>
        </w:tc>
        <w:tc>
          <w:tcPr>
            <w:tcW w:w="1622" w:type="dxa"/>
            <w:vAlign w:val="top"/>
          </w:tcPr>
          <w:p w14:paraId="034D5D46">
            <w:pPr>
              <w:rPr>
                <w:rFonts w:hint="eastAsia" w:ascii="宋体" w:hAnsi="宋体" w:eastAsia="宋体" w:cs="宋体"/>
                <w:color w:val="auto"/>
                <w:sz w:val="21"/>
                <w:highlight w:val="none"/>
              </w:rPr>
            </w:pPr>
          </w:p>
        </w:tc>
        <w:tc>
          <w:tcPr>
            <w:tcW w:w="1159" w:type="dxa"/>
            <w:vAlign w:val="top"/>
          </w:tcPr>
          <w:p w14:paraId="5DA820D1">
            <w:pPr>
              <w:rPr>
                <w:rFonts w:hint="eastAsia" w:ascii="宋体" w:hAnsi="宋体" w:eastAsia="宋体" w:cs="宋体"/>
                <w:color w:val="auto"/>
                <w:sz w:val="21"/>
                <w:highlight w:val="none"/>
              </w:rPr>
            </w:pPr>
          </w:p>
        </w:tc>
        <w:tc>
          <w:tcPr>
            <w:tcW w:w="819" w:type="dxa"/>
            <w:vAlign w:val="top"/>
          </w:tcPr>
          <w:p w14:paraId="465133BC">
            <w:pPr>
              <w:rPr>
                <w:rFonts w:hint="eastAsia" w:ascii="宋体" w:hAnsi="宋体" w:eastAsia="宋体" w:cs="宋体"/>
                <w:color w:val="auto"/>
                <w:sz w:val="21"/>
                <w:highlight w:val="none"/>
              </w:rPr>
            </w:pPr>
          </w:p>
        </w:tc>
        <w:tc>
          <w:tcPr>
            <w:tcW w:w="954" w:type="dxa"/>
            <w:vAlign w:val="top"/>
          </w:tcPr>
          <w:p w14:paraId="787F19A2">
            <w:pPr>
              <w:rPr>
                <w:rFonts w:hint="eastAsia" w:ascii="宋体" w:hAnsi="宋体" w:eastAsia="宋体" w:cs="宋体"/>
                <w:color w:val="auto"/>
                <w:sz w:val="21"/>
                <w:highlight w:val="none"/>
              </w:rPr>
            </w:pPr>
          </w:p>
        </w:tc>
        <w:tc>
          <w:tcPr>
            <w:tcW w:w="954" w:type="dxa"/>
            <w:vAlign w:val="top"/>
          </w:tcPr>
          <w:p w14:paraId="445737A1">
            <w:pPr>
              <w:rPr>
                <w:rFonts w:hint="eastAsia" w:ascii="宋体" w:hAnsi="宋体" w:eastAsia="宋体" w:cs="宋体"/>
                <w:color w:val="auto"/>
                <w:sz w:val="21"/>
                <w:highlight w:val="none"/>
              </w:rPr>
            </w:pPr>
          </w:p>
        </w:tc>
        <w:tc>
          <w:tcPr>
            <w:tcW w:w="1132" w:type="dxa"/>
            <w:vAlign w:val="top"/>
          </w:tcPr>
          <w:p w14:paraId="7AFAEB32">
            <w:pPr>
              <w:rPr>
                <w:rFonts w:hint="eastAsia" w:ascii="宋体" w:hAnsi="宋体" w:eastAsia="宋体" w:cs="宋体"/>
                <w:color w:val="auto"/>
                <w:sz w:val="21"/>
                <w:highlight w:val="none"/>
              </w:rPr>
            </w:pPr>
          </w:p>
        </w:tc>
      </w:tr>
      <w:tr w14:paraId="6A38A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6F4AC981">
            <w:pPr>
              <w:pStyle w:val="18"/>
              <w:spacing w:before="73" w:line="184" w:lineRule="auto"/>
              <w:ind w:left="194" w:leftChars="0"/>
              <w:rPr>
                <w:rFonts w:hint="default" w:cs="宋体"/>
                <w:color w:val="auto"/>
                <w:sz w:val="24"/>
                <w:szCs w:val="24"/>
                <w:highlight w:val="none"/>
                <w:lang w:val="en-US" w:eastAsia="zh-CN"/>
              </w:rPr>
            </w:pPr>
            <w:r>
              <w:rPr>
                <w:rFonts w:hint="eastAsia" w:cs="宋体"/>
                <w:color w:val="auto"/>
                <w:sz w:val="24"/>
                <w:szCs w:val="24"/>
                <w:highlight w:val="none"/>
                <w:lang w:val="en-US" w:eastAsia="zh-CN"/>
              </w:rPr>
              <w:t>2.1</w:t>
            </w:r>
          </w:p>
        </w:tc>
        <w:tc>
          <w:tcPr>
            <w:tcW w:w="2782" w:type="dxa"/>
            <w:vAlign w:val="top"/>
          </w:tcPr>
          <w:p w14:paraId="4D90C143">
            <w:pPr>
              <w:jc w:val="center"/>
              <w:rPr>
                <w:rFonts w:hint="eastAsia" w:ascii="宋体" w:hAnsi="宋体" w:cs="宋体"/>
                <w:b/>
                <w:color w:val="000000"/>
                <w:kern w:val="0"/>
                <w:sz w:val="24"/>
                <w:szCs w:val="21"/>
              </w:rPr>
            </w:pPr>
          </w:p>
        </w:tc>
        <w:tc>
          <w:tcPr>
            <w:tcW w:w="1622" w:type="dxa"/>
            <w:vAlign w:val="top"/>
          </w:tcPr>
          <w:p w14:paraId="63A95834">
            <w:pPr>
              <w:rPr>
                <w:rFonts w:hint="eastAsia" w:ascii="宋体" w:hAnsi="宋体" w:eastAsia="宋体" w:cs="宋体"/>
                <w:color w:val="auto"/>
                <w:sz w:val="21"/>
                <w:highlight w:val="none"/>
              </w:rPr>
            </w:pPr>
          </w:p>
        </w:tc>
        <w:tc>
          <w:tcPr>
            <w:tcW w:w="1159" w:type="dxa"/>
            <w:vAlign w:val="top"/>
          </w:tcPr>
          <w:p w14:paraId="34C407FE">
            <w:pPr>
              <w:rPr>
                <w:rFonts w:hint="eastAsia" w:ascii="宋体" w:hAnsi="宋体" w:eastAsia="宋体" w:cs="宋体"/>
                <w:color w:val="auto"/>
                <w:sz w:val="21"/>
                <w:highlight w:val="none"/>
              </w:rPr>
            </w:pPr>
          </w:p>
        </w:tc>
        <w:tc>
          <w:tcPr>
            <w:tcW w:w="819" w:type="dxa"/>
            <w:vAlign w:val="top"/>
          </w:tcPr>
          <w:p w14:paraId="6B61E928">
            <w:pPr>
              <w:rPr>
                <w:rFonts w:hint="eastAsia" w:ascii="宋体" w:hAnsi="宋体" w:eastAsia="宋体" w:cs="宋体"/>
                <w:color w:val="auto"/>
                <w:sz w:val="21"/>
                <w:highlight w:val="none"/>
              </w:rPr>
            </w:pPr>
          </w:p>
        </w:tc>
        <w:tc>
          <w:tcPr>
            <w:tcW w:w="954" w:type="dxa"/>
            <w:vAlign w:val="top"/>
          </w:tcPr>
          <w:p w14:paraId="7FD15E92">
            <w:pPr>
              <w:rPr>
                <w:rFonts w:hint="eastAsia" w:ascii="宋体" w:hAnsi="宋体" w:eastAsia="宋体" w:cs="宋体"/>
                <w:color w:val="auto"/>
                <w:sz w:val="21"/>
                <w:highlight w:val="none"/>
              </w:rPr>
            </w:pPr>
          </w:p>
        </w:tc>
        <w:tc>
          <w:tcPr>
            <w:tcW w:w="954" w:type="dxa"/>
            <w:vAlign w:val="top"/>
          </w:tcPr>
          <w:p w14:paraId="683638BA">
            <w:pPr>
              <w:rPr>
                <w:rFonts w:hint="eastAsia" w:ascii="宋体" w:hAnsi="宋体" w:eastAsia="宋体" w:cs="宋体"/>
                <w:color w:val="auto"/>
                <w:sz w:val="21"/>
                <w:highlight w:val="none"/>
              </w:rPr>
            </w:pPr>
          </w:p>
        </w:tc>
        <w:tc>
          <w:tcPr>
            <w:tcW w:w="1132" w:type="dxa"/>
            <w:vAlign w:val="top"/>
          </w:tcPr>
          <w:p w14:paraId="7A491C33">
            <w:pPr>
              <w:rPr>
                <w:rFonts w:hint="eastAsia" w:ascii="宋体" w:hAnsi="宋体" w:eastAsia="宋体" w:cs="宋体"/>
                <w:color w:val="auto"/>
                <w:sz w:val="21"/>
                <w:highlight w:val="none"/>
              </w:rPr>
            </w:pPr>
          </w:p>
        </w:tc>
      </w:tr>
      <w:tr w14:paraId="4113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55D66AEA">
            <w:pPr>
              <w:pStyle w:val="18"/>
              <w:spacing w:before="73" w:line="184" w:lineRule="auto"/>
              <w:ind w:left="194" w:leftChars="0"/>
              <w:rPr>
                <w:rFonts w:hint="eastAsia" w:cs="宋体"/>
                <w:color w:val="auto"/>
                <w:sz w:val="24"/>
                <w:szCs w:val="24"/>
                <w:highlight w:val="none"/>
                <w:lang w:eastAsia="zh-CN"/>
              </w:rPr>
            </w:pPr>
            <w:r>
              <w:rPr>
                <w:rFonts w:hint="eastAsia" w:cs="宋体"/>
                <w:color w:val="auto"/>
                <w:sz w:val="24"/>
                <w:szCs w:val="24"/>
                <w:highlight w:val="none"/>
                <w:lang w:val="en-US" w:eastAsia="zh-CN"/>
              </w:rPr>
              <w:t>...</w:t>
            </w:r>
          </w:p>
        </w:tc>
        <w:tc>
          <w:tcPr>
            <w:tcW w:w="2782" w:type="dxa"/>
            <w:vAlign w:val="top"/>
          </w:tcPr>
          <w:p w14:paraId="632CEE9F">
            <w:pPr>
              <w:jc w:val="center"/>
              <w:rPr>
                <w:rFonts w:hint="eastAsia" w:ascii="宋体" w:hAnsi="宋体" w:cs="宋体"/>
                <w:b/>
                <w:color w:val="000000"/>
                <w:kern w:val="0"/>
                <w:sz w:val="24"/>
                <w:szCs w:val="21"/>
              </w:rPr>
            </w:pPr>
          </w:p>
        </w:tc>
        <w:tc>
          <w:tcPr>
            <w:tcW w:w="1622" w:type="dxa"/>
            <w:vAlign w:val="top"/>
          </w:tcPr>
          <w:p w14:paraId="741E677E">
            <w:pPr>
              <w:rPr>
                <w:rFonts w:hint="eastAsia" w:ascii="宋体" w:hAnsi="宋体" w:eastAsia="宋体" w:cs="宋体"/>
                <w:color w:val="auto"/>
                <w:sz w:val="21"/>
                <w:highlight w:val="none"/>
              </w:rPr>
            </w:pPr>
          </w:p>
        </w:tc>
        <w:tc>
          <w:tcPr>
            <w:tcW w:w="1159" w:type="dxa"/>
            <w:vAlign w:val="top"/>
          </w:tcPr>
          <w:p w14:paraId="1FBE0BC8">
            <w:pPr>
              <w:rPr>
                <w:rFonts w:hint="eastAsia" w:ascii="宋体" w:hAnsi="宋体" w:eastAsia="宋体" w:cs="宋体"/>
                <w:color w:val="auto"/>
                <w:sz w:val="21"/>
                <w:highlight w:val="none"/>
              </w:rPr>
            </w:pPr>
          </w:p>
        </w:tc>
        <w:tc>
          <w:tcPr>
            <w:tcW w:w="819" w:type="dxa"/>
            <w:vAlign w:val="top"/>
          </w:tcPr>
          <w:p w14:paraId="3DF47E58">
            <w:pPr>
              <w:rPr>
                <w:rFonts w:hint="eastAsia" w:ascii="宋体" w:hAnsi="宋体" w:eastAsia="宋体" w:cs="宋体"/>
                <w:color w:val="auto"/>
                <w:sz w:val="21"/>
                <w:highlight w:val="none"/>
              </w:rPr>
            </w:pPr>
          </w:p>
        </w:tc>
        <w:tc>
          <w:tcPr>
            <w:tcW w:w="954" w:type="dxa"/>
            <w:vAlign w:val="top"/>
          </w:tcPr>
          <w:p w14:paraId="7AD3FD8E">
            <w:pPr>
              <w:rPr>
                <w:rFonts w:hint="eastAsia" w:ascii="宋体" w:hAnsi="宋体" w:eastAsia="宋体" w:cs="宋体"/>
                <w:color w:val="auto"/>
                <w:sz w:val="21"/>
                <w:highlight w:val="none"/>
              </w:rPr>
            </w:pPr>
          </w:p>
        </w:tc>
        <w:tc>
          <w:tcPr>
            <w:tcW w:w="954" w:type="dxa"/>
            <w:vAlign w:val="top"/>
          </w:tcPr>
          <w:p w14:paraId="052DA2FF">
            <w:pPr>
              <w:rPr>
                <w:rFonts w:hint="eastAsia" w:ascii="宋体" w:hAnsi="宋体" w:eastAsia="宋体" w:cs="宋体"/>
                <w:color w:val="auto"/>
                <w:sz w:val="21"/>
                <w:highlight w:val="none"/>
              </w:rPr>
            </w:pPr>
          </w:p>
        </w:tc>
        <w:tc>
          <w:tcPr>
            <w:tcW w:w="1132" w:type="dxa"/>
            <w:vAlign w:val="top"/>
          </w:tcPr>
          <w:p w14:paraId="098E6FB0">
            <w:pPr>
              <w:rPr>
                <w:rFonts w:hint="eastAsia" w:ascii="宋体" w:hAnsi="宋体" w:eastAsia="宋体" w:cs="宋体"/>
                <w:color w:val="auto"/>
                <w:sz w:val="21"/>
                <w:highlight w:val="none"/>
              </w:rPr>
            </w:pPr>
          </w:p>
        </w:tc>
      </w:tr>
      <w:tr w14:paraId="22176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4DB72457">
            <w:pPr>
              <w:pStyle w:val="18"/>
              <w:spacing w:before="75" w:line="183" w:lineRule="auto"/>
              <w:ind w:left="181"/>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三</w:t>
            </w:r>
          </w:p>
        </w:tc>
        <w:tc>
          <w:tcPr>
            <w:tcW w:w="2782" w:type="dxa"/>
            <w:vAlign w:val="top"/>
          </w:tcPr>
          <w:p w14:paraId="712A95FD">
            <w:pPr>
              <w:jc w:val="center"/>
              <w:rPr>
                <w:rFonts w:hint="eastAsia" w:ascii="宋体" w:hAnsi="宋体" w:eastAsia="宋体" w:cs="宋体"/>
                <w:color w:val="auto"/>
                <w:sz w:val="21"/>
                <w:highlight w:val="none"/>
              </w:rPr>
            </w:pPr>
            <w:r>
              <w:rPr>
                <w:rFonts w:hint="eastAsia" w:ascii="宋体" w:hAnsi="宋体" w:cs="宋体"/>
                <w:b/>
                <w:color w:val="000000"/>
                <w:kern w:val="0"/>
                <w:sz w:val="24"/>
                <w:szCs w:val="21"/>
              </w:rPr>
              <w:t>牛羊共用屠宰轨道及分割加工区域、辅助设备</w:t>
            </w:r>
          </w:p>
        </w:tc>
        <w:tc>
          <w:tcPr>
            <w:tcW w:w="1622" w:type="dxa"/>
            <w:vAlign w:val="top"/>
          </w:tcPr>
          <w:p w14:paraId="10B6A112">
            <w:pPr>
              <w:rPr>
                <w:rFonts w:hint="eastAsia" w:ascii="宋体" w:hAnsi="宋体" w:eastAsia="宋体" w:cs="宋体"/>
                <w:color w:val="auto"/>
                <w:sz w:val="21"/>
                <w:highlight w:val="none"/>
              </w:rPr>
            </w:pPr>
          </w:p>
        </w:tc>
        <w:tc>
          <w:tcPr>
            <w:tcW w:w="1159" w:type="dxa"/>
            <w:vAlign w:val="top"/>
          </w:tcPr>
          <w:p w14:paraId="0DF4B45F">
            <w:pPr>
              <w:rPr>
                <w:rFonts w:hint="eastAsia" w:ascii="宋体" w:hAnsi="宋体" w:eastAsia="宋体" w:cs="宋体"/>
                <w:color w:val="auto"/>
                <w:sz w:val="21"/>
                <w:highlight w:val="none"/>
              </w:rPr>
            </w:pPr>
          </w:p>
        </w:tc>
        <w:tc>
          <w:tcPr>
            <w:tcW w:w="819" w:type="dxa"/>
            <w:vAlign w:val="top"/>
          </w:tcPr>
          <w:p w14:paraId="7148DC59">
            <w:pPr>
              <w:rPr>
                <w:rFonts w:hint="eastAsia" w:ascii="宋体" w:hAnsi="宋体" w:eastAsia="宋体" w:cs="宋体"/>
                <w:color w:val="auto"/>
                <w:sz w:val="21"/>
                <w:highlight w:val="none"/>
              </w:rPr>
            </w:pPr>
          </w:p>
        </w:tc>
        <w:tc>
          <w:tcPr>
            <w:tcW w:w="954" w:type="dxa"/>
            <w:vAlign w:val="top"/>
          </w:tcPr>
          <w:p w14:paraId="532747AC">
            <w:pPr>
              <w:rPr>
                <w:rFonts w:hint="eastAsia" w:ascii="宋体" w:hAnsi="宋体" w:eastAsia="宋体" w:cs="宋体"/>
                <w:color w:val="auto"/>
                <w:sz w:val="21"/>
                <w:highlight w:val="none"/>
              </w:rPr>
            </w:pPr>
          </w:p>
        </w:tc>
        <w:tc>
          <w:tcPr>
            <w:tcW w:w="954" w:type="dxa"/>
            <w:vAlign w:val="top"/>
          </w:tcPr>
          <w:p w14:paraId="4644B111">
            <w:pPr>
              <w:rPr>
                <w:rFonts w:hint="eastAsia" w:ascii="宋体" w:hAnsi="宋体" w:eastAsia="宋体" w:cs="宋体"/>
                <w:color w:val="auto"/>
                <w:sz w:val="21"/>
                <w:highlight w:val="none"/>
              </w:rPr>
            </w:pPr>
          </w:p>
        </w:tc>
        <w:tc>
          <w:tcPr>
            <w:tcW w:w="1132" w:type="dxa"/>
            <w:vAlign w:val="top"/>
          </w:tcPr>
          <w:p w14:paraId="471F98A8">
            <w:pPr>
              <w:rPr>
                <w:rFonts w:hint="eastAsia" w:ascii="宋体" w:hAnsi="宋体" w:eastAsia="宋体" w:cs="宋体"/>
                <w:color w:val="auto"/>
                <w:sz w:val="21"/>
                <w:highlight w:val="none"/>
              </w:rPr>
            </w:pPr>
          </w:p>
        </w:tc>
      </w:tr>
      <w:tr w14:paraId="5C14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2D05C5B0">
            <w:pPr>
              <w:pStyle w:val="18"/>
              <w:spacing w:before="75" w:line="183" w:lineRule="auto"/>
              <w:ind w:left="181"/>
              <w:rPr>
                <w:rFonts w:hint="default" w:cs="宋体"/>
                <w:color w:val="auto"/>
                <w:sz w:val="24"/>
                <w:szCs w:val="24"/>
                <w:highlight w:val="none"/>
                <w:lang w:val="en-US" w:eastAsia="zh-CN"/>
              </w:rPr>
            </w:pPr>
            <w:r>
              <w:rPr>
                <w:rFonts w:hint="eastAsia" w:cs="宋体"/>
                <w:color w:val="auto"/>
                <w:sz w:val="24"/>
                <w:szCs w:val="24"/>
                <w:highlight w:val="none"/>
                <w:lang w:val="en-US" w:eastAsia="zh-CN"/>
              </w:rPr>
              <w:t>3.1</w:t>
            </w:r>
          </w:p>
        </w:tc>
        <w:tc>
          <w:tcPr>
            <w:tcW w:w="2782" w:type="dxa"/>
            <w:vAlign w:val="top"/>
          </w:tcPr>
          <w:p w14:paraId="289A30D8">
            <w:pPr>
              <w:jc w:val="center"/>
              <w:rPr>
                <w:rFonts w:hint="eastAsia" w:ascii="宋体" w:hAnsi="宋体" w:cs="宋体"/>
                <w:b/>
                <w:color w:val="000000"/>
                <w:kern w:val="0"/>
                <w:sz w:val="24"/>
                <w:szCs w:val="21"/>
              </w:rPr>
            </w:pPr>
          </w:p>
        </w:tc>
        <w:tc>
          <w:tcPr>
            <w:tcW w:w="1622" w:type="dxa"/>
            <w:vAlign w:val="top"/>
          </w:tcPr>
          <w:p w14:paraId="5F83317B">
            <w:pPr>
              <w:rPr>
                <w:rFonts w:hint="eastAsia" w:ascii="宋体" w:hAnsi="宋体" w:eastAsia="宋体" w:cs="宋体"/>
                <w:color w:val="auto"/>
                <w:sz w:val="21"/>
                <w:highlight w:val="none"/>
              </w:rPr>
            </w:pPr>
          </w:p>
        </w:tc>
        <w:tc>
          <w:tcPr>
            <w:tcW w:w="1159" w:type="dxa"/>
            <w:vAlign w:val="top"/>
          </w:tcPr>
          <w:p w14:paraId="40A98909">
            <w:pPr>
              <w:rPr>
                <w:rFonts w:hint="eastAsia" w:ascii="宋体" w:hAnsi="宋体" w:eastAsia="宋体" w:cs="宋体"/>
                <w:color w:val="auto"/>
                <w:sz w:val="21"/>
                <w:highlight w:val="none"/>
              </w:rPr>
            </w:pPr>
          </w:p>
        </w:tc>
        <w:tc>
          <w:tcPr>
            <w:tcW w:w="819" w:type="dxa"/>
            <w:vAlign w:val="top"/>
          </w:tcPr>
          <w:p w14:paraId="2A561C42">
            <w:pPr>
              <w:rPr>
                <w:rFonts w:hint="eastAsia" w:ascii="宋体" w:hAnsi="宋体" w:eastAsia="宋体" w:cs="宋体"/>
                <w:color w:val="auto"/>
                <w:sz w:val="21"/>
                <w:highlight w:val="none"/>
              </w:rPr>
            </w:pPr>
          </w:p>
        </w:tc>
        <w:tc>
          <w:tcPr>
            <w:tcW w:w="954" w:type="dxa"/>
            <w:vAlign w:val="top"/>
          </w:tcPr>
          <w:p w14:paraId="304B6CA8">
            <w:pPr>
              <w:rPr>
                <w:rFonts w:hint="eastAsia" w:ascii="宋体" w:hAnsi="宋体" w:eastAsia="宋体" w:cs="宋体"/>
                <w:color w:val="auto"/>
                <w:sz w:val="21"/>
                <w:highlight w:val="none"/>
              </w:rPr>
            </w:pPr>
          </w:p>
        </w:tc>
        <w:tc>
          <w:tcPr>
            <w:tcW w:w="954" w:type="dxa"/>
            <w:vAlign w:val="top"/>
          </w:tcPr>
          <w:p w14:paraId="3FBD92A5">
            <w:pPr>
              <w:rPr>
                <w:rFonts w:hint="eastAsia" w:ascii="宋体" w:hAnsi="宋体" w:eastAsia="宋体" w:cs="宋体"/>
                <w:color w:val="auto"/>
                <w:sz w:val="21"/>
                <w:highlight w:val="none"/>
              </w:rPr>
            </w:pPr>
          </w:p>
        </w:tc>
        <w:tc>
          <w:tcPr>
            <w:tcW w:w="1132" w:type="dxa"/>
            <w:vAlign w:val="top"/>
          </w:tcPr>
          <w:p w14:paraId="4251A476">
            <w:pPr>
              <w:rPr>
                <w:rFonts w:hint="eastAsia" w:ascii="宋体" w:hAnsi="宋体" w:eastAsia="宋体" w:cs="宋体"/>
                <w:color w:val="auto"/>
                <w:sz w:val="21"/>
                <w:highlight w:val="none"/>
              </w:rPr>
            </w:pPr>
          </w:p>
        </w:tc>
      </w:tr>
      <w:tr w14:paraId="1BF9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386F2006">
            <w:pPr>
              <w:pStyle w:val="18"/>
              <w:spacing w:before="75" w:line="183" w:lineRule="auto"/>
              <w:ind w:left="181"/>
              <w:rPr>
                <w:rFonts w:hint="default" w:cs="宋体"/>
                <w:color w:val="auto"/>
                <w:sz w:val="24"/>
                <w:szCs w:val="24"/>
                <w:highlight w:val="none"/>
                <w:lang w:val="en-US" w:eastAsia="zh-CN"/>
              </w:rPr>
            </w:pPr>
            <w:r>
              <w:rPr>
                <w:rFonts w:hint="eastAsia" w:cs="宋体"/>
                <w:color w:val="auto"/>
                <w:sz w:val="24"/>
                <w:szCs w:val="24"/>
                <w:highlight w:val="none"/>
                <w:lang w:val="en-US" w:eastAsia="zh-CN"/>
              </w:rPr>
              <w:t>...</w:t>
            </w:r>
          </w:p>
        </w:tc>
        <w:tc>
          <w:tcPr>
            <w:tcW w:w="2782" w:type="dxa"/>
            <w:vAlign w:val="top"/>
          </w:tcPr>
          <w:p w14:paraId="5A30E734">
            <w:pPr>
              <w:jc w:val="center"/>
              <w:rPr>
                <w:rFonts w:hint="eastAsia" w:ascii="宋体" w:hAnsi="宋体" w:cs="宋体"/>
                <w:b/>
                <w:color w:val="000000"/>
                <w:kern w:val="0"/>
                <w:sz w:val="24"/>
                <w:szCs w:val="21"/>
              </w:rPr>
            </w:pPr>
          </w:p>
        </w:tc>
        <w:tc>
          <w:tcPr>
            <w:tcW w:w="1622" w:type="dxa"/>
            <w:vAlign w:val="top"/>
          </w:tcPr>
          <w:p w14:paraId="69B967C0">
            <w:pPr>
              <w:rPr>
                <w:rFonts w:hint="eastAsia" w:ascii="宋体" w:hAnsi="宋体" w:eastAsia="宋体" w:cs="宋体"/>
                <w:color w:val="auto"/>
                <w:sz w:val="21"/>
                <w:highlight w:val="none"/>
              </w:rPr>
            </w:pPr>
          </w:p>
        </w:tc>
        <w:tc>
          <w:tcPr>
            <w:tcW w:w="1159" w:type="dxa"/>
            <w:vAlign w:val="top"/>
          </w:tcPr>
          <w:p w14:paraId="1B2FCC4C">
            <w:pPr>
              <w:rPr>
                <w:rFonts w:hint="eastAsia" w:ascii="宋体" w:hAnsi="宋体" w:eastAsia="宋体" w:cs="宋体"/>
                <w:color w:val="auto"/>
                <w:sz w:val="21"/>
                <w:highlight w:val="none"/>
              </w:rPr>
            </w:pPr>
          </w:p>
        </w:tc>
        <w:tc>
          <w:tcPr>
            <w:tcW w:w="819" w:type="dxa"/>
            <w:vAlign w:val="top"/>
          </w:tcPr>
          <w:p w14:paraId="0F145BB5">
            <w:pPr>
              <w:rPr>
                <w:rFonts w:hint="eastAsia" w:ascii="宋体" w:hAnsi="宋体" w:eastAsia="宋体" w:cs="宋体"/>
                <w:color w:val="auto"/>
                <w:sz w:val="21"/>
                <w:highlight w:val="none"/>
              </w:rPr>
            </w:pPr>
          </w:p>
        </w:tc>
        <w:tc>
          <w:tcPr>
            <w:tcW w:w="954" w:type="dxa"/>
            <w:vAlign w:val="top"/>
          </w:tcPr>
          <w:p w14:paraId="6565507D">
            <w:pPr>
              <w:rPr>
                <w:rFonts w:hint="eastAsia" w:ascii="宋体" w:hAnsi="宋体" w:eastAsia="宋体" w:cs="宋体"/>
                <w:color w:val="auto"/>
                <w:sz w:val="21"/>
                <w:highlight w:val="none"/>
              </w:rPr>
            </w:pPr>
          </w:p>
        </w:tc>
        <w:tc>
          <w:tcPr>
            <w:tcW w:w="954" w:type="dxa"/>
            <w:vAlign w:val="top"/>
          </w:tcPr>
          <w:p w14:paraId="3641B5B4">
            <w:pPr>
              <w:rPr>
                <w:rFonts w:hint="eastAsia" w:ascii="宋体" w:hAnsi="宋体" w:eastAsia="宋体" w:cs="宋体"/>
                <w:color w:val="auto"/>
                <w:sz w:val="21"/>
                <w:highlight w:val="none"/>
              </w:rPr>
            </w:pPr>
          </w:p>
        </w:tc>
        <w:tc>
          <w:tcPr>
            <w:tcW w:w="1132" w:type="dxa"/>
            <w:vAlign w:val="top"/>
          </w:tcPr>
          <w:p w14:paraId="46AFAA3E">
            <w:pPr>
              <w:rPr>
                <w:rFonts w:hint="eastAsia" w:ascii="宋体" w:hAnsi="宋体" w:eastAsia="宋体" w:cs="宋体"/>
                <w:color w:val="auto"/>
                <w:sz w:val="21"/>
                <w:highlight w:val="none"/>
              </w:rPr>
            </w:pPr>
          </w:p>
        </w:tc>
      </w:tr>
      <w:tr w14:paraId="355D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vAlign w:val="top"/>
          </w:tcPr>
          <w:p w14:paraId="6458D5A5">
            <w:pPr>
              <w:pStyle w:val="18"/>
              <w:spacing w:before="38" w:line="379" w:lineRule="exact"/>
              <w:ind w:left="131"/>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四</w:t>
            </w:r>
          </w:p>
        </w:tc>
        <w:tc>
          <w:tcPr>
            <w:tcW w:w="2782" w:type="dxa"/>
            <w:vAlign w:val="top"/>
          </w:tcPr>
          <w:p w14:paraId="30DEA2BC">
            <w:pPr>
              <w:jc w:val="center"/>
              <w:rPr>
                <w:rFonts w:hint="eastAsia" w:ascii="宋体" w:hAnsi="宋体" w:cs="宋体"/>
                <w:b/>
                <w:color w:val="000000"/>
                <w:kern w:val="0"/>
                <w:sz w:val="24"/>
                <w:szCs w:val="21"/>
              </w:rPr>
            </w:pPr>
            <w:r>
              <w:rPr>
                <w:rFonts w:hint="eastAsia" w:ascii="宋体" w:hAnsi="宋体" w:cs="宋体"/>
                <w:b/>
                <w:color w:val="000000"/>
                <w:kern w:val="0"/>
                <w:sz w:val="24"/>
                <w:szCs w:val="21"/>
              </w:rPr>
              <w:t>屠宰区配套设备</w:t>
            </w:r>
          </w:p>
        </w:tc>
        <w:tc>
          <w:tcPr>
            <w:tcW w:w="1622" w:type="dxa"/>
            <w:vAlign w:val="top"/>
          </w:tcPr>
          <w:p w14:paraId="2BBE6380">
            <w:pPr>
              <w:rPr>
                <w:rFonts w:hint="eastAsia" w:ascii="宋体" w:hAnsi="宋体" w:eastAsia="宋体" w:cs="宋体"/>
                <w:color w:val="auto"/>
                <w:sz w:val="21"/>
                <w:highlight w:val="none"/>
              </w:rPr>
            </w:pPr>
          </w:p>
        </w:tc>
        <w:tc>
          <w:tcPr>
            <w:tcW w:w="1159" w:type="dxa"/>
            <w:vAlign w:val="top"/>
          </w:tcPr>
          <w:p w14:paraId="4C8F91A1">
            <w:pPr>
              <w:rPr>
                <w:rFonts w:hint="eastAsia" w:ascii="宋体" w:hAnsi="宋体" w:eastAsia="宋体" w:cs="宋体"/>
                <w:color w:val="auto"/>
                <w:sz w:val="21"/>
                <w:highlight w:val="none"/>
              </w:rPr>
            </w:pPr>
          </w:p>
        </w:tc>
        <w:tc>
          <w:tcPr>
            <w:tcW w:w="819" w:type="dxa"/>
            <w:vAlign w:val="top"/>
          </w:tcPr>
          <w:p w14:paraId="460163C2">
            <w:pPr>
              <w:rPr>
                <w:rFonts w:hint="eastAsia" w:ascii="宋体" w:hAnsi="宋体" w:eastAsia="宋体" w:cs="宋体"/>
                <w:color w:val="auto"/>
                <w:sz w:val="21"/>
                <w:highlight w:val="none"/>
              </w:rPr>
            </w:pPr>
          </w:p>
        </w:tc>
        <w:tc>
          <w:tcPr>
            <w:tcW w:w="954" w:type="dxa"/>
            <w:vAlign w:val="top"/>
          </w:tcPr>
          <w:p w14:paraId="7A3D6DDF">
            <w:pPr>
              <w:rPr>
                <w:rFonts w:hint="eastAsia" w:ascii="宋体" w:hAnsi="宋体" w:eastAsia="宋体" w:cs="宋体"/>
                <w:color w:val="auto"/>
                <w:sz w:val="21"/>
                <w:highlight w:val="none"/>
              </w:rPr>
            </w:pPr>
          </w:p>
        </w:tc>
        <w:tc>
          <w:tcPr>
            <w:tcW w:w="954" w:type="dxa"/>
            <w:vAlign w:val="top"/>
          </w:tcPr>
          <w:p w14:paraId="0D5D6903">
            <w:pPr>
              <w:rPr>
                <w:rFonts w:hint="eastAsia" w:ascii="宋体" w:hAnsi="宋体" w:eastAsia="宋体" w:cs="宋体"/>
                <w:color w:val="auto"/>
                <w:sz w:val="21"/>
                <w:highlight w:val="none"/>
              </w:rPr>
            </w:pPr>
          </w:p>
        </w:tc>
        <w:tc>
          <w:tcPr>
            <w:tcW w:w="1132" w:type="dxa"/>
            <w:vAlign w:val="top"/>
          </w:tcPr>
          <w:p w14:paraId="6E395997">
            <w:pPr>
              <w:rPr>
                <w:rFonts w:hint="eastAsia" w:ascii="宋体" w:hAnsi="宋体" w:eastAsia="宋体" w:cs="宋体"/>
                <w:color w:val="auto"/>
                <w:sz w:val="21"/>
                <w:highlight w:val="none"/>
              </w:rPr>
            </w:pPr>
          </w:p>
        </w:tc>
      </w:tr>
      <w:tr w14:paraId="55C3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vAlign w:val="top"/>
          </w:tcPr>
          <w:p w14:paraId="61F45493">
            <w:pPr>
              <w:pStyle w:val="18"/>
              <w:spacing w:before="38" w:line="379" w:lineRule="exact"/>
              <w:ind w:left="131"/>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4.1</w:t>
            </w:r>
          </w:p>
        </w:tc>
        <w:tc>
          <w:tcPr>
            <w:tcW w:w="2782" w:type="dxa"/>
            <w:vAlign w:val="top"/>
          </w:tcPr>
          <w:p w14:paraId="3F21D5EE">
            <w:pPr>
              <w:jc w:val="center"/>
              <w:rPr>
                <w:rFonts w:hint="eastAsia" w:ascii="宋体" w:hAnsi="宋体" w:cs="宋体"/>
                <w:b/>
                <w:color w:val="000000"/>
                <w:kern w:val="0"/>
                <w:sz w:val="24"/>
                <w:szCs w:val="21"/>
              </w:rPr>
            </w:pPr>
          </w:p>
        </w:tc>
        <w:tc>
          <w:tcPr>
            <w:tcW w:w="1622" w:type="dxa"/>
            <w:vAlign w:val="top"/>
          </w:tcPr>
          <w:p w14:paraId="7C9CA88B">
            <w:pPr>
              <w:rPr>
                <w:rFonts w:hint="eastAsia" w:ascii="宋体" w:hAnsi="宋体" w:eastAsia="宋体" w:cs="宋体"/>
                <w:color w:val="auto"/>
                <w:sz w:val="21"/>
                <w:highlight w:val="none"/>
              </w:rPr>
            </w:pPr>
          </w:p>
        </w:tc>
        <w:tc>
          <w:tcPr>
            <w:tcW w:w="1159" w:type="dxa"/>
            <w:vAlign w:val="top"/>
          </w:tcPr>
          <w:p w14:paraId="77604BDE">
            <w:pPr>
              <w:rPr>
                <w:rFonts w:hint="eastAsia" w:ascii="宋体" w:hAnsi="宋体" w:eastAsia="宋体" w:cs="宋体"/>
                <w:color w:val="auto"/>
                <w:sz w:val="21"/>
                <w:highlight w:val="none"/>
              </w:rPr>
            </w:pPr>
          </w:p>
        </w:tc>
        <w:tc>
          <w:tcPr>
            <w:tcW w:w="819" w:type="dxa"/>
            <w:vAlign w:val="top"/>
          </w:tcPr>
          <w:p w14:paraId="685682E1">
            <w:pPr>
              <w:rPr>
                <w:rFonts w:hint="eastAsia" w:ascii="宋体" w:hAnsi="宋体" w:eastAsia="宋体" w:cs="宋体"/>
                <w:color w:val="auto"/>
                <w:sz w:val="21"/>
                <w:highlight w:val="none"/>
              </w:rPr>
            </w:pPr>
          </w:p>
        </w:tc>
        <w:tc>
          <w:tcPr>
            <w:tcW w:w="954" w:type="dxa"/>
            <w:vAlign w:val="top"/>
          </w:tcPr>
          <w:p w14:paraId="1D8F9F2D">
            <w:pPr>
              <w:rPr>
                <w:rFonts w:hint="eastAsia" w:ascii="宋体" w:hAnsi="宋体" w:eastAsia="宋体" w:cs="宋体"/>
                <w:color w:val="auto"/>
                <w:sz w:val="21"/>
                <w:highlight w:val="none"/>
              </w:rPr>
            </w:pPr>
          </w:p>
        </w:tc>
        <w:tc>
          <w:tcPr>
            <w:tcW w:w="954" w:type="dxa"/>
            <w:vAlign w:val="top"/>
          </w:tcPr>
          <w:p w14:paraId="446390E7">
            <w:pPr>
              <w:rPr>
                <w:rFonts w:hint="eastAsia" w:ascii="宋体" w:hAnsi="宋体" w:eastAsia="宋体" w:cs="宋体"/>
                <w:color w:val="auto"/>
                <w:sz w:val="21"/>
                <w:highlight w:val="none"/>
              </w:rPr>
            </w:pPr>
          </w:p>
        </w:tc>
        <w:tc>
          <w:tcPr>
            <w:tcW w:w="1132" w:type="dxa"/>
            <w:vAlign w:val="top"/>
          </w:tcPr>
          <w:p w14:paraId="0BF5D268">
            <w:pPr>
              <w:rPr>
                <w:rFonts w:hint="eastAsia" w:ascii="宋体" w:hAnsi="宋体" w:eastAsia="宋体" w:cs="宋体"/>
                <w:color w:val="auto"/>
                <w:sz w:val="21"/>
                <w:highlight w:val="none"/>
              </w:rPr>
            </w:pPr>
          </w:p>
        </w:tc>
      </w:tr>
      <w:tr w14:paraId="5C1AA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vAlign w:val="top"/>
          </w:tcPr>
          <w:p w14:paraId="24F59034">
            <w:pPr>
              <w:pStyle w:val="18"/>
              <w:spacing w:before="38" w:line="379" w:lineRule="exact"/>
              <w:ind w:left="131"/>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w:t>
            </w:r>
          </w:p>
        </w:tc>
        <w:tc>
          <w:tcPr>
            <w:tcW w:w="2782" w:type="dxa"/>
            <w:vAlign w:val="top"/>
          </w:tcPr>
          <w:p w14:paraId="34C3D5CA">
            <w:pPr>
              <w:jc w:val="center"/>
              <w:rPr>
                <w:rFonts w:hint="eastAsia" w:ascii="宋体" w:hAnsi="宋体" w:cs="宋体"/>
                <w:b/>
                <w:color w:val="000000"/>
                <w:kern w:val="0"/>
                <w:sz w:val="24"/>
                <w:szCs w:val="21"/>
              </w:rPr>
            </w:pPr>
          </w:p>
        </w:tc>
        <w:tc>
          <w:tcPr>
            <w:tcW w:w="1622" w:type="dxa"/>
            <w:vAlign w:val="top"/>
          </w:tcPr>
          <w:p w14:paraId="56900A97">
            <w:pPr>
              <w:rPr>
                <w:rFonts w:hint="eastAsia" w:ascii="宋体" w:hAnsi="宋体" w:eastAsia="宋体" w:cs="宋体"/>
                <w:color w:val="auto"/>
                <w:sz w:val="21"/>
                <w:highlight w:val="none"/>
              </w:rPr>
            </w:pPr>
          </w:p>
        </w:tc>
        <w:tc>
          <w:tcPr>
            <w:tcW w:w="1159" w:type="dxa"/>
            <w:vAlign w:val="top"/>
          </w:tcPr>
          <w:p w14:paraId="7CACEE89">
            <w:pPr>
              <w:rPr>
                <w:rFonts w:hint="eastAsia" w:ascii="宋体" w:hAnsi="宋体" w:eastAsia="宋体" w:cs="宋体"/>
                <w:color w:val="auto"/>
                <w:sz w:val="21"/>
                <w:highlight w:val="none"/>
              </w:rPr>
            </w:pPr>
          </w:p>
        </w:tc>
        <w:tc>
          <w:tcPr>
            <w:tcW w:w="819" w:type="dxa"/>
            <w:vAlign w:val="top"/>
          </w:tcPr>
          <w:p w14:paraId="36FB55EE">
            <w:pPr>
              <w:rPr>
                <w:rFonts w:hint="eastAsia" w:ascii="宋体" w:hAnsi="宋体" w:eastAsia="宋体" w:cs="宋体"/>
                <w:color w:val="auto"/>
                <w:sz w:val="21"/>
                <w:highlight w:val="none"/>
              </w:rPr>
            </w:pPr>
          </w:p>
        </w:tc>
        <w:tc>
          <w:tcPr>
            <w:tcW w:w="954" w:type="dxa"/>
            <w:vAlign w:val="top"/>
          </w:tcPr>
          <w:p w14:paraId="34BA3045">
            <w:pPr>
              <w:rPr>
                <w:rFonts w:hint="eastAsia" w:ascii="宋体" w:hAnsi="宋体" w:eastAsia="宋体" w:cs="宋体"/>
                <w:color w:val="auto"/>
                <w:sz w:val="21"/>
                <w:highlight w:val="none"/>
              </w:rPr>
            </w:pPr>
          </w:p>
        </w:tc>
        <w:tc>
          <w:tcPr>
            <w:tcW w:w="954" w:type="dxa"/>
            <w:vAlign w:val="top"/>
          </w:tcPr>
          <w:p w14:paraId="7A17C86D">
            <w:pPr>
              <w:rPr>
                <w:rFonts w:hint="eastAsia" w:ascii="宋体" w:hAnsi="宋体" w:eastAsia="宋体" w:cs="宋体"/>
                <w:color w:val="auto"/>
                <w:sz w:val="21"/>
                <w:highlight w:val="none"/>
              </w:rPr>
            </w:pPr>
          </w:p>
        </w:tc>
        <w:tc>
          <w:tcPr>
            <w:tcW w:w="1132" w:type="dxa"/>
            <w:vAlign w:val="top"/>
          </w:tcPr>
          <w:p w14:paraId="57D19172">
            <w:pPr>
              <w:rPr>
                <w:rFonts w:hint="eastAsia" w:ascii="宋体" w:hAnsi="宋体" w:eastAsia="宋体" w:cs="宋体"/>
                <w:color w:val="auto"/>
                <w:sz w:val="21"/>
                <w:highlight w:val="none"/>
              </w:rPr>
            </w:pPr>
          </w:p>
        </w:tc>
      </w:tr>
      <w:tr w14:paraId="5238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4AA65BA0">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五</w:t>
            </w:r>
          </w:p>
        </w:tc>
        <w:tc>
          <w:tcPr>
            <w:tcW w:w="2782" w:type="dxa"/>
            <w:vAlign w:val="top"/>
          </w:tcPr>
          <w:p w14:paraId="13E84711">
            <w:pPr>
              <w:jc w:val="center"/>
              <w:rPr>
                <w:rFonts w:hint="eastAsia" w:ascii="宋体" w:hAnsi="宋体" w:cs="宋体"/>
                <w:b/>
                <w:color w:val="000000"/>
                <w:kern w:val="0"/>
                <w:sz w:val="24"/>
                <w:szCs w:val="21"/>
              </w:rPr>
            </w:pPr>
            <w:r>
              <w:rPr>
                <w:rFonts w:hint="eastAsia" w:ascii="宋体" w:hAnsi="宋体" w:cs="宋体"/>
                <w:b/>
                <w:color w:val="000000"/>
                <w:kern w:val="0"/>
                <w:sz w:val="24"/>
                <w:szCs w:val="21"/>
              </w:rPr>
              <w:t>屠宰区安装部分</w:t>
            </w:r>
          </w:p>
        </w:tc>
        <w:tc>
          <w:tcPr>
            <w:tcW w:w="1622" w:type="dxa"/>
            <w:vAlign w:val="top"/>
          </w:tcPr>
          <w:p w14:paraId="5F0091C3">
            <w:pPr>
              <w:rPr>
                <w:rFonts w:hint="eastAsia" w:ascii="宋体" w:hAnsi="宋体" w:eastAsia="宋体" w:cs="宋体"/>
                <w:color w:val="auto"/>
                <w:sz w:val="21"/>
                <w:highlight w:val="none"/>
              </w:rPr>
            </w:pPr>
          </w:p>
        </w:tc>
        <w:tc>
          <w:tcPr>
            <w:tcW w:w="1159" w:type="dxa"/>
            <w:vAlign w:val="top"/>
          </w:tcPr>
          <w:p w14:paraId="2E459369">
            <w:pPr>
              <w:rPr>
                <w:rFonts w:hint="eastAsia" w:ascii="宋体" w:hAnsi="宋体" w:eastAsia="宋体" w:cs="宋体"/>
                <w:color w:val="auto"/>
                <w:sz w:val="21"/>
                <w:highlight w:val="none"/>
              </w:rPr>
            </w:pPr>
          </w:p>
        </w:tc>
        <w:tc>
          <w:tcPr>
            <w:tcW w:w="819" w:type="dxa"/>
            <w:vAlign w:val="top"/>
          </w:tcPr>
          <w:p w14:paraId="20C30649">
            <w:pPr>
              <w:rPr>
                <w:rFonts w:hint="eastAsia" w:ascii="宋体" w:hAnsi="宋体" w:eastAsia="宋体" w:cs="宋体"/>
                <w:color w:val="auto"/>
                <w:sz w:val="21"/>
                <w:highlight w:val="none"/>
              </w:rPr>
            </w:pPr>
          </w:p>
        </w:tc>
        <w:tc>
          <w:tcPr>
            <w:tcW w:w="954" w:type="dxa"/>
            <w:vAlign w:val="top"/>
          </w:tcPr>
          <w:p w14:paraId="67B2384F">
            <w:pPr>
              <w:rPr>
                <w:rFonts w:hint="eastAsia" w:ascii="宋体" w:hAnsi="宋体" w:eastAsia="宋体" w:cs="宋体"/>
                <w:color w:val="auto"/>
                <w:sz w:val="21"/>
                <w:highlight w:val="none"/>
              </w:rPr>
            </w:pPr>
          </w:p>
        </w:tc>
        <w:tc>
          <w:tcPr>
            <w:tcW w:w="954" w:type="dxa"/>
            <w:vAlign w:val="top"/>
          </w:tcPr>
          <w:p w14:paraId="5B4980BF">
            <w:pPr>
              <w:rPr>
                <w:rFonts w:hint="eastAsia" w:ascii="宋体" w:hAnsi="宋体" w:eastAsia="宋体" w:cs="宋体"/>
                <w:color w:val="auto"/>
                <w:sz w:val="21"/>
                <w:highlight w:val="none"/>
              </w:rPr>
            </w:pPr>
          </w:p>
        </w:tc>
        <w:tc>
          <w:tcPr>
            <w:tcW w:w="1132" w:type="dxa"/>
            <w:vAlign w:val="top"/>
          </w:tcPr>
          <w:p w14:paraId="2F22DB0E">
            <w:pPr>
              <w:rPr>
                <w:rFonts w:hint="eastAsia" w:ascii="宋体" w:hAnsi="宋体" w:eastAsia="宋体" w:cs="宋体"/>
                <w:color w:val="auto"/>
                <w:sz w:val="21"/>
                <w:highlight w:val="none"/>
              </w:rPr>
            </w:pPr>
          </w:p>
        </w:tc>
      </w:tr>
      <w:tr w14:paraId="4D945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vAlign w:val="top"/>
          </w:tcPr>
          <w:p w14:paraId="6D226932">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5.1</w:t>
            </w:r>
          </w:p>
        </w:tc>
        <w:tc>
          <w:tcPr>
            <w:tcW w:w="2782" w:type="dxa"/>
            <w:vAlign w:val="top"/>
          </w:tcPr>
          <w:p w14:paraId="632E4225">
            <w:pPr>
              <w:jc w:val="center"/>
              <w:rPr>
                <w:rFonts w:hint="eastAsia" w:ascii="宋体" w:hAnsi="宋体" w:cs="宋体"/>
                <w:b/>
                <w:color w:val="000000"/>
                <w:kern w:val="0"/>
                <w:sz w:val="24"/>
                <w:szCs w:val="21"/>
              </w:rPr>
            </w:pPr>
          </w:p>
        </w:tc>
        <w:tc>
          <w:tcPr>
            <w:tcW w:w="1622" w:type="dxa"/>
            <w:vAlign w:val="top"/>
          </w:tcPr>
          <w:p w14:paraId="2E8215F0">
            <w:pPr>
              <w:rPr>
                <w:rFonts w:hint="eastAsia" w:ascii="宋体" w:hAnsi="宋体" w:eastAsia="宋体" w:cs="宋体"/>
                <w:color w:val="auto"/>
                <w:sz w:val="21"/>
                <w:highlight w:val="none"/>
              </w:rPr>
            </w:pPr>
          </w:p>
        </w:tc>
        <w:tc>
          <w:tcPr>
            <w:tcW w:w="1159" w:type="dxa"/>
            <w:vAlign w:val="top"/>
          </w:tcPr>
          <w:p w14:paraId="65ED3FDB">
            <w:pPr>
              <w:rPr>
                <w:rFonts w:hint="eastAsia" w:ascii="宋体" w:hAnsi="宋体" w:eastAsia="宋体" w:cs="宋体"/>
                <w:color w:val="auto"/>
                <w:sz w:val="21"/>
                <w:highlight w:val="none"/>
              </w:rPr>
            </w:pPr>
          </w:p>
        </w:tc>
        <w:tc>
          <w:tcPr>
            <w:tcW w:w="819" w:type="dxa"/>
            <w:vAlign w:val="top"/>
          </w:tcPr>
          <w:p w14:paraId="0D9BDFFF">
            <w:pPr>
              <w:rPr>
                <w:rFonts w:hint="eastAsia" w:ascii="宋体" w:hAnsi="宋体" w:eastAsia="宋体" w:cs="宋体"/>
                <w:color w:val="auto"/>
                <w:sz w:val="21"/>
                <w:highlight w:val="none"/>
              </w:rPr>
            </w:pPr>
          </w:p>
        </w:tc>
        <w:tc>
          <w:tcPr>
            <w:tcW w:w="954" w:type="dxa"/>
            <w:vAlign w:val="top"/>
          </w:tcPr>
          <w:p w14:paraId="7EFA2BF9">
            <w:pPr>
              <w:rPr>
                <w:rFonts w:hint="eastAsia" w:ascii="宋体" w:hAnsi="宋体" w:eastAsia="宋体" w:cs="宋体"/>
                <w:color w:val="auto"/>
                <w:sz w:val="21"/>
                <w:highlight w:val="none"/>
              </w:rPr>
            </w:pPr>
          </w:p>
        </w:tc>
        <w:tc>
          <w:tcPr>
            <w:tcW w:w="954" w:type="dxa"/>
            <w:vAlign w:val="top"/>
          </w:tcPr>
          <w:p w14:paraId="6EFAEC10">
            <w:pPr>
              <w:rPr>
                <w:rFonts w:hint="eastAsia" w:ascii="宋体" w:hAnsi="宋体" w:eastAsia="宋体" w:cs="宋体"/>
                <w:color w:val="auto"/>
                <w:sz w:val="21"/>
                <w:highlight w:val="none"/>
              </w:rPr>
            </w:pPr>
          </w:p>
        </w:tc>
        <w:tc>
          <w:tcPr>
            <w:tcW w:w="1132" w:type="dxa"/>
            <w:vAlign w:val="top"/>
          </w:tcPr>
          <w:p w14:paraId="034AC613">
            <w:pPr>
              <w:rPr>
                <w:rFonts w:hint="eastAsia" w:ascii="宋体" w:hAnsi="宋体" w:eastAsia="宋体" w:cs="宋体"/>
                <w:color w:val="auto"/>
                <w:sz w:val="21"/>
                <w:highlight w:val="none"/>
              </w:rPr>
            </w:pPr>
          </w:p>
        </w:tc>
      </w:tr>
      <w:tr w14:paraId="428F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3AF4AA27">
            <w:pPr>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highlight w:val="none"/>
                <w:lang w:eastAsia="zh-CN"/>
              </w:rPr>
              <w:t>六</w:t>
            </w:r>
          </w:p>
        </w:tc>
        <w:tc>
          <w:tcPr>
            <w:tcW w:w="2782" w:type="dxa"/>
            <w:shd w:val="clear" w:color="auto" w:fill="auto"/>
            <w:vAlign w:val="top"/>
          </w:tcPr>
          <w:p w14:paraId="6F464218">
            <w:pPr>
              <w:jc w:val="center"/>
              <w:rPr>
                <w:rFonts w:hint="eastAsia" w:ascii="宋体" w:hAnsi="宋体" w:eastAsia="Arial" w:cs="宋体"/>
                <w:b/>
                <w:snapToGrid w:val="0"/>
                <w:color w:val="000000"/>
                <w:kern w:val="0"/>
                <w:sz w:val="24"/>
                <w:szCs w:val="21"/>
                <w:lang w:val="en-US" w:eastAsia="en-US" w:bidi="ar-SA"/>
              </w:rPr>
            </w:pPr>
            <w:r>
              <w:rPr>
                <w:rFonts w:hint="eastAsia" w:ascii="宋体" w:hAnsi="宋体" w:cs="宋体"/>
                <w:b/>
                <w:color w:val="000000"/>
                <w:kern w:val="0"/>
                <w:sz w:val="24"/>
                <w:szCs w:val="21"/>
              </w:rPr>
              <w:t>排酸库设备</w:t>
            </w:r>
          </w:p>
        </w:tc>
        <w:tc>
          <w:tcPr>
            <w:tcW w:w="1622" w:type="dxa"/>
            <w:vAlign w:val="top"/>
          </w:tcPr>
          <w:p w14:paraId="0CC0F1A4">
            <w:pPr>
              <w:rPr>
                <w:rFonts w:hint="eastAsia" w:ascii="宋体" w:hAnsi="宋体" w:eastAsia="宋体" w:cs="宋体"/>
                <w:color w:val="auto"/>
                <w:sz w:val="21"/>
                <w:highlight w:val="none"/>
              </w:rPr>
            </w:pPr>
          </w:p>
        </w:tc>
        <w:tc>
          <w:tcPr>
            <w:tcW w:w="1159" w:type="dxa"/>
            <w:vAlign w:val="top"/>
          </w:tcPr>
          <w:p w14:paraId="1B7500FF">
            <w:pPr>
              <w:rPr>
                <w:rFonts w:hint="eastAsia" w:ascii="宋体" w:hAnsi="宋体" w:eastAsia="宋体" w:cs="宋体"/>
                <w:color w:val="auto"/>
                <w:sz w:val="21"/>
                <w:highlight w:val="none"/>
              </w:rPr>
            </w:pPr>
          </w:p>
        </w:tc>
        <w:tc>
          <w:tcPr>
            <w:tcW w:w="819" w:type="dxa"/>
            <w:vAlign w:val="top"/>
          </w:tcPr>
          <w:p w14:paraId="059902E5">
            <w:pPr>
              <w:jc w:val="center"/>
              <w:rPr>
                <w:rFonts w:hint="eastAsia" w:ascii="宋体" w:hAnsi="宋体" w:eastAsia="宋体" w:cs="宋体"/>
                <w:color w:val="auto"/>
                <w:sz w:val="24"/>
                <w:szCs w:val="24"/>
                <w:highlight w:val="none"/>
                <w:lang w:eastAsia="zh-CN"/>
              </w:rPr>
            </w:pPr>
          </w:p>
        </w:tc>
        <w:tc>
          <w:tcPr>
            <w:tcW w:w="954" w:type="dxa"/>
            <w:vAlign w:val="top"/>
          </w:tcPr>
          <w:p w14:paraId="5DBBB7D1">
            <w:pPr>
              <w:jc w:val="center"/>
              <w:rPr>
                <w:rFonts w:hint="eastAsia" w:ascii="宋体" w:hAnsi="宋体" w:eastAsia="宋体" w:cs="宋体"/>
                <w:color w:val="auto"/>
                <w:sz w:val="24"/>
                <w:szCs w:val="24"/>
                <w:highlight w:val="none"/>
                <w:lang w:val="en-US" w:eastAsia="zh-CN"/>
              </w:rPr>
            </w:pPr>
          </w:p>
        </w:tc>
        <w:tc>
          <w:tcPr>
            <w:tcW w:w="954" w:type="dxa"/>
            <w:vAlign w:val="top"/>
          </w:tcPr>
          <w:p w14:paraId="093B6E63">
            <w:pPr>
              <w:rPr>
                <w:rFonts w:hint="eastAsia" w:ascii="宋体" w:hAnsi="宋体" w:eastAsia="宋体" w:cs="宋体"/>
                <w:color w:val="auto"/>
                <w:sz w:val="21"/>
                <w:highlight w:val="none"/>
              </w:rPr>
            </w:pPr>
          </w:p>
        </w:tc>
        <w:tc>
          <w:tcPr>
            <w:tcW w:w="1132" w:type="dxa"/>
            <w:vAlign w:val="top"/>
          </w:tcPr>
          <w:p w14:paraId="5C4740F9">
            <w:pPr>
              <w:rPr>
                <w:rFonts w:hint="eastAsia" w:ascii="宋体" w:hAnsi="宋体" w:eastAsia="宋体" w:cs="宋体"/>
                <w:color w:val="auto"/>
                <w:sz w:val="21"/>
                <w:highlight w:val="none"/>
              </w:rPr>
            </w:pPr>
          </w:p>
        </w:tc>
      </w:tr>
      <w:tr w14:paraId="4839C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7ED9F02B">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6.1</w:t>
            </w:r>
          </w:p>
        </w:tc>
        <w:tc>
          <w:tcPr>
            <w:tcW w:w="2782" w:type="dxa"/>
            <w:shd w:val="clear" w:color="auto" w:fill="auto"/>
            <w:vAlign w:val="top"/>
          </w:tcPr>
          <w:p w14:paraId="7B7075CB">
            <w:pPr>
              <w:jc w:val="center"/>
              <w:rPr>
                <w:rFonts w:hint="eastAsia" w:ascii="宋体" w:hAnsi="宋体" w:cs="宋体"/>
                <w:b/>
                <w:color w:val="000000"/>
                <w:kern w:val="0"/>
                <w:sz w:val="24"/>
                <w:szCs w:val="21"/>
              </w:rPr>
            </w:pPr>
          </w:p>
        </w:tc>
        <w:tc>
          <w:tcPr>
            <w:tcW w:w="1622" w:type="dxa"/>
            <w:vAlign w:val="top"/>
          </w:tcPr>
          <w:p w14:paraId="0C3C2078">
            <w:pPr>
              <w:rPr>
                <w:rFonts w:hint="eastAsia" w:ascii="宋体" w:hAnsi="宋体" w:eastAsia="宋体" w:cs="宋体"/>
                <w:color w:val="auto"/>
                <w:sz w:val="21"/>
                <w:highlight w:val="none"/>
              </w:rPr>
            </w:pPr>
          </w:p>
        </w:tc>
        <w:tc>
          <w:tcPr>
            <w:tcW w:w="1159" w:type="dxa"/>
            <w:vAlign w:val="top"/>
          </w:tcPr>
          <w:p w14:paraId="0F79CCC6">
            <w:pPr>
              <w:rPr>
                <w:rFonts w:hint="eastAsia" w:ascii="宋体" w:hAnsi="宋体" w:eastAsia="宋体" w:cs="宋体"/>
                <w:color w:val="auto"/>
                <w:sz w:val="21"/>
                <w:highlight w:val="none"/>
              </w:rPr>
            </w:pPr>
          </w:p>
        </w:tc>
        <w:tc>
          <w:tcPr>
            <w:tcW w:w="819" w:type="dxa"/>
            <w:vAlign w:val="top"/>
          </w:tcPr>
          <w:p w14:paraId="07589A98">
            <w:pPr>
              <w:jc w:val="center"/>
              <w:rPr>
                <w:rFonts w:hint="eastAsia" w:ascii="宋体" w:hAnsi="宋体" w:eastAsia="宋体" w:cs="宋体"/>
                <w:color w:val="auto"/>
                <w:sz w:val="24"/>
                <w:szCs w:val="24"/>
                <w:highlight w:val="none"/>
                <w:lang w:eastAsia="zh-CN"/>
              </w:rPr>
            </w:pPr>
          </w:p>
        </w:tc>
        <w:tc>
          <w:tcPr>
            <w:tcW w:w="954" w:type="dxa"/>
            <w:vAlign w:val="top"/>
          </w:tcPr>
          <w:p w14:paraId="369A073E">
            <w:pPr>
              <w:jc w:val="center"/>
              <w:rPr>
                <w:rFonts w:hint="eastAsia" w:ascii="宋体" w:hAnsi="宋体" w:eastAsia="宋体" w:cs="宋体"/>
                <w:color w:val="auto"/>
                <w:sz w:val="24"/>
                <w:szCs w:val="24"/>
                <w:highlight w:val="none"/>
                <w:lang w:val="en-US" w:eastAsia="zh-CN"/>
              </w:rPr>
            </w:pPr>
          </w:p>
        </w:tc>
        <w:tc>
          <w:tcPr>
            <w:tcW w:w="954" w:type="dxa"/>
            <w:vAlign w:val="top"/>
          </w:tcPr>
          <w:p w14:paraId="67CECD80">
            <w:pPr>
              <w:rPr>
                <w:rFonts w:hint="eastAsia" w:ascii="宋体" w:hAnsi="宋体" w:eastAsia="宋体" w:cs="宋体"/>
                <w:color w:val="auto"/>
                <w:sz w:val="21"/>
                <w:highlight w:val="none"/>
              </w:rPr>
            </w:pPr>
          </w:p>
        </w:tc>
        <w:tc>
          <w:tcPr>
            <w:tcW w:w="1132" w:type="dxa"/>
            <w:vAlign w:val="top"/>
          </w:tcPr>
          <w:p w14:paraId="727E1392">
            <w:pPr>
              <w:rPr>
                <w:rFonts w:hint="eastAsia" w:ascii="宋体" w:hAnsi="宋体" w:eastAsia="宋体" w:cs="宋体"/>
                <w:color w:val="auto"/>
                <w:sz w:val="21"/>
                <w:highlight w:val="none"/>
              </w:rPr>
            </w:pPr>
          </w:p>
        </w:tc>
      </w:tr>
      <w:tr w14:paraId="30BCE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7B53353D">
            <w:pPr>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highlight w:val="none"/>
                <w:lang w:eastAsia="zh-CN"/>
              </w:rPr>
              <w:t>七</w:t>
            </w:r>
          </w:p>
        </w:tc>
        <w:tc>
          <w:tcPr>
            <w:tcW w:w="2782" w:type="dxa"/>
            <w:shd w:val="clear" w:color="auto" w:fill="auto"/>
            <w:vAlign w:val="top"/>
          </w:tcPr>
          <w:p w14:paraId="7C757408">
            <w:pPr>
              <w:jc w:val="center"/>
              <w:rPr>
                <w:rFonts w:hint="eastAsia" w:ascii="宋体" w:hAnsi="宋体" w:eastAsia="Arial" w:cs="宋体"/>
                <w:b/>
                <w:snapToGrid w:val="0"/>
                <w:color w:val="000000"/>
                <w:kern w:val="0"/>
                <w:sz w:val="24"/>
                <w:szCs w:val="21"/>
                <w:lang w:val="en-US" w:eastAsia="en-US" w:bidi="ar-SA"/>
              </w:rPr>
            </w:pPr>
            <w:r>
              <w:rPr>
                <w:rFonts w:hint="eastAsia" w:ascii="宋体" w:hAnsi="宋体" w:eastAsia="宋体" w:cs="宋体"/>
                <w:b/>
                <w:color w:val="000000"/>
                <w:kern w:val="0"/>
                <w:sz w:val="24"/>
                <w:szCs w:val="21"/>
                <w:lang w:eastAsia="zh-CN"/>
              </w:rPr>
              <w:t>速冻库设备</w:t>
            </w:r>
          </w:p>
        </w:tc>
        <w:tc>
          <w:tcPr>
            <w:tcW w:w="1622" w:type="dxa"/>
            <w:vAlign w:val="top"/>
          </w:tcPr>
          <w:p w14:paraId="50A778BF">
            <w:pPr>
              <w:rPr>
                <w:rFonts w:hint="eastAsia" w:ascii="宋体" w:hAnsi="宋体" w:eastAsia="宋体" w:cs="宋体"/>
                <w:color w:val="auto"/>
                <w:sz w:val="21"/>
                <w:highlight w:val="none"/>
              </w:rPr>
            </w:pPr>
          </w:p>
        </w:tc>
        <w:tc>
          <w:tcPr>
            <w:tcW w:w="1159" w:type="dxa"/>
            <w:vAlign w:val="top"/>
          </w:tcPr>
          <w:p w14:paraId="7A03F4B3">
            <w:pPr>
              <w:rPr>
                <w:rFonts w:hint="eastAsia" w:ascii="宋体" w:hAnsi="宋体" w:eastAsia="宋体" w:cs="宋体"/>
                <w:color w:val="auto"/>
                <w:sz w:val="21"/>
                <w:highlight w:val="none"/>
              </w:rPr>
            </w:pPr>
          </w:p>
        </w:tc>
        <w:tc>
          <w:tcPr>
            <w:tcW w:w="819" w:type="dxa"/>
            <w:vAlign w:val="top"/>
          </w:tcPr>
          <w:p w14:paraId="100DCD91">
            <w:pPr>
              <w:jc w:val="center"/>
              <w:rPr>
                <w:rFonts w:hint="eastAsia" w:ascii="宋体" w:hAnsi="宋体" w:eastAsia="宋体" w:cs="宋体"/>
                <w:color w:val="auto"/>
                <w:sz w:val="24"/>
                <w:szCs w:val="24"/>
                <w:highlight w:val="none"/>
                <w:lang w:eastAsia="zh-CN"/>
              </w:rPr>
            </w:pPr>
          </w:p>
        </w:tc>
        <w:tc>
          <w:tcPr>
            <w:tcW w:w="954" w:type="dxa"/>
            <w:vAlign w:val="top"/>
          </w:tcPr>
          <w:p w14:paraId="1FD8411D">
            <w:pPr>
              <w:jc w:val="center"/>
              <w:rPr>
                <w:rFonts w:hint="eastAsia" w:ascii="宋体" w:hAnsi="宋体" w:eastAsia="宋体" w:cs="宋体"/>
                <w:color w:val="auto"/>
                <w:sz w:val="24"/>
                <w:szCs w:val="24"/>
                <w:highlight w:val="none"/>
                <w:lang w:val="en-US" w:eastAsia="zh-CN"/>
              </w:rPr>
            </w:pPr>
          </w:p>
        </w:tc>
        <w:tc>
          <w:tcPr>
            <w:tcW w:w="954" w:type="dxa"/>
            <w:vAlign w:val="top"/>
          </w:tcPr>
          <w:p w14:paraId="31164B00">
            <w:pPr>
              <w:rPr>
                <w:rFonts w:hint="eastAsia" w:ascii="宋体" w:hAnsi="宋体" w:eastAsia="宋体" w:cs="宋体"/>
                <w:color w:val="auto"/>
                <w:sz w:val="21"/>
                <w:highlight w:val="none"/>
              </w:rPr>
            </w:pPr>
          </w:p>
        </w:tc>
        <w:tc>
          <w:tcPr>
            <w:tcW w:w="1132" w:type="dxa"/>
            <w:vAlign w:val="top"/>
          </w:tcPr>
          <w:p w14:paraId="5FE856F9">
            <w:pPr>
              <w:rPr>
                <w:rFonts w:hint="eastAsia" w:ascii="宋体" w:hAnsi="宋体" w:eastAsia="宋体" w:cs="宋体"/>
                <w:color w:val="auto"/>
                <w:sz w:val="21"/>
                <w:highlight w:val="none"/>
              </w:rPr>
            </w:pPr>
          </w:p>
        </w:tc>
      </w:tr>
      <w:tr w14:paraId="1C21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11C66D3E">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7.1</w:t>
            </w:r>
          </w:p>
        </w:tc>
        <w:tc>
          <w:tcPr>
            <w:tcW w:w="2782" w:type="dxa"/>
            <w:shd w:val="clear" w:color="auto" w:fill="auto"/>
            <w:vAlign w:val="top"/>
          </w:tcPr>
          <w:p w14:paraId="177ACA29">
            <w:pPr>
              <w:jc w:val="center"/>
              <w:rPr>
                <w:rFonts w:hint="eastAsia" w:ascii="宋体" w:hAnsi="宋体" w:eastAsia="宋体" w:cs="宋体"/>
                <w:b/>
                <w:color w:val="000000"/>
                <w:kern w:val="0"/>
                <w:sz w:val="24"/>
                <w:szCs w:val="21"/>
                <w:lang w:eastAsia="zh-CN"/>
              </w:rPr>
            </w:pPr>
          </w:p>
        </w:tc>
        <w:tc>
          <w:tcPr>
            <w:tcW w:w="1622" w:type="dxa"/>
            <w:vAlign w:val="top"/>
          </w:tcPr>
          <w:p w14:paraId="260DD8D8">
            <w:pPr>
              <w:rPr>
                <w:rFonts w:hint="eastAsia" w:ascii="宋体" w:hAnsi="宋体" w:eastAsia="宋体" w:cs="宋体"/>
                <w:color w:val="auto"/>
                <w:sz w:val="21"/>
                <w:highlight w:val="none"/>
              </w:rPr>
            </w:pPr>
          </w:p>
        </w:tc>
        <w:tc>
          <w:tcPr>
            <w:tcW w:w="1159" w:type="dxa"/>
            <w:vAlign w:val="top"/>
          </w:tcPr>
          <w:p w14:paraId="7605BC0D">
            <w:pPr>
              <w:rPr>
                <w:rFonts w:hint="eastAsia" w:ascii="宋体" w:hAnsi="宋体" w:eastAsia="宋体" w:cs="宋体"/>
                <w:color w:val="auto"/>
                <w:sz w:val="21"/>
                <w:highlight w:val="none"/>
              </w:rPr>
            </w:pPr>
          </w:p>
        </w:tc>
        <w:tc>
          <w:tcPr>
            <w:tcW w:w="819" w:type="dxa"/>
            <w:vAlign w:val="top"/>
          </w:tcPr>
          <w:p w14:paraId="4F7F6B4B">
            <w:pPr>
              <w:jc w:val="center"/>
              <w:rPr>
                <w:rFonts w:hint="eastAsia" w:ascii="宋体" w:hAnsi="宋体" w:eastAsia="宋体" w:cs="宋体"/>
                <w:color w:val="auto"/>
                <w:sz w:val="24"/>
                <w:szCs w:val="24"/>
                <w:highlight w:val="none"/>
                <w:lang w:eastAsia="zh-CN"/>
              </w:rPr>
            </w:pPr>
          </w:p>
        </w:tc>
        <w:tc>
          <w:tcPr>
            <w:tcW w:w="954" w:type="dxa"/>
            <w:vAlign w:val="top"/>
          </w:tcPr>
          <w:p w14:paraId="58983953">
            <w:pPr>
              <w:jc w:val="center"/>
              <w:rPr>
                <w:rFonts w:hint="eastAsia" w:ascii="宋体" w:hAnsi="宋体" w:eastAsia="宋体" w:cs="宋体"/>
                <w:color w:val="auto"/>
                <w:sz w:val="24"/>
                <w:szCs w:val="24"/>
                <w:highlight w:val="none"/>
                <w:lang w:val="en-US" w:eastAsia="zh-CN"/>
              </w:rPr>
            </w:pPr>
          </w:p>
        </w:tc>
        <w:tc>
          <w:tcPr>
            <w:tcW w:w="954" w:type="dxa"/>
            <w:vAlign w:val="top"/>
          </w:tcPr>
          <w:p w14:paraId="5D15F9DE">
            <w:pPr>
              <w:rPr>
                <w:rFonts w:hint="eastAsia" w:ascii="宋体" w:hAnsi="宋体" w:eastAsia="宋体" w:cs="宋体"/>
                <w:color w:val="auto"/>
                <w:sz w:val="21"/>
                <w:highlight w:val="none"/>
              </w:rPr>
            </w:pPr>
          </w:p>
        </w:tc>
        <w:tc>
          <w:tcPr>
            <w:tcW w:w="1132" w:type="dxa"/>
            <w:vAlign w:val="top"/>
          </w:tcPr>
          <w:p w14:paraId="7B7B2053">
            <w:pPr>
              <w:rPr>
                <w:rFonts w:hint="eastAsia" w:ascii="宋体" w:hAnsi="宋体" w:eastAsia="宋体" w:cs="宋体"/>
                <w:color w:val="auto"/>
                <w:sz w:val="21"/>
                <w:highlight w:val="none"/>
              </w:rPr>
            </w:pPr>
          </w:p>
        </w:tc>
      </w:tr>
      <w:tr w14:paraId="447E1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2C9AAFB7">
            <w:pPr>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highlight w:val="none"/>
                <w:lang w:eastAsia="zh-CN"/>
              </w:rPr>
              <w:t>八</w:t>
            </w:r>
          </w:p>
        </w:tc>
        <w:tc>
          <w:tcPr>
            <w:tcW w:w="2782" w:type="dxa"/>
            <w:shd w:val="clear" w:color="auto" w:fill="auto"/>
            <w:vAlign w:val="top"/>
          </w:tcPr>
          <w:p w14:paraId="436E81DE">
            <w:pPr>
              <w:jc w:val="center"/>
              <w:rPr>
                <w:rFonts w:hint="eastAsia" w:ascii="宋体" w:hAnsi="宋体" w:eastAsia="Arial" w:cs="宋体"/>
                <w:b/>
                <w:snapToGrid w:val="0"/>
                <w:color w:val="000000"/>
                <w:kern w:val="0"/>
                <w:sz w:val="24"/>
                <w:szCs w:val="21"/>
                <w:lang w:val="en-US" w:eastAsia="zh-CN" w:bidi="ar-SA"/>
              </w:rPr>
            </w:pPr>
            <w:r>
              <w:rPr>
                <w:rFonts w:hint="eastAsia" w:ascii="宋体" w:hAnsi="宋体" w:cs="宋体"/>
                <w:b/>
                <w:color w:val="000000"/>
                <w:kern w:val="0"/>
                <w:sz w:val="24"/>
                <w:szCs w:val="21"/>
                <w:lang w:val="en-US" w:eastAsia="zh-CN"/>
              </w:rPr>
              <w:t>入场消毒区域</w:t>
            </w:r>
          </w:p>
        </w:tc>
        <w:tc>
          <w:tcPr>
            <w:tcW w:w="1622" w:type="dxa"/>
            <w:vAlign w:val="top"/>
          </w:tcPr>
          <w:p w14:paraId="44F5030B">
            <w:pPr>
              <w:rPr>
                <w:rFonts w:hint="eastAsia" w:ascii="宋体" w:hAnsi="宋体" w:eastAsia="宋体" w:cs="宋体"/>
                <w:color w:val="auto"/>
                <w:sz w:val="21"/>
                <w:highlight w:val="none"/>
              </w:rPr>
            </w:pPr>
          </w:p>
        </w:tc>
        <w:tc>
          <w:tcPr>
            <w:tcW w:w="1159" w:type="dxa"/>
            <w:vAlign w:val="top"/>
          </w:tcPr>
          <w:p w14:paraId="2D80AC52">
            <w:pPr>
              <w:rPr>
                <w:rFonts w:hint="eastAsia" w:ascii="宋体" w:hAnsi="宋体" w:eastAsia="宋体" w:cs="宋体"/>
                <w:color w:val="auto"/>
                <w:sz w:val="21"/>
                <w:highlight w:val="none"/>
              </w:rPr>
            </w:pPr>
          </w:p>
        </w:tc>
        <w:tc>
          <w:tcPr>
            <w:tcW w:w="819" w:type="dxa"/>
            <w:vAlign w:val="top"/>
          </w:tcPr>
          <w:p w14:paraId="74770F7C">
            <w:pPr>
              <w:jc w:val="center"/>
              <w:rPr>
                <w:rFonts w:hint="eastAsia" w:ascii="宋体" w:hAnsi="宋体" w:eastAsia="宋体" w:cs="宋体"/>
                <w:color w:val="auto"/>
                <w:sz w:val="24"/>
                <w:szCs w:val="24"/>
                <w:highlight w:val="none"/>
                <w:lang w:eastAsia="zh-CN"/>
              </w:rPr>
            </w:pPr>
          </w:p>
        </w:tc>
        <w:tc>
          <w:tcPr>
            <w:tcW w:w="954" w:type="dxa"/>
            <w:vAlign w:val="top"/>
          </w:tcPr>
          <w:p w14:paraId="18502FA9">
            <w:pPr>
              <w:jc w:val="center"/>
              <w:rPr>
                <w:rFonts w:hint="eastAsia" w:ascii="宋体" w:hAnsi="宋体" w:eastAsia="宋体" w:cs="宋体"/>
                <w:color w:val="auto"/>
                <w:sz w:val="24"/>
                <w:szCs w:val="24"/>
                <w:highlight w:val="none"/>
                <w:lang w:val="en-US" w:eastAsia="zh-CN"/>
              </w:rPr>
            </w:pPr>
          </w:p>
        </w:tc>
        <w:tc>
          <w:tcPr>
            <w:tcW w:w="954" w:type="dxa"/>
            <w:vAlign w:val="top"/>
          </w:tcPr>
          <w:p w14:paraId="78147256">
            <w:pPr>
              <w:rPr>
                <w:rFonts w:hint="eastAsia" w:ascii="宋体" w:hAnsi="宋体" w:eastAsia="宋体" w:cs="宋体"/>
                <w:color w:val="auto"/>
                <w:sz w:val="21"/>
                <w:highlight w:val="none"/>
              </w:rPr>
            </w:pPr>
          </w:p>
        </w:tc>
        <w:tc>
          <w:tcPr>
            <w:tcW w:w="1132" w:type="dxa"/>
            <w:vAlign w:val="top"/>
          </w:tcPr>
          <w:p w14:paraId="6F945C5D">
            <w:pPr>
              <w:rPr>
                <w:rFonts w:hint="eastAsia" w:ascii="宋体" w:hAnsi="宋体" w:eastAsia="宋体" w:cs="宋体"/>
                <w:color w:val="auto"/>
                <w:sz w:val="21"/>
                <w:highlight w:val="none"/>
              </w:rPr>
            </w:pPr>
          </w:p>
        </w:tc>
      </w:tr>
      <w:tr w14:paraId="31F6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6739AB51">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8.1</w:t>
            </w:r>
          </w:p>
        </w:tc>
        <w:tc>
          <w:tcPr>
            <w:tcW w:w="2782" w:type="dxa"/>
            <w:shd w:val="clear" w:color="auto" w:fill="auto"/>
            <w:vAlign w:val="top"/>
          </w:tcPr>
          <w:p w14:paraId="05768B85">
            <w:pPr>
              <w:jc w:val="center"/>
              <w:rPr>
                <w:rFonts w:hint="eastAsia" w:ascii="宋体" w:hAnsi="宋体" w:cs="宋体"/>
                <w:b/>
                <w:color w:val="000000"/>
                <w:kern w:val="0"/>
                <w:sz w:val="24"/>
                <w:szCs w:val="21"/>
                <w:lang w:val="en-US" w:eastAsia="zh-CN"/>
              </w:rPr>
            </w:pPr>
          </w:p>
        </w:tc>
        <w:tc>
          <w:tcPr>
            <w:tcW w:w="1622" w:type="dxa"/>
            <w:vAlign w:val="top"/>
          </w:tcPr>
          <w:p w14:paraId="0CF54627">
            <w:pPr>
              <w:rPr>
                <w:rFonts w:hint="eastAsia" w:ascii="宋体" w:hAnsi="宋体" w:eastAsia="宋体" w:cs="宋体"/>
                <w:color w:val="auto"/>
                <w:sz w:val="21"/>
                <w:highlight w:val="none"/>
              </w:rPr>
            </w:pPr>
          </w:p>
        </w:tc>
        <w:tc>
          <w:tcPr>
            <w:tcW w:w="1159" w:type="dxa"/>
            <w:vAlign w:val="top"/>
          </w:tcPr>
          <w:p w14:paraId="6B42FE9A">
            <w:pPr>
              <w:rPr>
                <w:rFonts w:hint="eastAsia" w:ascii="宋体" w:hAnsi="宋体" w:eastAsia="宋体" w:cs="宋体"/>
                <w:color w:val="auto"/>
                <w:sz w:val="21"/>
                <w:highlight w:val="none"/>
              </w:rPr>
            </w:pPr>
          </w:p>
        </w:tc>
        <w:tc>
          <w:tcPr>
            <w:tcW w:w="819" w:type="dxa"/>
            <w:vAlign w:val="top"/>
          </w:tcPr>
          <w:p w14:paraId="19FB1EE7">
            <w:pPr>
              <w:jc w:val="center"/>
              <w:rPr>
                <w:rFonts w:hint="eastAsia" w:ascii="宋体" w:hAnsi="宋体" w:eastAsia="宋体" w:cs="宋体"/>
                <w:color w:val="auto"/>
                <w:sz w:val="24"/>
                <w:szCs w:val="24"/>
                <w:highlight w:val="none"/>
                <w:lang w:eastAsia="zh-CN"/>
              </w:rPr>
            </w:pPr>
          </w:p>
        </w:tc>
        <w:tc>
          <w:tcPr>
            <w:tcW w:w="954" w:type="dxa"/>
            <w:vAlign w:val="top"/>
          </w:tcPr>
          <w:p w14:paraId="044F1326">
            <w:pPr>
              <w:jc w:val="center"/>
              <w:rPr>
                <w:rFonts w:hint="eastAsia" w:ascii="宋体" w:hAnsi="宋体" w:eastAsia="宋体" w:cs="宋体"/>
                <w:color w:val="auto"/>
                <w:sz w:val="24"/>
                <w:szCs w:val="24"/>
                <w:highlight w:val="none"/>
                <w:lang w:val="en-US" w:eastAsia="zh-CN"/>
              </w:rPr>
            </w:pPr>
          </w:p>
        </w:tc>
        <w:tc>
          <w:tcPr>
            <w:tcW w:w="954" w:type="dxa"/>
            <w:vAlign w:val="top"/>
          </w:tcPr>
          <w:p w14:paraId="422291A2">
            <w:pPr>
              <w:rPr>
                <w:rFonts w:hint="eastAsia" w:ascii="宋体" w:hAnsi="宋体" w:eastAsia="宋体" w:cs="宋体"/>
                <w:color w:val="auto"/>
                <w:sz w:val="21"/>
                <w:highlight w:val="none"/>
              </w:rPr>
            </w:pPr>
          </w:p>
        </w:tc>
        <w:tc>
          <w:tcPr>
            <w:tcW w:w="1132" w:type="dxa"/>
            <w:vAlign w:val="top"/>
          </w:tcPr>
          <w:p w14:paraId="77F7FF43">
            <w:pPr>
              <w:rPr>
                <w:rFonts w:hint="eastAsia" w:ascii="宋体" w:hAnsi="宋体" w:eastAsia="宋体" w:cs="宋体"/>
                <w:color w:val="auto"/>
                <w:sz w:val="21"/>
                <w:highlight w:val="none"/>
              </w:rPr>
            </w:pPr>
          </w:p>
        </w:tc>
      </w:tr>
      <w:tr w14:paraId="1984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11A0870E">
            <w:pPr>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highlight w:val="none"/>
                <w:lang w:eastAsia="zh-CN"/>
              </w:rPr>
              <w:t>九</w:t>
            </w:r>
          </w:p>
        </w:tc>
        <w:tc>
          <w:tcPr>
            <w:tcW w:w="2782" w:type="dxa"/>
            <w:shd w:val="clear" w:color="auto" w:fill="auto"/>
            <w:vAlign w:val="top"/>
          </w:tcPr>
          <w:p w14:paraId="29EB23C6">
            <w:pPr>
              <w:jc w:val="center"/>
              <w:rPr>
                <w:rFonts w:hint="eastAsia" w:ascii="宋体" w:hAnsi="宋体" w:eastAsia="Arial" w:cs="宋体"/>
                <w:b/>
                <w:snapToGrid w:val="0"/>
                <w:color w:val="000000"/>
                <w:kern w:val="0"/>
                <w:sz w:val="24"/>
                <w:szCs w:val="21"/>
                <w:lang w:val="en-US" w:eastAsia="zh-CN" w:bidi="ar-SA"/>
              </w:rPr>
            </w:pPr>
            <w:r>
              <w:rPr>
                <w:rFonts w:hint="eastAsia" w:ascii="宋体" w:hAnsi="宋体" w:cs="宋体"/>
                <w:b/>
                <w:color w:val="000000"/>
                <w:kern w:val="0"/>
                <w:sz w:val="24"/>
                <w:szCs w:val="21"/>
                <w:lang w:eastAsia="zh-CN"/>
              </w:rPr>
              <w:t>车间净化设备</w:t>
            </w:r>
          </w:p>
        </w:tc>
        <w:tc>
          <w:tcPr>
            <w:tcW w:w="1622" w:type="dxa"/>
            <w:vAlign w:val="top"/>
          </w:tcPr>
          <w:p w14:paraId="343805A9">
            <w:pPr>
              <w:rPr>
                <w:rFonts w:hint="eastAsia" w:ascii="宋体" w:hAnsi="宋体" w:eastAsia="宋体" w:cs="宋体"/>
                <w:color w:val="auto"/>
                <w:sz w:val="21"/>
                <w:highlight w:val="none"/>
              </w:rPr>
            </w:pPr>
          </w:p>
        </w:tc>
        <w:tc>
          <w:tcPr>
            <w:tcW w:w="1159" w:type="dxa"/>
            <w:vAlign w:val="top"/>
          </w:tcPr>
          <w:p w14:paraId="0FCFC909">
            <w:pPr>
              <w:rPr>
                <w:rFonts w:hint="eastAsia" w:ascii="宋体" w:hAnsi="宋体" w:eastAsia="宋体" w:cs="宋体"/>
                <w:color w:val="auto"/>
                <w:sz w:val="21"/>
                <w:highlight w:val="none"/>
              </w:rPr>
            </w:pPr>
          </w:p>
        </w:tc>
        <w:tc>
          <w:tcPr>
            <w:tcW w:w="819" w:type="dxa"/>
            <w:vAlign w:val="top"/>
          </w:tcPr>
          <w:p w14:paraId="284A0F74">
            <w:pPr>
              <w:jc w:val="center"/>
              <w:rPr>
                <w:rFonts w:hint="eastAsia" w:ascii="宋体" w:hAnsi="宋体" w:eastAsia="宋体" w:cs="宋体"/>
                <w:color w:val="auto"/>
                <w:sz w:val="24"/>
                <w:szCs w:val="24"/>
                <w:highlight w:val="none"/>
                <w:lang w:eastAsia="zh-CN"/>
              </w:rPr>
            </w:pPr>
          </w:p>
        </w:tc>
        <w:tc>
          <w:tcPr>
            <w:tcW w:w="954" w:type="dxa"/>
            <w:vAlign w:val="top"/>
          </w:tcPr>
          <w:p w14:paraId="089709A2">
            <w:pPr>
              <w:jc w:val="center"/>
              <w:rPr>
                <w:rFonts w:hint="eastAsia" w:ascii="宋体" w:hAnsi="宋体" w:eastAsia="宋体" w:cs="宋体"/>
                <w:color w:val="auto"/>
                <w:sz w:val="24"/>
                <w:szCs w:val="24"/>
                <w:highlight w:val="none"/>
                <w:lang w:val="en-US" w:eastAsia="zh-CN"/>
              </w:rPr>
            </w:pPr>
          </w:p>
        </w:tc>
        <w:tc>
          <w:tcPr>
            <w:tcW w:w="954" w:type="dxa"/>
            <w:vAlign w:val="top"/>
          </w:tcPr>
          <w:p w14:paraId="74793475">
            <w:pPr>
              <w:rPr>
                <w:rFonts w:hint="eastAsia" w:ascii="宋体" w:hAnsi="宋体" w:eastAsia="宋体" w:cs="宋体"/>
                <w:color w:val="auto"/>
                <w:sz w:val="21"/>
                <w:highlight w:val="none"/>
              </w:rPr>
            </w:pPr>
          </w:p>
        </w:tc>
        <w:tc>
          <w:tcPr>
            <w:tcW w:w="1132" w:type="dxa"/>
            <w:vAlign w:val="top"/>
          </w:tcPr>
          <w:p w14:paraId="1B85853E">
            <w:pPr>
              <w:rPr>
                <w:rFonts w:hint="eastAsia" w:ascii="宋体" w:hAnsi="宋体" w:eastAsia="宋体" w:cs="宋体"/>
                <w:color w:val="auto"/>
                <w:sz w:val="21"/>
                <w:highlight w:val="none"/>
              </w:rPr>
            </w:pPr>
          </w:p>
        </w:tc>
      </w:tr>
      <w:tr w14:paraId="64142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shd w:val="clear" w:color="auto" w:fill="auto"/>
            <w:vAlign w:val="top"/>
          </w:tcPr>
          <w:p w14:paraId="736AB08A">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9.1</w:t>
            </w:r>
          </w:p>
        </w:tc>
        <w:tc>
          <w:tcPr>
            <w:tcW w:w="2782" w:type="dxa"/>
            <w:shd w:val="clear" w:color="auto" w:fill="auto"/>
            <w:vAlign w:val="top"/>
          </w:tcPr>
          <w:p w14:paraId="5FF99C5C">
            <w:pPr>
              <w:jc w:val="center"/>
              <w:rPr>
                <w:rFonts w:hint="eastAsia" w:ascii="宋体" w:hAnsi="宋体" w:cs="宋体"/>
                <w:b/>
                <w:color w:val="000000"/>
                <w:kern w:val="0"/>
                <w:sz w:val="24"/>
                <w:szCs w:val="21"/>
                <w:lang w:eastAsia="zh-CN"/>
              </w:rPr>
            </w:pPr>
          </w:p>
        </w:tc>
        <w:tc>
          <w:tcPr>
            <w:tcW w:w="1622" w:type="dxa"/>
            <w:vAlign w:val="top"/>
          </w:tcPr>
          <w:p w14:paraId="5AB4A19F">
            <w:pPr>
              <w:rPr>
                <w:rFonts w:hint="eastAsia" w:ascii="宋体" w:hAnsi="宋体" w:eastAsia="宋体" w:cs="宋体"/>
                <w:color w:val="auto"/>
                <w:sz w:val="21"/>
                <w:highlight w:val="none"/>
              </w:rPr>
            </w:pPr>
          </w:p>
        </w:tc>
        <w:tc>
          <w:tcPr>
            <w:tcW w:w="1159" w:type="dxa"/>
            <w:vAlign w:val="top"/>
          </w:tcPr>
          <w:p w14:paraId="2CAF594E">
            <w:pPr>
              <w:rPr>
                <w:rFonts w:hint="eastAsia" w:ascii="宋体" w:hAnsi="宋体" w:eastAsia="宋体" w:cs="宋体"/>
                <w:color w:val="auto"/>
                <w:sz w:val="21"/>
                <w:highlight w:val="none"/>
              </w:rPr>
            </w:pPr>
          </w:p>
        </w:tc>
        <w:tc>
          <w:tcPr>
            <w:tcW w:w="819" w:type="dxa"/>
            <w:vAlign w:val="top"/>
          </w:tcPr>
          <w:p w14:paraId="60197A8D">
            <w:pPr>
              <w:jc w:val="center"/>
              <w:rPr>
                <w:rFonts w:hint="eastAsia" w:ascii="宋体" w:hAnsi="宋体" w:eastAsia="宋体" w:cs="宋体"/>
                <w:color w:val="auto"/>
                <w:sz w:val="24"/>
                <w:szCs w:val="24"/>
                <w:highlight w:val="none"/>
                <w:lang w:eastAsia="zh-CN"/>
              </w:rPr>
            </w:pPr>
          </w:p>
        </w:tc>
        <w:tc>
          <w:tcPr>
            <w:tcW w:w="954" w:type="dxa"/>
            <w:vAlign w:val="top"/>
          </w:tcPr>
          <w:p w14:paraId="0255EE50">
            <w:pPr>
              <w:jc w:val="center"/>
              <w:rPr>
                <w:rFonts w:hint="eastAsia" w:ascii="宋体" w:hAnsi="宋体" w:eastAsia="宋体" w:cs="宋体"/>
                <w:color w:val="auto"/>
                <w:sz w:val="24"/>
                <w:szCs w:val="24"/>
                <w:highlight w:val="none"/>
                <w:lang w:val="en-US" w:eastAsia="zh-CN"/>
              </w:rPr>
            </w:pPr>
          </w:p>
        </w:tc>
        <w:tc>
          <w:tcPr>
            <w:tcW w:w="954" w:type="dxa"/>
            <w:vAlign w:val="top"/>
          </w:tcPr>
          <w:p w14:paraId="50BFB882">
            <w:pPr>
              <w:rPr>
                <w:rFonts w:hint="eastAsia" w:ascii="宋体" w:hAnsi="宋体" w:eastAsia="宋体" w:cs="宋体"/>
                <w:color w:val="auto"/>
                <w:sz w:val="21"/>
                <w:highlight w:val="none"/>
              </w:rPr>
            </w:pPr>
          </w:p>
        </w:tc>
        <w:tc>
          <w:tcPr>
            <w:tcW w:w="1132" w:type="dxa"/>
            <w:vAlign w:val="top"/>
          </w:tcPr>
          <w:p w14:paraId="5B43D0DA">
            <w:pPr>
              <w:rPr>
                <w:rFonts w:hint="eastAsia" w:ascii="宋体" w:hAnsi="宋体" w:eastAsia="宋体" w:cs="宋体"/>
                <w:color w:val="auto"/>
                <w:sz w:val="21"/>
                <w:highlight w:val="none"/>
              </w:rPr>
            </w:pPr>
          </w:p>
        </w:tc>
      </w:tr>
      <w:tr w14:paraId="42E62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vAlign w:val="top"/>
          </w:tcPr>
          <w:p w14:paraId="1AA0EB46">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十</w:t>
            </w:r>
          </w:p>
        </w:tc>
        <w:tc>
          <w:tcPr>
            <w:tcW w:w="2782" w:type="dxa"/>
            <w:vAlign w:val="top"/>
          </w:tcPr>
          <w:p w14:paraId="1600D9F9">
            <w:pPr>
              <w:jc w:val="center"/>
              <w:rPr>
                <w:rFonts w:hint="eastAsia" w:ascii="宋体" w:hAnsi="宋体" w:cs="宋体"/>
                <w:b/>
                <w:color w:val="000000"/>
                <w:kern w:val="0"/>
                <w:sz w:val="24"/>
                <w:szCs w:val="21"/>
              </w:rPr>
            </w:pPr>
            <w:r>
              <w:rPr>
                <w:rFonts w:hint="eastAsia" w:ascii="宋体" w:hAnsi="宋体" w:cs="宋体"/>
                <w:b/>
                <w:color w:val="000000"/>
                <w:kern w:val="0"/>
                <w:sz w:val="24"/>
                <w:szCs w:val="21"/>
              </w:rPr>
              <w:t>待宰区</w:t>
            </w:r>
          </w:p>
        </w:tc>
        <w:tc>
          <w:tcPr>
            <w:tcW w:w="1622" w:type="dxa"/>
            <w:vAlign w:val="top"/>
          </w:tcPr>
          <w:p w14:paraId="1692AA10">
            <w:pPr>
              <w:rPr>
                <w:rFonts w:hint="eastAsia" w:ascii="宋体" w:hAnsi="宋体" w:eastAsia="宋体" w:cs="宋体"/>
                <w:color w:val="auto"/>
                <w:sz w:val="21"/>
                <w:highlight w:val="none"/>
              </w:rPr>
            </w:pPr>
          </w:p>
        </w:tc>
        <w:tc>
          <w:tcPr>
            <w:tcW w:w="1159" w:type="dxa"/>
            <w:vAlign w:val="top"/>
          </w:tcPr>
          <w:p w14:paraId="1F7A15B5">
            <w:pPr>
              <w:rPr>
                <w:rFonts w:hint="eastAsia" w:ascii="宋体" w:hAnsi="宋体" w:eastAsia="宋体" w:cs="宋体"/>
                <w:color w:val="auto"/>
                <w:sz w:val="21"/>
                <w:highlight w:val="none"/>
              </w:rPr>
            </w:pPr>
          </w:p>
        </w:tc>
        <w:tc>
          <w:tcPr>
            <w:tcW w:w="819" w:type="dxa"/>
            <w:vAlign w:val="top"/>
          </w:tcPr>
          <w:p w14:paraId="7BB76B60">
            <w:pPr>
              <w:jc w:val="center"/>
              <w:rPr>
                <w:rFonts w:hint="eastAsia" w:ascii="宋体" w:hAnsi="宋体" w:eastAsia="宋体" w:cs="宋体"/>
                <w:color w:val="auto"/>
                <w:sz w:val="24"/>
                <w:szCs w:val="24"/>
                <w:highlight w:val="none"/>
                <w:lang w:eastAsia="zh-CN"/>
              </w:rPr>
            </w:pPr>
          </w:p>
        </w:tc>
        <w:tc>
          <w:tcPr>
            <w:tcW w:w="954" w:type="dxa"/>
            <w:vAlign w:val="top"/>
          </w:tcPr>
          <w:p w14:paraId="0EAC7C06">
            <w:pPr>
              <w:jc w:val="center"/>
              <w:rPr>
                <w:rFonts w:hint="eastAsia" w:ascii="宋体" w:hAnsi="宋体" w:eastAsia="宋体" w:cs="宋体"/>
                <w:color w:val="auto"/>
                <w:sz w:val="24"/>
                <w:szCs w:val="24"/>
                <w:highlight w:val="none"/>
                <w:lang w:val="en-US" w:eastAsia="zh-CN"/>
              </w:rPr>
            </w:pPr>
          </w:p>
        </w:tc>
        <w:tc>
          <w:tcPr>
            <w:tcW w:w="954" w:type="dxa"/>
            <w:vAlign w:val="top"/>
          </w:tcPr>
          <w:p w14:paraId="4157F763">
            <w:pPr>
              <w:rPr>
                <w:rFonts w:hint="eastAsia" w:ascii="宋体" w:hAnsi="宋体" w:eastAsia="宋体" w:cs="宋体"/>
                <w:color w:val="auto"/>
                <w:sz w:val="21"/>
                <w:highlight w:val="none"/>
              </w:rPr>
            </w:pPr>
          </w:p>
        </w:tc>
        <w:tc>
          <w:tcPr>
            <w:tcW w:w="1132" w:type="dxa"/>
            <w:vAlign w:val="top"/>
          </w:tcPr>
          <w:p w14:paraId="2A540CDE">
            <w:pPr>
              <w:rPr>
                <w:rFonts w:hint="eastAsia" w:ascii="宋体" w:hAnsi="宋体" w:eastAsia="宋体" w:cs="宋体"/>
                <w:color w:val="auto"/>
                <w:sz w:val="21"/>
                <w:highlight w:val="none"/>
              </w:rPr>
            </w:pPr>
          </w:p>
        </w:tc>
      </w:tr>
      <w:tr w14:paraId="3159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vAlign w:val="top"/>
          </w:tcPr>
          <w:p w14:paraId="45648586">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10.1</w:t>
            </w:r>
          </w:p>
        </w:tc>
        <w:tc>
          <w:tcPr>
            <w:tcW w:w="2782" w:type="dxa"/>
            <w:vAlign w:val="top"/>
          </w:tcPr>
          <w:p w14:paraId="5880BE56">
            <w:pPr>
              <w:jc w:val="center"/>
              <w:rPr>
                <w:rFonts w:hint="eastAsia" w:ascii="宋体" w:hAnsi="宋体" w:cs="宋体"/>
                <w:b/>
                <w:color w:val="000000"/>
                <w:kern w:val="0"/>
                <w:sz w:val="24"/>
                <w:szCs w:val="21"/>
              </w:rPr>
            </w:pPr>
          </w:p>
        </w:tc>
        <w:tc>
          <w:tcPr>
            <w:tcW w:w="1622" w:type="dxa"/>
            <w:vAlign w:val="top"/>
          </w:tcPr>
          <w:p w14:paraId="2F50FAB2">
            <w:pPr>
              <w:rPr>
                <w:rFonts w:hint="eastAsia" w:ascii="宋体" w:hAnsi="宋体" w:eastAsia="宋体" w:cs="宋体"/>
                <w:color w:val="auto"/>
                <w:sz w:val="21"/>
                <w:highlight w:val="none"/>
              </w:rPr>
            </w:pPr>
          </w:p>
        </w:tc>
        <w:tc>
          <w:tcPr>
            <w:tcW w:w="1159" w:type="dxa"/>
            <w:vAlign w:val="top"/>
          </w:tcPr>
          <w:p w14:paraId="2D226C84">
            <w:pPr>
              <w:rPr>
                <w:rFonts w:hint="eastAsia" w:ascii="宋体" w:hAnsi="宋体" w:eastAsia="宋体" w:cs="宋体"/>
                <w:color w:val="auto"/>
                <w:sz w:val="21"/>
                <w:highlight w:val="none"/>
              </w:rPr>
            </w:pPr>
          </w:p>
        </w:tc>
        <w:tc>
          <w:tcPr>
            <w:tcW w:w="819" w:type="dxa"/>
            <w:vAlign w:val="top"/>
          </w:tcPr>
          <w:p w14:paraId="16A27D81">
            <w:pPr>
              <w:jc w:val="center"/>
              <w:rPr>
                <w:rFonts w:hint="eastAsia" w:ascii="宋体" w:hAnsi="宋体" w:eastAsia="宋体" w:cs="宋体"/>
                <w:color w:val="auto"/>
                <w:sz w:val="21"/>
                <w:highlight w:val="none"/>
              </w:rPr>
            </w:pPr>
          </w:p>
        </w:tc>
        <w:tc>
          <w:tcPr>
            <w:tcW w:w="954" w:type="dxa"/>
            <w:vAlign w:val="top"/>
          </w:tcPr>
          <w:p w14:paraId="3AE8FB07">
            <w:pPr>
              <w:jc w:val="center"/>
              <w:rPr>
                <w:rFonts w:hint="eastAsia" w:ascii="宋体" w:hAnsi="宋体" w:eastAsia="宋体" w:cs="宋体"/>
                <w:color w:val="auto"/>
                <w:sz w:val="21"/>
                <w:highlight w:val="none"/>
              </w:rPr>
            </w:pPr>
          </w:p>
        </w:tc>
        <w:tc>
          <w:tcPr>
            <w:tcW w:w="954" w:type="dxa"/>
            <w:vAlign w:val="top"/>
          </w:tcPr>
          <w:p w14:paraId="738782EC">
            <w:pPr>
              <w:rPr>
                <w:rFonts w:hint="eastAsia" w:ascii="宋体" w:hAnsi="宋体" w:eastAsia="宋体" w:cs="宋体"/>
                <w:color w:val="auto"/>
                <w:sz w:val="21"/>
                <w:highlight w:val="none"/>
              </w:rPr>
            </w:pPr>
          </w:p>
        </w:tc>
        <w:tc>
          <w:tcPr>
            <w:tcW w:w="1132" w:type="dxa"/>
            <w:vAlign w:val="top"/>
          </w:tcPr>
          <w:p w14:paraId="4DFE9588">
            <w:pPr>
              <w:rPr>
                <w:rFonts w:hint="eastAsia" w:ascii="宋体" w:hAnsi="宋体" w:eastAsia="宋体" w:cs="宋体"/>
                <w:color w:val="auto"/>
                <w:sz w:val="21"/>
                <w:highlight w:val="none"/>
              </w:rPr>
            </w:pPr>
          </w:p>
        </w:tc>
      </w:tr>
      <w:tr w14:paraId="3700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41" w:type="dxa"/>
            <w:vAlign w:val="top"/>
          </w:tcPr>
          <w:p w14:paraId="0545956A">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十一</w:t>
            </w:r>
          </w:p>
        </w:tc>
        <w:tc>
          <w:tcPr>
            <w:tcW w:w="2782" w:type="dxa"/>
            <w:vAlign w:val="top"/>
          </w:tcPr>
          <w:p w14:paraId="392E4B4C">
            <w:pPr>
              <w:jc w:val="center"/>
              <w:rPr>
                <w:rFonts w:hint="eastAsia" w:ascii="宋体" w:hAnsi="宋体" w:cs="宋体"/>
                <w:b/>
                <w:color w:val="000000"/>
                <w:kern w:val="0"/>
                <w:sz w:val="24"/>
                <w:szCs w:val="21"/>
                <w:lang w:eastAsia="zh-CN"/>
              </w:rPr>
            </w:pPr>
            <w:r>
              <w:rPr>
                <w:rFonts w:hint="eastAsia" w:ascii="宋体" w:hAnsi="宋体" w:cs="宋体"/>
                <w:b/>
                <w:color w:val="000000"/>
                <w:kern w:val="0"/>
                <w:sz w:val="24"/>
                <w:szCs w:val="21"/>
                <w:lang w:eastAsia="zh-CN"/>
              </w:rPr>
              <w:t>脏净区隔离区</w:t>
            </w:r>
          </w:p>
        </w:tc>
        <w:tc>
          <w:tcPr>
            <w:tcW w:w="1622" w:type="dxa"/>
            <w:vAlign w:val="top"/>
          </w:tcPr>
          <w:p w14:paraId="755AAED5">
            <w:pPr>
              <w:rPr>
                <w:rFonts w:hint="eastAsia" w:ascii="宋体" w:hAnsi="宋体" w:eastAsia="宋体" w:cs="宋体"/>
                <w:color w:val="auto"/>
                <w:sz w:val="21"/>
                <w:highlight w:val="none"/>
              </w:rPr>
            </w:pPr>
          </w:p>
        </w:tc>
        <w:tc>
          <w:tcPr>
            <w:tcW w:w="1159" w:type="dxa"/>
            <w:vAlign w:val="top"/>
          </w:tcPr>
          <w:p w14:paraId="4704F596">
            <w:pPr>
              <w:rPr>
                <w:rFonts w:hint="eastAsia" w:ascii="宋体" w:hAnsi="宋体" w:eastAsia="宋体" w:cs="宋体"/>
                <w:color w:val="auto"/>
                <w:sz w:val="21"/>
                <w:highlight w:val="none"/>
              </w:rPr>
            </w:pPr>
          </w:p>
        </w:tc>
        <w:tc>
          <w:tcPr>
            <w:tcW w:w="819" w:type="dxa"/>
            <w:vAlign w:val="top"/>
          </w:tcPr>
          <w:p w14:paraId="12023F30">
            <w:pPr>
              <w:jc w:val="center"/>
              <w:rPr>
                <w:rFonts w:hint="eastAsia" w:ascii="宋体" w:hAnsi="宋体" w:eastAsia="宋体" w:cs="宋体"/>
                <w:color w:val="auto"/>
                <w:sz w:val="21"/>
                <w:highlight w:val="none"/>
              </w:rPr>
            </w:pPr>
          </w:p>
        </w:tc>
        <w:tc>
          <w:tcPr>
            <w:tcW w:w="954" w:type="dxa"/>
            <w:vAlign w:val="top"/>
          </w:tcPr>
          <w:p w14:paraId="2E9628BE">
            <w:pPr>
              <w:jc w:val="center"/>
              <w:rPr>
                <w:rFonts w:hint="eastAsia" w:ascii="宋体" w:hAnsi="宋体" w:eastAsia="宋体" w:cs="宋体"/>
                <w:color w:val="auto"/>
                <w:sz w:val="21"/>
                <w:highlight w:val="none"/>
              </w:rPr>
            </w:pPr>
          </w:p>
        </w:tc>
        <w:tc>
          <w:tcPr>
            <w:tcW w:w="954" w:type="dxa"/>
            <w:vAlign w:val="top"/>
          </w:tcPr>
          <w:p w14:paraId="162D5C98">
            <w:pPr>
              <w:rPr>
                <w:rFonts w:hint="eastAsia" w:ascii="宋体" w:hAnsi="宋体" w:eastAsia="宋体" w:cs="宋体"/>
                <w:color w:val="auto"/>
                <w:sz w:val="21"/>
                <w:highlight w:val="none"/>
              </w:rPr>
            </w:pPr>
          </w:p>
        </w:tc>
        <w:tc>
          <w:tcPr>
            <w:tcW w:w="1132" w:type="dxa"/>
            <w:vAlign w:val="top"/>
          </w:tcPr>
          <w:p w14:paraId="4EA23C4E">
            <w:pPr>
              <w:rPr>
                <w:rFonts w:hint="eastAsia" w:ascii="宋体" w:hAnsi="宋体" w:eastAsia="宋体" w:cs="宋体"/>
                <w:color w:val="auto"/>
                <w:sz w:val="21"/>
                <w:highlight w:val="none"/>
              </w:rPr>
            </w:pPr>
          </w:p>
        </w:tc>
      </w:tr>
      <w:tr w14:paraId="6B51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1" w:type="dxa"/>
            <w:vAlign w:val="top"/>
          </w:tcPr>
          <w:p w14:paraId="05423E12">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11.1</w:t>
            </w:r>
          </w:p>
        </w:tc>
        <w:tc>
          <w:tcPr>
            <w:tcW w:w="2782" w:type="dxa"/>
            <w:vAlign w:val="top"/>
          </w:tcPr>
          <w:p w14:paraId="4C3DC7E0">
            <w:pPr>
              <w:jc w:val="center"/>
              <w:rPr>
                <w:rFonts w:hint="eastAsia" w:ascii="宋体" w:hAnsi="宋体" w:cs="宋体"/>
                <w:b/>
                <w:color w:val="000000"/>
                <w:kern w:val="0"/>
                <w:sz w:val="24"/>
                <w:szCs w:val="21"/>
                <w:lang w:eastAsia="zh-CN"/>
              </w:rPr>
            </w:pPr>
          </w:p>
        </w:tc>
        <w:tc>
          <w:tcPr>
            <w:tcW w:w="1622" w:type="dxa"/>
            <w:vAlign w:val="top"/>
          </w:tcPr>
          <w:p w14:paraId="2D033AC6">
            <w:pPr>
              <w:rPr>
                <w:rFonts w:hint="eastAsia" w:ascii="宋体" w:hAnsi="宋体" w:eastAsia="宋体" w:cs="宋体"/>
                <w:color w:val="auto"/>
                <w:sz w:val="21"/>
                <w:highlight w:val="none"/>
              </w:rPr>
            </w:pPr>
          </w:p>
        </w:tc>
        <w:tc>
          <w:tcPr>
            <w:tcW w:w="1159" w:type="dxa"/>
            <w:vAlign w:val="top"/>
          </w:tcPr>
          <w:p w14:paraId="3F896666">
            <w:pPr>
              <w:rPr>
                <w:rFonts w:hint="eastAsia" w:ascii="宋体" w:hAnsi="宋体" w:eastAsia="宋体" w:cs="宋体"/>
                <w:color w:val="auto"/>
                <w:sz w:val="21"/>
                <w:highlight w:val="none"/>
              </w:rPr>
            </w:pPr>
          </w:p>
        </w:tc>
        <w:tc>
          <w:tcPr>
            <w:tcW w:w="819" w:type="dxa"/>
            <w:vAlign w:val="top"/>
          </w:tcPr>
          <w:p w14:paraId="1F220D1E">
            <w:pPr>
              <w:jc w:val="center"/>
              <w:rPr>
                <w:rFonts w:hint="eastAsia" w:ascii="宋体" w:hAnsi="宋体" w:eastAsia="宋体" w:cs="宋体"/>
                <w:color w:val="auto"/>
                <w:sz w:val="21"/>
                <w:highlight w:val="none"/>
              </w:rPr>
            </w:pPr>
          </w:p>
        </w:tc>
        <w:tc>
          <w:tcPr>
            <w:tcW w:w="954" w:type="dxa"/>
            <w:vAlign w:val="top"/>
          </w:tcPr>
          <w:p w14:paraId="607F5410">
            <w:pPr>
              <w:jc w:val="center"/>
              <w:rPr>
                <w:rFonts w:hint="eastAsia" w:ascii="宋体" w:hAnsi="宋体" w:eastAsia="宋体" w:cs="宋体"/>
                <w:color w:val="auto"/>
                <w:sz w:val="21"/>
                <w:highlight w:val="none"/>
              </w:rPr>
            </w:pPr>
          </w:p>
        </w:tc>
        <w:tc>
          <w:tcPr>
            <w:tcW w:w="954" w:type="dxa"/>
            <w:vAlign w:val="top"/>
          </w:tcPr>
          <w:p w14:paraId="2D5F30C4">
            <w:pPr>
              <w:rPr>
                <w:rFonts w:hint="eastAsia" w:ascii="宋体" w:hAnsi="宋体" w:eastAsia="宋体" w:cs="宋体"/>
                <w:color w:val="auto"/>
                <w:sz w:val="21"/>
                <w:highlight w:val="none"/>
              </w:rPr>
            </w:pPr>
          </w:p>
        </w:tc>
        <w:tc>
          <w:tcPr>
            <w:tcW w:w="1132" w:type="dxa"/>
            <w:vAlign w:val="top"/>
          </w:tcPr>
          <w:p w14:paraId="0F78659F">
            <w:pPr>
              <w:rPr>
                <w:rFonts w:hint="eastAsia" w:ascii="宋体" w:hAnsi="宋体" w:eastAsia="宋体" w:cs="宋体"/>
                <w:color w:val="auto"/>
                <w:sz w:val="21"/>
                <w:highlight w:val="none"/>
              </w:rPr>
            </w:pPr>
          </w:p>
        </w:tc>
      </w:tr>
      <w:tr w14:paraId="2FFA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41" w:type="dxa"/>
            <w:vAlign w:val="top"/>
          </w:tcPr>
          <w:p w14:paraId="3565AAE3">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十二</w:t>
            </w:r>
          </w:p>
        </w:tc>
        <w:tc>
          <w:tcPr>
            <w:tcW w:w="2782" w:type="dxa"/>
            <w:vAlign w:val="top"/>
          </w:tcPr>
          <w:p w14:paraId="6B80DD5C">
            <w:pPr>
              <w:jc w:val="center"/>
              <w:rPr>
                <w:rFonts w:hint="eastAsia" w:ascii="宋体" w:hAnsi="宋体" w:cs="宋体"/>
                <w:b/>
                <w:color w:val="000000"/>
                <w:kern w:val="0"/>
                <w:sz w:val="24"/>
                <w:szCs w:val="21"/>
                <w:lang w:eastAsia="zh-CN"/>
              </w:rPr>
            </w:pPr>
            <w:r>
              <w:rPr>
                <w:rFonts w:hint="eastAsia" w:ascii="宋体" w:hAnsi="宋体" w:cs="宋体"/>
                <w:b/>
                <w:color w:val="000000"/>
                <w:kern w:val="0"/>
                <w:sz w:val="24"/>
                <w:szCs w:val="21"/>
                <w:lang w:eastAsia="zh-CN"/>
              </w:rPr>
              <w:t>合计</w:t>
            </w:r>
          </w:p>
        </w:tc>
        <w:tc>
          <w:tcPr>
            <w:tcW w:w="6640" w:type="dxa"/>
            <w:gridSpan w:val="6"/>
            <w:vAlign w:val="top"/>
          </w:tcPr>
          <w:p w14:paraId="1260E940">
            <w:pPr>
              <w:rPr>
                <w:rFonts w:hint="eastAsia" w:ascii="宋体" w:hAnsi="宋体" w:eastAsia="宋体" w:cs="宋体"/>
                <w:color w:val="auto"/>
                <w:sz w:val="21"/>
                <w:highlight w:val="none"/>
              </w:rPr>
            </w:pPr>
          </w:p>
        </w:tc>
      </w:tr>
    </w:tbl>
    <w:p w14:paraId="26CDC6AB">
      <w:pPr>
        <w:spacing w:before="114" w:line="295" w:lineRule="auto"/>
        <w:ind w:left="962" w:right="111" w:hanging="844"/>
        <w:rPr>
          <w:rFonts w:hint="eastAsia" w:ascii="宋体" w:hAnsi="宋体" w:eastAsia="宋体" w:cs="宋体"/>
          <w:color w:val="auto"/>
          <w:spacing w:val="1"/>
          <w:sz w:val="22"/>
          <w:szCs w:val="22"/>
          <w:highlight w:val="none"/>
        </w:rPr>
      </w:pPr>
    </w:p>
    <w:p w14:paraId="497BEF3C">
      <w:pPr>
        <w:spacing w:before="114" w:line="295" w:lineRule="auto"/>
        <w:ind w:left="962" w:right="111" w:hanging="844"/>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注：1、投标人必须按“分项报价明细表</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1"/>
          <w:sz w:val="22"/>
          <w:szCs w:val="22"/>
          <w:highlight w:val="none"/>
        </w:rPr>
        <w:t>”的格式详细报出投标总价的各个组</w:t>
      </w:r>
      <w:r>
        <w:rPr>
          <w:rFonts w:hint="eastAsia" w:ascii="宋体" w:hAnsi="宋体" w:eastAsia="宋体" w:cs="宋体"/>
          <w:color w:val="auto"/>
          <w:sz w:val="22"/>
          <w:szCs w:val="22"/>
          <w:highlight w:val="none"/>
        </w:rPr>
        <w:t>成部分的报价，否</w:t>
      </w:r>
      <w:r>
        <w:rPr>
          <w:rFonts w:hint="eastAsia" w:ascii="宋体" w:hAnsi="宋体" w:eastAsia="宋体" w:cs="宋体"/>
          <w:color w:val="auto"/>
          <w:spacing w:val="-2"/>
          <w:sz w:val="22"/>
          <w:szCs w:val="22"/>
          <w:highlight w:val="none"/>
        </w:rPr>
        <w:t>则作无效投标处理。</w:t>
      </w:r>
    </w:p>
    <w:p w14:paraId="36BE7F1E">
      <w:pPr>
        <w:spacing w:before="33" w:line="219" w:lineRule="auto"/>
        <w:ind w:left="601"/>
        <w:rPr>
          <w:rFonts w:hint="eastAsia" w:ascii="宋体" w:hAnsi="宋体" w:eastAsia="宋体" w:cs="宋体"/>
          <w:color w:val="auto"/>
          <w:spacing w:val="-3"/>
          <w:sz w:val="22"/>
          <w:szCs w:val="22"/>
          <w:highlight w:val="none"/>
        </w:rPr>
      </w:pPr>
      <w:r>
        <w:rPr>
          <w:rFonts w:hint="eastAsia" w:ascii="宋体" w:hAnsi="宋体" w:eastAsia="宋体" w:cs="宋体"/>
          <w:color w:val="auto"/>
          <w:spacing w:val="-2"/>
          <w:sz w:val="22"/>
          <w:szCs w:val="22"/>
          <w:highlight w:val="none"/>
        </w:rPr>
        <w:t>2、“分项报价明细表</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”各分项报价合计应当与“开标一览表</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3"/>
          <w:sz w:val="22"/>
          <w:szCs w:val="22"/>
          <w:highlight w:val="none"/>
        </w:rPr>
        <w:t>”报价合计相等。</w:t>
      </w:r>
    </w:p>
    <w:p w14:paraId="660692D7">
      <w:pPr>
        <w:pStyle w:val="4"/>
        <w:spacing w:line="288"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3、</w:t>
      </w:r>
      <w:r>
        <w:rPr>
          <w:rFonts w:hint="eastAsia" w:ascii="宋体" w:hAnsi="宋体" w:eastAsia="宋体" w:cs="宋体"/>
          <w:color w:val="auto"/>
          <w:spacing w:val="-2"/>
          <w:sz w:val="22"/>
          <w:szCs w:val="22"/>
          <w:highlight w:val="none"/>
        </w:rPr>
        <w:t>“分项报价明细表</w:t>
      </w:r>
      <w:r>
        <w:rPr>
          <w:rFonts w:hint="eastAsia" w:ascii="宋体" w:hAnsi="宋体" w:eastAsia="宋体" w:cs="宋体"/>
          <w:color w:val="auto"/>
          <w:spacing w:val="-88"/>
          <w:sz w:val="22"/>
          <w:szCs w:val="22"/>
          <w:highlight w:val="none"/>
        </w:rPr>
        <w:t xml:space="preserve"> </w:t>
      </w:r>
      <w:r>
        <w:rPr>
          <w:rFonts w:hint="eastAsia" w:ascii="宋体" w:hAnsi="宋体" w:eastAsia="宋体" w:cs="宋体"/>
          <w:color w:val="auto"/>
          <w:spacing w:val="-2"/>
          <w:sz w:val="22"/>
          <w:szCs w:val="22"/>
          <w:highlight w:val="none"/>
        </w:rPr>
        <w:t>”</w:t>
      </w:r>
      <w:r>
        <w:rPr>
          <w:rFonts w:hint="eastAsia" w:ascii="宋体" w:hAnsi="宋体" w:eastAsia="宋体" w:cs="宋体"/>
          <w:color w:val="auto"/>
          <w:spacing w:val="-2"/>
          <w:sz w:val="22"/>
          <w:szCs w:val="22"/>
          <w:highlight w:val="none"/>
          <w:lang w:eastAsia="zh-CN"/>
        </w:rPr>
        <w:t>需按照采购需求清单的顺序填写，不得漏写，格式可顺延，可根据需要调整成横向表格。</w:t>
      </w:r>
    </w:p>
    <w:p w14:paraId="7B41E4FA">
      <w:pPr>
        <w:pStyle w:val="4"/>
        <w:spacing w:line="288" w:lineRule="auto"/>
        <w:rPr>
          <w:rFonts w:hint="default" w:ascii="宋体" w:hAnsi="宋体" w:eastAsia="宋体" w:cs="宋体"/>
          <w:color w:val="FF0000"/>
          <w:highlight w:val="none"/>
          <w:lang w:val="en-US" w:eastAsia="zh-CN"/>
        </w:rPr>
      </w:pPr>
      <w:r>
        <w:rPr>
          <w:rFonts w:hint="eastAsia" w:ascii="宋体" w:hAnsi="宋体" w:eastAsia="宋体" w:cs="宋体"/>
          <w:color w:val="auto"/>
          <w:highlight w:val="none"/>
          <w:lang w:val="en-US" w:eastAsia="zh-CN"/>
        </w:rPr>
        <w:t xml:space="preserve">     4、 </w:t>
      </w:r>
      <w:r>
        <w:rPr>
          <w:rFonts w:hint="eastAsia" w:ascii="宋体" w:hAnsi="宋体" w:eastAsia="宋体" w:cs="宋体"/>
          <w:color w:val="FF0000"/>
          <w:spacing w:val="-2"/>
          <w:sz w:val="22"/>
          <w:szCs w:val="22"/>
          <w:highlight w:val="none"/>
        </w:rPr>
        <w:t>“分项报价明细表</w:t>
      </w:r>
      <w:r>
        <w:rPr>
          <w:rFonts w:hint="eastAsia" w:ascii="宋体" w:hAnsi="宋体" w:eastAsia="宋体" w:cs="宋体"/>
          <w:color w:val="FF0000"/>
          <w:spacing w:val="-88"/>
          <w:sz w:val="22"/>
          <w:szCs w:val="22"/>
          <w:highlight w:val="none"/>
        </w:rPr>
        <w:t xml:space="preserve"> </w:t>
      </w:r>
      <w:r>
        <w:rPr>
          <w:rFonts w:hint="eastAsia" w:ascii="宋体" w:hAnsi="宋体" w:eastAsia="宋体" w:cs="宋体"/>
          <w:color w:val="FF0000"/>
          <w:spacing w:val="-2"/>
          <w:sz w:val="22"/>
          <w:szCs w:val="22"/>
          <w:highlight w:val="none"/>
        </w:rPr>
        <w:t>”</w:t>
      </w:r>
      <w:r>
        <w:rPr>
          <w:rFonts w:hint="eastAsia" w:ascii="宋体" w:hAnsi="宋体" w:eastAsia="宋体" w:cs="宋体"/>
          <w:color w:val="FF0000"/>
          <w:spacing w:val="-2"/>
          <w:sz w:val="22"/>
          <w:szCs w:val="22"/>
          <w:highlight w:val="none"/>
          <w:lang w:val="en-US" w:eastAsia="zh-CN"/>
        </w:rPr>
        <w:t>中的总价包括</w:t>
      </w:r>
      <w:r>
        <w:rPr>
          <w:rFonts w:hint="eastAsia" w:ascii="宋体" w:hAnsi="宋体" w:eastAsia="宋体" w:cs="宋体"/>
          <w:color w:val="FF0000"/>
          <w:spacing w:val="1"/>
          <w:sz w:val="22"/>
          <w:szCs w:val="22"/>
          <w:highlight w:val="none"/>
        </w:rPr>
        <w:t>设备的供货、运输、储藏、保险、安装调试、 检测、验收、运行试车、技术培训、售后服务、税金、利润及其他伴随服务等一切费用。</w:t>
      </w:r>
      <w:r>
        <w:rPr>
          <w:rFonts w:hint="eastAsia" w:ascii="宋体" w:hAnsi="宋体" w:eastAsia="宋体" w:cs="宋体"/>
          <w:color w:val="FF0000"/>
          <w:spacing w:val="1"/>
          <w:sz w:val="22"/>
          <w:szCs w:val="22"/>
          <w:highlight w:val="none"/>
          <w:lang w:val="en-US" w:eastAsia="zh-CN"/>
        </w:rPr>
        <w:t>投标人报价需综合考虑。</w:t>
      </w:r>
    </w:p>
    <w:p w14:paraId="168D1D68">
      <w:pPr>
        <w:pStyle w:val="4"/>
        <w:spacing w:line="288" w:lineRule="auto"/>
        <w:rPr>
          <w:rFonts w:hint="eastAsia" w:ascii="宋体" w:hAnsi="宋体" w:eastAsia="宋体" w:cs="宋体"/>
          <w:color w:val="auto"/>
          <w:highlight w:val="none"/>
        </w:rPr>
      </w:pPr>
    </w:p>
    <w:p w14:paraId="4F816FD1">
      <w:pPr>
        <w:pStyle w:val="4"/>
        <w:spacing w:line="288" w:lineRule="auto"/>
        <w:rPr>
          <w:rFonts w:hint="eastAsia" w:ascii="宋体" w:hAnsi="宋体" w:eastAsia="宋体" w:cs="宋体"/>
          <w:color w:val="auto"/>
          <w:highlight w:val="none"/>
        </w:rPr>
      </w:pPr>
    </w:p>
    <w:p w14:paraId="53872B16">
      <w:pPr>
        <w:spacing w:before="79" w:line="229" w:lineRule="auto"/>
        <w:ind w:right="171"/>
        <w:jc w:val="righ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供应商名称(</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9"/>
          <w:sz w:val="24"/>
          <w:szCs w:val="24"/>
          <w:highlight w:val="none"/>
        </w:rPr>
        <w:t>电子签章 )：</w:t>
      </w:r>
    </w:p>
    <w:p w14:paraId="4DCB5058">
      <w:pPr>
        <w:spacing w:before="79" w:line="229" w:lineRule="auto"/>
        <w:ind w:right="171"/>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法定代表人或授权代表（签字</w:t>
      </w:r>
      <w:r>
        <w:rPr>
          <w:rFonts w:hint="eastAsia" w:ascii="宋体" w:hAnsi="宋体" w:eastAsia="宋体" w:cs="宋体"/>
          <w:color w:val="auto"/>
          <w:spacing w:val="-30"/>
          <w:sz w:val="24"/>
          <w:szCs w:val="24"/>
          <w:highlight w:val="none"/>
        </w:rPr>
        <w:t>）：</w:t>
      </w:r>
    </w:p>
    <w:p w14:paraId="5D1C6D8D">
      <w:pPr>
        <w:spacing w:before="26"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日</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5"/>
          <w:sz w:val="24"/>
          <w:szCs w:val="24"/>
          <w:highlight w:val="none"/>
        </w:rPr>
        <w:t>期：</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5"/>
          <w:sz w:val="24"/>
          <w:szCs w:val="24"/>
          <w:highlight w:val="none"/>
        </w:rPr>
        <w:t>年</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5"/>
          <w:sz w:val="24"/>
          <w:szCs w:val="24"/>
          <w:highlight w:val="none"/>
        </w:rPr>
        <w:t>月</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5"/>
          <w:sz w:val="24"/>
          <w:szCs w:val="24"/>
          <w:highlight w:val="none"/>
        </w:rPr>
        <w:t>日</w:t>
      </w:r>
    </w:p>
    <w:p w14:paraId="1A8C3345">
      <w:pPr>
        <w:spacing w:line="220" w:lineRule="auto"/>
        <w:rPr>
          <w:rFonts w:hint="eastAsia" w:ascii="宋体" w:hAnsi="宋体" w:eastAsia="宋体" w:cs="宋体"/>
          <w:color w:val="auto"/>
          <w:sz w:val="24"/>
          <w:szCs w:val="24"/>
          <w:highlight w:val="none"/>
        </w:rPr>
      </w:pPr>
    </w:p>
    <w:p w14:paraId="00E6F9AA">
      <w:pPr>
        <w:pStyle w:val="4"/>
        <w:rPr>
          <w:rFonts w:hint="eastAsia" w:ascii="宋体" w:hAnsi="宋体" w:eastAsia="宋体" w:cs="宋体"/>
          <w:color w:val="auto"/>
          <w:highlight w:val="none"/>
        </w:rPr>
        <w:sectPr>
          <w:pgSz w:w="11907" w:h="16840"/>
          <w:pgMar w:top="1440" w:right="1080" w:bottom="1440" w:left="1080" w:header="0" w:footer="0" w:gutter="0"/>
          <w:pgNumType w:fmt="decimal"/>
          <w:cols w:space="720" w:num="1"/>
        </w:sectPr>
      </w:pPr>
    </w:p>
    <w:p w14:paraId="7A2EDC18">
      <w:pPr>
        <w:spacing w:before="91" w:line="220" w:lineRule="auto"/>
        <w:outlineLvl w:val="1"/>
        <w:rPr>
          <w:rFonts w:hint="eastAsia" w:ascii="宋体" w:hAnsi="宋体" w:eastAsia="宋体" w:cs="宋体"/>
          <w:b/>
          <w:bCs/>
          <w:color w:val="auto"/>
          <w:spacing w:val="-3"/>
          <w:sz w:val="28"/>
          <w:szCs w:val="28"/>
          <w:highlight w:val="none"/>
        </w:rPr>
      </w:pPr>
      <w:bookmarkStart w:id="85" w:name="bookmark68"/>
      <w:bookmarkEnd w:id="85"/>
      <w:bookmarkStart w:id="86" w:name="_Toc32073"/>
    </w:p>
    <w:p w14:paraId="4A504944">
      <w:pPr>
        <w:spacing w:before="91" w:line="220" w:lineRule="auto"/>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第五节</w:t>
      </w:r>
      <w:r>
        <w:rPr>
          <w:rFonts w:hint="eastAsia" w:ascii="宋体" w:hAnsi="宋体" w:eastAsia="宋体" w:cs="宋体"/>
          <w:color w:val="auto"/>
          <w:spacing w:val="-3"/>
          <w:sz w:val="28"/>
          <w:szCs w:val="28"/>
          <w:highlight w:val="none"/>
        </w:rPr>
        <w:t xml:space="preserve"> </w:t>
      </w:r>
      <w:r>
        <w:rPr>
          <w:rFonts w:hint="eastAsia" w:ascii="宋体" w:hAnsi="宋体" w:eastAsia="宋体" w:cs="宋体"/>
          <w:b/>
          <w:bCs/>
          <w:color w:val="auto"/>
          <w:spacing w:val="-3"/>
          <w:sz w:val="28"/>
          <w:szCs w:val="28"/>
          <w:highlight w:val="none"/>
        </w:rPr>
        <w:t>其他文书、文件格式</w:t>
      </w:r>
      <w:bookmarkEnd w:id="86"/>
    </w:p>
    <w:p w14:paraId="0BBF5CFE">
      <w:pPr>
        <w:pStyle w:val="4"/>
        <w:spacing w:line="271" w:lineRule="auto"/>
        <w:rPr>
          <w:rFonts w:hint="eastAsia" w:ascii="宋体" w:hAnsi="宋体" w:eastAsia="宋体" w:cs="宋体"/>
          <w:color w:val="auto"/>
          <w:highlight w:val="none"/>
        </w:rPr>
      </w:pPr>
    </w:p>
    <w:p w14:paraId="288068FE">
      <w:pPr>
        <w:pStyle w:val="4"/>
        <w:spacing w:line="272" w:lineRule="auto"/>
        <w:rPr>
          <w:rFonts w:hint="eastAsia" w:ascii="宋体" w:hAnsi="宋体" w:eastAsia="宋体" w:cs="宋体"/>
          <w:color w:val="auto"/>
          <w:highlight w:val="none"/>
        </w:rPr>
      </w:pPr>
    </w:p>
    <w:p w14:paraId="34677C3D">
      <w:pPr>
        <w:spacing w:before="91" w:line="221" w:lineRule="auto"/>
        <w:ind w:left="3403"/>
        <w:outlineLvl w:val="9"/>
        <w:rPr>
          <w:rFonts w:hint="eastAsia" w:ascii="宋体" w:hAnsi="宋体" w:eastAsia="宋体" w:cs="宋体"/>
          <w:color w:val="auto"/>
          <w:sz w:val="28"/>
          <w:szCs w:val="28"/>
          <w:highlight w:val="none"/>
        </w:rPr>
      </w:pPr>
      <w:bookmarkStart w:id="87" w:name="bookmark70"/>
      <w:bookmarkEnd w:id="87"/>
      <w:r>
        <w:rPr>
          <w:rFonts w:hint="eastAsia" w:ascii="宋体" w:hAnsi="宋体" w:eastAsia="宋体" w:cs="宋体"/>
          <w:b/>
          <w:bCs/>
          <w:color w:val="auto"/>
          <w:spacing w:val="-7"/>
          <w:sz w:val="28"/>
          <w:szCs w:val="28"/>
          <w:highlight w:val="none"/>
        </w:rPr>
        <w:t>知识产权合规性声明</w:t>
      </w:r>
    </w:p>
    <w:p w14:paraId="30BBDAFC">
      <w:pPr>
        <w:spacing w:before="315" w:line="474" w:lineRule="auto"/>
        <w:ind w:left="3" w:firstLine="609"/>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本企业(单位)自愿参与政府投资政府采购的</w:t>
      </w:r>
      <w:r>
        <w:rPr>
          <w:rFonts w:hint="eastAsia" w:ascii="宋体" w:hAnsi="宋体" w:eastAsia="宋体" w:cs="宋体"/>
          <w:color w:val="auto"/>
          <w:spacing w:val="-121"/>
          <w:sz w:val="24"/>
          <w:szCs w:val="24"/>
          <w:highlight w:val="none"/>
        </w:rPr>
        <w:t xml:space="preserve"> </w:t>
      </w:r>
      <w:r>
        <w:rPr>
          <w:rFonts w:hint="eastAsia" w:ascii="宋体" w:hAnsi="宋体" w:eastAsia="宋体" w:cs="宋体"/>
          <w:color w:val="auto"/>
          <w:spacing w:val="11"/>
          <w:sz w:val="24"/>
          <w:szCs w:val="24"/>
          <w:highlight w:val="none"/>
          <w:u w:val="single" w:color="auto"/>
        </w:rPr>
        <w:t>[项目采</w:t>
      </w:r>
      <w:r>
        <w:rPr>
          <w:rFonts w:hint="eastAsia" w:ascii="宋体" w:hAnsi="宋体" w:eastAsia="宋体" w:cs="宋体"/>
          <w:color w:val="auto"/>
          <w:spacing w:val="10"/>
          <w:sz w:val="24"/>
          <w:szCs w:val="24"/>
          <w:highlight w:val="none"/>
          <w:u w:val="single" w:color="auto"/>
        </w:rPr>
        <w:t>购-项目名称]</w:t>
      </w:r>
      <w:r>
        <w:rPr>
          <w:rFonts w:hint="eastAsia" w:ascii="宋体" w:hAnsi="宋体" w:eastAsia="宋体" w:cs="宋体"/>
          <w:color w:val="auto"/>
          <w:spacing w:val="10"/>
          <w:sz w:val="24"/>
          <w:szCs w:val="24"/>
          <w:highlight w:val="none"/>
        </w:rPr>
        <w:t>项目，</w:t>
      </w:r>
      <w:r>
        <w:rPr>
          <w:rFonts w:hint="eastAsia" w:ascii="宋体" w:hAnsi="宋体" w:eastAsia="宋体" w:cs="宋体"/>
          <w:color w:val="auto"/>
          <w:spacing w:val="-16"/>
          <w:sz w:val="24"/>
          <w:szCs w:val="24"/>
          <w:highlight w:val="none"/>
        </w:rPr>
        <w:t>在此郑重承诺：遵守中国知识产权法律、法规、规章、规范性文件及在中国适用的与知识</w:t>
      </w:r>
      <w:r>
        <w:rPr>
          <w:rFonts w:hint="eastAsia" w:ascii="宋体" w:hAnsi="宋体" w:eastAsia="宋体" w:cs="宋体"/>
          <w:color w:val="auto"/>
          <w:spacing w:val="-8"/>
          <w:sz w:val="24"/>
          <w:szCs w:val="24"/>
          <w:highlight w:val="none"/>
        </w:rPr>
        <w:t>产权有关的国际公约，所参与项目的知识产权明晰无争议，归属或技</w:t>
      </w:r>
      <w:r>
        <w:rPr>
          <w:rFonts w:hint="eastAsia" w:ascii="宋体" w:hAnsi="宋体" w:eastAsia="宋体" w:cs="宋体"/>
          <w:color w:val="auto"/>
          <w:spacing w:val="-9"/>
          <w:sz w:val="24"/>
          <w:szCs w:val="24"/>
          <w:highlight w:val="none"/>
        </w:rPr>
        <w:t>术来源正当合法。</w:t>
      </w:r>
      <w:r>
        <w:rPr>
          <w:rFonts w:hint="eastAsia" w:ascii="宋体" w:hAnsi="宋体" w:eastAsia="宋体" w:cs="宋体"/>
          <w:color w:val="auto"/>
          <w:spacing w:val="-18"/>
          <w:sz w:val="24"/>
          <w:szCs w:val="24"/>
          <w:highlight w:val="none"/>
        </w:rPr>
        <w:t>近三年在知识产权领域不存在违反法律、法规</w:t>
      </w:r>
      <w:r>
        <w:rPr>
          <w:rFonts w:hint="eastAsia" w:ascii="宋体" w:hAnsi="宋体" w:eastAsia="宋体" w:cs="宋体"/>
          <w:color w:val="auto"/>
          <w:spacing w:val="-19"/>
          <w:sz w:val="24"/>
          <w:szCs w:val="24"/>
          <w:highlight w:val="none"/>
        </w:rPr>
        <w:t>、规章及其他规范性文件的失信行为。所参</w:t>
      </w:r>
      <w:r>
        <w:rPr>
          <w:rFonts w:hint="eastAsia" w:ascii="宋体" w:hAnsi="宋体" w:eastAsia="宋体" w:cs="宋体"/>
          <w:color w:val="auto"/>
          <w:spacing w:val="-9"/>
          <w:sz w:val="24"/>
          <w:szCs w:val="24"/>
          <w:highlight w:val="none"/>
        </w:rPr>
        <w:t>与的项目不对其他单位及个人的知识产权构成侵权。如经核查确有违反上述承诺应遵守</w:t>
      </w:r>
      <w:r>
        <w:rPr>
          <w:rFonts w:hint="eastAsia" w:ascii="宋体" w:hAnsi="宋体" w:eastAsia="宋体" w:cs="宋体"/>
          <w:color w:val="auto"/>
          <w:spacing w:val="9"/>
          <w:sz w:val="24"/>
          <w:szCs w:val="24"/>
          <w:highlight w:val="none"/>
        </w:rPr>
        <w:t>的行为，本企业(单位)将承担由此产生</w:t>
      </w:r>
      <w:r>
        <w:rPr>
          <w:rFonts w:hint="eastAsia" w:ascii="宋体" w:hAnsi="宋体" w:eastAsia="宋体" w:cs="宋体"/>
          <w:color w:val="auto"/>
          <w:spacing w:val="8"/>
          <w:sz w:val="24"/>
          <w:szCs w:val="24"/>
          <w:highlight w:val="none"/>
        </w:rPr>
        <w:t>的全部责任。</w:t>
      </w:r>
    </w:p>
    <w:p w14:paraId="0CD6F495">
      <w:pPr>
        <w:pStyle w:val="4"/>
        <w:spacing w:line="272" w:lineRule="auto"/>
        <w:rPr>
          <w:rFonts w:hint="eastAsia" w:ascii="宋体" w:hAnsi="宋体" w:eastAsia="宋体" w:cs="宋体"/>
          <w:color w:val="auto"/>
          <w:highlight w:val="none"/>
        </w:rPr>
      </w:pPr>
    </w:p>
    <w:p w14:paraId="287603D3">
      <w:pPr>
        <w:pStyle w:val="4"/>
        <w:spacing w:line="273" w:lineRule="auto"/>
        <w:rPr>
          <w:rFonts w:hint="eastAsia" w:ascii="宋体" w:hAnsi="宋体" w:eastAsia="宋体" w:cs="宋体"/>
          <w:color w:val="auto"/>
          <w:highlight w:val="none"/>
        </w:rPr>
      </w:pPr>
    </w:p>
    <w:p w14:paraId="1BB0D508">
      <w:pPr>
        <w:spacing w:before="315" w:line="474" w:lineRule="auto"/>
        <w:ind w:left="3" w:firstLine="609"/>
        <w:jc w:val="right"/>
        <w:rPr>
          <w:rFonts w:hint="eastAsia" w:ascii="宋体" w:hAnsi="宋体" w:eastAsia="宋体" w:cs="宋体"/>
          <w:color w:val="auto"/>
          <w:spacing w:val="-19"/>
          <w:sz w:val="24"/>
          <w:szCs w:val="24"/>
          <w:highlight w:val="none"/>
        </w:rPr>
      </w:pPr>
      <w:r>
        <w:rPr>
          <w:rFonts w:hint="eastAsia" w:ascii="宋体" w:hAnsi="宋体" w:eastAsia="宋体" w:cs="宋体"/>
          <w:color w:val="auto"/>
          <w:spacing w:val="-19"/>
          <w:sz w:val="24"/>
          <w:szCs w:val="24"/>
          <w:highlight w:val="none"/>
        </w:rPr>
        <w:t>供应商名称(电子签章)：</w:t>
      </w:r>
    </w:p>
    <w:p w14:paraId="04E133A1">
      <w:pPr>
        <w:spacing w:before="315" w:line="474" w:lineRule="auto"/>
        <w:ind w:left="3" w:firstLine="609"/>
        <w:jc w:val="right"/>
        <w:rPr>
          <w:rFonts w:hint="eastAsia" w:ascii="宋体" w:hAnsi="宋体" w:eastAsia="宋体" w:cs="宋体"/>
          <w:color w:val="auto"/>
          <w:spacing w:val="-19"/>
          <w:sz w:val="24"/>
          <w:szCs w:val="24"/>
          <w:highlight w:val="none"/>
        </w:rPr>
      </w:pPr>
      <w:r>
        <w:rPr>
          <w:rFonts w:hint="eastAsia" w:ascii="宋体" w:hAnsi="宋体" w:eastAsia="宋体" w:cs="宋体"/>
          <w:color w:val="auto"/>
          <w:spacing w:val="-19"/>
          <w:sz w:val="24"/>
          <w:szCs w:val="24"/>
          <w:highlight w:val="none"/>
        </w:rPr>
        <w:t>日期：   年    月   日</w:t>
      </w:r>
    </w:p>
    <w:sectPr>
      <w:pgSz w:w="11900" w:h="16840"/>
      <w:pgMar w:top="1440" w:right="1080" w:bottom="1440" w:left="108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493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36AD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836AD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44AE">
    <w:pPr>
      <w:widowControl w:val="0"/>
      <w:kinsoku/>
      <w:autoSpaceDE/>
      <w:autoSpaceDN/>
      <w:adjustRightInd/>
      <w:snapToGrid/>
      <w:spacing w:line="189" w:lineRule="auto"/>
      <w:ind w:left="4124"/>
      <w:jc w:val="both"/>
      <w:textAlignment w:val="auto"/>
      <w:rPr>
        <w:rFonts w:ascii="Calibri" w:hAnsi="Calibri" w:eastAsia="宋体" w:cs="Times New Roman"/>
        <w:snapToGrid/>
        <w:color w:val="000000"/>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B9572">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B9572">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E90D">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ZjZmI4MTExNTUzZGJmNTVhOTJjYmY2M2U3MjdlMTcifQ=="/>
  </w:docVars>
  <w:rsids>
    <w:rsidRoot w:val="00000000"/>
    <w:rsid w:val="00125CB5"/>
    <w:rsid w:val="00186578"/>
    <w:rsid w:val="003752C8"/>
    <w:rsid w:val="00382DEE"/>
    <w:rsid w:val="005C4D2E"/>
    <w:rsid w:val="01017684"/>
    <w:rsid w:val="013A159D"/>
    <w:rsid w:val="016C0FA1"/>
    <w:rsid w:val="01791910"/>
    <w:rsid w:val="01A93FA3"/>
    <w:rsid w:val="01AB730A"/>
    <w:rsid w:val="01E70628"/>
    <w:rsid w:val="02A37B70"/>
    <w:rsid w:val="02AE55E9"/>
    <w:rsid w:val="02B32C00"/>
    <w:rsid w:val="034D095E"/>
    <w:rsid w:val="03535973"/>
    <w:rsid w:val="03B7227C"/>
    <w:rsid w:val="03E727F4"/>
    <w:rsid w:val="043F299D"/>
    <w:rsid w:val="0462668B"/>
    <w:rsid w:val="04791944"/>
    <w:rsid w:val="049F343C"/>
    <w:rsid w:val="04B9536B"/>
    <w:rsid w:val="058626BF"/>
    <w:rsid w:val="05F96B7B"/>
    <w:rsid w:val="06085010"/>
    <w:rsid w:val="0636392C"/>
    <w:rsid w:val="064047AA"/>
    <w:rsid w:val="065E2E82"/>
    <w:rsid w:val="066466EB"/>
    <w:rsid w:val="06B50CF4"/>
    <w:rsid w:val="06BB2083"/>
    <w:rsid w:val="06BD5DFB"/>
    <w:rsid w:val="06D04EAE"/>
    <w:rsid w:val="07030A01"/>
    <w:rsid w:val="07591FC8"/>
    <w:rsid w:val="077A1F3E"/>
    <w:rsid w:val="079052BE"/>
    <w:rsid w:val="085A472E"/>
    <w:rsid w:val="085D62B9"/>
    <w:rsid w:val="085E7FDD"/>
    <w:rsid w:val="08674270"/>
    <w:rsid w:val="088D0955"/>
    <w:rsid w:val="08B1373D"/>
    <w:rsid w:val="08BD20E2"/>
    <w:rsid w:val="08E9080F"/>
    <w:rsid w:val="098B0432"/>
    <w:rsid w:val="09F4287E"/>
    <w:rsid w:val="0A173A74"/>
    <w:rsid w:val="0A892BC4"/>
    <w:rsid w:val="0A894972"/>
    <w:rsid w:val="0B106E41"/>
    <w:rsid w:val="0B310B66"/>
    <w:rsid w:val="0BA852CC"/>
    <w:rsid w:val="0BDB4888"/>
    <w:rsid w:val="0CD3143D"/>
    <w:rsid w:val="0CD56175"/>
    <w:rsid w:val="0D240982"/>
    <w:rsid w:val="0D4E186F"/>
    <w:rsid w:val="0D906017"/>
    <w:rsid w:val="0DFA5B87"/>
    <w:rsid w:val="0DFA7935"/>
    <w:rsid w:val="0E1B1311"/>
    <w:rsid w:val="0E572FD9"/>
    <w:rsid w:val="0E8D69FB"/>
    <w:rsid w:val="0EBF0BB0"/>
    <w:rsid w:val="0ED91C40"/>
    <w:rsid w:val="0EDE1004"/>
    <w:rsid w:val="0F0F11BE"/>
    <w:rsid w:val="0F1669F0"/>
    <w:rsid w:val="0F465F4B"/>
    <w:rsid w:val="0F4E1CE6"/>
    <w:rsid w:val="0F8B2F3A"/>
    <w:rsid w:val="0FF07241"/>
    <w:rsid w:val="10345380"/>
    <w:rsid w:val="10596B94"/>
    <w:rsid w:val="109107D7"/>
    <w:rsid w:val="10B244F7"/>
    <w:rsid w:val="10C145F5"/>
    <w:rsid w:val="10C36704"/>
    <w:rsid w:val="111927C8"/>
    <w:rsid w:val="115B4B8E"/>
    <w:rsid w:val="119B5843"/>
    <w:rsid w:val="11BD75F7"/>
    <w:rsid w:val="1288264D"/>
    <w:rsid w:val="12B409FA"/>
    <w:rsid w:val="12B96010"/>
    <w:rsid w:val="12C715D4"/>
    <w:rsid w:val="138403CC"/>
    <w:rsid w:val="13D5199C"/>
    <w:rsid w:val="13EE3A98"/>
    <w:rsid w:val="1404150D"/>
    <w:rsid w:val="143F2545"/>
    <w:rsid w:val="144731A8"/>
    <w:rsid w:val="14B7657F"/>
    <w:rsid w:val="14CC2627"/>
    <w:rsid w:val="14F14C5F"/>
    <w:rsid w:val="14FB7D88"/>
    <w:rsid w:val="151E65FF"/>
    <w:rsid w:val="15734F5F"/>
    <w:rsid w:val="15BA14CA"/>
    <w:rsid w:val="16105F47"/>
    <w:rsid w:val="16264FC1"/>
    <w:rsid w:val="16497A74"/>
    <w:rsid w:val="1695644C"/>
    <w:rsid w:val="16B56AEF"/>
    <w:rsid w:val="16BC7E7D"/>
    <w:rsid w:val="16D50F3F"/>
    <w:rsid w:val="17516817"/>
    <w:rsid w:val="17AB1930"/>
    <w:rsid w:val="17E05DED"/>
    <w:rsid w:val="189867E5"/>
    <w:rsid w:val="18B0756E"/>
    <w:rsid w:val="18B90B18"/>
    <w:rsid w:val="18D17A0D"/>
    <w:rsid w:val="18F27B86"/>
    <w:rsid w:val="194B373A"/>
    <w:rsid w:val="196640D0"/>
    <w:rsid w:val="196B7938"/>
    <w:rsid w:val="19B4308D"/>
    <w:rsid w:val="19C72DC1"/>
    <w:rsid w:val="19CC6629"/>
    <w:rsid w:val="1A02029D"/>
    <w:rsid w:val="1A1B135F"/>
    <w:rsid w:val="1AE94FB9"/>
    <w:rsid w:val="1B325066"/>
    <w:rsid w:val="1B3C333B"/>
    <w:rsid w:val="1B9E3D36"/>
    <w:rsid w:val="1BF400B9"/>
    <w:rsid w:val="1C2E5379"/>
    <w:rsid w:val="1C981E78"/>
    <w:rsid w:val="1CC46E9A"/>
    <w:rsid w:val="1CF540E9"/>
    <w:rsid w:val="1D484219"/>
    <w:rsid w:val="1D543BAF"/>
    <w:rsid w:val="1D81597C"/>
    <w:rsid w:val="1D8513A6"/>
    <w:rsid w:val="1D90796E"/>
    <w:rsid w:val="1DB160B1"/>
    <w:rsid w:val="1DC934C9"/>
    <w:rsid w:val="1DEA1B1F"/>
    <w:rsid w:val="1E026ABD"/>
    <w:rsid w:val="1E043040"/>
    <w:rsid w:val="1E220759"/>
    <w:rsid w:val="1E5218BE"/>
    <w:rsid w:val="1E672DC4"/>
    <w:rsid w:val="1F204D21"/>
    <w:rsid w:val="1F2126BF"/>
    <w:rsid w:val="1F49071C"/>
    <w:rsid w:val="1F672950"/>
    <w:rsid w:val="1F901D33"/>
    <w:rsid w:val="1F9227FD"/>
    <w:rsid w:val="1FB93ACF"/>
    <w:rsid w:val="1FC16504"/>
    <w:rsid w:val="1FEA5A5B"/>
    <w:rsid w:val="20B77599"/>
    <w:rsid w:val="20E40DBB"/>
    <w:rsid w:val="214C62A1"/>
    <w:rsid w:val="21957C48"/>
    <w:rsid w:val="222F59A7"/>
    <w:rsid w:val="22372DB9"/>
    <w:rsid w:val="22682C67"/>
    <w:rsid w:val="22715FC0"/>
    <w:rsid w:val="22833F45"/>
    <w:rsid w:val="22925F36"/>
    <w:rsid w:val="22B440FE"/>
    <w:rsid w:val="22CA56D0"/>
    <w:rsid w:val="22D74CD1"/>
    <w:rsid w:val="232B5332"/>
    <w:rsid w:val="235651B5"/>
    <w:rsid w:val="239C706C"/>
    <w:rsid w:val="23C93BD9"/>
    <w:rsid w:val="23CD36CA"/>
    <w:rsid w:val="23E12CD1"/>
    <w:rsid w:val="23E7405F"/>
    <w:rsid w:val="23F46EA8"/>
    <w:rsid w:val="240E73A7"/>
    <w:rsid w:val="24315712"/>
    <w:rsid w:val="2467526B"/>
    <w:rsid w:val="246A716A"/>
    <w:rsid w:val="24773635"/>
    <w:rsid w:val="251802A7"/>
    <w:rsid w:val="25290DD3"/>
    <w:rsid w:val="25697422"/>
    <w:rsid w:val="25FD4006"/>
    <w:rsid w:val="284F6DA3"/>
    <w:rsid w:val="289B459A"/>
    <w:rsid w:val="28D9705D"/>
    <w:rsid w:val="293219C5"/>
    <w:rsid w:val="29550071"/>
    <w:rsid w:val="29791BFE"/>
    <w:rsid w:val="2A3F69A3"/>
    <w:rsid w:val="2A585CB7"/>
    <w:rsid w:val="2A9E7B6E"/>
    <w:rsid w:val="2B200583"/>
    <w:rsid w:val="2B2838DB"/>
    <w:rsid w:val="2B3758CC"/>
    <w:rsid w:val="2B847B07"/>
    <w:rsid w:val="2C0734F1"/>
    <w:rsid w:val="2C3577F0"/>
    <w:rsid w:val="2C4B73E8"/>
    <w:rsid w:val="2CFE48F4"/>
    <w:rsid w:val="2D1C121E"/>
    <w:rsid w:val="2D37792E"/>
    <w:rsid w:val="2D3E1194"/>
    <w:rsid w:val="2D5C161A"/>
    <w:rsid w:val="2D640AB5"/>
    <w:rsid w:val="2D7B4196"/>
    <w:rsid w:val="2D8868B3"/>
    <w:rsid w:val="2E3A1E59"/>
    <w:rsid w:val="2E60513A"/>
    <w:rsid w:val="2E9C2616"/>
    <w:rsid w:val="2EFA558F"/>
    <w:rsid w:val="2F174E68"/>
    <w:rsid w:val="2FBE454F"/>
    <w:rsid w:val="300264A9"/>
    <w:rsid w:val="3034062C"/>
    <w:rsid w:val="30986E0D"/>
    <w:rsid w:val="31155563"/>
    <w:rsid w:val="315A68A9"/>
    <w:rsid w:val="31AA6DF8"/>
    <w:rsid w:val="321D3A6E"/>
    <w:rsid w:val="3244724D"/>
    <w:rsid w:val="3268149B"/>
    <w:rsid w:val="32756F6B"/>
    <w:rsid w:val="32936116"/>
    <w:rsid w:val="32B06690"/>
    <w:rsid w:val="32D26455"/>
    <w:rsid w:val="32D85BE7"/>
    <w:rsid w:val="32D87995"/>
    <w:rsid w:val="331A1D5C"/>
    <w:rsid w:val="338A6F87"/>
    <w:rsid w:val="33B141D8"/>
    <w:rsid w:val="33D72BCA"/>
    <w:rsid w:val="33EC55F3"/>
    <w:rsid w:val="34711E4F"/>
    <w:rsid w:val="348E4C73"/>
    <w:rsid w:val="34A55F9D"/>
    <w:rsid w:val="34AC5309"/>
    <w:rsid w:val="34D643A8"/>
    <w:rsid w:val="34F565DC"/>
    <w:rsid w:val="34FC2127"/>
    <w:rsid w:val="3522139B"/>
    <w:rsid w:val="35232F7C"/>
    <w:rsid w:val="35496928"/>
    <w:rsid w:val="35867B7C"/>
    <w:rsid w:val="35A7564E"/>
    <w:rsid w:val="35A953EC"/>
    <w:rsid w:val="361C5DEB"/>
    <w:rsid w:val="36A71B58"/>
    <w:rsid w:val="36C52155"/>
    <w:rsid w:val="36E96615"/>
    <w:rsid w:val="36FA437E"/>
    <w:rsid w:val="370E7E29"/>
    <w:rsid w:val="371F3DE4"/>
    <w:rsid w:val="372E2279"/>
    <w:rsid w:val="379C15F6"/>
    <w:rsid w:val="37C81B6C"/>
    <w:rsid w:val="38003C16"/>
    <w:rsid w:val="385C6972"/>
    <w:rsid w:val="387D6261"/>
    <w:rsid w:val="389337C9"/>
    <w:rsid w:val="38F06442"/>
    <w:rsid w:val="39825EB3"/>
    <w:rsid w:val="398A53B5"/>
    <w:rsid w:val="39B61725"/>
    <w:rsid w:val="3A2F40DA"/>
    <w:rsid w:val="3A72247D"/>
    <w:rsid w:val="3AE8273F"/>
    <w:rsid w:val="3B196346"/>
    <w:rsid w:val="3B1F0857"/>
    <w:rsid w:val="3B516536"/>
    <w:rsid w:val="3B7A783B"/>
    <w:rsid w:val="3B9A76F6"/>
    <w:rsid w:val="3BA172E0"/>
    <w:rsid w:val="3C125CC6"/>
    <w:rsid w:val="3C81109D"/>
    <w:rsid w:val="3CCB40C7"/>
    <w:rsid w:val="3D17730C"/>
    <w:rsid w:val="3D406863"/>
    <w:rsid w:val="3D580050"/>
    <w:rsid w:val="3D5B18EE"/>
    <w:rsid w:val="3DC01751"/>
    <w:rsid w:val="3E602049"/>
    <w:rsid w:val="3E815385"/>
    <w:rsid w:val="3EA331F9"/>
    <w:rsid w:val="3EB05C6A"/>
    <w:rsid w:val="3ED23E32"/>
    <w:rsid w:val="3F186394"/>
    <w:rsid w:val="3F2A10D5"/>
    <w:rsid w:val="40291830"/>
    <w:rsid w:val="40322DDA"/>
    <w:rsid w:val="40726C92"/>
    <w:rsid w:val="40A475B1"/>
    <w:rsid w:val="40AE7F87"/>
    <w:rsid w:val="40B7508E"/>
    <w:rsid w:val="410C1BD1"/>
    <w:rsid w:val="413D1A37"/>
    <w:rsid w:val="414C7ECC"/>
    <w:rsid w:val="414F52C6"/>
    <w:rsid w:val="41BE41FA"/>
    <w:rsid w:val="42220C2D"/>
    <w:rsid w:val="43383710"/>
    <w:rsid w:val="434B7D0F"/>
    <w:rsid w:val="436721C3"/>
    <w:rsid w:val="43B0049A"/>
    <w:rsid w:val="440E1469"/>
    <w:rsid w:val="4410356E"/>
    <w:rsid w:val="44316F05"/>
    <w:rsid w:val="444035EC"/>
    <w:rsid w:val="445A645C"/>
    <w:rsid w:val="446612A5"/>
    <w:rsid w:val="450D42C0"/>
    <w:rsid w:val="453E3FCF"/>
    <w:rsid w:val="457A48DC"/>
    <w:rsid w:val="45B222C8"/>
    <w:rsid w:val="46116FEE"/>
    <w:rsid w:val="463D4185"/>
    <w:rsid w:val="463D7DA1"/>
    <w:rsid w:val="47626F03"/>
    <w:rsid w:val="479E48B1"/>
    <w:rsid w:val="48017FDB"/>
    <w:rsid w:val="483376F0"/>
    <w:rsid w:val="48945CB4"/>
    <w:rsid w:val="48C4659A"/>
    <w:rsid w:val="4901159C"/>
    <w:rsid w:val="4989333F"/>
    <w:rsid w:val="49A172EA"/>
    <w:rsid w:val="49C16F7D"/>
    <w:rsid w:val="49F326DD"/>
    <w:rsid w:val="4A6C6EE9"/>
    <w:rsid w:val="4A9B6424"/>
    <w:rsid w:val="4AB368C6"/>
    <w:rsid w:val="4ABB1C1E"/>
    <w:rsid w:val="4B0F54DD"/>
    <w:rsid w:val="4B294DDA"/>
    <w:rsid w:val="4B7122DD"/>
    <w:rsid w:val="4B8244EA"/>
    <w:rsid w:val="4B9366F7"/>
    <w:rsid w:val="4BD25472"/>
    <w:rsid w:val="4BFE0015"/>
    <w:rsid w:val="4C8D3147"/>
    <w:rsid w:val="4C8F113D"/>
    <w:rsid w:val="4C9B5863"/>
    <w:rsid w:val="4CA30226"/>
    <w:rsid w:val="4CEC4311"/>
    <w:rsid w:val="4D1E5F0E"/>
    <w:rsid w:val="4D577443"/>
    <w:rsid w:val="4D7A7B6F"/>
    <w:rsid w:val="4D843CBC"/>
    <w:rsid w:val="4D90444B"/>
    <w:rsid w:val="4D907392"/>
    <w:rsid w:val="4DF67A36"/>
    <w:rsid w:val="4E037B64"/>
    <w:rsid w:val="4E2F0959"/>
    <w:rsid w:val="4E692507"/>
    <w:rsid w:val="4E89744E"/>
    <w:rsid w:val="4EDD4145"/>
    <w:rsid w:val="50067498"/>
    <w:rsid w:val="50100316"/>
    <w:rsid w:val="505D37E8"/>
    <w:rsid w:val="505D765B"/>
    <w:rsid w:val="507E3CA1"/>
    <w:rsid w:val="50A62A29"/>
    <w:rsid w:val="51167BAE"/>
    <w:rsid w:val="51340035"/>
    <w:rsid w:val="51655BEE"/>
    <w:rsid w:val="51711289"/>
    <w:rsid w:val="51A4340C"/>
    <w:rsid w:val="51B15B29"/>
    <w:rsid w:val="51BF3DA2"/>
    <w:rsid w:val="51CB2747"/>
    <w:rsid w:val="51CE0489"/>
    <w:rsid w:val="51D57A6A"/>
    <w:rsid w:val="51D84E64"/>
    <w:rsid w:val="51DF0E6E"/>
    <w:rsid w:val="51E97071"/>
    <w:rsid w:val="52354064"/>
    <w:rsid w:val="527E3C5D"/>
    <w:rsid w:val="52D970E6"/>
    <w:rsid w:val="52FE08FA"/>
    <w:rsid w:val="537A3705"/>
    <w:rsid w:val="539349F0"/>
    <w:rsid w:val="539708F9"/>
    <w:rsid w:val="53B65352"/>
    <w:rsid w:val="548C341A"/>
    <w:rsid w:val="54A656ED"/>
    <w:rsid w:val="54A97884"/>
    <w:rsid w:val="54F30A70"/>
    <w:rsid w:val="54FC70BB"/>
    <w:rsid w:val="55124B31"/>
    <w:rsid w:val="553625CD"/>
    <w:rsid w:val="554A6079"/>
    <w:rsid w:val="55571286"/>
    <w:rsid w:val="55821584"/>
    <w:rsid w:val="55A82D9F"/>
    <w:rsid w:val="55AF5B37"/>
    <w:rsid w:val="55D32512"/>
    <w:rsid w:val="56220DA3"/>
    <w:rsid w:val="56BA722E"/>
    <w:rsid w:val="57476D14"/>
    <w:rsid w:val="57503CCA"/>
    <w:rsid w:val="57AD28EF"/>
    <w:rsid w:val="57AE064A"/>
    <w:rsid w:val="57B82B52"/>
    <w:rsid w:val="582B03E3"/>
    <w:rsid w:val="588E44CE"/>
    <w:rsid w:val="59785DBB"/>
    <w:rsid w:val="59AF719A"/>
    <w:rsid w:val="5A0031AA"/>
    <w:rsid w:val="5AF45312"/>
    <w:rsid w:val="5B975D90"/>
    <w:rsid w:val="5BA30291"/>
    <w:rsid w:val="5BA43DF3"/>
    <w:rsid w:val="5BCE35BB"/>
    <w:rsid w:val="5BEC184B"/>
    <w:rsid w:val="5BFF63FF"/>
    <w:rsid w:val="5C34538D"/>
    <w:rsid w:val="5C42111E"/>
    <w:rsid w:val="5C441A74"/>
    <w:rsid w:val="5C5C6C76"/>
    <w:rsid w:val="5C5F0D63"/>
    <w:rsid w:val="5C9C4EF0"/>
    <w:rsid w:val="5CDC3F98"/>
    <w:rsid w:val="5D543F38"/>
    <w:rsid w:val="5DAF6A50"/>
    <w:rsid w:val="5DCA41FA"/>
    <w:rsid w:val="5E201A4A"/>
    <w:rsid w:val="5E6F4DA2"/>
    <w:rsid w:val="5F216249"/>
    <w:rsid w:val="5F3F29C6"/>
    <w:rsid w:val="5F6C12EB"/>
    <w:rsid w:val="5F94398A"/>
    <w:rsid w:val="5F9E172B"/>
    <w:rsid w:val="5FBB75BA"/>
    <w:rsid w:val="5FF437B1"/>
    <w:rsid w:val="5FF76197"/>
    <w:rsid w:val="60067040"/>
    <w:rsid w:val="603B318E"/>
    <w:rsid w:val="60595BCE"/>
    <w:rsid w:val="608A1A1F"/>
    <w:rsid w:val="60B371C8"/>
    <w:rsid w:val="610A2B60"/>
    <w:rsid w:val="610E08A2"/>
    <w:rsid w:val="61BE6295"/>
    <w:rsid w:val="61F730E4"/>
    <w:rsid w:val="61F77588"/>
    <w:rsid w:val="62246AFC"/>
    <w:rsid w:val="62922E0D"/>
    <w:rsid w:val="62B31701"/>
    <w:rsid w:val="63105E54"/>
    <w:rsid w:val="637075F2"/>
    <w:rsid w:val="63732C3E"/>
    <w:rsid w:val="63F83144"/>
    <w:rsid w:val="64A95BA1"/>
    <w:rsid w:val="64F16511"/>
    <w:rsid w:val="65174B58"/>
    <w:rsid w:val="65293EFC"/>
    <w:rsid w:val="652B190B"/>
    <w:rsid w:val="65326B1A"/>
    <w:rsid w:val="653308D7"/>
    <w:rsid w:val="655B32E9"/>
    <w:rsid w:val="656C6E7C"/>
    <w:rsid w:val="659C46CE"/>
    <w:rsid w:val="659D3FA3"/>
    <w:rsid w:val="65C77271"/>
    <w:rsid w:val="665A00E6"/>
    <w:rsid w:val="666845B1"/>
    <w:rsid w:val="67170922"/>
    <w:rsid w:val="676A5F8D"/>
    <w:rsid w:val="678B6DB9"/>
    <w:rsid w:val="67D6315B"/>
    <w:rsid w:val="67EB04B7"/>
    <w:rsid w:val="67EC1211"/>
    <w:rsid w:val="68802085"/>
    <w:rsid w:val="68C76A23"/>
    <w:rsid w:val="68CD1043"/>
    <w:rsid w:val="68E51EE8"/>
    <w:rsid w:val="68FD36D6"/>
    <w:rsid w:val="69194288"/>
    <w:rsid w:val="696C260A"/>
    <w:rsid w:val="697B45FB"/>
    <w:rsid w:val="6990454A"/>
    <w:rsid w:val="69D01D74"/>
    <w:rsid w:val="6A0142D6"/>
    <w:rsid w:val="6A136F29"/>
    <w:rsid w:val="6A7554EE"/>
    <w:rsid w:val="6A9F07BD"/>
    <w:rsid w:val="6AD5003C"/>
    <w:rsid w:val="6BA53BB1"/>
    <w:rsid w:val="6BBE4C73"/>
    <w:rsid w:val="6BE517DA"/>
    <w:rsid w:val="6BE96194"/>
    <w:rsid w:val="6BF9375C"/>
    <w:rsid w:val="6C922387"/>
    <w:rsid w:val="6CAB169B"/>
    <w:rsid w:val="6CE40D7C"/>
    <w:rsid w:val="6CF63649"/>
    <w:rsid w:val="6D341690"/>
    <w:rsid w:val="6D8E6FF3"/>
    <w:rsid w:val="6D9914F3"/>
    <w:rsid w:val="6DCC6E6A"/>
    <w:rsid w:val="6E511DCE"/>
    <w:rsid w:val="6E8977BA"/>
    <w:rsid w:val="6EDF26B9"/>
    <w:rsid w:val="6F0A08FB"/>
    <w:rsid w:val="6F235519"/>
    <w:rsid w:val="6FD26F3F"/>
    <w:rsid w:val="6FE0537A"/>
    <w:rsid w:val="6FEF189F"/>
    <w:rsid w:val="6FF45107"/>
    <w:rsid w:val="70044037"/>
    <w:rsid w:val="701E3F32"/>
    <w:rsid w:val="70384E46"/>
    <w:rsid w:val="70A66401"/>
    <w:rsid w:val="70EE1B56"/>
    <w:rsid w:val="70F133F4"/>
    <w:rsid w:val="711A6DEF"/>
    <w:rsid w:val="71524EE5"/>
    <w:rsid w:val="71570EC0"/>
    <w:rsid w:val="716B764B"/>
    <w:rsid w:val="718C7856"/>
    <w:rsid w:val="719C1E0D"/>
    <w:rsid w:val="72077373"/>
    <w:rsid w:val="721970A7"/>
    <w:rsid w:val="723F6B0D"/>
    <w:rsid w:val="724670E3"/>
    <w:rsid w:val="725620A9"/>
    <w:rsid w:val="72802C82"/>
    <w:rsid w:val="72F21DD2"/>
    <w:rsid w:val="73116F4B"/>
    <w:rsid w:val="731C29AB"/>
    <w:rsid w:val="73B76B77"/>
    <w:rsid w:val="73BA1CCA"/>
    <w:rsid w:val="73D96AEE"/>
    <w:rsid w:val="745E6FF3"/>
    <w:rsid w:val="746E36DA"/>
    <w:rsid w:val="74AB66DC"/>
    <w:rsid w:val="74FD05BA"/>
    <w:rsid w:val="75B710B1"/>
    <w:rsid w:val="75BF1D13"/>
    <w:rsid w:val="75E874BC"/>
    <w:rsid w:val="76593685"/>
    <w:rsid w:val="76A258BD"/>
    <w:rsid w:val="76B31878"/>
    <w:rsid w:val="76C21ABB"/>
    <w:rsid w:val="76CF5ACC"/>
    <w:rsid w:val="770F34E7"/>
    <w:rsid w:val="77440722"/>
    <w:rsid w:val="774A16CA"/>
    <w:rsid w:val="77784870"/>
    <w:rsid w:val="777D46D9"/>
    <w:rsid w:val="779D0AB0"/>
    <w:rsid w:val="77EB3293"/>
    <w:rsid w:val="780B5830"/>
    <w:rsid w:val="78185FE6"/>
    <w:rsid w:val="78654DF4"/>
    <w:rsid w:val="78A23107"/>
    <w:rsid w:val="79DE4E5E"/>
    <w:rsid w:val="79F93A46"/>
    <w:rsid w:val="7A111491"/>
    <w:rsid w:val="7A1E525A"/>
    <w:rsid w:val="7A230AC3"/>
    <w:rsid w:val="7A651618"/>
    <w:rsid w:val="7A74131E"/>
    <w:rsid w:val="7AD85D51"/>
    <w:rsid w:val="7B25086A"/>
    <w:rsid w:val="7B2B2BEF"/>
    <w:rsid w:val="7B7315D6"/>
    <w:rsid w:val="7B8531F6"/>
    <w:rsid w:val="7BE424D4"/>
    <w:rsid w:val="7C044924"/>
    <w:rsid w:val="7C0F2859"/>
    <w:rsid w:val="7C321491"/>
    <w:rsid w:val="7C324FED"/>
    <w:rsid w:val="7C574A54"/>
    <w:rsid w:val="7C683CA2"/>
    <w:rsid w:val="7C9108B7"/>
    <w:rsid w:val="7CD662C0"/>
    <w:rsid w:val="7CDB5685"/>
    <w:rsid w:val="7D0746CC"/>
    <w:rsid w:val="7D2E292C"/>
    <w:rsid w:val="7D2F3A76"/>
    <w:rsid w:val="7D605B8A"/>
    <w:rsid w:val="7D9341B1"/>
    <w:rsid w:val="7D9D293A"/>
    <w:rsid w:val="7E176B90"/>
    <w:rsid w:val="7E3A462D"/>
    <w:rsid w:val="7E470AF8"/>
    <w:rsid w:val="7EAB552B"/>
    <w:rsid w:val="7F323556"/>
    <w:rsid w:val="7F4C286A"/>
    <w:rsid w:val="7F7448FF"/>
    <w:rsid w:val="7F792F33"/>
    <w:rsid w:val="7F8C710A"/>
    <w:rsid w:val="7FAA7590"/>
    <w:rsid w:val="7FE50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99"/>
    <w:pPr>
      <w:ind w:left="2100"/>
    </w:p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Body Text 2"/>
    <w:basedOn w:val="1"/>
    <w:next w:val="4"/>
    <w:qFormat/>
    <w:uiPriority w:val="0"/>
    <w:pPr>
      <w:jc w:val="center"/>
      <w:outlineLvl w:val="0"/>
    </w:pPr>
    <w:rPr>
      <w:rFonts w:ascii="楷体_GB2312" w:eastAsia="仿宋_GB2312"/>
      <w:kern w:val="2"/>
      <w:sz w:val="30"/>
    </w:rPr>
  </w:style>
  <w:style w:type="paragraph" w:styleId="6">
    <w:name w:val="Body Text Indent"/>
    <w:basedOn w:val="1"/>
    <w:qFormat/>
    <w:uiPriority w:val="0"/>
    <w:pPr>
      <w:ind w:left="420"/>
    </w:pPr>
    <w:rPr>
      <w:sz w:val="24"/>
      <w:szCs w:val="21"/>
    </w:rPr>
  </w:style>
  <w:style w:type="paragraph" w:styleId="7">
    <w:name w:val="List 2"/>
    <w:basedOn w:val="1"/>
    <w:next w:val="8"/>
    <w:qFormat/>
    <w:uiPriority w:val="0"/>
    <w:pPr>
      <w:ind w:left="100" w:leftChars="200" w:hanging="200" w:hangingChars="200"/>
    </w:pPr>
    <w:rPr>
      <w:rFonts w:ascii="Times New Roman" w:hAnsi="Times New Roman"/>
    </w:rPr>
  </w:style>
  <w:style w:type="paragraph" w:styleId="8">
    <w:name w:val="Plain Text"/>
    <w:basedOn w:val="1"/>
    <w:next w:val="1"/>
    <w:qFormat/>
    <w:uiPriority w:val="0"/>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footnote text"/>
    <w:basedOn w:val="1"/>
    <w:qFormat/>
    <w:uiPriority w:val="0"/>
    <w:pPr>
      <w:adjustRightInd w:val="0"/>
      <w:spacing w:line="312" w:lineRule="atLeast"/>
      <w:jc w:val="left"/>
      <w:textAlignment w:val="baseline"/>
    </w:pPr>
    <w:rPr>
      <w:kern w:val="0"/>
      <w:sz w:val="18"/>
      <w:szCs w:val="20"/>
    </w:rPr>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4"/>
    <w:next w:val="1"/>
    <w:unhideWhenUsed/>
    <w:qFormat/>
    <w:uiPriority w:val="99"/>
    <w:pPr>
      <w:tabs>
        <w:tab w:val="left" w:pos="1296"/>
      </w:tabs>
      <w:ind w:firstLine="420" w:firstLineChars="10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paragraph" w:styleId="19">
    <w:name w:val="List Paragraph"/>
    <w:basedOn w:val="1"/>
    <w:qFormat/>
    <w:uiPriority w:val="34"/>
    <w:pPr>
      <w:ind w:firstLine="420" w:firstLineChars="200"/>
    </w:pPr>
  </w:style>
  <w:style w:type="paragraph" w:customStyle="1" w:styleId="2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105</Pages>
  <Words>23552</Words>
  <Characters>25318</Characters>
  <TotalTime>18</TotalTime>
  <ScaleCrop>false</ScaleCrop>
  <LinksUpToDate>false</LinksUpToDate>
  <CharactersWithSpaces>25760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2024-08-01T12:00:00Z</dcterms:created>
  <dc:creator>Administrator</dc:creator>
  <cp:lastModifiedBy>小朱</cp:lastModifiedBy>
  <cp:lastPrinted>2026-05-19T03:31:00Z</cp:lastPrinted>
  <dcterms:modified xsi:type="dcterms:W3CDTF">2026-05-19T09:19:32Z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2024-08-05T19:23:06Z</vt:filetime>
  </property>
  <property fmtid="{D5CDD505-2E9C-101B-9397-08002B2CF9AE}" pid="4" name="KSOProductBuildVer">
    <vt:lpwstr>2052-12.1.0.26375</vt:lpwstr>
  </property>
  <property fmtid="{D5CDD505-2E9C-101B-9397-08002B2CF9AE}" pid="5" name="ICV">
    <vt:lpwstr>3D88B8107169434DB2E57DE8C35BF9F5_13</vt:lpwstr>
  </property>
  <property fmtid="{D5CDD505-2E9C-101B-9397-08002B2CF9AE}" pid="6" name="KSOTemplateDocerSaveRecord">
    <vt:lpwstr>eyJoZGlkIjoiN2E1M2M1MzZjNDQ0MzczMTkyZGIzNTVmM2M2MmRjMzYiLCJ1c2VySWQiOiIzMTgyMTYxOTgifQ==</vt:lpwstr>
  </property>
</Properties>
</file>