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4BA92">
      <w:pPr>
        <w:snapToGrid w:val="0"/>
        <w:spacing w:line="500" w:lineRule="exact"/>
        <w:jc w:val="center"/>
        <w:rPr>
          <w:rFonts w:hint="eastAsia" w:ascii="宋体" w:hAnsi="宋体" w:eastAsia="宋体" w:cs="宋体"/>
          <w:b/>
          <w:sz w:val="28"/>
          <w:szCs w:val="28"/>
        </w:rPr>
      </w:pPr>
    </w:p>
    <w:p w14:paraId="7F0D5314">
      <w:pPr>
        <w:snapToGrid w:val="0"/>
        <w:spacing w:line="500" w:lineRule="exact"/>
        <w:rPr>
          <w:rFonts w:hint="eastAsia" w:ascii="宋体" w:hAnsi="宋体" w:eastAsia="宋体" w:cs="宋体"/>
          <w:b/>
          <w:sz w:val="28"/>
          <w:szCs w:val="28"/>
        </w:rPr>
      </w:pPr>
    </w:p>
    <w:p w14:paraId="20F647D8">
      <w:pPr>
        <w:snapToGrid w:val="0"/>
        <w:spacing w:line="500" w:lineRule="exact"/>
        <w:jc w:val="center"/>
        <w:rPr>
          <w:rFonts w:hint="eastAsia" w:ascii="宋体" w:hAnsi="宋体" w:eastAsia="宋体" w:cs="宋体"/>
          <w:b/>
          <w:sz w:val="28"/>
          <w:szCs w:val="28"/>
        </w:rPr>
      </w:pPr>
    </w:p>
    <w:p w14:paraId="457E0B68">
      <w:pPr>
        <w:snapToGrid w:val="0"/>
        <w:spacing w:line="500" w:lineRule="exact"/>
        <w:jc w:val="center"/>
        <w:rPr>
          <w:rFonts w:hint="eastAsia" w:ascii="宋体" w:hAnsi="宋体" w:eastAsia="宋体" w:cs="宋体"/>
          <w:b/>
          <w:sz w:val="28"/>
          <w:szCs w:val="28"/>
        </w:rPr>
      </w:pPr>
    </w:p>
    <w:p w14:paraId="11A2B779">
      <w:pPr>
        <w:snapToGrid w:val="0"/>
        <w:spacing w:line="500" w:lineRule="exact"/>
        <w:jc w:val="center"/>
        <w:rPr>
          <w:rFonts w:hint="eastAsia" w:ascii="宋体" w:hAnsi="宋体" w:eastAsia="宋体" w:cs="宋体"/>
          <w:b/>
          <w:sz w:val="28"/>
          <w:szCs w:val="28"/>
        </w:rPr>
      </w:pPr>
    </w:p>
    <w:p w14:paraId="20C8C2F2">
      <w:pPr>
        <w:snapToGrid w:val="0"/>
        <w:spacing w:line="500" w:lineRule="exact"/>
        <w:jc w:val="center"/>
        <w:rPr>
          <w:rStyle w:val="30"/>
          <w:rFonts w:hint="eastAsia" w:ascii="宋体" w:hAnsi="宋体" w:eastAsia="宋体" w:cs="宋体"/>
          <w:b/>
          <w:sz w:val="44"/>
          <w:szCs w:val="44"/>
          <w:lang w:eastAsia="zh-CN"/>
        </w:rPr>
      </w:pPr>
      <w:r>
        <w:rPr>
          <w:rFonts w:hint="eastAsia" w:ascii="宋体" w:hAnsi="宋体" w:eastAsia="宋体" w:cs="宋体"/>
          <w:b/>
          <w:sz w:val="44"/>
          <w:szCs w:val="44"/>
        </w:rPr>
        <w:t>招 标 文 件</w:t>
      </w:r>
    </w:p>
    <w:p w14:paraId="2629CF25">
      <w:pPr>
        <w:pStyle w:val="21"/>
        <w:spacing w:after="0" w:line="500" w:lineRule="exact"/>
        <w:ind w:firstLine="280"/>
        <w:rPr>
          <w:rFonts w:hint="eastAsia" w:ascii="宋体" w:hAnsi="宋体" w:eastAsia="宋体" w:cs="宋体"/>
          <w:sz w:val="28"/>
          <w:szCs w:val="28"/>
        </w:rPr>
      </w:pPr>
    </w:p>
    <w:p w14:paraId="571AB189">
      <w:pPr>
        <w:spacing w:line="500" w:lineRule="exact"/>
        <w:rPr>
          <w:rFonts w:hint="eastAsia" w:ascii="宋体" w:hAnsi="宋体" w:eastAsia="宋体" w:cs="宋体"/>
          <w:sz w:val="28"/>
          <w:szCs w:val="28"/>
        </w:rPr>
      </w:pPr>
    </w:p>
    <w:p w14:paraId="182265C2">
      <w:pPr>
        <w:pStyle w:val="22"/>
        <w:spacing w:line="500" w:lineRule="exact"/>
        <w:rPr>
          <w:rFonts w:hint="eastAsia" w:ascii="宋体" w:hAnsi="宋体" w:eastAsia="宋体" w:cs="宋体"/>
          <w:sz w:val="28"/>
          <w:szCs w:val="28"/>
        </w:rPr>
      </w:pPr>
    </w:p>
    <w:p w14:paraId="2E7164EB">
      <w:pPr>
        <w:pStyle w:val="9"/>
        <w:spacing w:after="0" w:line="500" w:lineRule="exact"/>
        <w:rPr>
          <w:rFonts w:hint="eastAsia" w:ascii="宋体" w:hAnsi="宋体" w:eastAsia="宋体" w:cs="宋体"/>
          <w:sz w:val="28"/>
          <w:szCs w:val="28"/>
        </w:rPr>
      </w:pPr>
    </w:p>
    <w:p w14:paraId="3E447D45">
      <w:pPr>
        <w:pStyle w:val="32"/>
        <w:spacing w:line="500" w:lineRule="exact"/>
        <w:rPr>
          <w:rFonts w:hint="eastAsia" w:ascii="宋体" w:hAnsi="宋体" w:eastAsia="宋体" w:cs="宋体"/>
          <w:szCs w:val="28"/>
        </w:rPr>
      </w:pPr>
    </w:p>
    <w:p w14:paraId="690BBF73">
      <w:pPr>
        <w:pStyle w:val="32"/>
        <w:spacing w:line="500" w:lineRule="exact"/>
        <w:rPr>
          <w:rFonts w:hint="eastAsia" w:ascii="宋体" w:hAnsi="宋体" w:eastAsia="宋体" w:cs="宋体"/>
          <w:szCs w:val="28"/>
        </w:rPr>
      </w:pPr>
      <w:r>
        <w:rPr>
          <w:rFonts w:hint="eastAsia" w:ascii="宋体" w:hAnsi="宋体" w:eastAsia="宋体" w:cs="宋体"/>
          <w:szCs w:val="28"/>
        </w:rPr>
        <w:t xml:space="preserve">  </w:t>
      </w:r>
    </w:p>
    <w:p w14:paraId="12D48030">
      <w:pPr>
        <w:spacing w:line="500" w:lineRule="exact"/>
        <w:rPr>
          <w:rFonts w:hint="eastAsia" w:ascii="宋体" w:hAnsi="宋体" w:eastAsia="宋体" w:cs="宋体"/>
          <w:sz w:val="28"/>
          <w:szCs w:val="28"/>
        </w:rPr>
      </w:pPr>
      <w:bookmarkStart w:id="228" w:name="_GoBack"/>
      <w:bookmarkEnd w:id="228"/>
    </w:p>
    <w:p w14:paraId="5E7592AD">
      <w:pPr>
        <w:pStyle w:val="32"/>
        <w:spacing w:line="500" w:lineRule="exact"/>
        <w:rPr>
          <w:rFonts w:hint="eastAsia" w:ascii="宋体" w:hAnsi="宋体" w:eastAsia="宋体" w:cs="宋体"/>
          <w:szCs w:val="28"/>
        </w:rPr>
      </w:pPr>
    </w:p>
    <w:p w14:paraId="44036166">
      <w:pPr>
        <w:snapToGrid w:val="0"/>
        <w:spacing w:line="500" w:lineRule="exact"/>
        <w:ind w:firstLine="357"/>
        <w:rPr>
          <w:rStyle w:val="30"/>
          <w:rFonts w:hint="eastAsia" w:ascii="宋体" w:hAnsi="宋体" w:eastAsia="宋体" w:cs="宋体"/>
          <w:b/>
          <w:sz w:val="28"/>
          <w:szCs w:val="28"/>
          <w:lang w:eastAsia="zh-CN"/>
        </w:rPr>
      </w:pPr>
      <w:r>
        <w:rPr>
          <w:rStyle w:val="30"/>
          <w:rFonts w:hint="eastAsia" w:ascii="宋体" w:hAnsi="宋体" w:eastAsia="宋体" w:cs="宋体"/>
          <w:b/>
          <w:sz w:val="28"/>
          <w:szCs w:val="28"/>
          <w:lang w:eastAsia="zh-CN"/>
        </w:rPr>
        <w:t>项目名称：新疆大学能源化工公共科研平台设备更新项目</w:t>
      </w:r>
    </w:p>
    <w:p w14:paraId="71AB8976">
      <w:pPr>
        <w:snapToGrid w:val="0"/>
        <w:spacing w:line="500" w:lineRule="exact"/>
        <w:ind w:firstLine="357"/>
        <w:rPr>
          <w:rStyle w:val="30"/>
          <w:rFonts w:hint="eastAsia" w:ascii="宋体" w:hAnsi="宋体" w:eastAsia="宋体" w:cs="宋体"/>
          <w:b/>
          <w:color w:val="auto"/>
          <w:sz w:val="28"/>
          <w:szCs w:val="28"/>
          <w:highlight w:val="none"/>
          <w:lang w:eastAsia="zh-CN"/>
        </w:rPr>
      </w:pPr>
      <w:r>
        <w:rPr>
          <w:rStyle w:val="30"/>
          <w:rFonts w:hint="eastAsia" w:ascii="宋体" w:hAnsi="宋体" w:eastAsia="宋体" w:cs="宋体"/>
          <w:b/>
          <w:color w:val="auto"/>
          <w:sz w:val="28"/>
          <w:szCs w:val="28"/>
          <w:highlight w:val="none"/>
          <w:lang w:eastAsia="zh-CN"/>
        </w:rPr>
        <w:t xml:space="preserve">项目编号： [2026]5774号 </w:t>
      </w:r>
    </w:p>
    <w:p w14:paraId="0E28BA58">
      <w:pPr>
        <w:pStyle w:val="33"/>
        <w:spacing w:line="500" w:lineRule="exact"/>
        <w:rPr>
          <w:rStyle w:val="30"/>
          <w:rFonts w:hint="eastAsia" w:ascii="宋体" w:hAnsi="宋体" w:eastAsia="宋体" w:cs="宋体"/>
          <w:bCs/>
          <w:sz w:val="28"/>
          <w:szCs w:val="28"/>
          <w:lang w:eastAsia="zh-CN"/>
        </w:rPr>
      </w:pPr>
    </w:p>
    <w:p w14:paraId="3E25D9EF">
      <w:pPr>
        <w:snapToGrid w:val="0"/>
        <w:spacing w:line="500" w:lineRule="exact"/>
        <w:ind w:firstLine="357"/>
        <w:rPr>
          <w:rFonts w:hint="eastAsia" w:ascii="宋体" w:hAnsi="宋体" w:eastAsia="宋体" w:cs="宋体"/>
          <w:bCs/>
          <w:sz w:val="28"/>
          <w:szCs w:val="28"/>
        </w:rPr>
      </w:pPr>
      <w:r>
        <w:rPr>
          <w:rStyle w:val="30"/>
          <w:rFonts w:hint="eastAsia" w:ascii="宋体" w:hAnsi="宋体" w:eastAsia="宋体" w:cs="宋体"/>
          <w:bCs/>
          <w:sz w:val="28"/>
          <w:szCs w:val="28"/>
          <w:lang w:eastAsia="zh-CN"/>
        </w:rPr>
        <w:t xml:space="preserve">采购人：新疆大学   </w:t>
      </w:r>
    </w:p>
    <w:p w14:paraId="1C32D53E">
      <w:pPr>
        <w:snapToGrid w:val="0"/>
        <w:spacing w:line="500" w:lineRule="exact"/>
        <w:ind w:firstLine="357"/>
        <w:rPr>
          <w:rStyle w:val="30"/>
          <w:rFonts w:hint="eastAsia" w:ascii="宋体" w:hAnsi="宋体" w:eastAsia="宋体" w:cs="宋体"/>
          <w:bCs/>
          <w:sz w:val="28"/>
          <w:szCs w:val="28"/>
          <w:lang w:eastAsia="zh-CN"/>
        </w:rPr>
      </w:pPr>
      <w:r>
        <w:rPr>
          <w:rStyle w:val="30"/>
          <w:rFonts w:hint="eastAsia" w:ascii="宋体" w:hAnsi="宋体" w:eastAsia="宋体" w:cs="宋体"/>
          <w:bCs/>
          <w:sz w:val="28"/>
          <w:szCs w:val="28"/>
          <w:lang w:eastAsia="zh-CN"/>
        </w:rPr>
        <w:t>联系人：郭老师</w:t>
      </w:r>
    </w:p>
    <w:p w14:paraId="35EF95A4">
      <w:pPr>
        <w:snapToGrid w:val="0"/>
        <w:spacing w:line="500" w:lineRule="exact"/>
        <w:ind w:firstLine="357"/>
        <w:rPr>
          <w:rStyle w:val="30"/>
          <w:rFonts w:hint="eastAsia" w:ascii="宋体" w:hAnsi="宋体" w:eastAsia="宋体" w:cs="宋体"/>
          <w:bCs/>
          <w:sz w:val="28"/>
          <w:szCs w:val="28"/>
          <w:lang w:eastAsia="zh-CN"/>
        </w:rPr>
      </w:pPr>
      <w:r>
        <w:rPr>
          <w:rStyle w:val="30"/>
          <w:rFonts w:hint="eastAsia" w:ascii="宋体" w:hAnsi="宋体" w:eastAsia="宋体" w:cs="宋体"/>
          <w:bCs/>
          <w:sz w:val="28"/>
          <w:szCs w:val="28"/>
          <w:lang w:eastAsia="zh-CN"/>
        </w:rPr>
        <w:t>电话：0991-8580035</w:t>
      </w:r>
    </w:p>
    <w:p w14:paraId="50EBF497">
      <w:pPr>
        <w:snapToGrid w:val="0"/>
        <w:spacing w:line="500" w:lineRule="exact"/>
        <w:ind w:firstLine="357"/>
        <w:rPr>
          <w:rStyle w:val="30"/>
          <w:rFonts w:hint="eastAsia" w:ascii="宋体" w:hAnsi="宋体" w:eastAsia="宋体" w:cs="宋体"/>
          <w:bCs/>
          <w:sz w:val="28"/>
          <w:szCs w:val="28"/>
          <w:lang w:eastAsia="zh-CN"/>
        </w:rPr>
      </w:pPr>
      <w:r>
        <w:rPr>
          <w:rStyle w:val="30"/>
          <w:rFonts w:hint="eastAsia" w:ascii="宋体" w:hAnsi="宋体" w:eastAsia="宋体" w:cs="宋体"/>
          <w:bCs/>
          <w:sz w:val="28"/>
          <w:szCs w:val="28"/>
          <w:lang w:eastAsia="zh-CN"/>
        </w:rPr>
        <w:t>地址：新疆乌鲁木齐市天山区胜利路666号</w:t>
      </w:r>
    </w:p>
    <w:p w14:paraId="12B77578">
      <w:pPr>
        <w:pStyle w:val="21"/>
        <w:spacing w:after="0" w:line="500" w:lineRule="exact"/>
        <w:ind w:firstLine="0" w:firstLineChars="0"/>
        <w:rPr>
          <w:rFonts w:hint="eastAsia" w:ascii="宋体" w:hAnsi="宋体" w:eastAsia="宋体" w:cs="宋体"/>
          <w:sz w:val="28"/>
          <w:szCs w:val="28"/>
        </w:rPr>
      </w:pPr>
    </w:p>
    <w:p w14:paraId="5E31AA4C">
      <w:pPr>
        <w:snapToGrid w:val="0"/>
        <w:spacing w:line="500" w:lineRule="exact"/>
        <w:ind w:firstLine="357"/>
        <w:rPr>
          <w:rStyle w:val="30"/>
          <w:rFonts w:hint="eastAsia" w:ascii="宋体" w:hAnsi="宋体" w:eastAsia="宋体" w:cs="宋体"/>
          <w:bCs/>
          <w:sz w:val="28"/>
          <w:szCs w:val="28"/>
          <w:lang w:eastAsia="zh-CN"/>
        </w:rPr>
      </w:pPr>
      <w:r>
        <w:rPr>
          <w:rStyle w:val="30"/>
          <w:rFonts w:hint="eastAsia" w:ascii="宋体" w:hAnsi="宋体" w:eastAsia="宋体" w:cs="宋体"/>
          <w:bCs/>
          <w:sz w:val="28"/>
          <w:szCs w:val="28"/>
          <w:lang w:eastAsia="zh-CN"/>
        </w:rPr>
        <w:t>采购代理机构：新疆拓源工程管理咨询有限公司</w:t>
      </w:r>
    </w:p>
    <w:p w14:paraId="2876B145">
      <w:pPr>
        <w:snapToGrid w:val="0"/>
        <w:spacing w:line="500" w:lineRule="exact"/>
        <w:ind w:firstLine="357"/>
        <w:rPr>
          <w:rStyle w:val="30"/>
          <w:rFonts w:hint="eastAsia" w:ascii="宋体" w:hAnsi="宋体" w:eastAsia="宋体" w:cs="宋体"/>
          <w:bCs/>
          <w:sz w:val="28"/>
          <w:szCs w:val="28"/>
          <w:lang w:eastAsia="zh-CN"/>
        </w:rPr>
      </w:pPr>
      <w:r>
        <w:rPr>
          <w:rStyle w:val="30"/>
          <w:rFonts w:hint="eastAsia" w:ascii="宋体" w:hAnsi="宋体" w:eastAsia="宋体" w:cs="宋体"/>
          <w:bCs/>
          <w:sz w:val="28"/>
          <w:szCs w:val="28"/>
          <w:lang w:eastAsia="zh-CN"/>
        </w:rPr>
        <w:t>联系人：田释月、郭时忠、张曼</w:t>
      </w:r>
    </w:p>
    <w:p w14:paraId="5AEBCC17">
      <w:pPr>
        <w:snapToGrid w:val="0"/>
        <w:spacing w:line="500" w:lineRule="exact"/>
        <w:ind w:firstLine="357"/>
        <w:rPr>
          <w:rStyle w:val="30"/>
          <w:rFonts w:hint="eastAsia" w:ascii="宋体" w:hAnsi="宋体" w:eastAsia="宋体" w:cs="宋体"/>
          <w:bCs/>
          <w:sz w:val="28"/>
          <w:szCs w:val="28"/>
          <w:lang w:eastAsia="zh-CN"/>
        </w:rPr>
      </w:pPr>
      <w:r>
        <w:rPr>
          <w:rStyle w:val="30"/>
          <w:rFonts w:hint="eastAsia" w:ascii="宋体" w:hAnsi="宋体" w:eastAsia="宋体" w:cs="宋体"/>
          <w:bCs/>
          <w:sz w:val="28"/>
          <w:szCs w:val="28"/>
          <w:lang w:eastAsia="zh-CN"/>
        </w:rPr>
        <w:t>电话：17599816806、13009690616</w:t>
      </w:r>
    </w:p>
    <w:p w14:paraId="65EA5E22">
      <w:pPr>
        <w:snapToGrid w:val="0"/>
        <w:spacing w:line="500" w:lineRule="exact"/>
        <w:ind w:firstLine="357"/>
        <w:rPr>
          <w:rStyle w:val="30"/>
          <w:rFonts w:hint="eastAsia" w:ascii="宋体" w:hAnsi="宋体" w:eastAsia="宋体" w:cs="宋体"/>
          <w:bCs/>
          <w:sz w:val="28"/>
          <w:szCs w:val="28"/>
          <w:lang w:eastAsia="zh-CN"/>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851" w:gutter="0"/>
          <w:pgNumType w:start="1"/>
          <w:cols w:space="720" w:num="1"/>
          <w:titlePg/>
          <w:docGrid w:linePitch="312" w:charSpace="0"/>
        </w:sectPr>
      </w:pPr>
      <w:r>
        <w:rPr>
          <w:rStyle w:val="30"/>
          <w:rFonts w:hint="eastAsia" w:ascii="宋体" w:hAnsi="宋体" w:eastAsia="宋体" w:cs="宋体"/>
          <w:bCs/>
          <w:sz w:val="28"/>
          <w:szCs w:val="28"/>
          <w:lang w:eastAsia="zh-CN"/>
        </w:rPr>
        <w:t>地址：乌鲁木齐市水磨沟区龙盛街898号万科中央公园S6栋5层</w:t>
      </w:r>
    </w:p>
    <w:p w14:paraId="7B1BDBE5">
      <w:pPr>
        <w:spacing w:line="500" w:lineRule="exact"/>
        <w:jc w:val="center"/>
        <w:rPr>
          <w:rFonts w:hint="eastAsia" w:ascii="宋体" w:hAnsi="宋体" w:eastAsia="宋体" w:cs="宋体"/>
          <w:sz w:val="28"/>
          <w:szCs w:val="28"/>
        </w:rPr>
      </w:pPr>
      <w:bookmarkStart w:id="0" w:name="_Toc26266"/>
      <w:bookmarkStart w:id="1" w:name="_Toc10043"/>
      <w:bookmarkStart w:id="2" w:name="_Toc31371"/>
      <w:bookmarkStart w:id="3" w:name="_Toc18699"/>
      <w:bookmarkStart w:id="4" w:name="_Toc11829"/>
      <w:bookmarkStart w:id="5" w:name="_Toc31151"/>
      <w:bookmarkStart w:id="6" w:name="_Toc20653"/>
      <w:r>
        <w:rPr>
          <w:rFonts w:hint="eastAsia" w:ascii="宋体" w:hAnsi="宋体" w:eastAsia="宋体" w:cs="宋体"/>
          <w:b/>
          <w:sz w:val="28"/>
          <w:szCs w:val="28"/>
        </w:rPr>
        <w:t>目    录</w:t>
      </w:r>
      <w:bookmarkEnd w:id="0"/>
      <w:bookmarkEnd w:id="1"/>
      <w:bookmarkEnd w:id="2"/>
      <w:bookmarkEnd w:id="3"/>
      <w:bookmarkEnd w:id="4"/>
      <w:bookmarkEnd w:id="5"/>
      <w:bookmarkEnd w:id="6"/>
    </w:p>
    <w:p w14:paraId="430AA156">
      <w:pPr>
        <w:pStyle w:val="16"/>
        <w:tabs>
          <w:tab w:val="right" w:leader="dot" w:pos="8307"/>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"_Toc291860747" </w:instrText>
      </w:r>
      <w:r>
        <w:rPr>
          <w:rFonts w:hint="eastAsia" w:ascii="宋体" w:hAnsi="宋体" w:eastAsia="宋体" w:cs="宋体"/>
        </w:rPr>
        <w:fldChar w:fldCharType="separate"/>
      </w:r>
      <w:r>
        <w:rPr>
          <w:rFonts w:hint="eastAsia" w:ascii="宋体" w:hAnsi="宋体" w:eastAsia="宋体" w:cs="宋体"/>
          <w:bCs/>
          <w:sz w:val="28"/>
          <w:szCs w:val="28"/>
        </w:rPr>
        <w:t>第一章  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_Toc291860747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F135D85">
      <w:pPr>
        <w:pStyle w:val="16"/>
        <w:tabs>
          <w:tab w:val="right" w:leader="dot" w:pos="8307"/>
        </w:tabs>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"_Toc450925081" </w:instrText>
      </w:r>
      <w:r>
        <w:rPr>
          <w:rFonts w:hint="eastAsia" w:ascii="宋体" w:hAnsi="宋体" w:eastAsia="宋体" w:cs="宋体"/>
        </w:rPr>
        <w:fldChar w:fldCharType="separate"/>
      </w:r>
      <w:r>
        <w:rPr>
          <w:rFonts w:hint="eastAsia" w:ascii="宋体" w:hAnsi="宋体" w:eastAsia="宋体" w:cs="宋体"/>
          <w:bCs/>
          <w:sz w:val="28"/>
          <w:szCs w:val="28"/>
        </w:rPr>
        <w:t>第二章  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_Toc450925081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EA861A5">
      <w:pPr>
        <w:pStyle w:val="16"/>
        <w:tabs>
          <w:tab w:val="right" w:leader="dot" w:pos="8307"/>
        </w:tabs>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"_Toc228046104" </w:instrText>
      </w:r>
      <w:r>
        <w:rPr>
          <w:rFonts w:hint="eastAsia" w:ascii="宋体" w:hAnsi="宋体" w:eastAsia="宋体" w:cs="宋体"/>
        </w:rPr>
        <w:fldChar w:fldCharType="separate"/>
      </w:r>
      <w:r>
        <w:rPr>
          <w:rFonts w:hint="eastAsia" w:ascii="宋体" w:hAnsi="宋体" w:eastAsia="宋体" w:cs="宋体"/>
          <w:bCs/>
          <w:sz w:val="28"/>
          <w:szCs w:val="28"/>
        </w:rPr>
        <w:t>第三章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_Toc228046104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C0079AF">
      <w:pPr>
        <w:pStyle w:val="16"/>
        <w:tabs>
          <w:tab w:val="right" w:leader="dot" w:pos="8307"/>
        </w:tabs>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"_Toc246587936" </w:instrText>
      </w:r>
      <w:r>
        <w:rPr>
          <w:rFonts w:hint="eastAsia" w:ascii="宋体" w:hAnsi="宋体" w:eastAsia="宋体" w:cs="宋体"/>
        </w:rPr>
        <w:fldChar w:fldCharType="separate"/>
      </w:r>
      <w:r>
        <w:rPr>
          <w:rFonts w:hint="eastAsia" w:ascii="宋体" w:hAnsi="宋体" w:eastAsia="宋体" w:cs="宋体"/>
          <w:bCs/>
          <w:sz w:val="28"/>
          <w:szCs w:val="28"/>
        </w:rPr>
        <w:t>第四章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_Toc246587936 \h </w:instrText>
      </w:r>
      <w:r>
        <w:rPr>
          <w:rFonts w:hint="eastAsia" w:ascii="宋体" w:hAnsi="宋体" w:eastAsia="宋体" w:cs="宋体"/>
          <w:sz w:val="28"/>
          <w:szCs w:val="28"/>
        </w:rPr>
        <w:fldChar w:fldCharType="separate"/>
      </w:r>
      <w:r>
        <w:rPr>
          <w:rFonts w:hint="eastAsia" w:ascii="宋体" w:hAnsi="宋体" w:eastAsia="宋体" w:cs="宋体"/>
          <w:sz w:val="28"/>
          <w:szCs w:val="28"/>
        </w:rPr>
        <w:t>55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DFC1223">
      <w:pPr>
        <w:pStyle w:val="16"/>
        <w:tabs>
          <w:tab w:val="right" w:leader="dot" w:pos="8307"/>
        </w:tabs>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"_Toc1907485289" </w:instrText>
      </w:r>
      <w:r>
        <w:rPr>
          <w:rFonts w:hint="eastAsia" w:ascii="宋体" w:hAnsi="宋体" w:eastAsia="宋体" w:cs="宋体"/>
        </w:rPr>
        <w:fldChar w:fldCharType="separate"/>
      </w:r>
      <w:r>
        <w:rPr>
          <w:rFonts w:hint="eastAsia" w:ascii="宋体" w:hAnsi="宋体" w:eastAsia="宋体" w:cs="宋体"/>
          <w:bCs/>
          <w:sz w:val="28"/>
          <w:szCs w:val="28"/>
        </w:rPr>
        <w:t>第五章  评标办法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_Toc1907485289 \h </w:instrText>
      </w:r>
      <w:r>
        <w:rPr>
          <w:rFonts w:hint="eastAsia" w:ascii="宋体" w:hAnsi="宋体" w:eastAsia="宋体" w:cs="宋体"/>
          <w:sz w:val="28"/>
          <w:szCs w:val="28"/>
        </w:rPr>
        <w:fldChar w:fldCharType="separate"/>
      </w:r>
      <w:r>
        <w:rPr>
          <w:rFonts w:hint="eastAsia" w:ascii="宋体" w:hAnsi="宋体" w:eastAsia="宋体" w:cs="宋体"/>
          <w:sz w:val="28"/>
          <w:szCs w:val="28"/>
        </w:rPr>
        <w:t>55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DA9676">
      <w:pPr>
        <w:pStyle w:val="16"/>
        <w:tabs>
          <w:tab w:val="right" w:leader="dot" w:pos="8307"/>
        </w:tabs>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"_Toc1469369807" </w:instrText>
      </w:r>
      <w:r>
        <w:rPr>
          <w:rFonts w:hint="eastAsia" w:ascii="宋体" w:hAnsi="宋体" w:eastAsia="宋体" w:cs="宋体"/>
        </w:rPr>
        <w:fldChar w:fldCharType="separate"/>
      </w:r>
      <w:r>
        <w:rPr>
          <w:rFonts w:hint="eastAsia" w:ascii="宋体" w:hAnsi="宋体" w:eastAsia="宋体" w:cs="宋体"/>
          <w:bCs/>
          <w:kern w:val="0"/>
          <w:sz w:val="28"/>
          <w:szCs w:val="28"/>
        </w:rPr>
        <w:t>第六章  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_Toc1469369807 \h </w:instrText>
      </w:r>
      <w:r>
        <w:rPr>
          <w:rFonts w:hint="eastAsia" w:ascii="宋体" w:hAnsi="宋体" w:eastAsia="宋体" w:cs="宋体"/>
          <w:sz w:val="28"/>
          <w:szCs w:val="28"/>
        </w:rPr>
        <w:fldChar w:fldCharType="separate"/>
      </w:r>
      <w:r>
        <w:rPr>
          <w:rFonts w:hint="eastAsia" w:ascii="宋体" w:hAnsi="宋体" w:eastAsia="宋体" w:cs="宋体"/>
          <w:sz w:val="28"/>
          <w:szCs w:val="28"/>
        </w:rPr>
        <w:t>206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76B3D86">
      <w:pPr>
        <w:pStyle w:val="16"/>
        <w:tabs>
          <w:tab w:val="right" w:leader="dot" w:pos="8307"/>
        </w:tabs>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"_Toc1783889396" </w:instrText>
      </w:r>
      <w:r>
        <w:rPr>
          <w:rFonts w:hint="eastAsia" w:ascii="宋体" w:hAnsi="宋体" w:eastAsia="宋体" w:cs="宋体"/>
        </w:rPr>
        <w:fldChar w:fldCharType="separate"/>
      </w:r>
      <w:r>
        <w:rPr>
          <w:rFonts w:hint="eastAsia" w:ascii="宋体" w:hAnsi="宋体" w:eastAsia="宋体" w:cs="宋体"/>
          <w:snapToGrid w:val="0"/>
          <w:spacing w:val="-9"/>
          <w:kern w:val="0"/>
          <w:sz w:val="28"/>
          <w:szCs w:val="28"/>
          <w:lang w:eastAsia="en-US"/>
        </w:rPr>
        <w:t>附件</w:t>
      </w:r>
      <w:r>
        <w:rPr>
          <w:rFonts w:hint="eastAsia" w:ascii="宋体" w:hAnsi="宋体" w:eastAsia="宋体" w:cs="宋体"/>
          <w:snapToGrid w:val="0"/>
          <w:spacing w:val="-9"/>
          <w:kern w:val="0"/>
          <w:sz w:val="28"/>
          <w:szCs w:val="28"/>
        </w:rPr>
        <w:t>1：</w:t>
      </w:r>
      <w:r>
        <w:rPr>
          <w:rFonts w:hint="eastAsia" w:ascii="宋体" w:hAnsi="宋体" w:eastAsia="宋体" w:cs="宋体"/>
          <w:snapToGrid w:val="0"/>
          <w:spacing w:val="-9"/>
          <w:kern w:val="0"/>
          <w:sz w:val="28"/>
          <w:szCs w:val="28"/>
          <w:lang w:eastAsia="en-US"/>
        </w:rPr>
        <w:t>政府采购促进中小企业发展管理办法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_Toc1783889396 \h </w:instrText>
      </w:r>
      <w:r>
        <w:rPr>
          <w:rFonts w:hint="eastAsia" w:ascii="宋体" w:hAnsi="宋体" w:eastAsia="宋体" w:cs="宋体"/>
          <w:sz w:val="28"/>
          <w:szCs w:val="28"/>
        </w:rPr>
        <w:fldChar w:fldCharType="separate"/>
      </w:r>
      <w:r>
        <w:rPr>
          <w:rFonts w:hint="eastAsia" w:ascii="宋体" w:hAnsi="宋体" w:eastAsia="宋体" w:cs="宋体"/>
          <w:sz w:val="28"/>
          <w:szCs w:val="28"/>
        </w:rPr>
        <w:t>206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E96E3B3">
      <w:pPr>
        <w:pStyle w:val="16"/>
        <w:tabs>
          <w:tab w:val="right" w:leader="dot" w:pos="8307"/>
        </w:tabs>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"_Toc809882805" </w:instrText>
      </w:r>
      <w:r>
        <w:rPr>
          <w:rFonts w:hint="eastAsia" w:ascii="宋体" w:hAnsi="宋体" w:eastAsia="宋体" w:cs="宋体"/>
        </w:rPr>
        <w:fldChar w:fldCharType="separate"/>
      </w:r>
      <w:r>
        <w:rPr>
          <w:rFonts w:hint="eastAsia" w:ascii="宋体" w:hAnsi="宋体" w:eastAsia="宋体" w:cs="宋体"/>
          <w:snapToGrid w:val="0"/>
          <w:spacing w:val="-9"/>
          <w:kern w:val="0"/>
          <w:sz w:val="28"/>
          <w:szCs w:val="28"/>
          <w:lang w:eastAsia="en-US"/>
        </w:rPr>
        <w:t>附件</w:t>
      </w:r>
      <w:r>
        <w:rPr>
          <w:rFonts w:hint="eastAsia" w:ascii="宋体" w:hAnsi="宋体" w:eastAsia="宋体" w:cs="宋体"/>
          <w:snapToGrid w:val="0"/>
          <w:spacing w:val="-9"/>
          <w:kern w:val="0"/>
          <w:sz w:val="28"/>
          <w:szCs w:val="28"/>
        </w:rPr>
        <w:t>2：关于进一步加大政府采购支持中小企业力度的通知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_Toc809882805 \h </w:instrText>
      </w:r>
      <w:r>
        <w:rPr>
          <w:rFonts w:hint="eastAsia" w:ascii="宋体" w:hAnsi="宋体" w:eastAsia="宋体" w:cs="宋体"/>
          <w:sz w:val="28"/>
          <w:szCs w:val="28"/>
        </w:rPr>
        <w:fldChar w:fldCharType="separate"/>
      </w:r>
      <w:r>
        <w:rPr>
          <w:rFonts w:hint="eastAsia" w:ascii="宋体" w:hAnsi="宋体" w:eastAsia="宋体" w:cs="宋体"/>
          <w:sz w:val="28"/>
          <w:szCs w:val="28"/>
        </w:rPr>
        <w:t>222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565B10B">
      <w:pPr>
        <w:pStyle w:val="16"/>
        <w:tabs>
          <w:tab w:val="right" w:leader="dot" w:pos="8307"/>
        </w:tabs>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"_Toc948948949" </w:instrText>
      </w:r>
      <w:r>
        <w:rPr>
          <w:rFonts w:hint="eastAsia" w:ascii="宋体" w:hAnsi="宋体" w:eastAsia="宋体" w:cs="宋体"/>
        </w:rPr>
        <w:fldChar w:fldCharType="separate"/>
      </w:r>
      <w:r>
        <w:rPr>
          <w:rFonts w:hint="eastAsia" w:ascii="宋体" w:hAnsi="宋体" w:eastAsia="宋体" w:cs="宋体"/>
          <w:snapToGrid w:val="0"/>
          <w:spacing w:val="-9"/>
          <w:kern w:val="0"/>
          <w:sz w:val="28"/>
          <w:szCs w:val="28"/>
        </w:rPr>
        <w:t>附件3：关于印发中小企业划型标准规定的通知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_Toc948948949 \h </w:instrText>
      </w:r>
      <w:r>
        <w:rPr>
          <w:rFonts w:hint="eastAsia" w:ascii="宋体" w:hAnsi="宋体" w:eastAsia="宋体" w:cs="宋体"/>
          <w:sz w:val="28"/>
          <w:szCs w:val="28"/>
        </w:rPr>
        <w:fldChar w:fldCharType="separate"/>
      </w:r>
      <w:r>
        <w:rPr>
          <w:rFonts w:hint="eastAsia" w:ascii="宋体" w:hAnsi="宋体" w:eastAsia="宋体" w:cs="宋体"/>
          <w:sz w:val="28"/>
          <w:szCs w:val="28"/>
        </w:rPr>
        <w:t>224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96F6A81">
      <w:pPr>
        <w:pStyle w:val="16"/>
        <w:tabs>
          <w:tab w:val="right" w:leader="dot" w:pos="8307"/>
        </w:tabs>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"_Toc1771423221" </w:instrText>
      </w:r>
      <w:r>
        <w:rPr>
          <w:rFonts w:hint="eastAsia" w:ascii="宋体" w:hAnsi="宋体" w:eastAsia="宋体" w:cs="宋体"/>
        </w:rPr>
        <w:fldChar w:fldCharType="separate"/>
      </w:r>
      <w:r>
        <w:rPr>
          <w:rFonts w:hint="eastAsia" w:ascii="宋体" w:hAnsi="宋体" w:eastAsia="宋体" w:cs="宋体"/>
          <w:sz w:val="28"/>
          <w:szCs w:val="28"/>
        </w:rPr>
        <w:t>附件4</w:t>
      </w:r>
      <w:r>
        <w:rPr>
          <w:rFonts w:hint="eastAsia" w:ascii="宋体" w:hAnsi="宋体" w:eastAsia="宋体" w:cs="宋体"/>
          <w:sz w:val="28"/>
          <w:szCs w:val="28"/>
          <w:shd w:val="clear" w:color="auto" w:fill="FFFFFF"/>
        </w:rPr>
        <w:t>国务院办公厅关于在政府采购中实施本国产品标准及相关政策的通知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_Toc1771423221 \h </w:instrText>
      </w:r>
      <w:r>
        <w:rPr>
          <w:rFonts w:hint="eastAsia" w:ascii="宋体" w:hAnsi="宋体" w:eastAsia="宋体" w:cs="宋体"/>
          <w:sz w:val="28"/>
          <w:szCs w:val="28"/>
        </w:rPr>
        <w:fldChar w:fldCharType="separate"/>
      </w:r>
      <w:r>
        <w:rPr>
          <w:rFonts w:hint="eastAsia" w:ascii="宋体" w:hAnsi="宋体" w:eastAsia="宋体" w:cs="宋体"/>
          <w:sz w:val="28"/>
          <w:szCs w:val="28"/>
        </w:rPr>
        <w:t>229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E78123">
      <w:pPr>
        <w:pStyle w:val="9"/>
        <w:spacing w:after="0" w:line="500" w:lineRule="exact"/>
        <w:rPr>
          <w:rFonts w:hint="eastAsia" w:ascii="宋体" w:hAnsi="宋体" w:eastAsia="宋体" w:cs="宋体"/>
          <w:sz w:val="28"/>
          <w:szCs w:val="28"/>
        </w:rPr>
      </w:pPr>
      <w:r>
        <w:rPr>
          <w:rFonts w:hint="eastAsia" w:ascii="宋体" w:hAnsi="宋体" w:eastAsia="宋体" w:cs="宋体"/>
          <w:sz w:val="28"/>
          <w:szCs w:val="28"/>
        </w:rPr>
        <w:fldChar w:fldCharType="end"/>
      </w:r>
    </w:p>
    <w:p w14:paraId="1A4B0159">
      <w:pPr>
        <w:spacing w:line="500" w:lineRule="exact"/>
        <w:ind w:firstLine="560" w:firstLineChars="200"/>
        <w:rPr>
          <w:rFonts w:hint="eastAsia" w:ascii="宋体" w:hAnsi="宋体" w:eastAsia="宋体" w:cs="宋体"/>
          <w:bCs/>
          <w:sz w:val="28"/>
          <w:szCs w:val="28"/>
        </w:rPr>
      </w:pPr>
    </w:p>
    <w:p w14:paraId="18A5A15F">
      <w:pPr>
        <w:pStyle w:val="2"/>
        <w:spacing w:before="0" w:after="0" w:line="500" w:lineRule="exact"/>
        <w:jc w:val="center"/>
        <w:rPr>
          <w:rFonts w:hint="eastAsia" w:ascii="宋体" w:hAnsi="宋体" w:eastAsia="宋体" w:cs="宋体"/>
          <w:color w:val="auto"/>
          <w:sz w:val="28"/>
          <w:szCs w:val="28"/>
        </w:rPr>
        <w:sectPr>
          <w:headerReference r:id="rId8" w:type="default"/>
          <w:pgSz w:w="11907" w:h="16840"/>
          <w:pgMar w:top="1440" w:right="1800" w:bottom="1440" w:left="1800" w:header="851" w:footer="992" w:gutter="0"/>
          <w:pgNumType w:start="1"/>
          <w:cols w:space="720" w:num="1"/>
          <w:docGrid w:linePitch="312" w:charSpace="0"/>
        </w:sectPr>
      </w:pPr>
    </w:p>
    <w:p w14:paraId="0E43A95C">
      <w:pPr>
        <w:pStyle w:val="2"/>
        <w:spacing w:before="0" w:after="0" w:line="480" w:lineRule="exact"/>
        <w:jc w:val="center"/>
        <w:rPr>
          <w:rFonts w:hint="eastAsia" w:ascii="宋体" w:hAnsi="宋体" w:eastAsia="宋体" w:cs="宋体"/>
          <w:b/>
          <w:bCs/>
          <w:color w:val="auto"/>
          <w:sz w:val="28"/>
          <w:szCs w:val="28"/>
        </w:rPr>
      </w:pPr>
      <w:bookmarkStart w:id="7" w:name="_Toc647_WPSOffice_Level1"/>
      <w:bookmarkStart w:id="8" w:name="_Toc19516"/>
      <w:bookmarkStart w:id="9" w:name="_Toc15827"/>
      <w:bookmarkStart w:id="10" w:name="_Toc291860747"/>
      <w:bookmarkStart w:id="11" w:name="_Toc26488"/>
      <w:bookmarkStart w:id="12" w:name="_Toc7786"/>
      <w:bookmarkStart w:id="13" w:name="_Toc9974"/>
      <w:bookmarkStart w:id="14" w:name="_Toc31346"/>
      <w:bookmarkStart w:id="15" w:name="_Toc1757863841"/>
      <w:bookmarkStart w:id="16" w:name="_Toc6452"/>
      <w:r>
        <w:rPr>
          <w:rFonts w:hint="eastAsia" w:ascii="宋体" w:hAnsi="宋体" w:eastAsia="宋体" w:cs="宋体"/>
          <w:b/>
          <w:bCs/>
          <w:color w:val="auto"/>
          <w:sz w:val="28"/>
          <w:szCs w:val="28"/>
        </w:rPr>
        <w:t xml:space="preserve">第一章  </w:t>
      </w:r>
      <w:bookmarkEnd w:id="7"/>
      <w:r>
        <w:rPr>
          <w:rFonts w:hint="eastAsia" w:ascii="宋体" w:hAnsi="宋体" w:eastAsia="宋体" w:cs="宋体"/>
          <w:b/>
          <w:bCs/>
          <w:color w:val="auto"/>
          <w:sz w:val="28"/>
          <w:szCs w:val="28"/>
        </w:rPr>
        <w:t>招标公告</w:t>
      </w:r>
      <w:bookmarkEnd w:id="8"/>
      <w:bookmarkEnd w:id="9"/>
      <w:bookmarkEnd w:id="10"/>
      <w:bookmarkEnd w:id="11"/>
      <w:bookmarkEnd w:id="12"/>
      <w:bookmarkEnd w:id="13"/>
      <w:bookmarkEnd w:id="14"/>
      <w:bookmarkEnd w:id="15"/>
      <w:bookmarkEnd w:id="16"/>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2"/>
      </w:tblGrid>
      <w:tr w14:paraId="5345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5000" w:type="pct"/>
          </w:tcPr>
          <w:p w14:paraId="3EF83C34">
            <w:pPr>
              <w:pStyle w:val="20"/>
              <w:keepNext w:val="0"/>
              <w:keepLines w:val="0"/>
              <w:suppressLineNumbers w:val="0"/>
              <w:spacing w:before="0" w:beforeAutospacing="0" w:after="0" w:afterAutospacing="0" w:line="460" w:lineRule="exact"/>
              <w:ind w:left="0" w:right="0"/>
              <w:jc w:val="center"/>
              <w:rPr>
                <w:rFonts w:hint="eastAsia" w:ascii="宋体" w:hAnsi="宋体" w:eastAsia="宋体" w:cs="宋体"/>
                <w:sz w:val="28"/>
                <w:szCs w:val="28"/>
              </w:rPr>
            </w:pPr>
            <w:bookmarkStart w:id="17" w:name="_Toc213396759"/>
            <w:bookmarkStart w:id="18" w:name="_Toc213396945"/>
            <w:bookmarkStart w:id="19" w:name="_Toc213397009"/>
            <w:bookmarkStart w:id="20" w:name="_Toc856_WPSOffice_Level1"/>
            <w:bookmarkStart w:id="21" w:name="_Toc217446031"/>
            <w:bookmarkStart w:id="22" w:name="_Toc213496267"/>
            <w:r>
              <w:rPr>
                <w:rFonts w:hint="eastAsia" w:ascii="宋体" w:hAnsi="宋体" w:eastAsia="宋体" w:cs="宋体"/>
                <w:sz w:val="28"/>
                <w:szCs w:val="28"/>
              </w:rPr>
              <w:t>项目概况</w:t>
            </w:r>
          </w:p>
          <w:p w14:paraId="5A442ECE">
            <w:pPr>
              <w:pStyle w:val="20"/>
              <w:keepNext w:val="0"/>
              <w:keepLines w:val="0"/>
              <w:suppressLineNumbers w:val="0"/>
              <w:spacing w:before="0" w:beforeAutospacing="0" w:after="0" w:afterAutospacing="0" w:line="460" w:lineRule="exact"/>
              <w:ind w:left="0" w:right="0"/>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u w:val="single"/>
              </w:rPr>
              <w:t>新疆大学能源化工公共科研平台设备更新项目</w:t>
            </w:r>
            <w:r>
              <w:rPr>
                <w:rFonts w:hint="eastAsia" w:ascii="宋体" w:hAnsi="宋体" w:eastAsia="宋体" w:cs="宋体"/>
                <w:sz w:val="28"/>
                <w:szCs w:val="28"/>
              </w:rPr>
              <w:t>的潜在投标人应在</w:t>
            </w:r>
            <w:r>
              <w:rPr>
                <w:rStyle w:val="30"/>
                <w:rFonts w:hint="eastAsia" w:ascii="宋体" w:hAnsi="宋体" w:eastAsia="宋体" w:cs="宋体"/>
                <w:sz w:val="28"/>
                <w:szCs w:val="28"/>
                <w:u w:val="single"/>
                <w:lang w:eastAsia="zh-CN"/>
              </w:rPr>
              <w:t>政采云线上平台</w:t>
            </w:r>
            <w:r>
              <w:rPr>
                <w:rFonts w:hint="eastAsia" w:ascii="宋体" w:hAnsi="宋体" w:eastAsia="宋体" w:cs="宋体"/>
                <w:sz w:val="28"/>
                <w:szCs w:val="28"/>
              </w:rPr>
              <w:t>获取招标文件</w:t>
            </w:r>
            <w:r>
              <w:rPr>
                <w:rFonts w:hint="eastAsia" w:ascii="宋体" w:hAnsi="宋体" w:eastAsia="宋体" w:cs="宋体"/>
                <w:sz w:val="28"/>
                <w:szCs w:val="28"/>
                <w:highlight w:val="none"/>
              </w:rPr>
              <w:t>，并于</w:t>
            </w:r>
            <w:r>
              <w:rPr>
                <w:rStyle w:val="30"/>
                <w:rFonts w:hint="eastAsia" w:ascii="宋体" w:hAnsi="宋体" w:eastAsia="宋体" w:cs="宋体"/>
                <w:sz w:val="28"/>
                <w:szCs w:val="28"/>
                <w:highlight w:val="none"/>
                <w:u w:val="single"/>
                <w:lang w:eastAsia="zh-CN"/>
              </w:rPr>
              <w:t>2026年</w:t>
            </w:r>
            <w:r>
              <w:rPr>
                <w:rStyle w:val="30"/>
                <w:rFonts w:hint="eastAsia" w:ascii="宋体" w:hAnsi="宋体" w:eastAsia="宋体" w:cs="宋体"/>
                <w:sz w:val="28"/>
                <w:szCs w:val="28"/>
                <w:highlight w:val="none"/>
                <w:u w:val="single"/>
                <w:lang w:val="en-US" w:eastAsia="zh-CN"/>
              </w:rPr>
              <w:t>5</w:t>
            </w:r>
            <w:r>
              <w:rPr>
                <w:rStyle w:val="30"/>
                <w:rFonts w:hint="eastAsia" w:ascii="宋体" w:hAnsi="宋体" w:eastAsia="宋体" w:cs="宋体"/>
                <w:sz w:val="28"/>
                <w:szCs w:val="28"/>
                <w:highlight w:val="none"/>
                <w:u w:val="single"/>
                <w:lang w:eastAsia="zh-CN"/>
              </w:rPr>
              <w:t>月</w:t>
            </w:r>
            <w:r>
              <w:rPr>
                <w:rStyle w:val="30"/>
                <w:rFonts w:hint="eastAsia" w:ascii="宋体" w:hAnsi="宋体" w:eastAsia="宋体" w:cs="宋体"/>
                <w:sz w:val="28"/>
                <w:szCs w:val="28"/>
                <w:highlight w:val="none"/>
                <w:u w:val="single"/>
                <w:lang w:val="en-US" w:eastAsia="zh-CN"/>
              </w:rPr>
              <w:t>15</w:t>
            </w:r>
            <w:r>
              <w:rPr>
                <w:rStyle w:val="30"/>
                <w:rFonts w:hint="eastAsia" w:ascii="宋体" w:hAnsi="宋体" w:eastAsia="宋体" w:cs="宋体"/>
                <w:sz w:val="28"/>
                <w:szCs w:val="28"/>
                <w:highlight w:val="none"/>
                <w:u w:val="single"/>
                <w:lang w:eastAsia="zh-CN"/>
              </w:rPr>
              <w:t>日11:00（北京时间）</w:t>
            </w:r>
            <w:r>
              <w:rPr>
                <w:rFonts w:hint="eastAsia" w:ascii="宋体" w:hAnsi="宋体" w:eastAsia="宋体" w:cs="宋体"/>
                <w:sz w:val="28"/>
                <w:szCs w:val="28"/>
                <w:highlight w:val="none"/>
              </w:rPr>
              <w:t>前上传投标文件。</w:t>
            </w:r>
          </w:p>
        </w:tc>
      </w:tr>
    </w:tbl>
    <w:p w14:paraId="08B47EDF">
      <w:pPr>
        <w:pStyle w:val="20"/>
        <w:spacing w:beforeAutospacing="0" w:afterAutospacing="0" w:line="460" w:lineRule="exact"/>
        <w:rPr>
          <w:rStyle w:val="26"/>
          <w:rFonts w:hint="eastAsia" w:ascii="宋体" w:hAnsi="宋体" w:eastAsia="宋体" w:cs="宋体"/>
          <w:b/>
          <w:bCs/>
          <w:sz w:val="28"/>
          <w:szCs w:val="28"/>
        </w:rPr>
      </w:pPr>
      <w:r>
        <w:rPr>
          <w:rStyle w:val="26"/>
          <w:rFonts w:hint="eastAsia" w:ascii="宋体" w:hAnsi="宋体" w:eastAsia="宋体" w:cs="宋体"/>
          <w:b/>
          <w:bCs/>
          <w:sz w:val="28"/>
          <w:szCs w:val="28"/>
        </w:rPr>
        <w:t>一、项目基本情况</w:t>
      </w:r>
    </w:p>
    <w:p w14:paraId="409BC9A0">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1.项目编号：  </w:t>
      </w:r>
    </w:p>
    <w:p w14:paraId="0B67FA09">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2.项目名称：新疆大学能源化工公共科研平台设备更新项目 </w:t>
      </w:r>
    </w:p>
    <w:p w14:paraId="56FA6225">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3.采购方式：公开招标 </w:t>
      </w:r>
    </w:p>
    <w:p w14:paraId="5326E339">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4.预算金额（最高限价）：6321.14万元</w:t>
      </w:r>
    </w:p>
    <w:p w14:paraId="34025970">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简要规格描述或项目基本概况介绍、用途：双通道快速/保温电石热处理收集系统、气相色谱仪、高温荷载结构体素分析显微镜、高温红外烟气分析仪、原位红外漫反射高温高压表征系统、纳米分辨可视化原位力-热耦合测试系统、草酸酯合成反应及精馏装置、15 公斤电热法制电石装置、数字智能化催化剂制备放大平台、数字智能化催化加氢反应装置、数字智能化醋酸乙烯酯和氯乙烯装置、数字智能化共聚物制备反应装置、高效合成BDO全流程模试装置、醋酸乙烯氢甲酰化单管实验装置、固体废弃物建材制备系统、高温高压腐蚀疲劳试验系统、高温应力腐蚀试验系统、多通道高温腐蚀试验平台、脱硫烟气NOx吸附-解吸与水相电催化制氨平台、多通道多元介质液相腐蚀试验平台、高氯煤回转窑热解提质与喷淋吸附一体脱氯试验平台、光催化连续反应放大分离系统、电催化连续反应放大分离系统、气相色谱质谱联用仪、制备液相色谱仪、气相色谱仪、高效液相色谱仪、自动化智能化合成平台采购，具体详见招标文件。</w:t>
      </w:r>
    </w:p>
    <w:p w14:paraId="659CF0B4">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6.供货期：详见招标文件第</w:t>
      </w:r>
      <w:r>
        <w:rPr>
          <w:rFonts w:hint="eastAsia" w:hAnsi="宋体" w:cs="宋体"/>
          <w:sz w:val="28"/>
          <w:szCs w:val="28"/>
          <w:lang w:val="en-US" w:eastAsia="zh-CN"/>
        </w:rPr>
        <w:t>四</w:t>
      </w:r>
      <w:r>
        <w:rPr>
          <w:rFonts w:hint="eastAsia" w:ascii="宋体" w:hAnsi="宋体" w:eastAsia="宋体" w:cs="宋体"/>
          <w:sz w:val="28"/>
          <w:szCs w:val="28"/>
        </w:rPr>
        <w:t xml:space="preserve">章“采购需求”。 </w:t>
      </w:r>
    </w:p>
    <w:p w14:paraId="05A4D4B9">
      <w:pPr>
        <w:pStyle w:val="20"/>
        <w:spacing w:beforeAutospacing="0" w:afterAutospacing="0" w:line="460" w:lineRule="exact"/>
        <w:rPr>
          <w:rStyle w:val="26"/>
          <w:rFonts w:hint="eastAsia" w:ascii="宋体" w:hAnsi="宋体" w:eastAsia="宋体" w:cs="宋体"/>
          <w:b/>
          <w:bCs/>
          <w:sz w:val="28"/>
          <w:szCs w:val="28"/>
        </w:rPr>
      </w:pPr>
      <w:r>
        <w:rPr>
          <w:rStyle w:val="26"/>
          <w:rFonts w:hint="eastAsia" w:ascii="宋体" w:hAnsi="宋体" w:eastAsia="宋体" w:cs="宋体"/>
          <w:b/>
          <w:bCs/>
          <w:sz w:val="28"/>
          <w:szCs w:val="28"/>
        </w:rPr>
        <w:t>二、申请人的资格要求：</w:t>
      </w:r>
    </w:p>
    <w:p w14:paraId="740EA345">
      <w:pPr>
        <w:pStyle w:val="20"/>
        <w:spacing w:beforeAutospacing="0" w:afterAutospacing="0" w:line="460" w:lineRule="exact"/>
        <w:ind w:firstLine="560" w:firstLineChars="200"/>
        <w:rPr>
          <w:rStyle w:val="26"/>
          <w:rFonts w:hint="eastAsia" w:ascii="宋体" w:hAnsi="宋体" w:eastAsia="宋体" w:cs="宋体"/>
          <w:sz w:val="28"/>
          <w:szCs w:val="28"/>
        </w:rPr>
      </w:pPr>
      <w:r>
        <w:rPr>
          <w:rFonts w:hint="eastAsia" w:ascii="宋体" w:hAnsi="宋体" w:eastAsia="宋体" w:cs="宋体"/>
          <w:sz w:val="28"/>
          <w:szCs w:val="28"/>
        </w:rPr>
        <w:t>1.</w:t>
      </w:r>
      <w:r>
        <w:rPr>
          <w:rStyle w:val="26"/>
          <w:rFonts w:hint="eastAsia" w:ascii="宋体" w:hAnsi="宋体" w:eastAsia="宋体" w:cs="宋体"/>
          <w:sz w:val="28"/>
          <w:szCs w:val="28"/>
        </w:rPr>
        <w:t>具有独立承担民事责任的能力；</w:t>
      </w:r>
    </w:p>
    <w:p w14:paraId="3FBC2095">
      <w:pPr>
        <w:pStyle w:val="20"/>
        <w:spacing w:beforeAutospacing="0" w:afterAutospacing="0" w:line="460" w:lineRule="exact"/>
        <w:ind w:firstLine="560" w:firstLineChars="200"/>
        <w:rPr>
          <w:rStyle w:val="26"/>
          <w:rFonts w:hint="eastAsia" w:ascii="宋体" w:hAnsi="宋体" w:eastAsia="宋体" w:cs="宋体"/>
          <w:sz w:val="28"/>
          <w:szCs w:val="28"/>
        </w:rPr>
      </w:pPr>
      <w:r>
        <w:rPr>
          <w:rStyle w:val="26"/>
          <w:rFonts w:hint="eastAsia" w:ascii="宋体" w:hAnsi="宋体" w:eastAsia="宋体" w:cs="宋体"/>
          <w:sz w:val="28"/>
          <w:szCs w:val="28"/>
        </w:rPr>
        <w:t>2.具有良好的商业信誉和健全的财务会计制度；</w:t>
      </w:r>
    </w:p>
    <w:p w14:paraId="31CA3016">
      <w:pPr>
        <w:pStyle w:val="20"/>
        <w:spacing w:beforeAutospacing="0" w:afterAutospacing="0" w:line="460" w:lineRule="exact"/>
        <w:ind w:firstLine="560" w:firstLineChars="200"/>
        <w:rPr>
          <w:rStyle w:val="26"/>
          <w:rFonts w:hint="eastAsia" w:ascii="宋体" w:hAnsi="宋体" w:eastAsia="宋体" w:cs="宋体"/>
          <w:sz w:val="28"/>
          <w:szCs w:val="28"/>
        </w:rPr>
      </w:pPr>
      <w:r>
        <w:rPr>
          <w:rStyle w:val="26"/>
          <w:rFonts w:hint="eastAsia" w:ascii="宋体" w:hAnsi="宋体" w:eastAsia="宋体" w:cs="宋体"/>
          <w:sz w:val="28"/>
          <w:szCs w:val="28"/>
        </w:rPr>
        <w:t>3.具有履行合同所必需的设备和专业技术能力；</w:t>
      </w:r>
    </w:p>
    <w:p w14:paraId="4FAC0031">
      <w:pPr>
        <w:pStyle w:val="20"/>
        <w:spacing w:beforeAutospacing="0" w:afterAutospacing="0" w:line="460" w:lineRule="exact"/>
        <w:ind w:firstLine="560" w:firstLineChars="200"/>
        <w:rPr>
          <w:rStyle w:val="26"/>
          <w:rFonts w:hint="eastAsia" w:ascii="宋体" w:hAnsi="宋体" w:eastAsia="宋体" w:cs="宋体"/>
          <w:sz w:val="28"/>
          <w:szCs w:val="28"/>
        </w:rPr>
      </w:pPr>
      <w:r>
        <w:rPr>
          <w:rStyle w:val="26"/>
          <w:rFonts w:hint="eastAsia" w:ascii="宋体" w:hAnsi="宋体" w:eastAsia="宋体" w:cs="宋体"/>
          <w:sz w:val="28"/>
          <w:szCs w:val="28"/>
        </w:rPr>
        <w:t>4.有依法缴纳税收和社会保障资金的良好记录；</w:t>
      </w:r>
    </w:p>
    <w:p w14:paraId="28CEA6BD">
      <w:pPr>
        <w:pStyle w:val="20"/>
        <w:spacing w:beforeAutospacing="0" w:afterAutospacing="0" w:line="460" w:lineRule="exact"/>
        <w:ind w:firstLine="560"/>
        <w:rPr>
          <w:rStyle w:val="26"/>
          <w:rFonts w:hint="eastAsia" w:ascii="宋体" w:hAnsi="宋体" w:eastAsia="宋体" w:cs="宋体"/>
          <w:sz w:val="28"/>
          <w:szCs w:val="28"/>
        </w:rPr>
      </w:pPr>
      <w:r>
        <w:rPr>
          <w:rStyle w:val="26"/>
          <w:rFonts w:hint="eastAsia" w:ascii="宋体" w:hAnsi="宋体" w:eastAsia="宋体" w:cs="宋体"/>
          <w:sz w:val="28"/>
          <w:szCs w:val="28"/>
        </w:rPr>
        <w:t>5.参加采购活动前三年内，在经营活动中没有重大违法记录；</w:t>
      </w:r>
    </w:p>
    <w:p w14:paraId="434F6928">
      <w:pPr>
        <w:spacing w:line="460" w:lineRule="exact"/>
        <w:ind w:firstLine="560"/>
        <w:rPr>
          <w:rStyle w:val="26"/>
          <w:rFonts w:hint="eastAsia" w:ascii="宋体" w:hAnsi="宋体" w:eastAsia="宋体" w:cs="宋体"/>
          <w:sz w:val="28"/>
          <w:szCs w:val="28"/>
        </w:rPr>
      </w:pPr>
      <w:r>
        <w:rPr>
          <w:rStyle w:val="26"/>
          <w:rFonts w:hint="eastAsia" w:ascii="宋体" w:hAnsi="宋体" w:eastAsia="宋体" w:cs="宋体"/>
          <w:sz w:val="28"/>
          <w:szCs w:val="28"/>
        </w:rPr>
        <w:t>6.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采购合同履约过程中及其他经营活动履约过程中因围标串标、偷税漏税、制售假冒伪劣商品等行为被有关行政部门处罚（处理）记录的，本项目不认定其具有良好的商业信誉，将拒绝其参加本次采购活动。</w:t>
      </w:r>
    </w:p>
    <w:p w14:paraId="06CF8E7F">
      <w:pPr>
        <w:spacing w:line="460" w:lineRule="exact"/>
        <w:ind w:firstLine="560"/>
        <w:rPr>
          <w:rFonts w:hint="eastAsia" w:ascii="宋体" w:hAnsi="宋体" w:eastAsia="宋体" w:cs="宋体"/>
          <w:sz w:val="28"/>
          <w:szCs w:val="28"/>
        </w:rPr>
      </w:pPr>
      <w:r>
        <w:rPr>
          <w:rStyle w:val="26"/>
          <w:rFonts w:hint="eastAsia" w:ascii="宋体" w:hAnsi="宋体" w:eastAsia="宋体" w:cs="宋体"/>
          <w:sz w:val="28"/>
          <w:szCs w:val="28"/>
        </w:rPr>
        <w:t>7.</w:t>
      </w:r>
      <w:r>
        <w:rPr>
          <w:rFonts w:hint="eastAsia" w:ascii="宋体" w:hAnsi="宋体" w:eastAsia="宋体" w:cs="宋体"/>
          <w:sz w:val="28"/>
          <w:szCs w:val="28"/>
        </w:rPr>
        <w:t>本项目不接受联合体。</w:t>
      </w:r>
    </w:p>
    <w:p w14:paraId="2B56D56F">
      <w:pPr>
        <w:spacing w:line="500" w:lineRule="exact"/>
        <w:ind w:firstLine="560" w:firstLineChars="200"/>
        <w:rPr>
          <w:rFonts w:hint="eastAsia" w:ascii="宋体" w:hAnsi="宋体" w:eastAsia="宋体" w:cs="宋体"/>
          <w:highlight w:val="none"/>
        </w:rPr>
      </w:pPr>
      <w:r>
        <w:rPr>
          <w:rFonts w:hint="eastAsia" w:ascii="宋体" w:hAnsi="宋体" w:eastAsia="宋体" w:cs="宋体"/>
          <w:sz w:val="28"/>
          <w:szCs w:val="28"/>
        </w:rPr>
        <w:t>8.落实政府采购政策需满足的资格要求：本项目为非专门面向中小企业的政府采购项目，根据《政府采购促进中小企业发展管理办法》（财库[2020]46号）、《关于进一步加大政府采购支持中小企业力度的通知》（财库〔2022〕19号）、《关于政府采购支持监狱企业发展有关问题的通知》（财库〔2014〕68号）和《关于促进残疾人就业政府采购政策的通知》（财库〔2017〕141号）的规定，对满足价格扣除条件且在投标文件中提交了《中小企业声明函》或《残疾人福利性单位声明函》</w:t>
      </w:r>
      <w:r>
        <w:rPr>
          <w:rFonts w:hint="eastAsia" w:ascii="宋体" w:hAnsi="宋体" w:eastAsia="宋体" w:cs="宋体"/>
          <w:sz w:val="28"/>
          <w:szCs w:val="28"/>
          <w:highlight w:val="none"/>
        </w:rPr>
        <w:t>或省级以上监狱管理局、戒毒管理局（含新疆生产建设兵团）出具的属于监狱企业的证明文件的投标人，价格给予10%的扣除优惠</w:t>
      </w:r>
      <w:r>
        <w:rPr>
          <w:rFonts w:hint="eastAsia" w:ascii="宋体" w:hAnsi="宋体" w:eastAsia="宋体" w:cs="宋体"/>
          <w:kern w:val="2"/>
          <w:sz w:val="28"/>
          <w:szCs w:val="28"/>
          <w:highlight w:val="none"/>
        </w:rPr>
        <w:t>，不重复享受政策。</w:t>
      </w:r>
    </w:p>
    <w:p w14:paraId="0D39A71B">
      <w:pPr>
        <w:pStyle w:val="20"/>
        <w:spacing w:beforeAutospacing="0" w:afterAutospacing="0" w:line="500" w:lineRule="exact"/>
        <w:rPr>
          <w:rFonts w:hint="eastAsia" w:ascii="宋体" w:hAnsi="宋体" w:eastAsia="宋体" w:cs="宋体"/>
          <w:b/>
          <w:bCs/>
          <w:sz w:val="28"/>
          <w:szCs w:val="28"/>
          <w:highlight w:val="none"/>
        </w:rPr>
      </w:pPr>
      <w:bookmarkStart w:id="23" w:name="_Toc4893"/>
      <w:r>
        <w:rPr>
          <w:rStyle w:val="26"/>
          <w:rFonts w:hint="eastAsia" w:ascii="宋体" w:hAnsi="宋体" w:eastAsia="宋体" w:cs="宋体"/>
          <w:b/>
          <w:bCs/>
          <w:sz w:val="28"/>
          <w:szCs w:val="28"/>
          <w:highlight w:val="none"/>
        </w:rPr>
        <w:t xml:space="preserve">三、获取招标文件                   </w:t>
      </w:r>
    </w:p>
    <w:p w14:paraId="59A5C5FC">
      <w:pPr>
        <w:pStyle w:val="34"/>
        <w:widowControl/>
        <w:snapToGrid w:val="0"/>
        <w:spacing w:line="500" w:lineRule="exact"/>
        <w:ind w:firstLine="560" w:firstLineChars="200"/>
        <w:rPr>
          <w:rStyle w:val="26"/>
          <w:rFonts w:hint="eastAsia" w:ascii="宋体" w:hAnsi="宋体" w:eastAsia="宋体" w:cs="宋体"/>
          <w:sz w:val="28"/>
          <w:szCs w:val="28"/>
        </w:rPr>
      </w:pPr>
      <w:r>
        <w:rPr>
          <w:rStyle w:val="26"/>
          <w:rFonts w:hint="eastAsia" w:ascii="宋体" w:hAnsi="宋体" w:eastAsia="宋体" w:cs="宋体"/>
          <w:sz w:val="28"/>
          <w:szCs w:val="28"/>
          <w:highlight w:val="none"/>
        </w:rPr>
        <w:t>时间：2026年</w:t>
      </w:r>
      <w:r>
        <w:rPr>
          <w:rStyle w:val="26"/>
          <w:rFonts w:hint="default" w:ascii="宋体" w:hAnsi="宋体" w:eastAsia="宋体" w:cs="宋体"/>
          <w:sz w:val="28"/>
          <w:szCs w:val="28"/>
          <w:highlight w:val="none"/>
          <w:lang w:val="en-US"/>
        </w:rPr>
        <w:t>4</w:t>
      </w:r>
      <w:r>
        <w:rPr>
          <w:rStyle w:val="26"/>
          <w:rFonts w:hint="eastAsia" w:ascii="宋体" w:hAnsi="宋体" w:eastAsia="宋体" w:cs="宋体"/>
          <w:sz w:val="28"/>
          <w:szCs w:val="28"/>
          <w:highlight w:val="none"/>
        </w:rPr>
        <w:t>月</w:t>
      </w:r>
      <w:r>
        <w:rPr>
          <w:rStyle w:val="26"/>
          <w:rFonts w:hint="default" w:ascii="宋体" w:hAnsi="宋体" w:eastAsia="宋体" w:cs="宋体"/>
          <w:sz w:val="28"/>
          <w:szCs w:val="28"/>
          <w:highlight w:val="none"/>
          <w:lang w:val="en-US"/>
        </w:rPr>
        <w:t>2</w:t>
      </w:r>
      <w:r>
        <w:rPr>
          <w:rStyle w:val="26"/>
          <w:rFonts w:hint="eastAsia" w:ascii="宋体" w:hAnsi="宋体" w:cs="宋体"/>
          <w:sz w:val="28"/>
          <w:szCs w:val="28"/>
          <w:highlight w:val="none"/>
          <w:lang w:val="en-US"/>
        </w:rPr>
        <w:t>4</w:t>
      </w:r>
      <w:r>
        <w:rPr>
          <w:rStyle w:val="26"/>
          <w:rFonts w:hint="eastAsia" w:ascii="宋体" w:hAnsi="宋体" w:eastAsia="宋体" w:cs="宋体"/>
          <w:sz w:val="28"/>
          <w:szCs w:val="28"/>
          <w:highlight w:val="none"/>
        </w:rPr>
        <w:t>日至2026年</w:t>
      </w:r>
      <w:r>
        <w:rPr>
          <w:rStyle w:val="26"/>
          <w:rFonts w:hint="eastAsia" w:ascii="宋体" w:hAnsi="宋体" w:cs="宋体"/>
          <w:sz w:val="28"/>
          <w:szCs w:val="28"/>
          <w:highlight w:val="none"/>
          <w:lang w:val="en-US"/>
        </w:rPr>
        <w:t>5</w:t>
      </w:r>
      <w:r>
        <w:rPr>
          <w:rStyle w:val="26"/>
          <w:rFonts w:hint="eastAsia" w:ascii="宋体" w:hAnsi="宋体" w:eastAsia="宋体" w:cs="宋体"/>
          <w:sz w:val="28"/>
          <w:szCs w:val="28"/>
          <w:highlight w:val="none"/>
        </w:rPr>
        <w:t>月</w:t>
      </w:r>
      <w:r>
        <w:rPr>
          <w:rStyle w:val="26"/>
          <w:rFonts w:hint="eastAsia" w:ascii="宋体" w:hAnsi="宋体" w:cs="宋体"/>
          <w:sz w:val="28"/>
          <w:szCs w:val="28"/>
          <w:highlight w:val="none"/>
          <w:lang w:val="en-US"/>
        </w:rPr>
        <w:t>6</w:t>
      </w:r>
      <w:r>
        <w:rPr>
          <w:rStyle w:val="26"/>
          <w:rFonts w:hint="eastAsia" w:ascii="宋体" w:hAnsi="宋体" w:eastAsia="宋体" w:cs="宋体"/>
          <w:sz w:val="28"/>
          <w:szCs w:val="28"/>
          <w:highlight w:val="none"/>
        </w:rPr>
        <w:t>日，每天上午00:00至14:00，下午14:00至23:59（北京时间，法定节假</w:t>
      </w:r>
      <w:r>
        <w:rPr>
          <w:rStyle w:val="26"/>
          <w:rFonts w:hint="eastAsia" w:ascii="宋体" w:hAnsi="宋体" w:eastAsia="宋体" w:cs="宋体"/>
          <w:sz w:val="28"/>
          <w:szCs w:val="28"/>
        </w:rPr>
        <w:t>日除外）</w:t>
      </w:r>
    </w:p>
    <w:p w14:paraId="07F48626">
      <w:pPr>
        <w:pStyle w:val="34"/>
        <w:widowControl/>
        <w:snapToGrid w:val="0"/>
        <w:spacing w:line="500" w:lineRule="exact"/>
        <w:ind w:firstLine="560" w:firstLineChars="200"/>
        <w:rPr>
          <w:rStyle w:val="30"/>
          <w:rFonts w:hint="eastAsia" w:ascii="宋体" w:hAnsi="宋体" w:eastAsia="宋体" w:cs="宋体"/>
          <w:sz w:val="28"/>
          <w:szCs w:val="28"/>
        </w:rPr>
      </w:pPr>
      <w:r>
        <w:rPr>
          <w:rStyle w:val="26"/>
          <w:rFonts w:hint="eastAsia" w:ascii="宋体" w:hAnsi="宋体" w:eastAsia="宋体" w:cs="宋体"/>
          <w:sz w:val="28"/>
          <w:szCs w:val="28"/>
        </w:rPr>
        <w:t>地点：</w:t>
      </w:r>
      <w:r>
        <w:rPr>
          <w:rStyle w:val="30"/>
          <w:rFonts w:hint="eastAsia" w:ascii="宋体" w:hAnsi="宋体" w:eastAsia="宋体" w:cs="宋体"/>
          <w:sz w:val="28"/>
          <w:szCs w:val="28"/>
        </w:rPr>
        <w:t>政采云平台</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Style w:val="28"/>
          <w:rFonts w:hint="eastAsia" w:ascii="宋体" w:hAnsi="宋体" w:eastAsia="宋体" w:cs="宋体"/>
          <w:color w:val="auto"/>
          <w:sz w:val="28"/>
          <w:szCs w:val="28"/>
          <w:u w:val="none"/>
        </w:rPr>
        <w:t>https://www.zcygov.cn/</w:t>
      </w:r>
      <w:r>
        <w:rPr>
          <w:rStyle w:val="28"/>
          <w:rFonts w:hint="eastAsia" w:ascii="宋体" w:hAnsi="宋体" w:eastAsia="宋体" w:cs="宋体"/>
          <w:color w:val="auto"/>
          <w:sz w:val="28"/>
          <w:szCs w:val="28"/>
          <w:u w:val="none"/>
        </w:rPr>
        <w:fldChar w:fldCharType="end"/>
      </w:r>
    </w:p>
    <w:p w14:paraId="28D85D9F">
      <w:pPr>
        <w:pStyle w:val="34"/>
        <w:widowControl/>
        <w:snapToGrid w:val="0"/>
        <w:spacing w:line="500" w:lineRule="exact"/>
        <w:ind w:firstLine="560" w:firstLineChars="200"/>
        <w:rPr>
          <w:rStyle w:val="26"/>
          <w:rFonts w:hint="eastAsia" w:ascii="宋体" w:hAnsi="宋体" w:eastAsia="宋体" w:cs="宋体"/>
          <w:sz w:val="28"/>
          <w:szCs w:val="28"/>
        </w:rPr>
      </w:pPr>
      <w:r>
        <w:rPr>
          <w:rStyle w:val="26"/>
          <w:rFonts w:hint="eastAsia" w:ascii="宋体" w:hAnsi="宋体" w:eastAsia="宋体" w:cs="宋体"/>
          <w:sz w:val="28"/>
          <w:szCs w:val="28"/>
        </w:rPr>
        <w:t>方式：</w:t>
      </w:r>
      <w:bookmarkStart w:id="24" w:name="_Toc25999"/>
      <w:r>
        <w:rPr>
          <w:rStyle w:val="26"/>
          <w:rFonts w:hint="eastAsia" w:ascii="宋体" w:hAnsi="宋体" w:eastAsia="宋体" w:cs="宋体"/>
          <w:sz w:val="28"/>
          <w:szCs w:val="28"/>
        </w:rPr>
        <w:t>投标人登录政采云平台https://www.zcygov.cn/在线申请获取招标文件（进入“项目采购”应用，在获取招标文件菜单中选择项目，申请获取招标文件），或者点击采购公告底部潜在投标人“获取招标文件”，页面跳转后登陆，直接获取招标文件。</w:t>
      </w:r>
    </w:p>
    <w:p w14:paraId="429A086B">
      <w:pPr>
        <w:pStyle w:val="20"/>
        <w:spacing w:beforeAutospacing="0" w:afterAutospacing="0" w:line="500" w:lineRule="exact"/>
        <w:rPr>
          <w:rFonts w:hint="eastAsia" w:ascii="宋体" w:hAnsi="宋体" w:eastAsia="宋体" w:cs="宋体"/>
          <w:b/>
          <w:bCs/>
          <w:sz w:val="28"/>
          <w:szCs w:val="28"/>
          <w:highlight w:val="none"/>
        </w:rPr>
      </w:pPr>
      <w:r>
        <w:rPr>
          <w:rStyle w:val="26"/>
          <w:rFonts w:hint="eastAsia" w:ascii="宋体" w:hAnsi="宋体" w:eastAsia="宋体" w:cs="宋体"/>
          <w:b/>
          <w:bCs/>
          <w:sz w:val="28"/>
          <w:szCs w:val="28"/>
        </w:rPr>
        <w:t>四、提交投标文件</w:t>
      </w:r>
      <w:r>
        <w:rPr>
          <w:rStyle w:val="26"/>
          <w:rFonts w:hint="eastAsia" w:ascii="宋体" w:hAnsi="宋体" w:eastAsia="宋体" w:cs="宋体"/>
          <w:b/>
          <w:bCs/>
          <w:sz w:val="28"/>
          <w:szCs w:val="28"/>
          <w:highlight w:val="none"/>
        </w:rPr>
        <w:t>截止时间、开标时间和地点</w:t>
      </w:r>
      <w:bookmarkEnd w:id="24"/>
    </w:p>
    <w:p w14:paraId="4351414E">
      <w:pPr>
        <w:pStyle w:val="34"/>
        <w:widowControl/>
        <w:snapToGrid w:val="0"/>
        <w:spacing w:line="500" w:lineRule="exact"/>
        <w:ind w:firstLine="560" w:firstLineChars="200"/>
        <w:rPr>
          <w:rStyle w:val="30"/>
          <w:rFonts w:hint="eastAsia" w:ascii="宋体" w:hAnsi="宋体" w:eastAsia="宋体" w:cs="宋体"/>
          <w:sz w:val="28"/>
          <w:szCs w:val="28"/>
          <w:highlight w:val="none"/>
          <w:lang w:eastAsia="zh-CN"/>
        </w:rPr>
      </w:pPr>
      <w:r>
        <w:rPr>
          <w:rStyle w:val="30"/>
          <w:rFonts w:hint="eastAsia" w:ascii="宋体" w:hAnsi="宋体" w:eastAsia="宋体" w:cs="宋体"/>
          <w:sz w:val="28"/>
          <w:szCs w:val="28"/>
          <w:highlight w:val="none"/>
          <w:lang w:eastAsia="zh-CN"/>
        </w:rPr>
        <w:t>提交投标文件截止时间：2026年</w:t>
      </w:r>
      <w:r>
        <w:rPr>
          <w:rStyle w:val="30"/>
          <w:rFonts w:hint="default" w:ascii="宋体" w:hAnsi="宋体" w:eastAsia="宋体" w:cs="宋体"/>
          <w:sz w:val="28"/>
          <w:szCs w:val="28"/>
          <w:highlight w:val="none"/>
          <w:lang w:val="en-US" w:eastAsia="zh-CN"/>
        </w:rPr>
        <w:t>5</w:t>
      </w:r>
      <w:r>
        <w:rPr>
          <w:rStyle w:val="30"/>
          <w:rFonts w:hint="eastAsia" w:ascii="宋体" w:hAnsi="宋体" w:eastAsia="宋体" w:cs="宋体"/>
          <w:sz w:val="28"/>
          <w:szCs w:val="28"/>
          <w:highlight w:val="none"/>
          <w:lang w:eastAsia="zh-CN"/>
        </w:rPr>
        <w:t>月</w:t>
      </w:r>
      <w:r>
        <w:rPr>
          <w:rStyle w:val="30"/>
          <w:rFonts w:hint="default" w:ascii="宋体" w:hAnsi="宋体" w:eastAsia="宋体" w:cs="宋体"/>
          <w:sz w:val="28"/>
          <w:szCs w:val="28"/>
          <w:highlight w:val="none"/>
          <w:lang w:val="en-US" w:eastAsia="zh-CN"/>
        </w:rPr>
        <w:t>1</w:t>
      </w:r>
      <w:r>
        <w:rPr>
          <w:rStyle w:val="30"/>
          <w:rFonts w:hint="eastAsia" w:ascii="宋体" w:hAnsi="宋体" w:cs="宋体"/>
          <w:sz w:val="28"/>
          <w:szCs w:val="28"/>
          <w:highlight w:val="none"/>
          <w:lang w:val="en-US" w:eastAsia="zh-CN"/>
        </w:rPr>
        <w:t>5</w:t>
      </w:r>
      <w:r>
        <w:rPr>
          <w:rStyle w:val="30"/>
          <w:rFonts w:hint="eastAsia" w:ascii="宋体" w:hAnsi="宋体" w:eastAsia="宋体" w:cs="宋体"/>
          <w:sz w:val="28"/>
          <w:szCs w:val="28"/>
          <w:highlight w:val="none"/>
          <w:lang w:eastAsia="zh-CN"/>
        </w:rPr>
        <w:t>日11:00（北京时间）</w:t>
      </w:r>
    </w:p>
    <w:p w14:paraId="4B5312DA">
      <w:pPr>
        <w:pStyle w:val="34"/>
        <w:widowControl/>
        <w:snapToGrid w:val="0"/>
        <w:spacing w:line="500" w:lineRule="exact"/>
        <w:ind w:firstLine="560" w:firstLineChars="200"/>
        <w:rPr>
          <w:rStyle w:val="30"/>
          <w:rFonts w:hint="eastAsia" w:ascii="宋体" w:hAnsi="宋体" w:eastAsia="宋体" w:cs="宋体"/>
          <w:sz w:val="28"/>
          <w:szCs w:val="28"/>
          <w:highlight w:val="none"/>
          <w:lang w:eastAsia="zh-CN"/>
        </w:rPr>
      </w:pPr>
      <w:r>
        <w:rPr>
          <w:rStyle w:val="30"/>
          <w:rFonts w:hint="eastAsia" w:ascii="宋体" w:hAnsi="宋体" w:eastAsia="宋体" w:cs="宋体"/>
          <w:sz w:val="28"/>
          <w:szCs w:val="28"/>
          <w:highlight w:val="none"/>
          <w:lang w:eastAsia="zh-CN"/>
        </w:rPr>
        <w:t>投标地点：请登录政采云投标客户端投标</w:t>
      </w:r>
    </w:p>
    <w:p w14:paraId="78180432">
      <w:pPr>
        <w:pStyle w:val="34"/>
        <w:widowControl/>
        <w:snapToGrid w:val="0"/>
        <w:spacing w:line="500" w:lineRule="exact"/>
        <w:ind w:firstLine="560" w:firstLineChars="200"/>
        <w:rPr>
          <w:rStyle w:val="30"/>
          <w:rFonts w:hint="eastAsia" w:ascii="宋体" w:hAnsi="宋体" w:eastAsia="宋体" w:cs="宋体"/>
          <w:sz w:val="28"/>
          <w:szCs w:val="28"/>
          <w:highlight w:val="none"/>
          <w:lang w:eastAsia="zh-CN"/>
        </w:rPr>
      </w:pPr>
      <w:r>
        <w:rPr>
          <w:rStyle w:val="30"/>
          <w:rFonts w:hint="eastAsia" w:ascii="宋体" w:hAnsi="宋体" w:eastAsia="宋体" w:cs="宋体"/>
          <w:sz w:val="28"/>
          <w:szCs w:val="28"/>
          <w:highlight w:val="none"/>
          <w:lang w:eastAsia="zh-CN"/>
        </w:rPr>
        <w:t>开标时间：2026年</w:t>
      </w:r>
      <w:r>
        <w:rPr>
          <w:rStyle w:val="30"/>
          <w:rFonts w:hint="default" w:ascii="宋体" w:hAnsi="宋体" w:eastAsia="宋体" w:cs="宋体"/>
          <w:sz w:val="28"/>
          <w:szCs w:val="28"/>
          <w:highlight w:val="none"/>
          <w:lang w:val="en-US" w:eastAsia="zh-CN"/>
        </w:rPr>
        <w:t>5</w:t>
      </w:r>
      <w:r>
        <w:rPr>
          <w:rStyle w:val="30"/>
          <w:rFonts w:hint="eastAsia" w:ascii="宋体" w:hAnsi="宋体" w:eastAsia="宋体" w:cs="宋体"/>
          <w:sz w:val="28"/>
          <w:szCs w:val="28"/>
          <w:highlight w:val="none"/>
          <w:lang w:eastAsia="zh-CN"/>
        </w:rPr>
        <w:t>月</w:t>
      </w:r>
      <w:r>
        <w:rPr>
          <w:rStyle w:val="30"/>
          <w:rFonts w:hint="default" w:ascii="宋体" w:hAnsi="宋体" w:eastAsia="宋体" w:cs="宋体"/>
          <w:sz w:val="28"/>
          <w:szCs w:val="28"/>
          <w:highlight w:val="none"/>
          <w:lang w:val="en-US" w:eastAsia="zh-CN"/>
        </w:rPr>
        <w:t>1</w:t>
      </w:r>
      <w:r>
        <w:rPr>
          <w:rStyle w:val="30"/>
          <w:rFonts w:hint="eastAsia" w:ascii="宋体" w:hAnsi="宋体" w:cs="宋体"/>
          <w:sz w:val="28"/>
          <w:szCs w:val="28"/>
          <w:highlight w:val="none"/>
          <w:lang w:val="en-US" w:eastAsia="zh-CN"/>
        </w:rPr>
        <w:t>5</w:t>
      </w:r>
      <w:r>
        <w:rPr>
          <w:rStyle w:val="30"/>
          <w:rFonts w:hint="eastAsia" w:ascii="宋体" w:hAnsi="宋体" w:eastAsia="宋体" w:cs="宋体"/>
          <w:sz w:val="28"/>
          <w:szCs w:val="28"/>
          <w:highlight w:val="none"/>
          <w:lang w:eastAsia="zh-CN"/>
        </w:rPr>
        <w:t>日11:00（北京时间）</w:t>
      </w:r>
    </w:p>
    <w:p w14:paraId="31C1A2A8">
      <w:pPr>
        <w:pStyle w:val="34"/>
        <w:widowControl/>
        <w:snapToGrid w:val="0"/>
        <w:spacing w:line="500" w:lineRule="exact"/>
        <w:ind w:firstLine="560" w:firstLineChars="200"/>
        <w:rPr>
          <w:rStyle w:val="30"/>
          <w:rFonts w:hint="eastAsia" w:ascii="宋体" w:hAnsi="宋体" w:eastAsia="宋体" w:cs="宋体"/>
          <w:sz w:val="28"/>
          <w:szCs w:val="28"/>
          <w:lang w:eastAsia="zh-CN"/>
        </w:rPr>
      </w:pPr>
      <w:r>
        <w:rPr>
          <w:rStyle w:val="30"/>
          <w:rFonts w:hint="eastAsia" w:ascii="宋体" w:hAnsi="宋体" w:eastAsia="宋体" w:cs="宋体"/>
          <w:sz w:val="28"/>
          <w:szCs w:val="28"/>
          <w:highlight w:val="none"/>
          <w:lang w:eastAsia="zh-CN"/>
        </w:rPr>
        <w:t>开标地点：投标人登录政采云平台ht</w:t>
      </w:r>
      <w:r>
        <w:rPr>
          <w:rStyle w:val="30"/>
          <w:rFonts w:hint="eastAsia" w:ascii="宋体" w:hAnsi="宋体" w:eastAsia="宋体" w:cs="宋体"/>
          <w:sz w:val="28"/>
          <w:szCs w:val="28"/>
          <w:lang w:eastAsia="zh-CN"/>
        </w:rPr>
        <w:t>tps://www.zcygov.cn/，进入“项目采购-开标评标-右边选择对应项目点击“进入项目”进入开标大厅。在投标截止时间前将电子加密投标文件成功上传至“政府采购云平台”，投标人成功上传电子加密投标文件后，可自行打印投标文件接收回执。</w:t>
      </w:r>
    </w:p>
    <w:p w14:paraId="1B0D49BF">
      <w:pPr>
        <w:pStyle w:val="34"/>
        <w:widowControl/>
        <w:snapToGrid w:val="0"/>
        <w:spacing w:line="500" w:lineRule="exact"/>
        <w:rPr>
          <w:rStyle w:val="26"/>
          <w:rFonts w:hint="eastAsia" w:ascii="宋体" w:hAnsi="宋体" w:eastAsia="宋体" w:cs="宋体"/>
          <w:b/>
          <w:bCs/>
          <w:sz w:val="28"/>
          <w:szCs w:val="28"/>
        </w:rPr>
      </w:pPr>
      <w:r>
        <w:rPr>
          <w:rStyle w:val="26"/>
          <w:rFonts w:hint="eastAsia" w:ascii="宋体" w:hAnsi="宋体" w:eastAsia="宋体" w:cs="宋体"/>
          <w:b/>
          <w:bCs/>
          <w:sz w:val="28"/>
          <w:szCs w:val="28"/>
        </w:rPr>
        <w:t>五、公告期限</w:t>
      </w:r>
    </w:p>
    <w:p w14:paraId="09517CBA">
      <w:pPr>
        <w:pStyle w:val="20"/>
        <w:spacing w:beforeAutospacing="0" w:afterAutospacing="0" w:line="460" w:lineRule="exact"/>
        <w:rPr>
          <w:rStyle w:val="30"/>
          <w:rFonts w:hint="eastAsia" w:ascii="宋体" w:hAnsi="宋体" w:eastAsia="宋体" w:cs="宋体"/>
          <w:sz w:val="28"/>
          <w:szCs w:val="28"/>
          <w:lang w:eastAsia="zh-CN"/>
        </w:rPr>
      </w:pPr>
      <w:r>
        <w:rPr>
          <w:rStyle w:val="30"/>
          <w:rFonts w:hint="eastAsia" w:ascii="宋体" w:hAnsi="宋体" w:eastAsia="宋体" w:cs="宋体"/>
          <w:sz w:val="28"/>
          <w:szCs w:val="28"/>
          <w:lang w:eastAsia="zh-CN"/>
        </w:rPr>
        <w:t>   自本公告发布之日起5个工作日。</w:t>
      </w:r>
    </w:p>
    <w:p w14:paraId="4215D5A8">
      <w:pPr>
        <w:pStyle w:val="20"/>
        <w:spacing w:beforeAutospacing="0" w:afterAutospacing="0" w:line="460" w:lineRule="exact"/>
        <w:rPr>
          <w:rFonts w:hint="eastAsia" w:ascii="宋体" w:hAnsi="宋体" w:eastAsia="宋体" w:cs="宋体"/>
          <w:sz w:val="28"/>
          <w:szCs w:val="28"/>
        </w:rPr>
      </w:pPr>
      <w:r>
        <w:rPr>
          <w:rStyle w:val="26"/>
          <w:rFonts w:hint="eastAsia" w:ascii="宋体" w:hAnsi="宋体" w:eastAsia="宋体" w:cs="宋体"/>
          <w:b/>
          <w:bCs/>
          <w:sz w:val="28"/>
          <w:szCs w:val="28"/>
        </w:rPr>
        <w:t>六、对本次招标提出询问，请按以下方式联系。</w:t>
      </w:r>
      <w:bookmarkEnd w:id="23"/>
      <w:r>
        <w:rPr>
          <w:rStyle w:val="26"/>
          <w:rFonts w:hint="eastAsia" w:ascii="宋体" w:hAnsi="宋体" w:eastAsia="宋体" w:cs="宋体"/>
          <w:b/>
          <w:bCs/>
          <w:sz w:val="28"/>
          <w:szCs w:val="28"/>
        </w:rPr>
        <w:t>　</w:t>
      </w:r>
      <w:r>
        <w:rPr>
          <w:rFonts w:hint="eastAsia" w:ascii="宋体" w:hAnsi="宋体" w:eastAsia="宋体" w:cs="宋体"/>
          <w:sz w:val="28"/>
          <w:szCs w:val="28"/>
        </w:rPr>
        <w:t>　　　　　　　　　　　</w:t>
      </w:r>
    </w:p>
    <w:p w14:paraId="28C56026">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1.采购人信息</w:t>
      </w:r>
    </w:p>
    <w:p w14:paraId="36C236F2">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名 称：新疆大学</w:t>
      </w:r>
    </w:p>
    <w:p w14:paraId="70A55816">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 址：新疆乌鲁木齐市天山区胜利路666号</w:t>
      </w:r>
    </w:p>
    <w:p w14:paraId="45C185C8">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联系人：郭老师</w:t>
      </w:r>
    </w:p>
    <w:p w14:paraId="3F4ABE10">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电话：0991-8580035</w:t>
      </w:r>
      <w:r>
        <w:rPr>
          <w:rStyle w:val="30"/>
          <w:rFonts w:hint="eastAsia" w:ascii="宋体" w:hAnsi="宋体" w:eastAsia="宋体" w:cs="宋体"/>
          <w:bCs/>
          <w:sz w:val="28"/>
          <w:szCs w:val="28"/>
          <w:lang w:eastAsia="zh-CN"/>
        </w:rPr>
        <w:t xml:space="preserve"> </w:t>
      </w:r>
    </w:p>
    <w:p w14:paraId="2AABC9A6">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2.采购代理机构信息</w:t>
      </w:r>
    </w:p>
    <w:p w14:paraId="1CA82BC4">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名 称：新疆拓源工程管理咨询有限公司</w:t>
      </w:r>
    </w:p>
    <w:p w14:paraId="7CC85887">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 址：乌鲁木齐市水磨沟区龙盛街898号万科中央公园S6栋5层 </w:t>
      </w:r>
    </w:p>
    <w:p w14:paraId="5B10DFDC">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联系方式：17599816806、13009690616 </w:t>
      </w:r>
    </w:p>
    <w:p w14:paraId="2739CD41">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3.项目联系方式</w:t>
      </w:r>
    </w:p>
    <w:p w14:paraId="3B938723">
      <w:pPr>
        <w:spacing w:line="4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项目联系人：</w:t>
      </w:r>
      <w:r>
        <w:rPr>
          <w:rFonts w:hint="eastAsia" w:ascii="宋体" w:hAnsi="宋体" w:eastAsia="宋体" w:cs="宋体"/>
          <w:sz w:val="28"/>
          <w:szCs w:val="28"/>
          <w:lang w:eastAsia="zh-CN"/>
        </w:rPr>
        <w:t>田释月、郭时忠、张曼</w:t>
      </w:r>
    </w:p>
    <w:p w14:paraId="11895B1E">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电 话：17599816806、13009690616 </w:t>
      </w:r>
    </w:p>
    <w:p w14:paraId="0C1EA8D6">
      <w:pPr>
        <w:pStyle w:val="2"/>
        <w:spacing w:before="0" w:after="0" w:line="500" w:lineRule="exact"/>
        <w:jc w:val="center"/>
        <w:rPr>
          <w:rFonts w:hint="eastAsia" w:ascii="宋体" w:hAnsi="宋体" w:eastAsia="宋体" w:cs="宋体"/>
          <w:b/>
          <w:bCs/>
          <w:color w:val="auto"/>
          <w:sz w:val="28"/>
          <w:szCs w:val="28"/>
        </w:rPr>
      </w:pPr>
      <w:r>
        <w:rPr>
          <w:rFonts w:hint="eastAsia" w:ascii="宋体" w:hAnsi="宋体" w:eastAsia="宋体" w:cs="宋体"/>
          <w:color w:val="auto"/>
          <w:sz w:val="28"/>
          <w:szCs w:val="28"/>
        </w:rPr>
        <w:br w:type="page"/>
      </w:r>
      <w:bookmarkStart w:id="25" w:name="_Toc4699"/>
      <w:bookmarkStart w:id="26" w:name="_Toc5999"/>
      <w:bookmarkStart w:id="27" w:name="_Toc1485043908"/>
      <w:bookmarkStart w:id="28" w:name="_Toc1333"/>
      <w:bookmarkStart w:id="29" w:name="_Toc8239"/>
      <w:bookmarkStart w:id="30" w:name="_Toc16017"/>
      <w:bookmarkStart w:id="31" w:name="_Toc450925081"/>
      <w:bookmarkStart w:id="32" w:name="_Toc32373"/>
      <w:bookmarkStart w:id="33" w:name="_Toc12199"/>
      <w:r>
        <w:rPr>
          <w:rFonts w:hint="eastAsia" w:ascii="宋体" w:hAnsi="宋体" w:eastAsia="宋体" w:cs="宋体"/>
          <w:b/>
          <w:bCs/>
          <w:color w:val="auto"/>
          <w:sz w:val="28"/>
          <w:szCs w:val="28"/>
        </w:rPr>
        <w:t>第二章  投标人须知</w:t>
      </w:r>
      <w:bookmarkEnd w:id="17"/>
      <w:bookmarkEnd w:id="18"/>
      <w:bookmarkEnd w:id="19"/>
      <w:bookmarkEnd w:id="20"/>
      <w:bookmarkEnd w:id="21"/>
      <w:bookmarkEnd w:id="22"/>
      <w:bookmarkEnd w:id="25"/>
      <w:bookmarkEnd w:id="26"/>
      <w:bookmarkEnd w:id="27"/>
      <w:bookmarkEnd w:id="28"/>
      <w:bookmarkEnd w:id="29"/>
      <w:bookmarkEnd w:id="30"/>
      <w:bookmarkEnd w:id="31"/>
      <w:bookmarkEnd w:id="32"/>
      <w:bookmarkEnd w:id="33"/>
    </w:p>
    <w:p w14:paraId="6B20F636">
      <w:pPr>
        <w:keepNext/>
        <w:keepLines/>
        <w:spacing w:line="500" w:lineRule="exact"/>
        <w:jc w:val="center"/>
        <w:outlineLvl w:val="1"/>
        <w:rPr>
          <w:rFonts w:hint="eastAsia" w:ascii="宋体" w:hAnsi="宋体" w:eastAsia="宋体" w:cs="宋体"/>
          <w:b/>
          <w:bCs/>
          <w:sz w:val="28"/>
          <w:szCs w:val="28"/>
        </w:rPr>
      </w:pPr>
      <w:bookmarkStart w:id="34" w:name="_Toc213396760"/>
      <w:bookmarkStart w:id="35" w:name="_Toc213396946"/>
      <w:bookmarkStart w:id="36" w:name="_Toc213496268"/>
      <w:bookmarkStart w:id="37" w:name="_Toc189727030"/>
      <w:bookmarkStart w:id="38" w:name="_Toc213397010"/>
      <w:bookmarkStart w:id="39" w:name="_Toc217446032"/>
      <w:r>
        <w:rPr>
          <w:rFonts w:hint="eastAsia" w:ascii="宋体" w:hAnsi="宋体" w:eastAsia="宋体" w:cs="宋体"/>
          <w:b/>
          <w:bCs/>
          <w:sz w:val="28"/>
          <w:szCs w:val="28"/>
        </w:rPr>
        <w:t>一、投标人须知前附表</w:t>
      </w:r>
      <w:bookmarkEnd w:id="34"/>
      <w:bookmarkEnd w:id="35"/>
      <w:bookmarkEnd w:id="36"/>
      <w:bookmarkEnd w:id="37"/>
      <w:bookmarkEnd w:id="38"/>
      <w:bookmarkEnd w:id="39"/>
    </w:p>
    <w:p w14:paraId="068D0578">
      <w:pPr>
        <w:pStyle w:val="35"/>
        <w:ind w:firstLine="560"/>
        <w:rPr>
          <w:rFonts w:hint="eastAsia" w:ascii="宋体" w:hAnsi="宋体" w:eastAsia="宋体" w:cs="宋体"/>
          <w:sz w:val="28"/>
          <w:szCs w:val="28"/>
        </w:rPr>
      </w:pPr>
      <w:r>
        <w:rPr>
          <w:rFonts w:hint="eastAsia" w:ascii="宋体" w:hAnsi="宋体" w:eastAsia="宋体" w:cs="宋体"/>
          <w:sz w:val="28"/>
          <w:szCs w:val="28"/>
        </w:rPr>
        <w:t>本表是本招标项目的具体资料，是对投标人须知的具体补充和修改，如有矛盾，应以本前附表为准。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374"/>
        <w:gridCol w:w="6473"/>
      </w:tblGrid>
      <w:tr w14:paraId="4C2B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0800F9C6">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1374" w:type="dxa"/>
            <w:vAlign w:val="center"/>
          </w:tcPr>
          <w:p w14:paraId="31442DFB">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8"/>
                <w:szCs w:val="28"/>
              </w:rPr>
            </w:pPr>
            <w:r>
              <w:rPr>
                <w:rFonts w:hint="eastAsia" w:ascii="宋体" w:hAnsi="宋体" w:eastAsia="宋体" w:cs="宋体"/>
                <w:b/>
                <w:sz w:val="28"/>
                <w:szCs w:val="28"/>
              </w:rPr>
              <w:t>名 称</w:t>
            </w:r>
          </w:p>
        </w:tc>
        <w:tc>
          <w:tcPr>
            <w:tcW w:w="6473" w:type="dxa"/>
            <w:vAlign w:val="center"/>
          </w:tcPr>
          <w:p w14:paraId="4950500E">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8"/>
                <w:szCs w:val="28"/>
              </w:rPr>
            </w:pPr>
            <w:r>
              <w:rPr>
                <w:rFonts w:hint="eastAsia" w:ascii="宋体" w:hAnsi="宋体" w:eastAsia="宋体" w:cs="宋体"/>
                <w:b/>
                <w:sz w:val="28"/>
                <w:szCs w:val="28"/>
              </w:rPr>
              <w:t>内   容</w:t>
            </w:r>
          </w:p>
        </w:tc>
      </w:tr>
      <w:tr w14:paraId="6FEB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73" w:type="dxa"/>
            <w:vAlign w:val="center"/>
          </w:tcPr>
          <w:p w14:paraId="0414899A">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1</w:t>
            </w:r>
          </w:p>
        </w:tc>
        <w:tc>
          <w:tcPr>
            <w:tcW w:w="1374" w:type="dxa"/>
            <w:vAlign w:val="center"/>
          </w:tcPr>
          <w:p w14:paraId="2BA0151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供货期、</w:t>
            </w:r>
            <w:r>
              <w:rPr>
                <w:rFonts w:hint="eastAsia" w:ascii="宋体" w:hAnsi="宋体" w:eastAsia="宋体" w:cs="宋体"/>
                <w:kern w:val="2"/>
                <w:sz w:val="28"/>
                <w:szCs w:val="28"/>
              </w:rPr>
              <w:t>质量要求、质保期、验收要求</w:t>
            </w:r>
          </w:p>
        </w:tc>
        <w:tc>
          <w:tcPr>
            <w:tcW w:w="6473" w:type="dxa"/>
            <w:vAlign w:val="center"/>
          </w:tcPr>
          <w:p w14:paraId="388844C3">
            <w:pPr>
              <w:pStyle w:val="12"/>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（1）供货期</w:t>
            </w:r>
            <w:r>
              <w:rPr>
                <w:rFonts w:hint="eastAsia" w:ascii="宋体" w:hAnsi="宋体" w:eastAsia="宋体" w:cs="宋体"/>
                <w:sz w:val="28"/>
                <w:szCs w:val="28"/>
                <w:lang w:eastAsia="zh-CN"/>
              </w:rPr>
              <w:t>（交货日期）</w:t>
            </w:r>
            <w:r>
              <w:rPr>
                <w:rFonts w:hint="eastAsia" w:ascii="宋体" w:hAnsi="宋体" w:eastAsia="宋体" w:cs="宋体"/>
                <w:sz w:val="28"/>
                <w:szCs w:val="28"/>
              </w:rPr>
              <w:t>:详见招标文件第</w:t>
            </w:r>
            <w:r>
              <w:rPr>
                <w:rFonts w:hint="eastAsia" w:hAnsi="宋体" w:cs="宋体"/>
                <w:sz w:val="28"/>
                <w:szCs w:val="28"/>
                <w:lang w:val="en-US" w:eastAsia="zh-CN"/>
              </w:rPr>
              <w:t>四</w:t>
            </w:r>
            <w:r>
              <w:rPr>
                <w:rFonts w:hint="eastAsia" w:ascii="宋体" w:hAnsi="宋体" w:eastAsia="宋体" w:cs="宋体"/>
                <w:sz w:val="28"/>
                <w:szCs w:val="28"/>
              </w:rPr>
              <w:t>章“采购需求”。</w:t>
            </w:r>
          </w:p>
          <w:p w14:paraId="38D00E4F">
            <w:pPr>
              <w:pStyle w:val="12"/>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（2）质量要求：合格</w:t>
            </w:r>
          </w:p>
          <w:p w14:paraId="428475CC">
            <w:pPr>
              <w:pStyle w:val="12"/>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（3）质保期：详见招标文件：第四章 采购需求。</w:t>
            </w:r>
          </w:p>
          <w:p w14:paraId="34CF7701">
            <w:pPr>
              <w:pStyle w:val="12"/>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（4）验收要求：详见招标文件：第四章 采购需求。</w:t>
            </w:r>
          </w:p>
        </w:tc>
      </w:tr>
      <w:tr w14:paraId="5D3C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dxa"/>
            <w:vAlign w:val="center"/>
          </w:tcPr>
          <w:p w14:paraId="3E0D369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2</w:t>
            </w:r>
          </w:p>
        </w:tc>
        <w:tc>
          <w:tcPr>
            <w:tcW w:w="1374" w:type="dxa"/>
            <w:vAlign w:val="center"/>
          </w:tcPr>
          <w:p w14:paraId="4BDA99F0">
            <w:pPr>
              <w:keepNext w:val="0"/>
              <w:keepLines w:val="0"/>
              <w:suppressLineNumbers w:val="0"/>
              <w:spacing w:before="0" w:beforeAutospacing="0" w:after="0" w:afterAutospacing="0" w:line="500" w:lineRule="exact"/>
              <w:ind w:left="0" w:right="0"/>
              <w:jc w:val="center"/>
              <w:rPr>
                <w:rFonts w:hint="eastAsia" w:ascii="宋体" w:hAnsi="宋体" w:eastAsia="宋体" w:cs="宋体"/>
                <w:kern w:val="2"/>
                <w:sz w:val="28"/>
                <w:szCs w:val="28"/>
              </w:rPr>
            </w:pPr>
            <w:r>
              <w:rPr>
                <w:rFonts w:hint="eastAsia" w:ascii="宋体" w:hAnsi="宋体" w:eastAsia="宋体" w:cs="宋体"/>
                <w:kern w:val="2"/>
                <w:sz w:val="28"/>
                <w:szCs w:val="28"/>
              </w:rPr>
              <w:t>预算金额（最高限价）</w:t>
            </w:r>
          </w:p>
        </w:tc>
        <w:tc>
          <w:tcPr>
            <w:tcW w:w="6473" w:type="dxa"/>
            <w:vAlign w:val="center"/>
          </w:tcPr>
          <w:p w14:paraId="1D03C97D">
            <w:pPr>
              <w:keepNext w:val="0"/>
              <w:keepLines w:val="0"/>
              <w:suppressLineNumbers w:val="0"/>
              <w:spacing w:before="0" w:beforeAutospacing="0" w:after="0" w:afterAutospacing="0" w:line="500" w:lineRule="exact"/>
              <w:ind w:left="0" w:right="0"/>
              <w:jc w:val="left"/>
              <w:rPr>
                <w:rFonts w:hint="eastAsia" w:ascii="宋体" w:hAnsi="宋体" w:eastAsia="宋体" w:cs="宋体"/>
                <w:kern w:val="2"/>
                <w:sz w:val="28"/>
                <w:szCs w:val="28"/>
              </w:rPr>
            </w:pPr>
            <w:r>
              <w:rPr>
                <w:rFonts w:hint="eastAsia" w:ascii="宋体" w:hAnsi="宋体" w:eastAsia="宋体" w:cs="宋体"/>
                <w:b/>
                <w:bCs/>
                <w:kern w:val="2"/>
                <w:sz w:val="28"/>
                <w:szCs w:val="28"/>
              </w:rPr>
              <w:t>预算金额（最高总限价）：</w:t>
            </w:r>
            <w:r>
              <w:rPr>
                <w:rFonts w:hint="eastAsia" w:ascii="宋体" w:hAnsi="宋体" w:eastAsia="宋体" w:cs="宋体"/>
                <w:kern w:val="2"/>
                <w:sz w:val="28"/>
                <w:szCs w:val="28"/>
              </w:rPr>
              <w:t>6321.14万元。最高单价限价详见招标文件第</w:t>
            </w:r>
            <w:r>
              <w:rPr>
                <w:rFonts w:hint="eastAsia" w:hAnsi="宋体" w:cs="宋体"/>
                <w:kern w:val="2"/>
                <w:sz w:val="28"/>
                <w:szCs w:val="28"/>
                <w:lang w:val="en-US" w:eastAsia="zh-CN"/>
              </w:rPr>
              <w:t>四</w:t>
            </w:r>
            <w:r>
              <w:rPr>
                <w:rFonts w:hint="eastAsia" w:ascii="宋体" w:hAnsi="宋体" w:eastAsia="宋体" w:cs="宋体"/>
                <w:kern w:val="2"/>
                <w:sz w:val="28"/>
                <w:szCs w:val="28"/>
              </w:rPr>
              <w:t>章“采购需求-二、设备规格报价明细表”。</w:t>
            </w:r>
          </w:p>
          <w:p w14:paraId="6AE5DAD3">
            <w:pPr>
              <w:keepNext w:val="0"/>
              <w:keepLines w:val="0"/>
              <w:suppressLineNumbers w:val="0"/>
              <w:spacing w:before="0" w:beforeAutospacing="0" w:after="0" w:afterAutospacing="0" w:line="500" w:lineRule="exact"/>
              <w:ind w:left="0" w:right="0"/>
              <w:jc w:val="left"/>
              <w:rPr>
                <w:rFonts w:hint="eastAsia" w:ascii="宋体" w:hAnsi="宋体" w:eastAsia="宋体" w:cs="宋体"/>
                <w:kern w:val="2"/>
                <w:sz w:val="28"/>
                <w:szCs w:val="28"/>
              </w:rPr>
            </w:pPr>
            <w:r>
              <w:rPr>
                <w:rFonts w:hint="eastAsia" w:ascii="宋体" w:hAnsi="宋体" w:eastAsia="宋体" w:cs="宋体"/>
                <w:kern w:val="2"/>
                <w:sz w:val="28"/>
                <w:szCs w:val="28"/>
              </w:rPr>
              <w:t>本项目报价中应包括完成采购所需的费用（包含但不限于税费、运输费、保险费及所配套的土建、吊装就位，培训、安装、调试等所有相关费用。</w:t>
            </w:r>
          </w:p>
          <w:p w14:paraId="337C5FFB">
            <w:pPr>
              <w:keepNext w:val="0"/>
              <w:keepLines w:val="0"/>
              <w:suppressLineNumbers w:val="0"/>
              <w:spacing w:before="0" w:beforeAutospacing="0" w:after="0" w:afterAutospacing="0" w:line="500" w:lineRule="exact"/>
              <w:ind w:left="0" w:right="0"/>
              <w:jc w:val="left"/>
              <w:rPr>
                <w:rFonts w:hint="eastAsia" w:ascii="宋体" w:hAnsi="宋体" w:eastAsia="宋体" w:cs="宋体"/>
                <w:kern w:val="2"/>
                <w:sz w:val="28"/>
                <w:szCs w:val="28"/>
              </w:rPr>
            </w:pPr>
            <w:r>
              <w:rPr>
                <w:rFonts w:hint="eastAsia" w:ascii="宋体" w:hAnsi="宋体" w:eastAsia="宋体" w:cs="宋体"/>
                <w:b/>
                <w:bCs/>
                <w:kern w:val="2"/>
                <w:sz w:val="28"/>
                <w:szCs w:val="28"/>
              </w:rPr>
              <w:t>投标人报价不得超过设定的最高总限价和最高单价限价，否则投标无效。</w:t>
            </w:r>
          </w:p>
        </w:tc>
      </w:tr>
      <w:tr w14:paraId="03E8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3" w:type="dxa"/>
            <w:vAlign w:val="center"/>
          </w:tcPr>
          <w:p w14:paraId="25FABCDE">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3</w:t>
            </w:r>
          </w:p>
        </w:tc>
        <w:tc>
          <w:tcPr>
            <w:tcW w:w="1374" w:type="dxa"/>
            <w:vAlign w:val="center"/>
          </w:tcPr>
          <w:p w14:paraId="1A3933A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资金来源</w:t>
            </w:r>
          </w:p>
        </w:tc>
        <w:tc>
          <w:tcPr>
            <w:tcW w:w="6473" w:type="dxa"/>
            <w:vAlign w:val="center"/>
          </w:tcPr>
          <w:p w14:paraId="3D44A785">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kern w:val="2"/>
                <w:sz w:val="28"/>
                <w:szCs w:val="28"/>
              </w:rPr>
              <w:t>财政资金</w:t>
            </w:r>
          </w:p>
        </w:tc>
      </w:tr>
      <w:tr w14:paraId="74E7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73" w:type="dxa"/>
            <w:vAlign w:val="center"/>
          </w:tcPr>
          <w:p w14:paraId="1F257EDB">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4</w:t>
            </w:r>
          </w:p>
        </w:tc>
        <w:tc>
          <w:tcPr>
            <w:tcW w:w="1374" w:type="dxa"/>
            <w:vAlign w:val="center"/>
          </w:tcPr>
          <w:p w14:paraId="4694FE6C">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供货地点</w:t>
            </w:r>
          </w:p>
        </w:tc>
        <w:tc>
          <w:tcPr>
            <w:tcW w:w="6473" w:type="dxa"/>
            <w:vAlign w:val="center"/>
          </w:tcPr>
          <w:p w14:paraId="214427F3">
            <w:pPr>
              <w:pStyle w:val="12"/>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采购人指定地点。</w:t>
            </w:r>
          </w:p>
        </w:tc>
      </w:tr>
      <w:tr w14:paraId="3AA2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75C8030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5</w:t>
            </w:r>
          </w:p>
        </w:tc>
        <w:tc>
          <w:tcPr>
            <w:tcW w:w="1374" w:type="dxa"/>
            <w:vAlign w:val="center"/>
          </w:tcPr>
          <w:p w14:paraId="5156B5A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政府采购政策</w:t>
            </w:r>
          </w:p>
        </w:tc>
        <w:tc>
          <w:tcPr>
            <w:tcW w:w="6473" w:type="dxa"/>
            <w:vAlign w:val="center"/>
          </w:tcPr>
          <w:p w14:paraId="0C3D50C9">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（1）政府采购政策：</w:t>
            </w:r>
          </w:p>
          <w:p w14:paraId="14696CBA">
            <w:pPr>
              <w:keepNext w:val="0"/>
              <w:keepLines w:val="0"/>
              <w:numPr>
                <w:ilvl w:val="0"/>
                <w:numId w:val="3"/>
              </w:numPr>
              <w:suppressLineNumbers w:val="0"/>
              <w:spacing w:before="0" w:beforeAutospacing="0" w:after="0" w:afterAutospacing="0" w:line="500" w:lineRule="exact"/>
              <w:ind w:right="0" w:firstLine="0"/>
              <w:rPr>
                <w:rFonts w:hint="eastAsia" w:ascii="宋体" w:hAnsi="宋体" w:eastAsia="宋体" w:cs="宋体"/>
                <w:sz w:val="28"/>
                <w:szCs w:val="28"/>
              </w:rPr>
            </w:pPr>
            <w:r>
              <w:rPr>
                <w:rFonts w:hint="eastAsia" w:ascii="宋体" w:hAnsi="宋体" w:eastAsia="宋体" w:cs="宋体"/>
                <w:sz w:val="28"/>
                <w:szCs w:val="28"/>
              </w:rPr>
              <w:t>节能产品政府采购政策（财库[2019]9 号、财库[2019]19 号）；</w:t>
            </w:r>
          </w:p>
          <w:p w14:paraId="51357437">
            <w:pPr>
              <w:keepNext w:val="0"/>
              <w:keepLines w:val="0"/>
              <w:numPr>
                <w:ilvl w:val="0"/>
                <w:numId w:val="3"/>
              </w:numPr>
              <w:suppressLineNumbers w:val="0"/>
              <w:spacing w:before="0" w:beforeAutospacing="0" w:after="0" w:afterAutospacing="0" w:line="500" w:lineRule="exact"/>
              <w:ind w:right="0" w:firstLine="0"/>
              <w:rPr>
                <w:rFonts w:hint="eastAsia" w:ascii="宋体" w:hAnsi="宋体" w:eastAsia="宋体" w:cs="宋体"/>
                <w:sz w:val="28"/>
                <w:szCs w:val="28"/>
              </w:rPr>
            </w:pPr>
            <w:r>
              <w:rPr>
                <w:rFonts w:hint="eastAsia" w:ascii="宋体" w:hAnsi="宋体" w:eastAsia="宋体" w:cs="宋体"/>
                <w:sz w:val="28"/>
                <w:szCs w:val="28"/>
              </w:rPr>
              <w:t>环境标志产品政府采购政策（财库[2019]9 号、财库[2019]18 号）；</w:t>
            </w:r>
          </w:p>
          <w:p w14:paraId="52376F20">
            <w:pPr>
              <w:keepNext w:val="0"/>
              <w:keepLines w:val="0"/>
              <w:numPr>
                <w:ilvl w:val="0"/>
                <w:numId w:val="3"/>
              </w:numPr>
              <w:suppressLineNumbers w:val="0"/>
              <w:spacing w:before="0" w:beforeAutospacing="0" w:after="0" w:afterAutospacing="0" w:line="500" w:lineRule="exact"/>
              <w:ind w:right="0" w:firstLine="0"/>
              <w:rPr>
                <w:rFonts w:hint="eastAsia" w:ascii="宋体" w:hAnsi="宋体" w:eastAsia="宋体" w:cs="宋体"/>
                <w:sz w:val="28"/>
                <w:szCs w:val="28"/>
              </w:rPr>
            </w:pPr>
            <w:r>
              <w:rPr>
                <w:rFonts w:hint="eastAsia" w:ascii="宋体" w:hAnsi="宋体" w:eastAsia="宋体" w:cs="宋体"/>
                <w:sz w:val="28"/>
                <w:szCs w:val="28"/>
              </w:rPr>
              <w:t>执行《政府采购促进中小企业发展管理办法》（财库[2020]46 号）；</w:t>
            </w:r>
          </w:p>
          <w:p w14:paraId="33189C83">
            <w:pPr>
              <w:keepNext w:val="0"/>
              <w:keepLines w:val="0"/>
              <w:numPr>
                <w:ilvl w:val="0"/>
                <w:numId w:val="3"/>
              </w:numPr>
              <w:suppressLineNumbers w:val="0"/>
              <w:spacing w:before="0" w:beforeAutospacing="0" w:after="0" w:afterAutospacing="0" w:line="500" w:lineRule="exact"/>
              <w:ind w:right="0" w:firstLine="0"/>
              <w:rPr>
                <w:rFonts w:hint="eastAsia" w:ascii="宋体" w:hAnsi="宋体" w:eastAsia="宋体" w:cs="宋体"/>
                <w:sz w:val="28"/>
                <w:szCs w:val="28"/>
              </w:rPr>
            </w:pPr>
            <w:r>
              <w:rPr>
                <w:rFonts w:hint="eastAsia" w:ascii="宋体" w:hAnsi="宋体" w:eastAsia="宋体" w:cs="宋体"/>
                <w:sz w:val="28"/>
                <w:szCs w:val="28"/>
              </w:rPr>
              <w:t>关于进一步加大政府采购支持中小企业力度的通知（财库〔2022〕19号）；</w:t>
            </w:r>
          </w:p>
          <w:p w14:paraId="71D3B81C">
            <w:pPr>
              <w:keepNext w:val="0"/>
              <w:keepLines w:val="0"/>
              <w:numPr>
                <w:ilvl w:val="0"/>
                <w:numId w:val="3"/>
              </w:numPr>
              <w:suppressLineNumbers w:val="0"/>
              <w:spacing w:before="0" w:beforeAutospacing="0" w:after="0" w:afterAutospacing="0" w:line="500" w:lineRule="exact"/>
              <w:ind w:right="0" w:firstLine="0"/>
              <w:rPr>
                <w:rFonts w:hint="eastAsia" w:ascii="宋体" w:hAnsi="宋体" w:eastAsia="宋体" w:cs="宋体"/>
                <w:sz w:val="28"/>
                <w:szCs w:val="28"/>
              </w:rPr>
            </w:pPr>
            <w:r>
              <w:rPr>
                <w:rFonts w:hint="eastAsia" w:ascii="宋体" w:hAnsi="宋体" w:eastAsia="宋体" w:cs="宋体"/>
                <w:sz w:val="28"/>
                <w:szCs w:val="28"/>
              </w:rPr>
              <w:t>执行《财政部、司法部关于政府采购支持监狱企业发展有关问题的通知》（财库[2014]68 号）；</w:t>
            </w:r>
          </w:p>
          <w:p w14:paraId="26F6E8F8">
            <w:pPr>
              <w:keepNext w:val="0"/>
              <w:keepLines w:val="0"/>
              <w:numPr>
                <w:ilvl w:val="0"/>
                <w:numId w:val="3"/>
              </w:numPr>
              <w:suppressLineNumbers w:val="0"/>
              <w:spacing w:before="0" w:beforeAutospacing="0" w:after="0" w:afterAutospacing="0" w:line="500" w:lineRule="exact"/>
              <w:ind w:right="0" w:firstLine="0"/>
              <w:rPr>
                <w:rFonts w:hint="eastAsia" w:ascii="宋体" w:hAnsi="宋体" w:eastAsia="宋体" w:cs="宋体"/>
                <w:sz w:val="28"/>
                <w:szCs w:val="28"/>
              </w:rPr>
            </w:pPr>
            <w:r>
              <w:rPr>
                <w:rFonts w:hint="eastAsia" w:ascii="宋体" w:hAnsi="宋体" w:eastAsia="宋体" w:cs="宋体"/>
                <w:sz w:val="28"/>
                <w:szCs w:val="28"/>
              </w:rPr>
              <w:t>执行《关于促进残疾人就业政府采购政策的通知》（财库[2017]141号）（如有）；</w:t>
            </w:r>
          </w:p>
          <w:p w14:paraId="4323AD1B">
            <w:pPr>
              <w:keepNext w:val="0"/>
              <w:keepLines w:val="0"/>
              <w:numPr>
                <w:ilvl w:val="0"/>
                <w:numId w:val="3"/>
              </w:numPr>
              <w:suppressLineNumbers w:val="0"/>
              <w:spacing w:before="0" w:beforeAutospacing="0" w:after="0" w:afterAutospacing="0" w:line="500" w:lineRule="exact"/>
              <w:ind w:right="0" w:firstLine="0"/>
              <w:rPr>
                <w:rFonts w:hint="eastAsia" w:ascii="宋体" w:hAnsi="宋体" w:eastAsia="宋体" w:cs="宋体"/>
                <w:sz w:val="28"/>
                <w:szCs w:val="28"/>
              </w:rPr>
            </w:pPr>
            <w:r>
              <w:rPr>
                <w:rFonts w:hint="eastAsia" w:ascii="宋体" w:hAnsi="宋体" w:eastAsia="宋体" w:cs="宋体"/>
                <w:sz w:val="28"/>
                <w:szCs w:val="28"/>
              </w:rPr>
              <w:t>执行《财政部关于在政府采购活动中査询及使用信用记录有关问题的通知》（财库[2016]125 号）。</w:t>
            </w:r>
          </w:p>
          <w:p w14:paraId="4A3A55EE">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2）本项目为非专门面向中小企业的政府采购项目，根据相关政府采购政策的规定，对满足价格扣除条件且在投标文件中提交了《中小企业声明函》或《残疾人福利性单位声明函》或省级以上监狱管理局、戒毒管理局（含新疆生产建设兵团）出具的属于监狱企业的证明文件的投标人，价格给予10%的扣除优惠，不重复享受政策。</w:t>
            </w:r>
          </w:p>
          <w:p w14:paraId="2D566534">
            <w:pPr>
              <w:pStyle w:val="9"/>
              <w:keepNext w:val="0"/>
              <w:keepLines w:val="0"/>
              <w:suppressLineNumbers w:val="0"/>
              <w:spacing w:before="0" w:beforeAutospacing="0" w:after="0" w:afterAutospacing="0" w:line="500" w:lineRule="exact"/>
              <w:ind w:left="0" w:right="0"/>
              <w:rPr>
                <w:rFonts w:hint="eastAsia" w:ascii="宋体" w:hAnsi="宋体" w:eastAsia="宋体" w:cs="宋体"/>
                <w:kern w:val="0"/>
                <w:sz w:val="28"/>
                <w:szCs w:val="28"/>
              </w:rPr>
            </w:pPr>
            <w:r>
              <w:rPr>
                <w:rFonts w:hint="eastAsia" w:ascii="宋体" w:hAnsi="宋体" w:eastAsia="宋体" w:cs="宋体"/>
                <w:kern w:val="0"/>
                <w:sz w:val="28"/>
                <w:szCs w:val="28"/>
              </w:rPr>
              <w:t xml:space="preserve">（3）本项目所有产品，所属行业：工业。  </w:t>
            </w:r>
          </w:p>
          <w:p w14:paraId="3EBCCD50">
            <w:pPr>
              <w:keepNext w:val="0"/>
              <w:keepLines w:val="0"/>
              <w:suppressLineNumbers w:val="0"/>
              <w:spacing w:before="0" w:beforeAutospacing="0" w:after="0" w:afterAutospacing="0" w:line="500" w:lineRule="exact"/>
              <w:ind w:left="0" w:right="0"/>
              <w:jc w:val="left"/>
              <w:rPr>
                <w:rFonts w:hint="eastAsia" w:ascii="宋体" w:hAnsi="宋体" w:eastAsia="宋体" w:cs="宋体"/>
                <w:sz w:val="28"/>
                <w:szCs w:val="28"/>
              </w:rPr>
            </w:pPr>
            <w:r>
              <w:rPr>
                <w:rFonts w:hint="eastAsia" w:ascii="宋体" w:hAnsi="宋体" w:eastAsia="宋体" w:cs="宋体"/>
                <w:sz w:val="28"/>
                <w:szCs w:val="28"/>
              </w:rPr>
              <w:t>⑧本国产品标准(依据《国务院办公厅关于在政府采购中实施本国产品标准及相关政策的通知》国办发〔2025〕34号) 。</w:t>
            </w:r>
          </w:p>
        </w:tc>
      </w:tr>
      <w:tr w14:paraId="0624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3" w:type="dxa"/>
            <w:vAlign w:val="center"/>
          </w:tcPr>
          <w:p w14:paraId="7E20ED6B">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6</w:t>
            </w:r>
          </w:p>
        </w:tc>
        <w:tc>
          <w:tcPr>
            <w:tcW w:w="1374" w:type="dxa"/>
            <w:vAlign w:val="center"/>
          </w:tcPr>
          <w:p w14:paraId="0A73CC83">
            <w:pPr>
              <w:keepNext w:val="0"/>
              <w:keepLines w:val="0"/>
              <w:suppressLineNumbers w:val="0"/>
              <w:spacing w:before="0" w:beforeAutospacing="0" w:after="0" w:afterAutospacing="0" w:line="500" w:lineRule="exact"/>
              <w:ind w:left="0" w:right="0"/>
              <w:jc w:val="center"/>
              <w:rPr>
                <w:rFonts w:hint="eastAsia" w:ascii="宋体" w:hAnsi="宋体" w:eastAsia="宋体" w:cs="宋体"/>
                <w:kern w:val="2"/>
                <w:sz w:val="28"/>
                <w:szCs w:val="28"/>
              </w:rPr>
            </w:pPr>
            <w:r>
              <w:rPr>
                <w:rFonts w:hint="eastAsia" w:ascii="宋体" w:hAnsi="宋体" w:eastAsia="宋体" w:cs="宋体"/>
                <w:kern w:val="2"/>
                <w:sz w:val="28"/>
                <w:szCs w:val="28"/>
              </w:rPr>
              <w:t>投标人资格要求</w:t>
            </w:r>
          </w:p>
        </w:tc>
        <w:tc>
          <w:tcPr>
            <w:tcW w:w="6473" w:type="dxa"/>
            <w:vAlign w:val="center"/>
          </w:tcPr>
          <w:p w14:paraId="7D544B42">
            <w:pPr>
              <w:pStyle w:val="36"/>
              <w:keepNext w:val="0"/>
              <w:keepLines w:val="0"/>
              <w:widowControl/>
              <w:suppressLineNumbers w:val="0"/>
              <w:spacing w:before="0" w:beforeAutospacing="0" w:after="0" w:afterAutospacing="0" w:line="500" w:lineRule="exact"/>
              <w:ind w:left="0" w:right="0"/>
              <w:jc w:val="left"/>
              <w:rPr>
                <w:rFonts w:hint="eastAsia" w:ascii="宋体" w:hAnsi="宋体" w:eastAsia="宋体" w:cs="宋体"/>
                <w:sz w:val="28"/>
                <w:szCs w:val="28"/>
              </w:rPr>
            </w:pPr>
            <w:r>
              <w:rPr>
                <w:rFonts w:hint="eastAsia" w:ascii="宋体" w:hAnsi="宋体" w:eastAsia="宋体" w:cs="宋体"/>
                <w:sz w:val="28"/>
                <w:szCs w:val="28"/>
              </w:rPr>
              <w:t>详见“第一章 招标公告”</w:t>
            </w:r>
          </w:p>
          <w:p w14:paraId="0A333B6E">
            <w:pPr>
              <w:pStyle w:val="36"/>
              <w:keepNext w:val="0"/>
              <w:keepLines w:val="0"/>
              <w:widowControl/>
              <w:suppressLineNumbers w:val="0"/>
              <w:spacing w:before="0" w:beforeAutospacing="0" w:after="0" w:afterAutospacing="0" w:line="500" w:lineRule="exact"/>
              <w:ind w:left="0" w:right="0"/>
              <w:jc w:val="left"/>
              <w:rPr>
                <w:rFonts w:hint="eastAsia" w:ascii="宋体" w:hAnsi="宋体" w:eastAsia="宋体" w:cs="宋体"/>
                <w:sz w:val="28"/>
                <w:szCs w:val="28"/>
              </w:rPr>
            </w:pPr>
            <w:r>
              <w:rPr>
                <w:rFonts w:hint="eastAsia" w:ascii="宋体" w:hAnsi="宋体" w:eastAsia="宋体" w:cs="宋体"/>
                <w:sz w:val="28"/>
                <w:szCs w:val="28"/>
              </w:rPr>
              <w:t>说明：以上资格证明材料均须在投标文件中按要求提供，缺项或资料模糊导致无法认定，</w:t>
            </w:r>
            <w:r>
              <w:rPr>
                <w:rFonts w:hint="eastAsia" w:ascii="宋体" w:hAnsi="宋体" w:eastAsia="宋体" w:cs="宋体"/>
                <w:b/>
                <w:bCs/>
                <w:sz w:val="28"/>
                <w:szCs w:val="28"/>
              </w:rPr>
              <w:t>投标无效</w:t>
            </w:r>
            <w:r>
              <w:rPr>
                <w:rFonts w:hint="eastAsia" w:ascii="宋体" w:hAnsi="宋体" w:eastAsia="宋体" w:cs="宋体"/>
                <w:sz w:val="28"/>
                <w:szCs w:val="28"/>
              </w:rPr>
              <w:t>。具体要求详见《资格审查表》。</w:t>
            </w:r>
          </w:p>
        </w:tc>
      </w:tr>
      <w:tr w14:paraId="2266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dxa"/>
            <w:vAlign w:val="center"/>
          </w:tcPr>
          <w:p w14:paraId="0DCC450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7</w:t>
            </w:r>
          </w:p>
        </w:tc>
        <w:tc>
          <w:tcPr>
            <w:tcW w:w="1374" w:type="dxa"/>
            <w:vAlign w:val="center"/>
          </w:tcPr>
          <w:p w14:paraId="79E1F178">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投标保证金</w:t>
            </w:r>
          </w:p>
        </w:tc>
        <w:tc>
          <w:tcPr>
            <w:tcW w:w="6473" w:type="dxa"/>
            <w:vAlign w:val="center"/>
          </w:tcPr>
          <w:p w14:paraId="0743CDCF">
            <w:pPr>
              <w:pStyle w:val="22"/>
              <w:keepNext w:val="0"/>
              <w:keepLines w:val="0"/>
              <w:suppressLineNumbers w:val="0"/>
              <w:spacing w:before="0" w:beforeAutospacing="0" w:after="0" w:afterAutospacing="0" w:line="500" w:lineRule="exact"/>
              <w:ind w:left="0" w:right="0" w:firstLine="0"/>
              <w:rPr>
                <w:rFonts w:hint="eastAsia" w:ascii="宋体" w:hAnsi="宋体" w:eastAsia="宋体" w:cs="宋体"/>
                <w:sz w:val="28"/>
                <w:szCs w:val="28"/>
              </w:rPr>
            </w:pPr>
            <w:r>
              <w:rPr>
                <w:rFonts w:hint="eastAsia" w:ascii="宋体" w:hAnsi="宋体" w:eastAsia="宋体" w:cs="宋体"/>
                <w:sz w:val="28"/>
                <w:szCs w:val="28"/>
              </w:rPr>
              <w:t>投标保证金的金额：人民币1250000.00元（大写：壹佰贰拾伍万元整）</w:t>
            </w:r>
          </w:p>
          <w:p w14:paraId="604C50E1">
            <w:pPr>
              <w:pStyle w:val="22"/>
              <w:keepNext w:val="0"/>
              <w:keepLines w:val="0"/>
              <w:suppressLineNumbers w:val="0"/>
              <w:spacing w:before="0" w:beforeAutospacing="0" w:after="0" w:afterAutospacing="0" w:line="500" w:lineRule="exact"/>
              <w:ind w:left="0" w:right="0" w:firstLine="0"/>
              <w:rPr>
                <w:rFonts w:hint="eastAsia" w:ascii="宋体" w:hAnsi="宋体" w:eastAsia="宋体" w:cs="宋体"/>
                <w:sz w:val="28"/>
                <w:szCs w:val="28"/>
              </w:rPr>
            </w:pPr>
            <w:r>
              <w:rPr>
                <w:rFonts w:hint="eastAsia" w:ascii="宋体" w:hAnsi="宋体" w:eastAsia="宋体" w:cs="宋体"/>
                <w:sz w:val="28"/>
                <w:szCs w:val="28"/>
              </w:rPr>
              <w:t>投标保证金须在投标文件上传截止时间前确认到账，若投标人未按照上述规定缴纳保证金,</w:t>
            </w:r>
            <w:r>
              <w:rPr>
                <w:rFonts w:hint="eastAsia" w:ascii="宋体" w:hAnsi="宋体" w:eastAsia="宋体" w:cs="宋体"/>
                <w:b/>
                <w:bCs/>
                <w:sz w:val="28"/>
                <w:szCs w:val="28"/>
              </w:rPr>
              <w:t>投标无效。</w:t>
            </w:r>
          </w:p>
          <w:p w14:paraId="3ED14DF1">
            <w:pPr>
              <w:pStyle w:val="22"/>
              <w:keepNext w:val="0"/>
              <w:keepLines w:val="0"/>
              <w:suppressLineNumbers w:val="0"/>
              <w:spacing w:before="0" w:beforeAutospacing="0" w:after="0" w:afterAutospacing="0" w:line="500" w:lineRule="exact"/>
              <w:ind w:left="0" w:right="0" w:firstLine="0"/>
              <w:rPr>
                <w:rFonts w:hint="eastAsia" w:ascii="宋体" w:hAnsi="宋体" w:eastAsia="宋体" w:cs="宋体"/>
                <w:b/>
                <w:bCs/>
                <w:sz w:val="28"/>
                <w:szCs w:val="28"/>
              </w:rPr>
            </w:pPr>
            <w:r>
              <w:rPr>
                <w:rFonts w:hint="eastAsia" w:ascii="宋体" w:hAnsi="宋体" w:eastAsia="宋体" w:cs="宋体"/>
                <w:b/>
                <w:bCs/>
                <w:sz w:val="28"/>
                <w:szCs w:val="28"/>
              </w:rPr>
              <w:t>一、投标保证金缴纳：</w:t>
            </w:r>
          </w:p>
          <w:p w14:paraId="6421CE73">
            <w:pPr>
              <w:pStyle w:val="22"/>
              <w:keepNext w:val="0"/>
              <w:keepLines w:val="0"/>
              <w:suppressLineNumbers w:val="0"/>
              <w:spacing w:before="0" w:beforeAutospacing="0" w:after="0" w:afterAutospacing="0" w:line="500" w:lineRule="exact"/>
              <w:ind w:left="0" w:right="0" w:firstLine="0"/>
              <w:rPr>
                <w:rFonts w:hint="eastAsia" w:ascii="宋体" w:hAnsi="宋体" w:eastAsia="宋体" w:cs="宋体"/>
                <w:sz w:val="28"/>
                <w:szCs w:val="28"/>
              </w:rPr>
            </w:pPr>
            <w:r>
              <w:rPr>
                <w:rFonts w:hint="eastAsia" w:ascii="宋体" w:hAnsi="宋体" w:eastAsia="宋体" w:cs="宋体"/>
                <w:sz w:val="28"/>
                <w:szCs w:val="28"/>
              </w:rPr>
              <w:t>1.投标保证金应当以支票、汇票、本票、保函等非现金形式缴纳或提交保证金；投标保证金缴纳截止时间：同投标文件上传截止时间。</w:t>
            </w:r>
          </w:p>
          <w:p w14:paraId="094B1AFD">
            <w:pPr>
              <w:keepNext w:val="0"/>
              <w:keepLines w:val="0"/>
              <w:suppressLineNumbers w:val="0"/>
              <w:adjustRightInd w:val="0"/>
              <w:snapToGrid w:val="0"/>
              <w:spacing w:before="0" w:beforeAutospacing="0" w:after="0" w:afterAutospacing="0" w:line="500" w:lineRule="exact"/>
              <w:ind w:left="0" w:right="0"/>
              <w:jc w:val="left"/>
              <w:textAlignment w:val="baseline"/>
              <w:rPr>
                <w:rFonts w:hint="eastAsia" w:ascii="宋体" w:hAnsi="宋体" w:eastAsia="宋体" w:cs="宋体"/>
                <w:sz w:val="28"/>
                <w:szCs w:val="28"/>
              </w:rPr>
            </w:pPr>
            <w:r>
              <w:rPr>
                <w:rFonts w:hint="eastAsia" w:ascii="宋体" w:hAnsi="宋体" w:eastAsia="宋体" w:cs="宋体"/>
                <w:sz w:val="28"/>
                <w:szCs w:val="28"/>
              </w:rPr>
              <w:t>2.以电汇形式缴纳投标保证金时需备注项目名称，字数超限可简写；电汇完毕投标人需将投标保证金缴纳凭证插入投标文件格式中相应位置，无需前往代理公司开具收据。账户信息如下：</w:t>
            </w:r>
          </w:p>
          <w:p w14:paraId="62836937">
            <w:pPr>
              <w:pStyle w:val="22"/>
              <w:keepNext w:val="0"/>
              <w:keepLines w:val="0"/>
              <w:suppressLineNumbers w:val="0"/>
              <w:spacing w:before="0" w:beforeAutospacing="0" w:after="0" w:afterAutospacing="0" w:line="500" w:lineRule="exact"/>
              <w:ind w:left="0" w:right="0" w:firstLine="0"/>
              <w:rPr>
                <w:rFonts w:hint="eastAsia" w:ascii="宋体" w:hAnsi="宋体" w:eastAsia="宋体" w:cs="宋体"/>
                <w:sz w:val="28"/>
                <w:szCs w:val="28"/>
              </w:rPr>
            </w:pPr>
            <w:r>
              <w:rPr>
                <w:rFonts w:hint="eastAsia" w:ascii="宋体" w:hAnsi="宋体" w:eastAsia="宋体" w:cs="宋体"/>
                <w:sz w:val="28"/>
                <w:szCs w:val="28"/>
              </w:rPr>
              <w:t>单位名称：新疆拓源工程管理咨询有限公司</w:t>
            </w:r>
          </w:p>
          <w:p w14:paraId="5988F672">
            <w:pPr>
              <w:pStyle w:val="22"/>
              <w:keepNext w:val="0"/>
              <w:keepLines w:val="0"/>
              <w:suppressLineNumbers w:val="0"/>
              <w:spacing w:before="0" w:beforeAutospacing="0" w:after="0" w:afterAutospacing="0" w:line="500" w:lineRule="exact"/>
              <w:ind w:left="0" w:right="0" w:firstLine="0"/>
              <w:rPr>
                <w:rFonts w:hint="eastAsia" w:ascii="宋体" w:hAnsi="宋体" w:eastAsia="宋体" w:cs="宋体"/>
                <w:sz w:val="28"/>
                <w:szCs w:val="28"/>
              </w:rPr>
            </w:pPr>
            <w:r>
              <w:rPr>
                <w:rFonts w:hint="eastAsia" w:ascii="宋体" w:hAnsi="宋体" w:eastAsia="宋体" w:cs="宋体"/>
                <w:sz w:val="28"/>
                <w:szCs w:val="28"/>
              </w:rPr>
              <w:t>账号：107675470537</w:t>
            </w:r>
          </w:p>
          <w:p w14:paraId="75B3E129">
            <w:pPr>
              <w:pStyle w:val="22"/>
              <w:keepNext w:val="0"/>
              <w:keepLines w:val="0"/>
              <w:suppressLineNumbers w:val="0"/>
              <w:spacing w:before="0" w:beforeAutospacing="0" w:after="0" w:afterAutospacing="0" w:line="500" w:lineRule="exact"/>
              <w:ind w:left="0" w:right="0" w:firstLine="0"/>
              <w:rPr>
                <w:rFonts w:hint="eastAsia" w:ascii="宋体" w:hAnsi="宋体" w:eastAsia="宋体" w:cs="宋体"/>
                <w:sz w:val="28"/>
                <w:szCs w:val="28"/>
              </w:rPr>
            </w:pPr>
            <w:r>
              <w:rPr>
                <w:rFonts w:hint="eastAsia" w:ascii="宋体" w:hAnsi="宋体" w:eastAsia="宋体" w:cs="宋体"/>
                <w:sz w:val="28"/>
                <w:szCs w:val="28"/>
              </w:rPr>
              <w:t>开户行名称：中国银行股份有限公司乌鲁木齐市银川路支行</w:t>
            </w:r>
          </w:p>
          <w:p w14:paraId="6AA68C60">
            <w:pPr>
              <w:pStyle w:val="22"/>
              <w:keepNext w:val="0"/>
              <w:keepLines w:val="0"/>
              <w:suppressLineNumbers w:val="0"/>
              <w:spacing w:before="0" w:beforeAutospacing="0" w:after="0" w:afterAutospacing="0" w:line="500" w:lineRule="exact"/>
              <w:ind w:left="0" w:right="0" w:firstLine="0"/>
              <w:rPr>
                <w:rFonts w:hint="eastAsia" w:ascii="宋体" w:hAnsi="宋体" w:eastAsia="宋体" w:cs="宋体"/>
                <w:sz w:val="28"/>
                <w:szCs w:val="28"/>
              </w:rPr>
            </w:pPr>
            <w:r>
              <w:rPr>
                <w:rFonts w:hint="eastAsia" w:ascii="宋体" w:hAnsi="宋体" w:eastAsia="宋体" w:cs="宋体"/>
                <w:sz w:val="28"/>
                <w:szCs w:val="28"/>
              </w:rPr>
              <w:t>行号：104881006135</w:t>
            </w:r>
          </w:p>
          <w:p w14:paraId="679FE3CA">
            <w:pPr>
              <w:keepNext w:val="0"/>
              <w:keepLines w:val="0"/>
              <w:suppressLineNumbers w:val="0"/>
              <w:adjustRightInd w:val="0"/>
              <w:snapToGrid w:val="0"/>
              <w:spacing w:before="0" w:beforeAutospacing="0" w:after="0" w:afterAutospacing="0" w:line="500" w:lineRule="exact"/>
              <w:ind w:left="0" w:right="0"/>
              <w:jc w:val="left"/>
              <w:textAlignment w:val="baseline"/>
              <w:rPr>
                <w:rStyle w:val="30"/>
                <w:rFonts w:hint="eastAsia" w:ascii="宋体" w:hAnsi="宋体" w:eastAsia="宋体" w:cs="宋体"/>
                <w:sz w:val="28"/>
                <w:szCs w:val="28"/>
                <w:lang w:eastAsia="zh-CN"/>
              </w:rPr>
            </w:pPr>
            <w:r>
              <w:rPr>
                <w:rStyle w:val="30"/>
                <w:rFonts w:hint="eastAsia" w:ascii="宋体" w:hAnsi="宋体" w:eastAsia="宋体" w:cs="宋体"/>
                <w:sz w:val="28"/>
                <w:szCs w:val="28"/>
                <w:lang w:eastAsia="zh-CN"/>
              </w:rPr>
              <w:t>3.若采用金融机构、担保机构出具保函形式递交时，将本项目（项目名称）的保函扫描件插入投标文对应位置即可，否则视为无效。保函有效期不少于投标有效期。</w:t>
            </w:r>
          </w:p>
          <w:p w14:paraId="5A219FCF">
            <w:pPr>
              <w:keepNext w:val="0"/>
              <w:keepLines w:val="0"/>
              <w:suppressLineNumbers w:val="0"/>
              <w:adjustRightInd w:val="0"/>
              <w:snapToGrid w:val="0"/>
              <w:spacing w:before="0" w:beforeAutospacing="0" w:after="0" w:afterAutospacing="0" w:line="500" w:lineRule="exact"/>
              <w:ind w:left="0" w:right="0"/>
              <w:jc w:val="left"/>
              <w:textAlignment w:val="baseline"/>
              <w:rPr>
                <w:rStyle w:val="30"/>
                <w:rFonts w:hint="eastAsia" w:ascii="宋体" w:hAnsi="宋体" w:eastAsia="宋体" w:cs="宋体"/>
                <w:sz w:val="28"/>
                <w:szCs w:val="28"/>
                <w:lang w:eastAsia="zh-CN"/>
              </w:rPr>
            </w:pPr>
            <w:r>
              <w:rPr>
                <w:rStyle w:val="30"/>
                <w:rFonts w:hint="eastAsia" w:ascii="宋体" w:hAnsi="宋体" w:eastAsia="宋体" w:cs="宋体"/>
                <w:sz w:val="28"/>
                <w:szCs w:val="28"/>
                <w:lang w:eastAsia="zh-CN"/>
              </w:rPr>
              <w:t>4.如采用电子保函方式缴纳可按照新疆政府采购网-电子保函模块。采用电子保函形式应按以下要求办理：</w:t>
            </w:r>
          </w:p>
          <w:p w14:paraId="532A1B36">
            <w:pPr>
              <w:keepNext w:val="0"/>
              <w:keepLines w:val="0"/>
              <w:suppressLineNumbers w:val="0"/>
              <w:adjustRightInd w:val="0"/>
              <w:snapToGrid w:val="0"/>
              <w:spacing w:before="0" w:beforeAutospacing="0" w:after="0" w:afterAutospacing="0" w:line="500" w:lineRule="exact"/>
              <w:ind w:left="0" w:right="0"/>
              <w:jc w:val="left"/>
              <w:textAlignment w:val="baseline"/>
              <w:rPr>
                <w:rStyle w:val="30"/>
                <w:rFonts w:hint="eastAsia" w:ascii="宋体" w:hAnsi="宋体" w:eastAsia="宋体" w:cs="宋体"/>
                <w:sz w:val="28"/>
                <w:szCs w:val="28"/>
                <w:lang w:eastAsia="zh-CN"/>
              </w:rPr>
            </w:pPr>
            <w:r>
              <w:rPr>
                <w:rStyle w:val="30"/>
                <w:rFonts w:hint="eastAsia" w:ascii="宋体" w:hAnsi="宋体" w:eastAsia="宋体" w:cs="宋体"/>
                <w:sz w:val="28"/>
                <w:szCs w:val="28"/>
                <w:lang w:eastAsia="zh-CN"/>
              </w:rPr>
              <w:t>（1）电子保函按照“一分包一保函”的原则。</w:t>
            </w:r>
          </w:p>
          <w:p w14:paraId="74F4D9A4">
            <w:pPr>
              <w:keepNext w:val="0"/>
              <w:keepLines w:val="0"/>
              <w:suppressLineNumbers w:val="0"/>
              <w:adjustRightInd w:val="0"/>
              <w:snapToGrid w:val="0"/>
              <w:spacing w:before="0" w:beforeAutospacing="0" w:after="0" w:afterAutospacing="0" w:line="500" w:lineRule="exact"/>
              <w:ind w:left="0" w:right="0"/>
              <w:jc w:val="left"/>
              <w:textAlignment w:val="baseline"/>
              <w:rPr>
                <w:rStyle w:val="30"/>
                <w:rFonts w:hint="eastAsia" w:ascii="宋体" w:hAnsi="宋体" w:eastAsia="宋体" w:cs="宋体"/>
                <w:sz w:val="28"/>
                <w:szCs w:val="28"/>
                <w:lang w:eastAsia="zh-CN"/>
              </w:rPr>
            </w:pPr>
            <w:r>
              <w:rPr>
                <w:rStyle w:val="30"/>
                <w:rFonts w:hint="eastAsia" w:ascii="宋体" w:hAnsi="宋体" w:eastAsia="宋体" w:cs="宋体"/>
                <w:sz w:val="28"/>
                <w:szCs w:val="28"/>
                <w:lang w:eastAsia="zh-CN"/>
              </w:rPr>
              <w:t>（2）电子保函须在招标文件规定的投标截止时间前办理完成。</w:t>
            </w:r>
          </w:p>
          <w:p w14:paraId="1C15FDF4">
            <w:pPr>
              <w:keepNext w:val="0"/>
              <w:keepLines w:val="0"/>
              <w:suppressLineNumbers w:val="0"/>
              <w:adjustRightInd w:val="0"/>
              <w:snapToGrid w:val="0"/>
              <w:spacing w:before="0" w:beforeAutospacing="0" w:after="0" w:afterAutospacing="0" w:line="500" w:lineRule="exact"/>
              <w:ind w:left="0" w:right="0"/>
              <w:jc w:val="left"/>
              <w:textAlignment w:val="baseline"/>
              <w:rPr>
                <w:rStyle w:val="30"/>
                <w:rFonts w:hint="eastAsia" w:ascii="宋体" w:hAnsi="宋体" w:eastAsia="宋体" w:cs="宋体"/>
                <w:sz w:val="28"/>
                <w:szCs w:val="28"/>
                <w:lang w:eastAsia="zh-CN"/>
              </w:rPr>
            </w:pPr>
            <w:r>
              <w:rPr>
                <w:rStyle w:val="30"/>
                <w:rFonts w:hint="eastAsia" w:ascii="宋体" w:hAnsi="宋体" w:eastAsia="宋体" w:cs="宋体"/>
                <w:sz w:val="28"/>
                <w:szCs w:val="28"/>
                <w:lang w:eastAsia="zh-CN"/>
              </w:rPr>
              <w:t>（3）具体办理流程详见政采云平台《关于办理电子保函操作指南》。</w:t>
            </w:r>
          </w:p>
          <w:p w14:paraId="7F0C93EE">
            <w:pPr>
              <w:keepNext w:val="0"/>
              <w:keepLines w:val="0"/>
              <w:suppressLineNumbers w:val="0"/>
              <w:adjustRightInd w:val="0"/>
              <w:snapToGrid w:val="0"/>
              <w:spacing w:before="0" w:beforeAutospacing="0" w:after="0" w:afterAutospacing="0" w:line="500" w:lineRule="exact"/>
              <w:ind w:left="0" w:right="0"/>
              <w:jc w:val="left"/>
              <w:textAlignment w:val="baseline"/>
              <w:rPr>
                <w:rStyle w:val="30"/>
                <w:rFonts w:hint="eastAsia" w:ascii="宋体" w:hAnsi="宋体" w:eastAsia="宋体" w:cs="宋体"/>
                <w:sz w:val="28"/>
                <w:szCs w:val="28"/>
                <w:lang w:eastAsia="zh-CN"/>
              </w:rPr>
            </w:pPr>
            <w:r>
              <w:rPr>
                <w:rStyle w:val="30"/>
                <w:rFonts w:hint="eastAsia" w:ascii="宋体" w:hAnsi="宋体" w:eastAsia="宋体" w:cs="宋体"/>
                <w:sz w:val="28"/>
                <w:szCs w:val="28"/>
                <w:lang w:eastAsia="zh-CN"/>
              </w:rPr>
              <w:t>投标人以保函形式缴纳投标保证金的，应通过“政采云电子交易金融服务平台”，使用其企业CA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14:paraId="27AFB565">
            <w:pPr>
              <w:keepNext w:val="0"/>
              <w:keepLines w:val="0"/>
              <w:suppressLineNumbers w:val="0"/>
              <w:adjustRightInd w:val="0"/>
              <w:snapToGrid w:val="0"/>
              <w:spacing w:before="0" w:beforeAutospacing="0" w:after="0" w:afterAutospacing="0" w:line="500" w:lineRule="exact"/>
              <w:ind w:left="0" w:right="0"/>
              <w:jc w:val="left"/>
              <w:textAlignment w:val="baseline"/>
              <w:rPr>
                <w:rStyle w:val="30"/>
                <w:rFonts w:hint="eastAsia" w:ascii="宋体" w:hAnsi="宋体" w:eastAsia="宋体" w:cs="宋体"/>
                <w:sz w:val="28"/>
                <w:szCs w:val="28"/>
                <w:lang w:eastAsia="zh-CN"/>
              </w:rPr>
            </w:pPr>
            <w:r>
              <w:rPr>
                <w:rStyle w:val="30"/>
                <w:rFonts w:hint="eastAsia" w:ascii="宋体" w:hAnsi="宋体" w:eastAsia="宋体" w:cs="宋体"/>
                <w:sz w:val="28"/>
                <w:szCs w:val="28"/>
                <w:lang w:eastAsia="zh-CN"/>
              </w:rPr>
              <w:t xml:space="preserve">（备注：如采用电子保函形式缴纳的，在投标截止日之前须从电子保函服务支撑管理平台中确认是否生效。电子保函服务管理平台技术人员联系方式：400-800-5100、0991-8844613） </w:t>
            </w:r>
          </w:p>
          <w:p w14:paraId="7351232A">
            <w:pPr>
              <w:pStyle w:val="22"/>
              <w:keepNext w:val="0"/>
              <w:keepLines w:val="0"/>
              <w:suppressLineNumbers w:val="0"/>
              <w:spacing w:before="0" w:beforeAutospacing="0" w:after="0" w:afterAutospacing="0" w:line="500" w:lineRule="exact"/>
              <w:ind w:left="0" w:right="0" w:firstLine="0"/>
              <w:rPr>
                <w:rFonts w:hint="eastAsia" w:ascii="宋体" w:hAnsi="宋体" w:eastAsia="宋体" w:cs="宋体"/>
                <w:sz w:val="28"/>
                <w:szCs w:val="28"/>
              </w:rPr>
            </w:pPr>
            <w:r>
              <w:rPr>
                <w:rFonts w:hint="eastAsia" w:ascii="宋体" w:hAnsi="宋体" w:eastAsia="宋体" w:cs="宋体"/>
                <w:b/>
                <w:bCs/>
                <w:sz w:val="28"/>
                <w:szCs w:val="28"/>
              </w:rPr>
              <w:t>二、投标保证金退还：</w:t>
            </w:r>
          </w:p>
          <w:p w14:paraId="7DB0F54C">
            <w:pPr>
              <w:pStyle w:val="22"/>
              <w:keepNext w:val="0"/>
              <w:keepLines w:val="0"/>
              <w:suppressLineNumbers w:val="0"/>
              <w:spacing w:before="0" w:beforeAutospacing="0" w:after="0" w:afterAutospacing="0" w:line="500" w:lineRule="exact"/>
              <w:ind w:left="0" w:right="0" w:firstLine="0"/>
              <w:rPr>
                <w:rFonts w:hint="eastAsia" w:ascii="宋体" w:hAnsi="宋体" w:eastAsia="宋体" w:cs="宋体"/>
                <w:sz w:val="28"/>
                <w:szCs w:val="28"/>
              </w:rPr>
            </w:pPr>
            <w:r>
              <w:rPr>
                <w:rFonts w:hint="eastAsia" w:ascii="宋体" w:hAnsi="宋体" w:eastAsia="宋体" w:cs="宋体"/>
                <w:sz w:val="28"/>
                <w:szCs w:val="28"/>
              </w:rPr>
              <w:t xml:space="preserve"> 1.未中标人的投标保证金将在中标通知书发出后5个工作日内退还；</w:t>
            </w:r>
          </w:p>
          <w:p w14:paraId="25F0E10B">
            <w:pPr>
              <w:pStyle w:val="22"/>
              <w:keepNext w:val="0"/>
              <w:keepLines w:val="0"/>
              <w:suppressLineNumbers w:val="0"/>
              <w:spacing w:before="0" w:beforeAutospacing="0" w:after="0" w:afterAutospacing="0" w:line="500" w:lineRule="exact"/>
              <w:ind w:left="0" w:right="0" w:firstLine="0"/>
              <w:rPr>
                <w:rFonts w:hint="eastAsia" w:ascii="宋体" w:hAnsi="宋体" w:eastAsia="宋体" w:cs="宋体"/>
                <w:sz w:val="28"/>
                <w:szCs w:val="28"/>
              </w:rPr>
            </w:pPr>
            <w:r>
              <w:rPr>
                <w:rFonts w:hint="eastAsia" w:ascii="宋体" w:hAnsi="宋体" w:eastAsia="宋体" w:cs="宋体"/>
                <w:sz w:val="28"/>
                <w:szCs w:val="28"/>
              </w:rPr>
              <w:t xml:space="preserve"> 2.中标人的投标保证金将在自采购合同签订之日起5个工作日内无息退还；</w:t>
            </w:r>
          </w:p>
          <w:p w14:paraId="1488F6C8">
            <w:pPr>
              <w:pStyle w:val="22"/>
              <w:keepNext w:val="0"/>
              <w:keepLines w:val="0"/>
              <w:suppressLineNumbers w:val="0"/>
              <w:spacing w:before="0" w:beforeAutospacing="0" w:after="0" w:afterAutospacing="0" w:line="500" w:lineRule="exact"/>
              <w:ind w:left="0" w:right="0" w:firstLine="0"/>
              <w:rPr>
                <w:rFonts w:hint="eastAsia" w:ascii="宋体" w:hAnsi="宋体" w:eastAsia="宋体" w:cs="宋体"/>
                <w:sz w:val="28"/>
                <w:szCs w:val="28"/>
              </w:rPr>
            </w:pPr>
            <w:r>
              <w:rPr>
                <w:rFonts w:hint="eastAsia" w:ascii="宋体" w:hAnsi="宋体" w:eastAsia="宋体" w:cs="宋体"/>
                <w:sz w:val="28"/>
                <w:szCs w:val="28"/>
              </w:rPr>
              <w:t xml:space="preserve"> 3.有下列情形之一的，投标保证金</w:t>
            </w:r>
            <w:r>
              <w:rPr>
                <w:rFonts w:hint="eastAsia" w:ascii="宋体" w:hAnsi="宋体" w:eastAsia="宋体" w:cs="宋体"/>
                <w:b/>
                <w:bCs/>
                <w:sz w:val="28"/>
                <w:szCs w:val="28"/>
              </w:rPr>
              <w:t>不予退还</w:t>
            </w:r>
            <w:r>
              <w:rPr>
                <w:rFonts w:hint="eastAsia" w:ascii="宋体" w:hAnsi="宋体" w:eastAsia="宋体" w:cs="宋体"/>
                <w:sz w:val="28"/>
                <w:szCs w:val="28"/>
              </w:rPr>
              <w:t>：详见总则第15.5条；</w:t>
            </w:r>
          </w:p>
          <w:p w14:paraId="54DE4EDF">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b/>
                <w:bCs/>
                <w:sz w:val="28"/>
                <w:szCs w:val="28"/>
              </w:rPr>
              <w:t>备注：</w:t>
            </w:r>
            <w:r>
              <w:rPr>
                <w:rFonts w:hint="eastAsia" w:ascii="宋体" w:hAnsi="宋体" w:eastAsia="宋体" w:cs="宋体"/>
                <w:sz w:val="28"/>
                <w:szCs w:val="28"/>
              </w:rPr>
              <w:t>投标人未按照招标文件的规定缴纳投标保证金的，</w:t>
            </w:r>
            <w:r>
              <w:rPr>
                <w:rFonts w:hint="eastAsia" w:ascii="宋体" w:hAnsi="宋体" w:eastAsia="宋体" w:cs="宋体"/>
                <w:b/>
                <w:bCs/>
                <w:sz w:val="28"/>
                <w:szCs w:val="28"/>
              </w:rPr>
              <w:t>投标无效</w:t>
            </w:r>
            <w:r>
              <w:rPr>
                <w:rFonts w:hint="eastAsia" w:ascii="宋体" w:hAnsi="宋体" w:eastAsia="宋体" w:cs="宋体"/>
                <w:sz w:val="28"/>
                <w:szCs w:val="28"/>
              </w:rPr>
              <w:t>。</w:t>
            </w:r>
          </w:p>
        </w:tc>
      </w:tr>
      <w:tr w14:paraId="55B9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1DF04D24">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8</w:t>
            </w:r>
          </w:p>
        </w:tc>
        <w:tc>
          <w:tcPr>
            <w:tcW w:w="1374" w:type="dxa"/>
            <w:vAlign w:val="center"/>
          </w:tcPr>
          <w:p w14:paraId="4CAC86DB">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联合体</w:t>
            </w:r>
          </w:p>
        </w:tc>
        <w:tc>
          <w:tcPr>
            <w:tcW w:w="6473" w:type="dxa"/>
            <w:vAlign w:val="center"/>
          </w:tcPr>
          <w:p w14:paraId="1051499D">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不接受</w:t>
            </w:r>
          </w:p>
        </w:tc>
      </w:tr>
      <w:tr w14:paraId="7ED5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34FDD41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9</w:t>
            </w:r>
          </w:p>
        </w:tc>
        <w:tc>
          <w:tcPr>
            <w:tcW w:w="1374" w:type="dxa"/>
            <w:vAlign w:val="center"/>
          </w:tcPr>
          <w:p w14:paraId="39F8B53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分包、转包</w:t>
            </w:r>
          </w:p>
        </w:tc>
        <w:tc>
          <w:tcPr>
            <w:tcW w:w="6473" w:type="dxa"/>
            <w:vAlign w:val="center"/>
          </w:tcPr>
          <w:p w14:paraId="3974CCE5">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 xml:space="preserve">不允许  </w:t>
            </w:r>
          </w:p>
        </w:tc>
      </w:tr>
      <w:tr w14:paraId="50D5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47B9F42E">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10</w:t>
            </w:r>
          </w:p>
        </w:tc>
        <w:tc>
          <w:tcPr>
            <w:tcW w:w="1374" w:type="dxa"/>
            <w:vAlign w:val="center"/>
          </w:tcPr>
          <w:p w14:paraId="2F5B8D6D">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投标文件份数、上传截止时间、地点</w:t>
            </w:r>
          </w:p>
        </w:tc>
        <w:tc>
          <w:tcPr>
            <w:tcW w:w="6473" w:type="dxa"/>
            <w:vAlign w:val="center"/>
          </w:tcPr>
          <w:p w14:paraId="39DABA89">
            <w:pPr>
              <w:keepNext w:val="0"/>
              <w:keepLines w:val="0"/>
              <w:suppressLineNumbers w:val="0"/>
              <w:shd w:val="clear" w:color="auto" w:fill="FFFFFF"/>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（1）电子版加密投标文件1份，无正副本区别，仅需在规定时间内向政采云系统上传即可）。</w:t>
            </w:r>
          </w:p>
          <w:p w14:paraId="553FF6C2">
            <w:pPr>
              <w:keepNext w:val="0"/>
              <w:keepLines w:val="0"/>
              <w:suppressLineNumbers w:val="0"/>
              <w:shd w:val="clear" w:color="auto" w:fill="FFFFFF"/>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（2）所有投标人须在开标结束后五个工作日内向采购代理机构递交已签章胶装成册的投标文件2份（用于档案资料编制），纸质版投标文件须与政采云平台上传的电子版投标文件保持一致。</w:t>
            </w:r>
          </w:p>
          <w:p w14:paraId="79CA7DE1">
            <w:pPr>
              <w:pStyle w:val="20"/>
              <w:keepNext w:val="0"/>
              <w:keepLines w:val="0"/>
              <w:widowControl/>
              <w:suppressLineNumbers w:val="0"/>
              <w:shd w:val="clear" w:color="auto" w:fill="FFFFFF"/>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highlight w:val="none"/>
              </w:rPr>
              <w:t>2）投标文件上传截止时间（开标时间）：2026年</w:t>
            </w:r>
            <w:r>
              <w:rPr>
                <w:rFonts w:hint="default" w:ascii="宋体" w:hAnsi="宋体" w:eastAsia="宋体" w:cs="宋体"/>
                <w:sz w:val="28"/>
                <w:szCs w:val="28"/>
                <w:highlight w:val="none"/>
                <w:lang w:val="en-US"/>
              </w:rPr>
              <w:t>5</w:t>
            </w:r>
            <w:r>
              <w:rPr>
                <w:rFonts w:hint="eastAsia" w:ascii="宋体" w:hAnsi="宋体" w:eastAsia="宋体" w:cs="宋体"/>
                <w:sz w:val="28"/>
                <w:szCs w:val="28"/>
                <w:highlight w:val="none"/>
              </w:rPr>
              <w:t>月</w:t>
            </w:r>
            <w:r>
              <w:rPr>
                <w:rFonts w:hint="default" w:ascii="宋体" w:hAnsi="宋体" w:eastAsia="宋体" w:cs="宋体"/>
                <w:sz w:val="28"/>
                <w:szCs w:val="28"/>
                <w:highlight w:val="none"/>
                <w:lang w:val="en-US"/>
              </w:rPr>
              <w:t>1</w:t>
            </w:r>
            <w:r>
              <w:rPr>
                <w:rFonts w:hint="eastAsia" w:hAnsi="宋体" w:cs="宋体"/>
                <w:sz w:val="28"/>
                <w:szCs w:val="28"/>
                <w:highlight w:val="none"/>
                <w:lang w:val="en-US" w:eastAsia="zh-CN"/>
              </w:rPr>
              <w:t>5</w:t>
            </w:r>
            <w:r>
              <w:rPr>
                <w:rFonts w:hint="eastAsia" w:ascii="宋体" w:hAnsi="宋体" w:eastAsia="宋体" w:cs="宋体"/>
                <w:sz w:val="28"/>
                <w:szCs w:val="28"/>
                <w:highlight w:val="none"/>
              </w:rPr>
              <w:t>日11时00分（北京时间）</w:t>
            </w:r>
          </w:p>
          <w:p w14:paraId="6917E935">
            <w:pPr>
              <w:keepNext w:val="0"/>
              <w:keepLines w:val="0"/>
              <w:suppressLineNumbers w:val="0"/>
              <w:shd w:val="clear" w:color="auto" w:fill="FFFFFF"/>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3）投标文件上传地点（开标地点）：投标人登录政采云平台https://www.zcygov.cn/，进入“项目采购-开标评标-右边选择对应项目点击“进入项目”进入开标大厅。在投标截止时间前将电子加密投标文件成功上传至“政府采购云平台”，投标人成功上传电子加密投标文件后，可自行打印投标文件接收回执。</w:t>
            </w:r>
          </w:p>
          <w:p w14:paraId="0108C258">
            <w:pPr>
              <w:keepNext w:val="0"/>
              <w:keepLines w:val="0"/>
              <w:suppressLineNumbers w:val="0"/>
              <w:shd w:val="clear" w:color="auto" w:fill="FFFFFF"/>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（4）电子投标文件包括“电子加密投标文件”和“备份投标文件”，在投标文件编制完成后同时生成。</w:t>
            </w:r>
          </w:p>
          <w:p w14:paraId="4D1BAF24">
            <w:pPr>
              <w:keepNext w:val="0"/>
              <w:keepLines w:val="0"/>
              <w:suppressLineNumbers w:val="0"/>
              <w:shd w:val="clear" w:color="auto" w:fill="FFFFFF"/>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①“电子加密投标文件（“.jmbs”格式）”是指通过“政采云电子交易客户端”完成投标文件编制后生成并加密的数据电文形式的投标文件。</w:t>
            </w:r>
          </w:p>
          <w:p w14:paraId="2C6FC806">
            <w:pPr>
              <w:pStyle w:val="21"/>
              <w:keepNext w:val="0"/>
              <w:keepLines w:val="0"/>
              <w:suppressLineNumbers w:val="0"/>
              <w:spacing w:before="0" w:beforeAutospacing="0" w:after="0" w:afterAutospacing="0" w:line="500" w:lineRule="exact"/>
              <w:ind w:left="0" w:right="0" w:firstLine="0" w:firstLineChars="0"/>
              <w:rPr>
                <w:rFonts w:hint="eastAsia" w:ascii="宋体" w:hAnsi="宋体" w:eastAsia="宋体" w:cs="宋体"/>
                <w:sz w:val="28"/>
                <w:szCs w:val="28"/>
              </w:rPr>
            </w:pPr>
            <w:r>
              <w:rPr>
                <w:rFonts w:hint="eastAsia" w:ascii="宋体" w:hAnsi="宋体" w:eastAsia="宋体" w:cs="宋体"/>
                <w:sz w:val="28"/>
                <w:szCs w:val="28"/>
              </w:rPr>
              <w:t>②“备份投标文件（“.bfbs”格式）”是指与“电子加密投标文件”同时生成的数据电文形式的电子文件（备份标书，用于投标人标书解密异常时应急使用），其他方式编制的备份投标文件</w:t>
            </w:r>
            <w:r>
              <w:rPr>
                <w:rFonts w:hint="eastAsia" w:ascii="宋体" w:hAnsi="宋体" w:eastAsia="宋体" w:cs="宋体"/>
                <w:b/>
                <w:bCs/>
                <w:sz w:val="28"/>
                <w:szCs w:val="28"/>
              </w:rPr>
              <w:t>视为无效备份投标文件。</w:t>
            </w:r>
          </w:p>
        </w:tc>
      </w:tr>
      <w:tr w14:paraId="5164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7175A9D4">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11</w:t>
            </w:r>
          </w:p>
        </w:tc>
        <w:tc>
          <w:tcPr>
            <w:tcW w:w="1374" w:type="dxa"/>
            <w:vAlign w:val="center"/>
          </w:tcPr>
          <w:p w14:paraId="46E83587">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踏勘现场</w:t>
            </w:r>
          </w:p>
        </w:tc>
        <w:tc>
          <w:tcPr>
            <w:tcW w:w="6473" w:type="dxa"/>
            <w:vAlign w:val="center"/>
          </w:tcPr>
          <w:p w14:paraId="79E7B865">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不组织，投标人自行踏勘，无论投标人对现场考察与否，都将被视为熟悉履行合同有关的一切情况，投标人现场踏勘发生的费用自理。</w:t>
            </w:r>
          </w:p>
        </w:tc>
      </w:tr>
      <w:tr w14:paraId="6CF6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3" w:type="dxa"/>
            <w:vAlign w:val="center"/>
          </w:tcPr>
          <w:p w14:paraId="3457172B">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12</w:t>
            </w:r>
          </w:p>
        </w:tc>
        <w:tc>
          <w:tcPr>
            <w:tcW w:w="1374" w:type="dxa"/>
            <w:vAlign w:val="center"/>
          </w:tcPr>
          <w:p w14:paraId="67C445D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投标答疑会</w:t>
            </w:r>
          </w:p>
        </w:tc>
        <w:tc>
          <w:tcPr>
            <w:tcW w:w="6473" w:type="dxa"/>
            <w:vAlign w:val="center"/>
          </w:tcPr>
          <w:p w14:paraId="3C0CCC8B">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不召开</w:t>
            </w:r>
          </w:p>
        </w:tc>
      </w:tr>
      <w:tr w14:paraId="3B36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219B8314">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13</w:t>
            </w:r>
          </w:p>
        </w:tc>
        <w:tc>
          <w:tcPr>
            <w:tcW w:w="1374" w:type="dxa"/>
            <w:vAlign w:val="center"/>
          </w:tcPr>
          <w:p w14:paraId="4265FA0F">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8"/>
                <w:szCs w:val="28"/>
              </w:rPr>
            </w:pPr>
            <w:r>
              <w:rPr>
                <w:rFonts w:hint="eastAsia" w:ascii="宋体" w:hAnsi="宋体" w:eastAsia="宋体" w:cs="宋体"/>
                <w:bCs/>
                <w:sz w:val="28"/>
                <w:szCs w:val="28"/>
              </w:rPr>
              <w:t>类似业绩要求</w:t>
            </w:r>
          </w:p>
        </w:tc>
        <w:tc>
          <w:tcPr>
            <w:tcW w:w="6473" w:type="dxa"/>
            <w:vAlign w:val="center"/>
          </w:tcPr>
          <w:p w14:paraId="6821102A">
            <w:pPr>
              <w:pStyle w:val="19"/>
              <w:keepNext w:val="0"/>
              <w:keepLines w:val="0"/>
              <w:suppressLineNumbers w:val="0"/>
              <w:spacing w:before="0" w:beforeAutospacing="0" w:after="0" w:afterAutospacing="0" w:line="500" w:lineRule="exact"/>
              <w:ind w:left="0" w:right="0" w:firstLine="0"/>
              <w:rPr>
                <w:rFonts w:hint="eastAsia" w:ascii="宋体" w:hAnsi="宋体" w:eastAsia="宋体" w:cs="宋体"/>
                <w:sz w:val="28"/>
                <w:szCs w:val="28"/>
              </w:rPr>
            </w:pPr>
            <w:r>
              <w:rPr>
                <w:rFonts w:hint="eastAsia" w:ascii="宋体" w:hAnsi="宋体" w:eastAsia="宋体" w:cs="宋体"/>
                <w:sz w:val="28"/>
                <w:szCs w:val="28"/>
              </w:rPr>
              <w:t>2023年4月1日至上传投标文件截止之日。</w:t>
            </w:r>
          </w:p>
        </w:tc>
      </w:tr>
      <w:tr w14:paraId="52AF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75D82ABE">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14</w:t>
            </w:r>
          </w:p>
        </w:tc>
        <w:tc>
          <w:tcPr>
            <w:tcW w:w="1374" w:type="dxa"/>
            <w:vAlign w:val="center"/>
          </w:tcPr>
          <w:p w14:paraId="43DA156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投标有效期</w:t>
            </w:r>
          </w:p>
        </w:tc>
        <w:tc>
          <w:tcPr>
            <w:tcW w:w="6473" w:type="dxa"/>
            <w:vAlign w:val="center"/>
          </w:tcPr>
          <w:p w14:paraId="654D6678">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从提交投标文件的截止之日起90天</w:t>
            </w:r>
          </w:p>
        </w:tc>
      </w:tr>
      <w:tr w14:paraId="379A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7BF0E34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15</w:t>
            </w:r>
          </w:p>
        </w:tc>
        <w:tc>
          <w:tcPr>
            <w:tcW w:w="1374" w:type="dxa"/>
            <w:vAlign w:val="center"/>
          </w:tcPr>
          <w:p w14:paraId="53B2A646">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评标委员会的组建</w:t>
            </w:r>
          </w:p>
        </w:tc>
        <w:tc>
          <w:tcPr>
            <w:tcW w:w="6473" w:type="dxa"/>
            <w:vAlign w:val="center"/>
          </w:tcPr>
          <w:p w14:paraId="2B276B78">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（1）评标委员会构成：7人及以上单数；</w:t>
            </w:r>
          </w:p>
          <w:p w14:paraId="34E0BE8A">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（2）评标专家确定方式：经济、技术专家不少于评标委员会组成人员的三分之二，按相关规定从评审专家库中随机抽取。</w:t>
            </w:r>
          </w:p>
        </w:tc>
      </w:tr>
      <w:tr w14:paraId="12D5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3" w:type="dxa"/>
            <w:vAlign w:val="center"/>
          </w:tcPr>
          <w:p w14:paraId="0FF59DC7">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16</w:t>
            </w:r>
          </w:p>
        </w:tc>
        <w:tc>
          <w:tcPr>
            <w:tcW w:w="1374" w:type="dxa"/>
            <w:vAlign w:val="center"/>
          </w:tcPr>
          <w:p w14:paraId="394FA8D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采购方式、评标办法、资格审查</w:t>
            </w:r>
          </w:p>
        </w:tc>
        <w:tc>
          <w:tcPr>
            <w:tcW w:w="6473" w:type="dxa"/>
            <w:vAlign w:val="center"/>
          </w:tcPr>
          <w:p w14:paraId="4E08CB51">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（1）采购方式：公开招标</w:t>
            </w:r>
          </w:p>
          <w:p w14:paraId="7D9421DA">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（2）评标办法：综合评分法，是指投标文件满足招标文件全部实质性要求，且按照评审因素的量化指标评审得分最高的投标人为中标候选人的评标方法。</w:t>
            </w:r>
          </w:p>
          <w:p w14:paraId="3ADC098A">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（3）资格审查：资格后审</w:t>
            </w:r>
          </w:p>
        </w:tc>
      </w:tr>
      <w:tr w14:paraId="6AD7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35EA4759">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17</w:t>
            </w:r>
          </w:p>
        </w:tc>
        <w:tc>
          <w:tcPr>
            <w:tcW w:w="1374" w:type="dxa"/>
            <w:shd w:val="clear" w:color="auto" w:fill="FFFFFF"/>
            <w:vAlign w:val="center"/>
          </w:tcPr>
          <w:p w14:paraId="04926867">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是否授权评标委员会确定中标人</w:t>
            </w:r>
          </w:p>
        </w:tc>
        <w:tc>
          <w:tcPr>
            <w:tcW w:w="6473" w:type="dxa"/>
            <w:shd w:val="clear" w:color="auto" w:fill="FFFFFF"/>
            <w:vAlign w:val="center"/>
          </w:tcPr>
          <w:p w14:paraId="05E12FA2">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否，推荐前3名中标候选人，且需对候选人进行评审排序。</w:t>
            </w:r>
          </w:p>
        </w:tc>
      </w:tr>
      <w:tr w14:paraId="5E4C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087913E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18</w:t>
            </w:r>
          </w:p>
        </w:tc>
        <w:tc>
          <w:tcPr>
            <w:tcW w:w="1374" w:type="dxa"/>
            <w:vAlign w:val="center"/>
          </w:tcPr>
          <w:p w14:paraId="3B07482B">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履约保证金</w:t>
            </w:r>
          </w:p>
        </w:tc>
        <w:tc>
          <w:tcPr>
            <w:tcW w:w="6473" w:type="dxa"/>
            <w:vAlign w:val="center"/>
          </w:tcPr>
          <w:p w14:paraId="021391BE">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第一中标人收到中标通知书后10日内(签订合同前)向采购人缴纳履约保证金。否则视为自动放弃中标，由第二候选人中标，以此类推。收取履约保证金比例如下:</w:t>
            </w:r>
          </w:p>
          <w:p w14:paraId="20F03171">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货物类：中标价*2％</w:t>
            </w:r>
          </w:p>
          <w:p w14:paraId="39F04BB3">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履约保证金递交:中标人收到中标通知书后10日内(签订合同前)向采购人缴纳履约保证金形式:转账</w:t>
            </w:r>
          </w:p>
          <w:p w14:paraId="4C7BAD82">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中标人未按本文件规定纳履约保证金的，其投标保证金将不予退还。</w:t>
            </w:r>
          </w:p>
          <w:p w14:paraId="7EC2F8D8">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履约保证金缴纳账户信息:</w:t>
            </w:r>
          </w:p>
          <w:p w14:paraId="292F307A">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单位名称：新疆大学</w:t>
            </w:r>
          </w:p>
          <w:p w14:paraId="7D111586">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纳税人识别号:12650000457601471G</w:t>
            </w:r>
          </w:p>
          <w:p w14:paraId="76DB2B84">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地址:新疆乌鲁木齐市天山区胜利路666号</w:t>
            </w:r>
          </w:p>
          <w:p w14:paraId="5E323F55">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联系电话:0991-8585360</w:t>
            </w:r>
          </w:p>
          <w:p w14:paraId="2E727ED9">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开户行:中国农业银行股份有限公司乌鲁木齐胜利路(兵团)支行</w:t>
            </w:r>
          </w:p>
          <w:p w14:paraId="4984B88F">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账号:30704301040002348</w:t>
            </w:r>
          </w:p>
          <w:p w14:paraId="26734189">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行号:103881070432</w:t>
            </w:r>
          </w:p>
          <w:p w14:paraId="6323E584">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统一社会信用代码:12650000457601471G</w:t>
            </w:r>
          </w:p>
          <w:p w14:paraId="043243C2">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履约保证金的退还:合同履约完成，货物验收合格后10日内，采购人无息退还履约保证金。中标人未按照合同、法律法规、招标文件等相关规定履行责任，采购人有权扣除履约保证金，并解除合同，由此造成的一切损失，由中标人自行承担。</w:t>
            </w:r>
          </w:p>
        </w:tc>
      </w:tr>
      <w:tr w14:paraId="5003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6F5476F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19</w:t>
            </w:r>
          </w:p>
        </w:tc>
        <w:tc>
          <w:tcPr>
            <w:tcW w:w="1374" w:type="dxa"/>
            <w:vAlign w:val="center"/>
          </w:tcPr>
          <w:p w14:paraId="6528571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代理服务费</w:t>
            </w:r>
          </w:p>
        </w:tc>
        <w:tc>
          <w:tcPr>
            <w:tcW w:w="6473" w:type="dxa"/>
            <w:vAlign w:val="center"/>
          </w:tcPr>
          <w:p w14:paraId="0C6C9448">
            <w:pPr>
              <w:keepNext w:val="0"/>
              <w:keepLines w:val="0"/>
              <w:suppressLineNumbers w:val="0"/>
              <w:spacing w:before="0" w:beforeAutospacing="0" w:after="0" w:afterAutospacing="0" w:line="500" w:lineRule="exact"/>
              <w:ind w:left="0" w:right="0"/>
              <w:jc w:val="left"/>
              <w:rPr>
                <w:rFonts w:hint="eastAsia" w:ascii="宋体" w:hAnsi="宋体" w:eastAsia="宋体" w:cs="宋体"/>
                <w:sz w:val="28"/>
                <w:szCs w:val="28"/>
              </w:rPr>
            </w:pPr>
            <w:r>
              <w:rPr>
                <w:rFonts w:hint="eastAsia" w:ascii="宋体" w:hAnsi="宋体" w:eastAsia="宋体" w:cs="宋体"/>
                <w:sz w:val="28"/>
                <w:szCs w:val="28"/>
              </w:rPr>
              <w:t>按中标价：100万以下按1.5%计取、100-500万按1.11%计取、500-1000万按0.8%计取，1000-5000万按0.5%计取，</w:t>
            </w:r>
            <w:r>
              <w:rPr>
                <w:rFonts w:hint="eastAsia" w:hAnsi="宋体" w:cs="宋体"/>
                <w:sz w:val="28"/>
                <w:szCs w:val="28"/>
                <w:lang w:val="en-US" w:eastAsia="zh-CN"/>
              </w:rPr>
              <w:t>5000—10000万按0.25%</w:t>
            </w:r>
            <w:r>
              <w:rPr>
                <w:rFonts w:hint="eastAsia" w:ascii="宋体" w:hAnsi="宋体" w:eastAsia="宋体" w:cs="宋体"/>
                <w:sz w:val="28"/>
                <w:szCs w:val="28"/>
              </w:rPr>
              <w:t>计取</w:t>
            </w:r>
            <w:r>
              <w:rPr>
                <w:rFonts w:hint="eastAsia" w:hAnsi="宋体" w:cs="宋体"/>
                <w:sz w:val="28"/>
                <w:szCs w:val="28"/>
                <w:lang w:eastAsia="zh-CN"/>
              </w:rPr>
              <w:t>，</w:t>
            </w:r>
            <w:r>
              <w:rPr>
                <w:rFonts w:hint="eastAsia" w:ascii="宋体" w:hAnsi="宋体" w:eastAsia="宋体" w:cs="宋体"/>
                <w:sz w:val="28"/>
                <w:szCs w:val="28"/>
              </w:rPr>
              <w:t>按差额定率累进法计算后再下浮43%计取，由中标人支付。</w:t>
            </w:r>
          </w:p>
        </w:tc>
      </w:tr>
      <w:tr w14:paraId="07A1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3" w:type="dxa"/>
            <w:vAlign w:val="center"/>
          </w:tcPr>
          <w:p w14:paraId="4B96DFFB">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20</w:t>
            </w:r>
          </w:p>
        </w:tc>
        <w:tc>
          <w:tcPr>
            <w:tcW w:w="1374" w:type="dxa"/>
            <w:vAlign w:val="center"/>
          </w:tcPr>
          <w:p w14:paraId="03F46088">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付款方式</w:t>
            </w:r>
          </w:p>
        </w:tc>
        <w:tc>
          <w:tcPr>
            <w:tcW w:w="6473" w:type="dxa"/>
            <w:vAlign w:val="center"/>
          </w:tcPr>
          <w:p w14:paraId="6BCE65E4">
            <w:pPr>
              <w:pStyle w:val="75"/>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（1）采购人、中标人双方合同签订，且中标人向采购人提供符合采购人要求的合同总金额80%预付款保函后，采购人向中标人支付合同总金额80%的预付款。</w:t>
            </w:r>
          </w:p>
          <w:p w14:paraId="2E2E1653">
            <w:pPr>
              <w:pStyle w:val="75"/>
              <w:keepNext w:val="0"/>
              <w:keepLines w:val="0"/>
              <w:suppressLineNumbers w:val="0"/>
              <w:spacing w:before="0" w:beforeAutospacing="0" w:after="0" w:afterAutospacing="0" w:line="500" w:lineRule="exact"/>
              <w:ind w:left="0" w:right="0"/>
              <w:rPr>
                <w:rFonts w:hint="eastAsia" w:ascii="宋体" w:hAnsi="宋体" w:eastAsia="宋体" w:cs="宋体"/>
                <w:b/>
                <w:bCs/>
                <w:sz w:val="28"/>
                <w:szCs w:val="28"/>
              </w:rPr>
            </w:pPr>
            <w:r>
              <w:rPr>
                <w:rFonts w:hint="eastAsia" w:ascii="宋体" w:hAnsi="宋体" w:eastAsia="宋体" w:cs="宋体"/>
                <w:b/>
                <w:bCs/>
                <w:sz w:val="28"/>
                <w:szCs w:val="28"/>
              </w:rPr>
              <w:t>特别说明：</w:t>
            </w:r>
            <w:r>
              <w:rPr>
                <w:rFonts w:hint="eastAsia" w:ascii="宋体" w:hAnsi="宋体" w:eastAsia="宋体" w:cs="宋体"/>
                <w:b/>
                <w:bCs/>
                <w:sz w:val="28"/>
                <w:szCs w:val="28"/>
                <w:highlight w:val="cyan"/>
              </w:rPr>
              <w:t>★</w:t>
            </w:r>
            <w:r>
              <w:rPr>
                <w:rFonts w:hint="eastAsia" w:ascii="宋体" w:hAnsi="宋体" w:eastAsia="宋体" w:cs="宋体"/>
                <w:b/>
                <w:bCs/>
                <w:sz w:val="28"/>
                <w:szCs w:val="28"/>
              </w:rPr>
              <w:t>中标后中标单位在首次申请预付款支付时，应开具等额预付款保函，具体以新疆大学要求为准，预付款保函时效不得短于供货期后60日。</w:t>
            </w:r>
          </w:p>
          <w:p w14:paraId="62DB9985">
            <w:pPr>
              <w:pStyle w:val="75"/>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 xml:space="preserve">（2）中标人在合同约定的时间内将所供合同标的物运至采购人指定地点，中标人在采购人收到合同标的物5日内对合同标的物进行安装调试及人员培训，经采购人书面验收合格，中标人提供自验收之日起有效期为一年、金额为合同总金额5%的保函后，采购人向中标人支付合同总金额20%的货款。                                          </w:t>
            </w:r>
          </w:p>
          <w:p w14:paraId="57B440B5">
            <w:pPr>
              <w:pStyle w:val="75"/>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3）本合同约定价款为含税价，中标人应在采购人付款前提供符合采购人财务做账需求的等额增值税（专用发票/普通发票），否则采购人有权不予支付且不承担任何违约责任，中标人不得因此拒绝或延迟履行合同义务。具体以合同签订为准。</w:t>
            </w:r>
          </w:p>
        </w:tc>
      </w:tr>
      <w:tr w14:paraId="3914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3" w:type="dxa"/>
            <w:vAlign w:val="center"/>
          </w:tcPr>
          <w:p w14:paraId="37086C9B">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21</w:t>
            </w:r>
          </w:p>
        </w:tc>
        <w:tc>
          <w:tcPr>
            <w:tcW w:w="1374" w:type="dxa"/>
            <w:vAlign w:val="center"/>
          </w:tcPr>
          <w:p w14:paraId="26D238D7">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报价合理性</w:t>
            </w:r>
          </w:p>
        </w:tc>
        <w:tc>
          <w:tcPr>
            <w:tcW w:w="6473" w:type="dxa"/>
            <w:vAlign w:val="center"/>
          </w:tcPr>
          <w:p w14:paraId="4F56C195">
            <w:pPr>
              <w:keepNext w:val="0"/>
              <w:keepLines w:val="0"/>
              <w:suppressLineNumbers w:val="0"/>
              <w:spacing w:before="0" w:beforeAutospacing="0" w:after="0" w:afterAutospacing="0" w:line="500" w:lineRule="exact"/>
              <w:ind w:left="0" w:right="0" w:firstLine="560" w:firstLineChars="200"/>
              <w:rPr>
                <w:rFonts w:hint="eastAsia" w:ascii="宋体" w:hAnsi="宋体" w:eastAsia="宋体" w:cs="宋体"/>
                <w:sz w:val="28"/>
                <w:szCs w:val="28"/>
              </w:rPr>
            </w:pPr>
            <w:r>
              <w:rPr>
                <w:rFonts w:hint="eastAsia" w:ascii="宋体" w:hAnsi="宋体" w:eastAsia="宋体" w:cs="宋体"/>
                <w:sz w:val="28"/>
                <w:szCs w:val="28"/>
              </w:rPr>
              <w:t>采购评审中出现下列情形之一的，评标委员会启动异常低价响应审查程序：</w:t>
            </w:r>
          </w:p>
          <w:p w14:paraId="53058A3E">
            <w:pPr>
              <w:keepNext w:val="0"/>
              <w:keepLines w:val="0"/>
              <w:suppressLineNumbers w:val="0"/>
              <w:spacing w:before="0" w:beforeAutospacing="0" w:after="0" w:afterAutospacing="0" w:line="500" w:lineRule="exact"/>
              <w:ind w:left="0" w:right="0"/>
              <w:rPr>
                <w:rFonts w:hint="eastAsia" w:ascii="宋体" w:hAnsi="宋体" w:eastAsia="宋体" w:cs="宋体"/>
                <w:sz w:val="28"/>
                <w:szCs w:val="28"/>
                <w:highlight w:val="none"/>
              </w:rPr>
            </w:pPr>
            <w:r>
              <w:rPr>
                <w:rFonts w:hint="eastAsia" w:ascii="宋体" w:hAnsi="宋体" w:eastAsia="宋体" w:cs="宋体"/>
                <w:sz w:val="28"/>
                <w:szCs w:val="28"/>
              </w:rPr>
              <w:t>1.响应报价低于全部通过符合性审查投标人响应报价平均值</w:t>
            </w:r>
            <w:r>
              <w:rPr>
                <w:rFonts w:hint="eastAsia" w:hAnsi="宋体" w:cs="宋体"/>
                <w:sz w:val="28"/>
                <w:szCs w:val="28"/>
                <w:lang w:val="en-US" w:eastAsia="zh-CN"/>
              </w:rPr>
              <w:t>65</w:t>
            </w:r>
            <w:r>
              <w:rPr>
                <w:rFonts w:hint="eastAsia" w:ascii="宋体" w:hAnsi="宋体" w:eastAsia="宋体" w:cs="宋体"/>
                <w:sz w:val="28"/>
                <w:szCs w:val="28"/>
              </w:rPr>
              <w:t>%的，即响应报价&lt;全部通过符合性审查投标人响应报价</w:t>
            </w:r>
            <w:r>
              <w:rPr>
                <w:rFonts w:hint="eastAsia" w:ascii="宋体" w:hAnsi="宋体" w:eastAsia="宋体" w:cs="宋体"/>
                <w:sz w:val="28"/>
                <w:szCs w:val="28"/>
                <w:highlight w:val="none"/>
              </w:rPr>
              <w:t>平均值×</w:t>
            </w:r>
            <w:r>
              <w:rPr>
                <w:rFonts w:hint="eastAsia" w:hAnsi="宋体" w:cs="宋体"/>
                <w:sz w:val="28"/>
                <w:szCs w:val="28"/>
                <w:highlight w:val="none"/>
                <w:lang w:val="en-US" w:eastAsia="zh-CN"/>
              </w:rPr>
              <w:t>65</w:t>
            </w:r>
            <w:r>
              <w:rPr>
                <w:rFonts w:hint="eastAsia" w:ascii="宋体" w:hAnsi="宋体" w:eastAsia="宋体" w:cs="宋体"/>
                <w:sz w:val="28"/>
                <w:szCs w:val="28"/>
                <w:highlight w:val="none"/>
              </w:rPr>
              <w:t>%；</w:t>
            </w:r>
          </w:p>
          <w:p w14:paraId="1F0D5CA9">
            <w:pPr>
              <w:keepNext w:val="0"/>
              <w:keepLines w:val="0"/>
              <w:suppressLineNumbers w:val="0"/>
              <w:spacing w:before="0" w:beforeAutospacing="0" w:after="0" w:afterAutospacing="0" w:line="500" w:lineRule="exact"/>
              <w:ind w:left="0" w:right="0"/>
              <w:rPr>
                <w:rFonts w:hint="eastAsia" w:ascii="宋体" w:hAnsi="宋体" w:eastAsia="宋体" w:cs="宋体"/>
                <w:sz w:val="28"/>
                <w:szCs w:val="28"/>
                <w:highlight w:val="none"/>
              </w:rPr>
            </w:pPr>
            <w:r>
              <w:rPr>
                <w:rFonts w:hint="eastAsia" w:ascii="宋体" w:hAnsi="宋体" w:eastAsia="宋体" w:cs="宋体"/>
                <w:sz w:val="28"/>
                <w:szCs w:val="28"/>
                <w:highlight w:val="none"/>
              </w:rPr>
              <w:t>2.响应报价低于通过符合性审查的次低报价投标人响应报价</w:t>
            </w:r>
            <w:r>
              <w:rPr>
                <w:rFonts w:hint="eastAsia" w:hAnsi="宋体" w:cs="宋体"/>
                <w:sz w:val="28"/>
                <w:szCs w:val="28"/>
                <w:highlight w:val="none"/>
                <w:lang w:val="en-US" w:eastAsia="zh-CN"/>
              </w:rPr>
              <w:t>65</w:t>
            </w:r>
            <w:r>
              <w:rPr>
                <w:rFonts w:hint="eastAsia" w:ascii="宋体" w:hAnsi="宋体" w:eastAsia="宋体" w:cs="宋体"/>
                <w:sz w:val="28"/>
                <w:szCs w:val="28"/>
                <w:highlight w:val="none"/>
              </w:rPr>
              <w:t>%</w:t>
            </w:r>
            <w:r>
              <w:rPr>
                <w:rFonts w:hint="eastAsia" w:ascii="宋体" w:hAnsi="宋体" w:eastAsia="宋体" w:cs="宋体"/>
                <w:sz w:val="28"/>
                <w:szCs w:val="28"/>
                <w:highlight w:val="none"/>
              </w:rPr>
              <w:t>的，即响应报价&lt;通过符合性审查的次低报价投标人响应报价×</w:t>
            </w:r>
            <w:r>
              <w:rPr>
                <w:rFonts w:hint="eastAsia" w:hAnsi="宋体" w:cs="宋体"/>
                <w:sz w:val="28"/>
                <w:szCs w:val="28"/>
                <w:highlight w:val="none"/>
                <w:lang w:val="en-US" w:eastAsia="zh-CN"/>
              </w:rPr>
              <w:t>65</w:t>
            </w:r>
            <w:r>
              <w:rPr>
                <w:rFonts w:hint="eastAsia" w:ascii="宋体" w:hAnsi="宋体" w:eastAsia="宋体" w:cs="宋体"/>
                <w:sz w:val="28"/>
                <w:szCs w:val="28"/>
                <w:highlight w:val="none"/>
              </w:rPr>
              <w:t>%；</w:t>
            </w:r>
          </w:p>
          <w:p w14:paraId="0342AB9A">
            <w:pPr>
              <w:keepNext w:val="0"/>
              <w:keepLines w:val="0"/>
              <w:suppressLineNumbers w:val="0"/>
              <w:spacing w:before="0" w:beforeAutospacing="0" w:after="0" w:afterAutospacing="0" w:line="500" w:lineRule="exact"/>
              <w:ind w:left="0" w:right="0"/>
              <w:rPr>
                <w:rFonts w:hint="eastAsia" w:ascii="宋体" w:hAnsi="宋体" w:eastAsia="宋体" w:cs="宋体"/>
                <w:sz w:val="28"/>
                <w:szCs w:val="28"/>
                <w:highlight w:val="none"/>
              </w:rPr>
            </w:pPr>
            <w:r>
              <w:rPr>
                <w:rFonts w:hint="eastAsia" w:ascii="宋体" w:hAnsi="宋体" w:eastAsia="宋体" w:cs="宋体"/>
                <w:sz w:val="28"/>
                <w:szCs w:val="28"/>
                <w:highlight w:val="none"/>
              </w:rPr>
              <w:t>3.响应报价低于采购项目最高限价</w:t>
            </w:r>
            <w:r>
              <w:rPr>
                <w:rFonts w:hint="eastAsia" w:hAnsi="宋体" w:cs="宋体"/>
                <w:sz w:val="28"/>
                <w:szCs w:val="28"/>
                <w:highlight w:val="none"/>
                <w:lang w:val="en-US" w:eastAsia="zh-CN"/>
              </w:rPr>
              <w:t>65</w:t>
            </w:r>
            <w:r>
              <w:rPr>
                <w:rFonts w:hint="eastAsia" w:ascii="宋体" w:hAnsi="宋体" w:eastAsia="宋体" w:cs="宋体"/>
                <w:sz w:val="28"/>
                <w:szCs w:val="28"/>
                <w:highlight w:val="none"/>
              </w:rPr>
              <w:t>%的，即响应报价&lt;采购项目最高限价×</w:t>
            </w:r>
            <w:r>
              <w:rPr>
                <w:rFonts w:hint="eastAsia" w:hAnsi="宋体" w:cs="宋体"/>
                <w:sz w:val="28"/>
                <w:szCs w:val="28"/>
                <w:highlight w:val="none"/>
                <w:lang w:val="en-US" w:eastAsia="zh-CN"/>
              </w:rPr>
              <w:t>65</w:t>
            </w:r>
            <w:r>
              <w:rPr>
                <w:rFonts w:hint="eastAsia" w:ascii="宋体" w:hAnsi="宋体" w:eastAsia="宋体" w:cs="宋体"/>
                <w:sz w:val="28"/>
                <w:szCs w:val="28"/>
                <w:highlight w:val="none"/>
              </w:rPr>
              <w:t>%；</w:t>
            </w:r>
          </w:p>
          <w:p w14:paraId="39E371EA">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highlight w:val="none"/>
              </w:rPr>
              <w:t>4.评审委员会基于专业判断，认为供应商报价过低，有可能影响产品质量或者不能诚信</w:t>
            </w:r>
            <w:r>
              <w:rPr>
                <w:rFonts w:hint="eastAsia" w:ascii="宋体" w:hAnsi="宋体" w:eastAsia="宋体" w:cs="宋体"/>
                <w:sz w:val="28"/>
                <w:szCs w:val="28"/>
              </w:rPr>
              <w:t>履约的其他情形。</w:t>
            </w:r>
          </w:p>
          <w:p w14:paraId="7A8106B4">
            <w:pPr>
              <w:keepNext w:val="0"/>
              <w:keepLines w:val="0"/>
              <w:suppressLineNumbers w:val="0"/>
              <w:spacing w:before="0" w:beforeAutospacing="0" w:after="0" w:afterAutospacing="0" w:line="500" w:lineRule="exact"/>
              <w:ind w:left="0" w:right="0" w:firstLine="560" w:firstLineChars="200"/>
              <w:rPr>
                <w:rFonts w:hint="eastAsia" w:ascii="宋体" w:hAnsi="宋体" w:eastAsia="宋体" w:cs="宋体"/>
                <w:snapToGrid w:val="0"/>
                <w:sz w:val="28"/>
                <w:szCs w:val="28"/>
              </w:rPr>
            </w:pPr>
            <w:r>
              <w:rPr>
                <w:rFonts w:hint="eastAsia" w:ascii="宋体" w:hAnsi="宋体" w:eastAsia="宋体" w:cs="宋体"/>
                <w:sz w:val="28"/>
                <w:szCs w:val="28"/>
              </w:rPr>
              <w:t>评标委员会启动异常低价响应审查后，属于前述第1项至第4项情形的，</w:t>
            </w:r>
            <w:r>
              <w:rPr>
                <w:rFonts w:hint="eastAsia" w:ascii="宋体" w:hAnsi="宋体" w:eastAsia="宋体" w:cs="宋体"/>
                <w:b/>
                <w:bCs/>
                <w:sz w:val="28"/>
                <w:szCs w:val="28"/>
              </w:rPr>
              <w:t>投标人在评审现场30分钟内</w:t>
            </w:r>
            <w:r>
              <w:rPr>
                <w:rFonts w:hint="eastAsia" w:ascii="宋体" w:hAnsi="宋体" w:eastAsia="宋体" w:cs="宋体"/>
                <w:sz w:val="28"/>
                <w:szCs w:val="28"/>
              </w:rPr>
              <w:t>对响应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tc>
      </w:tr>
      <w:tr w14:paraId="6E4A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5867F73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22</w:t>
            </w:r>
          </w:p>
        </w:tc>
        <w:tc>
          <w:tcPr>
            <w:tcW w:w="1374" w:type="dxa"/>
            <w:vAlign w:val="center"/>
          </w:tcPr>
          <w:p w14:paraId="1E6FB85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招标文件的澄清和修改</w:t>
            </w:r>
          </w:p>
        </w:tc>
        <w:tc>
          <w:tcPr>
            <w:tcW w:w="6473" w:type="dxa"/>
            <w:vAlign w:val="center"/>
          </w:tcPr>
          <w:p w14:paraId="2EB8C8AA">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采购代理机构可以对已发出的招标文件进行必要的澄清或者修改，应当在原公告发布媒体上发布澄清公告。澄清或者修改的内容为招标文件的组成部分。</w:t>
            </w:r>
          </w:p>
          <w:p w14:paraId="5AB3A4E1">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澄清或者修改的内容可能影响投标文件编制的，采购代理机构应当在投标截止时间至少15日前，以书面形式通知所有获取招标文件的潜在投标人；不足15日的，采购人或者采购代理机构应当顺延提交投标文件的截止时间。</w:t>
            </w:r>
          </w:p>
        </w:tc>
      </w:tr>
      <w:tr w14:paraId="48B8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2E5558F3">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23</w:t>
            </w:r>
          </w:p>
        </w:tc>
        <w:tc>
          <w:tcPr>
            <w:tcW w:w="1374" w:type="dxa"/>
            <w:vAlign w:val="center"/>
          </w:tcPr>
          <w:p w14:paraId="42B14736">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投标文件的澄清、说明或者补正</w:t>
            </w:r>
          </w:p>
        </w:tc>
        <w:tc>
          <w:tcPr>
            <w:tcW w:w="6473" w:type="dxa"/>
            <w:vAlign w:val="center"/>
          </w:tcPr>
          <w:p w14:paraId="59574AE9">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对于投标文件中含义不明确、同类问题表述不一致或者有明显文字和计算错误的内容，评标委员将要求投标人以书面形式要求投标人作出必要的澄清、说明或者补正。</w:t>
            </w:r>
          </w:p>
          <w:p w14:paraId="591E3EC6">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投标人的澄清、说明或者补正应当采用书面形式，并加盖公章，由授权人或其授权的代表签字在规定时间内上传至政采云平台开标大厅。投标人的澄清、说明或者补正不得超出投标文件的范围或者改变投标文件的实质性内容。</w:t>
            </w:r>
          </w:p>
        </w:tc>
      </w:tr>
      <w:tr w14:paraId="1065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78B9359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24</w:t>
            </w:r>
          </w:p>
        </w:tc>
        <w:tc>
          <w:tcPr>
            <w:tcW w:w="1374" w:type="dxa"/>
            <w:vAlign w:val="center"/>
          </w:tcPr>
          <w:p w14:paraId="111556D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公告媒体</w:t>
            </w:r>
          </w:p>
        </w:tc>
        <w:tc>
          <w:tcPr>
            <w:tcW w:w="6473" w:type="dxa"/>
            <w:vAlign w:val="center"/>
          </w:tcPr>
          <w:p w14:paraId="1A633740">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新疆政府采购网</w:t>
            </w:r>
          </w:p>
        </w:tc>
      </w:tr>
      <w:tr w14:paraId="5C9E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61B7072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25</w:t>
            </w:r>
          </w:p>
        </w:tc>
        <w:tc>
          <w:tcPr>
            <w:tcW w:w="1374" w:type="dxa"/>
            <w:vAlign w:val="center"/>
          </w:tcPr>
          <w:p w14:paraId="0F006CF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其他</w:t>
            </w:r>
          </w:p>
        </w:tc>
        <w:tc>
          <w:tcPr>
            <w:tcW w:w="6473" w:type="dxa"/>
            <w:vAlign w:val="center"/>
          </w:tcPr>
          <w:p w14:paraId="53CF71AF">
            <w:pPr>
              <w:keepNext w:val="0"/>
              <w:keepLines w:val="0"/>
              <w:numPr>
                <w:ilvl w:val="0"/>
                <w:numId w:val="4"/>
              </w:numPr>
              <w:suppressLineNumbers w:val="0"/>
              <w:spacing w:before="0" w:beforeAutospacing="0" w:after="0" w:afterAutospacing="0" w:line="500" w:lineRule="exact"/>
              <w:ind w:left="0" w:right="0"/>
              <w:rPr>
                <w:rFonts w:hint="eastAsia" w:ascii="宋体" w:hAnsi="宋体" w:eastAsia="宋体" w:cs="宋体"/>
                <w:b/>
                <w:bCs/>
                <w:sz w:val="28"/>
                <w:szCs w:val="28"/>
              </w:rPr>
            </w:pPr>
            <w:r>
              <w:rPr>
                <w:rFonts w:hint="eastAsia" w:ascii="宋体" w:hAnsi="宋体" w:eastAsia="宋体" w:cs="宋体"/>
                <w:b/>
                <w:bCs/>
                <w:sz w:val="28"/>
                <w:szCs w:val="28"/>
              </w:rPr>
              <w:t>投标文件请自查，确保相关证明材料清晰可辨，否则由此造成的失分或投标无效，由投标人自行承担后果。</w:t>
            </w:r>
          </w:p>
          <w:p w14:paraId="0337837F">
            <w:pPr>
              <w:keepNext w:val="0"/>
              <w:keepLines w:val="0"/>
              <w:numPr>
                <w:ilvl w:val="0"/>
                <w:numId w:val="4"/>
              </w:numPr>
              <w:suppressLineNumbers w:val="0"/>
              <w:spacing w:before="0" w:beforeAutospacing="0" w:after="0" w:afterAutospacing="0" w:line="500" w:lineRule="exact"/>
              <w:ind w:left="0" w:right="0"/>
              <w:rPr>
                <w:rFonts w:hint="eastAsia" w:ascii="宋体" w:hAnsi="宋体" w:eastAsia="宋体" w:cs="宋体"/>
                <w:b/>
                <w:bCs/>
                <w:sz w:val="28"/>
                <w:szCs w:val="28"/>
              </w:rPr>
            </w:pPr>
            <w:r>
              <w:rPr>
                <w:rFonts w:hint="eastAsia" w:ascii="宋体" w:hAnsi="宋体" w:eastAsia="宋体" w:cs="宋体"/>
                <w:kern w:val="2"/>
                <w:sz w:val="28"/>
                <w:szCs w:val="28"/>
              </w:rPr>
              <w:t>在签订合同之前，采购人如发现中标人的投标文件有弄虚作假内容（如假证书、假业绩、隐瞒不良行为记录、夸大荣誉、使用非本单位在职员工的相关证件及不符合招标文件规定的条款等），采购人可拒绝与其签订合同，并向监管部门汇报按相关法律法规执行。</w:t>
            </w:r>
          </w:p>
          <w:p w14:paraId="710B9D32">
            <w:pPr>
              <w:keepNext w:val="0"/>
              <w:keepLines w:val="0"/>
              <w:numPr>
                <w:ilvl w:val="0"/>
                <w:numId w:val="4"/>
              </w:numPr>
              <w:suppressLineNumbers w:val="0"/>
              <w:spacing w:before="0" w:beforeAutospacing="0" w:after="0" w:afterAutospacing="0" w:line="500" w:lineRule="exact"/>
              <w:ind w:left="0" w:right="0"/>
              <w:rPr>
                <w:rFonts w:hint="eastAsia" w:ascii="宋体" w:hAnsi="宋体" w:eastAsia="宋体" w:cs="宋体"/>
                <w:b/>
                <w:bCs/>
                <w:sz w:val="28"/>
                <w:szCs w:val="28"/>
              </w:rPr>
            </w:pPr>
            <w:r>
              <w:rPr>
                <w:rFonts w:hint="eastAsia" w:ascii="宋体" w:hAnsi="宋体" w:eastAsia="宋体" w:cs="宋体"/>
                <w:b/>
                <w:bCs/>
                <w:kern w:val="2"/>
                <w:sz w:val="28"/>
                <w:szCs w:val="28"/>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p w14:paraId="74503341">
            <w:pPr>
              <w:keepNext w:val="0"/>
              <w:keepLines w:val="0"/>
              <w:numPr>
                <w:ilvl w:val="0"/>
                <w:numId w:val="4"/>
              </w:numPr>
              <w:suppressLineNumbers w:val="0"/>
              <w:spacing w:before="0" w:beforeAutospacing="0" w:after="0" w:afterAutospacing="0" w:line="500" w:lineRule="exact"/>
              <w:ind w:left="0" w:right="0"/>
              <w:rPr>
                <w:rFonts w:hint="eastAsia" w:ascii="宋体" w:hAnsi="宋体" w:eastAsia="宋体" w:cs="宋体"/>
                <w:b/>
                <w:bCs/>
                <w:sz w:val="28"/>
                <w:szCs w:val="28"/>
              </w:rPr>
            </w:pPr>
            <w:r>
              <w:rPr>
                <w:rFonts w:hint="eastAsia" w:ascii="宋体" w:hAnsi="宋体" w:eastAsia="宋体" w:cs="宋体"/>
                <w:b/>
                <w:bCs/>
                <w:kern w:val="2"/>
                <w:sz w:val="28"/>
                <w:szCs w:val="28"/>
              </w:rPr>
              <w:t>投标人所投产品，虽满足负偏离要求，但综合由于负偏离参数使得所供产品或服务无法满足采购人正常使用要求，可属于采购人不能接受的条件情形，投标人作无效标处理。</w:t>
            </w:r>
          </w:p>
          <w:p w14:paraId="39357FD2">
            <w:pPr>
              <w:keepNext w:val="0"/>
              <w:keepLines w:val="0"/>
              <w:numPr>
                <w:ilvl w:val="0"/>
                <w:numId w:val="4"/>
              </w:numPr>
              <w:suppressLineNumbers w:val="0"/>
              <w:spacing w:before="0" w:beforeAutospacing="0" w:after="0" w:afterAutospacing="0" w:line="500" w:lineRule="exact"/>
              <w:ind w:left="0" w:right="0"/>
              <w:rPr>
                <w:rFonts w:hint="eastAsia" w:ascii="宋体" w:hAnsi="宋体" w:eastAsia="宋体" w:cs="宋体"/>
                <w:b/>
                <w:bCs/>
                <w:sz w:val="28"/>
                <w:szCs w:val="28"/>
              </w:rPr>
            </w:pPr>
            <w:r>
              <w:rPr>
                <w:rFonts w:hint="eastAsia" w:ascii="宋体" w:hAnsi="宋体" w:eastAsia="宋体" w:cs="宋体"/>
                <w:b/>
                <w:bCs/>
                <w:sz w:val="28"/>
                <w:szCs w:val="28"/>
              </w:rPr>
              <w:t>招标文件中部分加“投标无效”、字体加粗、</w:t>
            </w:r>
            <w:r>
              <w:rPr>
                <w:rFonts w:hint="eastAsia" w:ascii="宋体" w:hAnsi="宋体" w:eastAsia="宋体" w:cs="宋体"/>
                <w:b/>
                <w:bCs/>
                <w:sz w:val="28"/>
                <w:szCs w:val="28"/>
                <w:highlight w:val="cyan"/>
              </w:rPr>
              <w:t>★</w:t>
            </w:r>
            <w:r>
              <w:rPr>
                <w:rFonts w:hint="eastAsia" w:ascii="宋体" w:hAnsi="宋体" w:eastAsia="宋体" w:cs="宋体"/>
                <w:b/>
                <w:bCs/>
                <w:sz w:val="28"/>
                <w:szCs w:val="28"/>
              </w:rPr>
              <w:t>项等特殊符合的内容，着重提醒各投标人注意，并认真查看招标文件中的每一个条款及要求，因误读招标文件而造成的后果，采购人概不负责。</w:t>
            </w:r>
          </w:p>
          <w:p w14:paraId="5684847B">
            <w:pPr>
              <w:keepNext w:val="0"/>
              <w:keepLines w:val="0"/>
              <w:numPr>
                <w:ilvl w:val="0"/>
                <w:numId w:val="4"/>
              </w:numPr>
              <w:suppressLineNumbers w:val="0"/>
              <w:spacing w:before="0" w:beforeAutospacing="0" w:after="0" w:afterAutospacing="0" w:line="500" w:lineRule="exact"/>
              <w:ind w:left="0" w:right="0"/>
              <w:rPr>
                <w:rFonts w:hint="eastAsia" w:ascii="宋体" w:hAnsi="宋体" w:eastAsia="宋体" w:cs="宋体"/>
                <w:b/>
                <w:bCs/>
                <w:sz w:val="28"/>
                <w:szCs w:val="28"/>
              </w:rPr>
            </w:pPr>
            <w:r>
              <w:rPr>
                <w:rFonts w:hint="eastAsia" w:ascii="宋体" w:hAnsi="宋体" w:eastAsia="宋体" w:cs="宋体"/>
                <w:b/>
                <w:bCs/>
                <w:sz w:val="28"/>
                <w:szCs w:val="28"/>
              </w:rPr>
              <w:t>项目属性：货物</w:t>
            </w:r>
          </w:p>
        </w:tc>
      </w:tr>
      <w:tr w14:paraId="7C8A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394D630C">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26</w:t>
            </w:r>
          </w:p>
        </w:tc>
        <w:tc>
          <w:tcPr>
            <w:tcW w:w="1374" w:type="dxa"/>
            <w:vAlign w:val="center"/>
          </w:tcPr>
          <w:p w14:paraId="437196F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重要说明</w:t>
            </w:r>
          </w:p>
        </w:tc>
        <w:tc>
          <w:tcPr>
            <w:tcW w:w="6473" w:type="dxa"/>
            <w:vAlign w:val="center"/>
          </w:tcPr>
          <w:p w14:paraId="5B958223">
            <w:pPr>
              <w:pStyle w:val="6"/>
              <w:keepNext w:val="0"/>
              <w:keepLines w:val="0"/>
              <w:suppressLineNumbers w:val="0"/>
              <w:shd w:val="clear" w:color="auto" w:fill="FFFFFF"/>
              <w:spacing w:before="0" w:beforeAutospacing="0" w:after="0" w:afterAutospacing="0" w:line="500" w:lineRule="exact"/>
              <w:ind w:left="0" w:right="0" w:firstLine="0" w:firstLineChars="0"/>
              <w:jc w:val="left"/>
              <w:rPr>
                <w:rFonts w:hint="eastAsia" w:ascii="宋体" w:hAnsi="宋体" w:eastAsia="宋体" w:cs="宋体"/>
                <w:sz w:val="28"/>
                <w:szCs w:val="28"/>
              </w:rPr>
            </w:pPr>
            <w:r>
              <w:rPr>
                <w:rFonts w:hint="eastAsia" w:ascii="宋体" w:hAnsi="宋体" w:eastAsia="宋体" w:cs="宋体"/>
                <w:sz w:val="28"/>
                <w:szCs w:val="28"/>
              </w:rPr>
              <w:t>1、电子招投标情况说明：</w:t>
            </w:r>
          </w:p>
          <w:p w14:paraId="75391104">
            <w:pPr>
              <w:pStyle w:val="6"/>
              <w:keepNext w:val="0"/>
              <w:keepLines w:val="0"/>
              <w:suppressLineNumbers w:val="0"/>
              <w:shd w:val="clear" w:color="auto" w:fill="FFFFFF"/>
              <w:spacing w:before="0" w:beforeAutospacing="0" w:after="0" w:afterAutospacing="0" w:line="500" w:lineRule="exact"/>
              <w:ind w:left="0" w:right="0" w:firstLine="0" w:firstLineChars="0"/>
              <w:jc w:val="left"/>
              <w:rPr>
                <w:rFonts w:hint="eastAsia" w:ascii="宋体" w:hAnsi="宋体" w:eastAsia="宋体" w:cs="宋体"/>
                <w:sz w:val="28"/>
                <w:szCs w:val="28"/>
              </w:rPr>
            </w:pPr>
            <w:r>
              <w:rPr>
                <w:rFonts w:hint="eastAsia" w:ascii="宋体" w:hAnsi="宋体" w:eastAsia="宋体" w:cs="宋体"/>
                <w:sz w:val="28"/>
                <w:szCs w:val="28"/>
              </w:rPr>
              <w:t>（1）电子招投标：本项目以数据电文形式，依托“政府采购云平台（www.zcygov.cn）”进行招投标活动。</w:t>
            </w:r>
          </w:p>
          <w:p w14:paraId="6D807A41">
            <w:pPr>
              <w:pStyle w:val="6"/>
              <w:keepNext w:val="0"/>
              <w:keepLines w:val="0"/>
              <w:suppressLineNumbers w:val="0"/>
              <w:shd w:val="clear" w:color="auto" w:fill="FFFFFF"/>
              <w:spacing w:before="0" w:beforeAutospacing="0" w:after="0" w:afterAutospacing="0" w:line="500" w:lineRule="exact"/>
              <w:ind w:left="0" w:right="0" w:firstLine="0" w:firstLineChars="0"/>
              <w:jc w:val="left"/>
              <w:rPr>
                <w:rFonts w:hint="eastAsia" w:ascii="宋体" w:hAnsi="宋体" w:eastAsia="宋体" w:cs="宋体"/>
                <w:sz w:val="28"/>
                <w:szCs w:val="28"/>
              </w:rPr>
            </w:pPr>
            <w:r>
              <w:rPr>
                <w:rFonts w:hint="eastAsia" w:ascii="宋体" w:hAnsi="宋体" w:eastAsia="宋体" w:cs="宋体"/>
                <w:sz w:val="28"/>
                <w:szCs w:val="28"/>
              </w:rPr>
              <w:t>（2）投标准备：注册账号--点击“商家入驻”，进行政府采购投标人资料填写；申领CA数字证书---申领流程详见“新疆政府采购网-下载专区-电子交易客户端-CA驱动和申领流程”；安装“政采云电子交易客户端”----前往“新疆政府采购网-下载专区-政采云投标客户端”进行下载并安装。</w:t>
            </w:r>
          </w:p>
          <w:p w14:paraId="22CA9631">
            <w:pPr>
              <w:pStyle w:val="6"/>
              <w:keepNext w:val="0"/>
              <w:keepLines w:val="0"/>
              <w:suppressLineNumbers w:val="0"/>
              <w:shd w:val="clear" w:color="auto" w:fill="FFFFFF"/>
              <w:spacing w:before="0" w:beforeAutospacing="0" w:after="0" w:afterAutospacing="0" w:line="500" w:lineRule="exact"/>
              <w:ind w:left="0" w:right="0" w:firstLine="0" w:firstLineChars="0"/>
              <w:jc w:val="left"/>
              <w:rPr>
                <w:rFonts w:hint="eastAsia" w:ascii="宋体" w:hAnsi="宋体" w:eastAsia="宋体" w:cs="宋体"/>
                <w:sz w:val="28"/>
                <w:szCs w:val="28"/>
              </w:rPr>
            </w:pPr>
            <w:r>
              <w:rPr>
                <w:rFonts w:hint="eastAsia" w:ascii="宋体" w:hAnsi="宋体" w:eastAsia="宋体" w:cs="宋体"/>
                <w:sz w:val="28"/>
                <w:szCs w:val="28"/>
              </w:rPr>
              <w:t>（3）招标文件的获取：使用账号登录或者短信验证码或者使用CA登录政采云平台；进入“项目采购”应用，在获取招标文件菜单中选择项目，获取招标文件。</w:t>
            </w:r>
          </w:p>
          <w:p w14:paraId="3C03DA78">
            <w:pPr>
              <w:pStyle w:val="6"/>
              <w:keepNext w:val="0"/>
              <w:keepLines w:val="0"/>
              <w:suppressLineNumbers w:val="0"/>
              <w:shd w:val="clear" w:color="auto" w:fill="FFFFFF"/>
              <w:spacing w:before="0" w:beforeAutospacing="0" w:after="0" w:afterAutospacing="0" w:line="500" w:lineRule="exact"/>
              <w:ind w:left="0" w:right="0" w:firstLine="0" w:firstLineChars="0"/>
              <w:jc w:val="left"/>
              <w:rPr>
                <w:rFonts w:hint="eastAsia" w:ascii="宋体" w:hAnsi="宋体" w:eastAsia="宋体" w:cs="宋体"/>
                <w:sz w:val="28"/>
                <w:szCs w:val="28"/>
              </w:rPr>
            </w:pPr>
            <w:r>
              <w:rPr>
                <w:rFonts w:hint="eastAsia" w:ascii="宋体" w:hAnsi="宋体" w:eastAsia="宋体" w:cs="宋体"/>
                <w:sz w:val="28"/>
                <w:szCs w:val="28"/>
              </w:rPr>
              <w:t>（4）投标文件的制作：在“政采云投标客户端”中完成“填写基本信息”、“导入投标文件”、“标书关联”、“标书检查”、“电子签名”、“生成电子标书”等操作。</w:t>
            </w:r>
          </w:p>
          <w:p w14:paraId="41876BDF">
            <w:pPr>
              <w:pStyle w:val="6"/>
              <w:keepNext w:val="0"/>
              <w:keepLines w:val="0"/>
              <w:suppressLineNumbers w:val="0"/>
              <w:shd w:val="clear" w:color="auto" w:fill="FFFFFF"/>
              <w:spacing w:before="0" w:beforeAutospacing="0" w:after="0" w:afterAutospacing="0" w:line="500" w:lineRule="exact"/>
              <w:ind w:left="0" w:right="0" w:firstLine="0" w:firstLineChars="0"/>
              <w:jc w:val="left"/>
              <w:rPr>
                <w:rFonts w:hint="eastAsia" w:ascii="宋体" w:hAnsi="宋体" w:eastAsia="宋体" w:cs="宋体"/>
                <w:sz w:val="28"/>
                <w:szCs w:val="28"/>
              </w:rPr>
            </w:pPr>
            <w:r>
              <w:rPr>
                <w:rFonts w:hint="eastAsia" w:ascii="宋体" w:hAnsi="宋体" w:eastAsia="宋体" w:cs="宋体"/>
                <w:sz w:val="28"/>
                <w:szCs w:val="28"/>
              </w:rPr>
              <w:t>（5）投标文件的上传：投标人在开标截止时间前将加密的投标文件上传至政府采购云平台。</w:t>
            </w:r>
          </w:p>
          <w:p w14:paraId="1DC0F6D3">
            <w:pPr>
              <w:pStyle w:val="6"/>
              <w:keepNext w:val="0"/>
              <w:keepLines w:val="0"/>
              <w:suppressLineNumbers w:val="0"/>
              <w:shd w:val="clear" w:color="auto" w:fill="FFFFFF"/>
              <w:spacing w:before="0" w:beforeAutospacing="0" w:after="0" w:afterAutospacing="0" w:line="500" w:lineRule="exact"/>
              <w:ind w:left="0" w:right="0" w:firstLine="0" w:firstLineChars="0"/>
              <w:jc w:val="left"/>
              <w:rPr>
                <w:rFonts w:hint="eastAsia" w:ascii="宋体" w:hAnsi="宋体" w:eastAsia="宋体" w:cs="宋体"/>
                <w:sz w:val="28"/>
                <w:szCs w:val="28"/>
              </w:rPr>
            </w:pPr>
            <w:r>
              <w:rPr>
                <w:rFonts w:hint="eastAsia" w:ascii="宋体" w:hAnsi="宋体" w:eastAsia="宋体" w:cs="宋体"/>
                <w:sz w:val="28"/>
                <w:szCs w:val="28"/>
              </w:rPr>
              <w:t>（6）投标文件的解密：投标文件解密时间30分钟，开标前需投标人用CA证书登录政采云平台开标大厅签到，在30分钟解密时间内输入CA证书PIN码解密投标文件。</w:t>
            </w:r>
            <w:r>
              <w:rPr>
                <w:rFonts w:hint="eastAsia" w:ascii="宋体" w:hAnsi="宋体" w:eastAsia="宋体" w:cs="宋体"/>
                <w:b/>
                <w:bCs/>
                <w:sz w:val="28"/>
                <w:szCs w:val="28"/>
              </w:rPr>
              <w:t>在30分钟解密时间内未进行解密的投标人将导致响应无效。</w:t>
            </w:r>
            <w:r>
              <w:rPr>
                <w:rFonts w:hint="eastAsia" w:ascii="宋体" w:hAnsi="宋体" w:eastAsia="宋体" w:cs="宋体"/>
                <w:sz w:val="28"/>
                <w:szCs w:val="28"/>
              </w:rPr>
              <w:t>（解密时间开始时政采云平台将以短信形式向投标人在政采云平台预留的手机号发送短信通知，请投标人及时关注。）</w:t>
            </w:r>
          </w:p>
          <w:p w14:paraId="01FE1587">
            <w:pPr>
              <w:pStyle w:val="6"/>
              <w:keepNext w:val="0"/>
              <w:keepLines w:val="0"/>
              <w:suppressLineNumbers w:val="0"/>
              <w:shd w:val="clear" w:color="auto" w:fill="FFFFFF"/>
              <w:spacing w:before="0" w:beforeAutospacing="0" w:after="0" w:afterAutospacing="0" w:line="500" w:lineRule="exact"/>
              <w:ind w:left="0" w:right="0" w:firstLine="0" w:firstLineChars="0"/>
              <w:jc w:val="left"/>
              <w:rPr>
                <w:rFonts w:hint="eastAsia" w:ascii="宋体" w:hAnsi="宋体" w:eastAsia="宋体" w:cs="宋体"/>
                <w:sz w:val="28"/>
                <w:szCs w:val="28"/>
              </w:rPr>
            </w:pPr>
            <w:r>
              <w:rPr>
                <w:rFonts w:hint="eastAsia" w:ascii="宋体" w:hAnsi="宋体" w:eastAsia="宋体" w:cs="宋体"/>
                <w:sz w:val="28"/>
                <w:szCs w:val="28"/>
              </w:rPr>
              <w:t>（7）投标人报价CA签字确认：报价文件开启后将开启签字时段，投标人须在20分钟内用CA证书对报价进行签字确认。</w:t>
            </w:r>
          </w:p>
          <w:p w14:paraId="081E0F40">
            <w:pPr>
              <w:pStyle w:val="6"/>
              <w:keepNext w:val="0"/>
              <w:keepLines w:val="0"/>
              <w:suppressLineNumbers w:val="0"/>
              <w:shd w:val="clear" w:color="auto" w:fill="FFFFFF"/>
              <w:spacing w:before="0" w:beforeAutospacing="0" w:after="0" w:afterAutospacing="0" w:line="500" w:lineRule="exact"/>
              <w:ind w:left="0" w:right="0" w:firstLine="0" w:firstLineChars="0"/>
              <w:jc w:val="left"/>
              <w:rPr>
                <w:rFonts w:hint="eastAsia" w:ascii="宋体" w:hAnsi="宋体" w:eastAsia="宋体" w:cs="宋体"/>
                <w:sz w:val="28"/>
                <w:szCs w:val="28"/>
              </w:rPr>
            </w:pPr>
            <w:r>
              <w:rPr>
                <w:rFonts w:hint="eastAsia" w:ascii="宋体" w:hAnsi="宋体" w:eastAsia="宋体" w:cs="宋体"/>
                <w:sz w:val="28"/>
                <w:szCs w:val="28"/>
              </w:rPr>
              <w:t>（8）具体操作指南：详见政采云平台“服务中心-帮助文档-项目采购-操作流程-电子招投标-政府采购项目电子交易管理操作指南-投标人”。</w:t>
            </w:r>
          </w:p>
          <w:p w14:paraId="547E8711">
            <w:pPr>
              <w:pStyle w:val="6"/>
              <w:keepNext w:val="0"/>
              <w:keepLines w:val="0"/>
              <w:suppressLineNumbers w:val="0"/>
              <w:shd w:val="clear" w:color="auto" w:fill="FFFFFF"/>
              <w:spacing w:before="0" w:beforeAutospacing="0" w:after="0" w:afterAutospacing="0" w:line="500" w:lineRule="exact"/>
              <w:ind w:left="0" w:right="0" w:firstLine="0" w:firstLineChars="0"/>
              <w:jc w:val="left"/>
              <w:rPr>
                <w:rFonts w:hint="eastAsia" w:ascii="宋体" w:hAnsi="宋体" w:eastAsia="宋体" w:cs="宋体"/>
                <w:sz w:val="28"/>
                <w:szCs w:val="28"/>
              </w:rPr>
            </w:pPr>
            <w:r>
              <w:rPr>
                <w:rFonts w:hint="eastAsia" w:ascii="宋体" w:hAnsi="宋体" w:eastAsia="宋体" w:cs="宋体"/>
                <w:sz w:val="28"/>
                <w:szCs w:val="28"/>
              </w:rPr>
              <w:t>（9）投标人在进行上述操作时，如遇技术问题可登录政采云（https://www.zcygov.cn/），点击右侧咨询小采，获取采小蜜智能服务管家帮助，或拨打政采云服务热线95763获取热线服务帮助。</w:t>
            </w:r>
          </w:p>
          <w:p w14:paraId="7A424C62">
            <w:pPr>
              <w:pStyle w:val="6"/>
              <w:keepNext w:val="0"/>
              <w:keepLines w:val="0"/>
              <w:suppressLineNumbers w:val="0"/>
              <w:spacing w:before="0" w:beforeAutospacing="0" w:after="0" w:afterAutospacing="0" w:line="500" w:lineRule="exact"/>
              <w:ind w:left="0" w:right="0" w:firstLine="0" w:firstLineChars="0"/>
              <w:rPr>
                <w:rFonts w:hint="eastAsia" w:ascii="宋体" w:hAnsi="宋体" w:eastAsia="宋体" w:cs="宋体"/>
                <w:sz w:val="28"/>
                <w:szCs w:val="28"/>
              </w:rPr>
            </w:pPr>
            <w:r>
              <w:rPr>
                <w:rFonts w:hint="eastAsia" w:ascii="宋体" w:hAnsi="宋体" w:eastAsia="宋体" w:cs="宋体"/>
                <w:sz w:val="28"/>
                <w:szCs w:val="28"/>
              </w:rPr>
              <w:t>温馨提醒：投标人应提前上传，以便在上传时遇到技术问题，有充足的时间请教平台的技术人员。</w:t>
            </w:r>
          </w:p>
          <w:p w14:paraId="495AEC0B">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（10）本项目如有变更、澄清或其他通知将在发布招标公告的网站（新疆政府采购网）上公布。</w:t>
            </w:r>
          </w:p>
          <w:p w14:paraId="45D672EE">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（11）重要说明：①本项目采用全流程不见面电子开评标，投标人需要使用CA加密设备，投标人可通过新疆数字证书认证中心官网（https://www.xjca.com.cn/）或下载“新疆政务通”APP自行进行申领。</w:t>
            </w:r>
          </w:p>
          <w:p w14:paraId="787C64D5">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②本项目实行网上投标，采用加密电子投标文件（投标人须使用CA加密设备通过政采云电子投标客户端制作投标文件）。若投标人参与投标，自行承担投标一切费用。</w:t>
            </w:r>
          </w:p>
          <w:p w14:paraId="1D43FA49">
            <w:pPr>
              <w:keepNext w:val="0"/>
              <w:keepLines w:val="0"/>
              <w:suppressLineNumbers w:val="0"/>
              <w:spacing w:before="0" w:beforeAutospacing="0" w:after="0" w:afterAutospacing="0" w:line="500" w:lineRule="exact"/>
              <w:ind w:left="0" w:right="0"/>
              <w:rPr>
                <w:rFonts w:hint="eastAsia" w:ascii="宋体" w:hAnsi="宋体" w:eastAsia="宋体" w:cs="宋体"/>
                <w:b/>
                <w:bCs/>
                <w:sz w:val="28"/>
                <w:szCs w:val="28"/>
              </w:rPr>
            </w:pPr>
            <w:r>
              <w:rPr>
                <w:rFonts w:hint="eastAsia" w:ascii="宋体" w:hAnsi="宋体" w:eastAsia="宋体" w:cs="宋体"/>
                <w:sz w:val="28"/>
                <w:szCs w:val="28"/>
              </w:rPr>
              <w:t>（12）投标人使用相同IP地址的，一经发现，相关部门将进一步核实，查实后按串通处理。</w:t>
            </w:r>
          </w:p>
        </w:tc>
      </w:tr>
      <w:tr w14:paraId="4D7A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4979FF39">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27</w:t>
            </w:r>
          </w:p>
        </w:tc>
        <w:tc>
          <w:tcPr>
            <w:tcW w:w="1374" w:type="dxa"/>
            <w:vAlign w:val="center"/>
          </w:tcPr>
          <w:p w14:paraId="74A047C3">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相同品牌</w:t>
            </w:r>
          </w:p>
        </w:tc>
        <w:tc>
          <w:tcPr>
            <w:tcW w:w="6473" w:type="dxa"/>
            <w:vAlign w:val="center"/>
          </w:tcPr>
          <w:p w14:paraId="1F7D9ED9">
            <w:pPr>
              <w:pStyle w:val="12"/>
              <w:keepNext w:val="0"/>
              <w:keepLines w:val="0"/>
              <w:suppressLineNumbers w:val="0"/>
              <w:spacing w:before="0" w:beforeAutospacing="0" w:after="0" w:afterAutospacing="0" w:line="500" w:lineRule="exact"/>
              <w:ind w:left="0" w:right="0"/>
              <w:rPr>
                <w:rFonts w:hint="eastAsia" w:ascii="宋体" w:hAnsi="宋体" w:eastAsia="宋体" w:cs="宋体"/>
                <w:b/>
                <w:bCs/>
                <w:sz w:val="28"/>
                <w:szCs w:val="28"/>
              </w:rPr>
            </w:pPr>
            <w:r>
              <w:rPr>
                <w:rFonts w:hint="eastAsia" w:ascii="宋体" w:hAnsi="宋体" w:eastAsia="宋体" w:cs="宋体"/>
                <w:b/>
                <w:bCs/>
                <w:sz w:val="28"/>
                <w:szCs w:val="28"/>
              </w:rPr>
              <w:t>采用综合评分法时，核心产品中只要任意一个核心产品的品牌相同且通过资格审查、符合性审查的不同投标人参加同一合同项下投标的，按一家投标人计算，评审后得分最高的同品牌投标人获得中标人推荐资格；评审得分相同的，评标委员会按照（按投标报价由低到高顺序排列）确定一个投标人获得中标人推荐资格，其他同品牌投标人不作为中标候选人。</w:t>
            </w:r>
          </w:p>
          <w:p w14:paraId="10E75E34">
            <w:pPr>
              <w:pStyle w:val="12"/>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b/>
                <w:bCs/>
                <w:sz w:val="28"/>
                <w:szCs w:val="28"/>
              </w:rPr>
              <w:t>如多家投标人提供的核心产品品牌授权相同的，按上述规定处理。</w:t>
            </w:r>
          </w:p>
        </w:tc>
      </w:tr>
      <w:tr w14:paraId="67FD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2FAD8126">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28</w:t>
            </w:r>
          </w:p>
        </w:tc>
        <w:tc>
          <w:tcPr>
            <w:tcW w:w="1374" w:type="dxa"/>
            <w:vAlign w:val="center"/>
          </w:tcPr>
          <w:p w14:paraId="6F6F03E8">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核心产品</w:t>
            </w:r>
          </w:p>
        </w:tc>
        <w:tc>
          <w:tcPr>
            <w:tcW w:w="6473" w:type="dxa"/>
            <w:vAlign w:val="center"/>
          </w:tcPr>
          <w:p w14:paraId="23A3CDD5">
            <w:pPr>
              <w:keepNext w:val="0"/>
              <w:keepLines w:val="0"/>
              <w:suppressLineNumbers w:val="0"/>
              <w:spacing w:before="0" w:beforeAutospacing="0" w:after="0" w:afterAutospacing="0" w:line="500" w:lineRule="exact"/>
              <w:ind w:left="0" w:right="0"/>
              <w:rPr>
                <w:rFonts w:hint="eastAsia" w:ascii="宋体" w:hAnsi="宋体" w:eastAsia="宋体" w:cs="宋体"/>
                <w:b/>
                <w:bCs/>
                <w:kern w:val="2"/>
                <w:sz w:val="28"/>
                <w:szCs w:val="28"/>
              </w:rPr>
            </w:pPr>
            <w:r>
              <w:rPr>
                <w:rFonts w:hint="eastAsia" w:ascii="宋体" w:hAnsi="宋体" w:eastAsia="宋体" w:cs="宋体"/>
                <w:sz w:val="28"/>
                <w:szCs w:val="28"/>
              </w:rPr>
              <w:t>核心产品为：（1）高温荷载结构体素分析显微镜，（2）数字智能化醋酸乙烯酯和氯乙烯装置，（3）数字智能化共聚物制备反应装置</w:t>
            </w:r>
            <w:r>
              <w:rPr>
                <w:rFonts w:hint="eastAsia" w:ascii="宋体" w:hAnsi="宋体" w:eastAsia="宋体" w:cs="宋体"/>
                <w:kern w:val="2"/>
                <w:sz w:val="28"/>
                <w:szCs w:val="28"/>
              </w:rPr>
              <w:t xml:space="preserve">。 </w:t>
            </w:r>
          </w:p>
        </w:tc>
      </w:tr>
      <w:tr w14:paraId="4871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6E43C9A4">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29</w:t>
            </w:r>
          </w:p>
        </w:tc>
        <w:tc>
          <w:tcPr>
            <w:tcW w:w="1374" w:type="dxa"/>
            <w:vAlign w:val="center"/>
          </w:tcPr>
          <w:p w14:paraId="35C913CE">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样品</w:t>
            </w:r>
          </w:p>
        </w:tc>
        <w:tc>
          <w:tcPr>
            <w:tcW w:w="6473" w:type="dxa"/>
            <w:vAlign w:val="center"/>
          </w:tcPr>
          <w:p w14:paraId="066378A2">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kern w:val="2"/>
                <w:sz w:val="28"/>
                <w:szCs w:val="28"/>
              </w:rPr>
              <w:t>不递交</w:t>
            </w:r>
          </w:p>
        </w:tc>
      </w:tr>
      <w:tr w14:paraId="6F87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081A7D2D">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30</w:t>
            </w:r>
          </w:p>
        </w:tc>
        <w:tc>
          <w:tcPr>
            <w:tcW w:w="1374" w:type="dxa"/>
            <w:vAlign w:val="center"/>
          </w:tcPr>
          <w:p w14:paraId="27D84E9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是否允许采购进口产品</w:t>
            </w:r>
          </w:p>
        </w:tc>
        <w:tc>
          <w:tcPr>
            <w:tcW w:w="6473" w:type="dxa"/>
            <w:vAlign w:val="center"/>
          </w:tcPr>
          <w:p w14:paraId="45D62544">
            <w:pPr>
              <w:keepNext w:val="0"/>
              <w:keepLines w:val="0"/>
              <w:suppressLineNumbers w:val="0"/>
              <w:spacing w:before="0" w:beforeAutospacing="0" w:after="0" w:afterAutospacing="0" w:line="500" w:lineRule="exact"/>
              <w:ind w:left="0" w:right="0"/>
              <w:rPr>
                <w:rFonts w:hint="eastAsia" w:ascii="宋体" w:hAnsi="宋体" w:eastAsia="宋体" w:cs="宋体"/>
                <w:kern w:val="2"/>
                <w:sz w:val="28"/>
                <w:szCs w:val="28"/>
              </w:rPr>
            </w:pPr>
            <w:r>
              <w:rPr>
                <w:rFonts w:hint="eastAsia" w:ascii="宋体" w:hAnsi="宋体" w:eastAsia="宋体" w:cs="宋体"/>
                <w:sz w:val="28"/>
                <w:szCs w:val="28"/>
              </w:rPr>
              <w:t>不允许</w:t>
            </w:r>
          </w:p>
        </w:tc>
      </w:tr>
      <w:tr w14:paraId="3D44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5486F098">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31</w:t>
            </w:r>
          </w:p>
        </w:tc>
        <w:tc>
          <w:tcPr>
            <w:tcW w:w="1374" w:type="dxa"/>
            <w:vAlign w:val="center"/>
          </w:tcPr>
          <w:p w14:paraId="136289ED">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回避情形</w:t>
            </w:r>
          </w:p>
        </w:tc>
        <w:tc>
          <w:tcPr>
            <w:tcW w:w="6473" w:type="dxa"/>
            <w:vAlign w:val="center"/>
          </w:tcPr>
          <w:p w14:paraId="2EDCB05F">
            <w:pPr>
              <w:keepNext w:val="0"/>
              <w:keepLines w:val="0"/>
              <w:suppressLineNumbers w:val="0"/>
              <w:spacing w:before="0" w:beforeAutospacing="0" w:after="0" w:afterAutospacing="0" w:line="360" w:lineRule="exact"/>
              <w:ind w:left="0" w:right="0"/>
              <w:jc w:val="left"/>
              <w:rPr>
                <w:rFonts w:hint="eastAsia" w:ascii="宋体" w:hAnsi="宋体" w:eastAsia="宋体" w:cs="宋体"/>
                <w:sz w:val="28"/>
                <w:szCs w:val="28"/>
              </w:rPr>
            </w:pPr>
            <w:r>
              <w:rPr>
                <w:rFonts w:hint="eastAsia" w:ascii="宋体" w:hAnsi="宋体" w:eastAsia="宋体" w:cs="宋体"/>
                <w:sz w:val="28"/>
                <w:szCs w:val="28"/>
              </w:rPr>
              <w:t>参与项目采购人员及相关人员与投标人有下列利害关系之一的，应当回避:</w:t>
            </w:r>
          </w:p>
          <w:p w14:paraId="6441077A">
            <w:pPr>
              <w:keepNext w:val="0"/>
              <w:keepLines w:val="0"/>
              <w:suppressLineNumbers w:val="0"/>
              <w:spacing w:before="0" w:beforeAutospacing="0" w:after="0" w:afterAutospacing="0" w:line="360" w:lineRule="exact"/>
              <w:ind w:left="0" w:right="0"/>
              <w:jc w:val="left"/>
              <w:rPr>
                <w:rFonts w:hint="eastAsia" w:ascii="宋体" w:hAnsi="宋体" w:eastAsia="宋体" w:cs="宋体"/>
                <w:sz w:val="28"/>
                <w:szCs w:val="28"/>
              </w:rPr>
            </w:pPr>
            <w:r>
              <w:rPr>
                <w:rFonts w:hint="eastAsia" w:ascii="宋体" w:hAnsi="宋体" w:eastAsia="宋体" w:cs="宋体"/>
                <w:sz w:val="28"/>
                <w:szCs w:val="28"/>
              </w:rPr>
              <w:t>1.参加采购活动前3年内与投标人存在劳动关系;</w:t>
            </w:r>
          </w:p>
          <w:p w14:paraId="53A22CEF">
            <w:pPr>
              <w:keepNext w:val="0"/>
              <w:keepLines w:val="0"/>
              <w:suppressLineNumbers w:val="0"/>
              <w:spacing w:before="0" w:beforeAutospacing="0" w:after="0" w:afterAutospacing="0" w:line="360" w:lineRule="exact"/>
              <w:ind w:left="0" w:right="0"/>
              <w:jc w:val="left"/>
              <w:rPr>
                <w:rFonts w:hint="eastAsia" w:ascii="宋体" w:hAnsi="宋体" w:eastAsia="宋体" w:cs="宋体"/>
                <w:sz w:val="28"/>
                <w:szCs w:val="28"/>
              </w:rPr>
            </w:pPr>
            <w:r>
              <w:rPr>
                <w:rFonts w:hint="eastAsia" w:ascii="宋体" w:hAnsi="宋体" w:eastAsia="宋体" w:cs="宋体"/>
                <w:sz w:val="28"/>
                <w:szCs w:val="28"/>
              </w:rPr>
              <w:t>参加采购活动前3年内担任投标人的董事、监事;</w:t>
            </w:r>
          </w:p>
          <w:p w14:paraId="0A8D5AFF">
            <w:pPr>
              <w:keepNext w:val="0"/>
              <w:keepLines w:val="0"/>
              <w:suppressLineNumbers w:val="0"/>
              <w:spacing w:before="0" w:beforeAutospacing="0" w:after="0" w:afterAutospacing="0" w:line="360" w:lineRule="exact"/>
              <w:ind w:left="0" w:right="0"/>
              <w:jc w:val="left"/>
              <w:rPr>
                <w:rFonts w:hint="eastAsia" w:ascii="宋体" w:hAnsi="宋体" w:eastAsia="宋体" w:cs="宋体"/>
                <w:sz w:val="28"/>
                <w:szCs w:val="28"/>
              </w:rPr>
            </w:pPr>
            <w:r>
              <w:rPr>
                <w:rFonts w:hint="eastAsia" w:ascii="宋体" w:hAnsi="宋体" w:eastAsia="宋体" w:cs="宋体"/>
                <w:sz w:val="28"/>
                <w:szCs w:val="28"/>
              </w:rPr>
              <w:t>2.参加采购活动前3年内是投标人的控股股东或者实际控制人;</w:t>
            </w:r>
          </w:p>
          <w:p w14:paraId="1112A4A4">
            <w:pPr>
              <w:keepNext w:val="0"/>
              <w:keepLines w:val="0"/>
              <w:suppressLineNumbers w:val="0"/>
              <w:spacing w:before="0" w:beforeAutospacing="0" w:after="0" w:afterAutospacing="0" w:line="360" w:lineRule="exact"/>
              <w:ind w:left="0" w:right="0"/>
              <w:jc w:val="left"/>
              <w:rPr>
                <w:rFonts w:hint="eastAsia" w:ascii="宋体" w:hAnsi="宋体" w:eastAsia="宋体" w:cs="宋体"/>
                <w:sz w:val="28"/>
                <w:szCs w:val="28"/>
              </w:rPr>
            </w:pPr>
            <w:r>
              <w:rPr>
                <w:rFonts w:hint="eastAsia" w:ascii="宋体" w:hAnsi="宋体" w:eastAsia="宋体" w:cs="宋体"/>
                <w:sz w:val="28"/>
                <w:szCs w:val="28"/>
              </w:rPr>
              <w:t>3.与投标人的法定代表人或者负责人有夫妻、直系血亲、三代以内旁系血亲或者近姻亲关系;</w:t>
            </w:r>
          </w:p>
          <w:p w14:paraId="3FCFB44F">
            <w:pPr>
              <w:keepNext w:val="0"/>
              <w:keepLines w:val="0"/>
              <w:suppressLineNumbers w:val="0"/>
              <w:spacing w:before="0" w:beforeAutospacing="0" w:after="0" w:afterAutospacing="0" w:line="360" w:lineRule="exact"/>
              <w:ind w:left="0" w:right="0"/>
              <w:jc w:val="left"/>
              <w:rPr>
                <w:rFonts w:hint="eastAsia" w:ascii="宋体" w:hAnsi="宋体" w:eastAsia="宋体" w:cs="宋体"/>
                <w:b/>
                <w:bCs/>
                <w:sz w:val="28"/>
                <w:szCs w:val="28"/>
                <w:u w:val="single"/>
              </w:rPr>
            </w:pPr>
            <w:r>
              <w:rPr>
                <w:rFonts w:hint="eastAsia" w:ascii="宋体" w:hAnsi="宋体" w:eastAsia="宋体" w:cs="宋体"/>
                <w:sz w:val="28"/>
                <w:szCs w:val="28"/>
              </w:rPr>
              <w:t>4.与投标人有其他可能影响采购活动公平、公正进行的关系。</w:t>
            </w:r>
          </w:p>
        </w:tc>
      </w:tr>
      <w:tr w14:paraId="4BBB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04C9C318">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32</w:t>
            </w:r>
          </w:p>
        </w:tc>
        <w:tc>
          <w:tcPr>
            <w:tcW w:w="1374" w:type="dxa"/>
            <w:vAlign w:val="center"/>
          </w:tcPr>
          <w:p w14:paraId="62ED1DB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支持本国产品</w:t>
            </w:r>
          </w:p>
        </w:tc>
        <w:tc>
          <w:tcPr>
            <w:tcW w:w="6473" w:type="dxa"/>
            <w:vAlign w:val="center"/>
          </w:tcPr>
          <w:p w14:paraId="769BC6BD">
            <w:pPr>
              <w:keepNext w:val="0"/>
              <w:keepLines w:val="0"/>
              <w:suppressLineNumbers w:val="0"/>
              <w:spacing w:before="0" w:beforeAutospacing="0" w:after="0" w:afterAutospacing="0" w:line="480" w:lineRule="exact"/>
              <w:ind w:left="0" w:right="0"/>
              <w:rPr>
                <w:rFonts w:hint="eastAsia" w:ascii="宋体" w:hAnsi="宋体" w:eastAsia="宋体" w:cs="宋体"/>
                <w:sz w:val="28"/>
                <w:szCs w:val="28"/>
              </w:rPr>
            </w:pPr>
            <w:r>
              <w:rPr>
                <w:rFonts w:hint="eastAsia" w:ascii="宋体" w:hAnsi="宋体" w:eastAsia="宋体" w:cs="宋体"/>
                <w:sz w:val="28"/>
                <w:szCs w:val="28"/>
              </w:rPr>
              <w:t>1.支持本国产品</w:t>
            </w:r>
          </w:p>
          <w:p w14:paraId="19DE5C1A">
            <w:pPr>
              <w:keepNext w:val="0"/>
              <w:keepLines w:val="0"/>
              <w:suppressLineNumbers w:val="0"/>
              <w:spacing w:before="0" w:beforeAutospacing="0" w:after="0" w:afterAutospacing="0" w:line="480" w:lineRule="exact"/>
              <w:ind w:left="0" w:right="0"/>
              <w:rPr>
                <w:rFonts w:hint="eastAsia" w:ascii="宋体" w:hAnsi="宋体" w:eastAsia="宋体" w:cs="宋体"/>
                <w:sz w:val="28"/>
                <w:szCs w:val="28"/>
              </w:rPr>
            </w:pPr>
            <w:r>
              <w:rPr>
                <w:rFonts w:hint="eastAsia" w:ascii="宋体" w:hAnsi="宋体" w:eastAsia="宋体" w:cs="宋体"/>
                <w:sz w:val="28"/>
                <w:szCs w:val="28"/>
              </w:rPr>
              <w:t>1.1本国产品标准(依据《国务院办公厅关于在政府采购中实施本国产品标准及相关政策的通知》国办发〔2025〕34号)</w:t>
            </w:r>
          </w:p>
          <w:p w14:paraId="116F39C3">
            <w:pPr>
              <w:keepNext w:val="0"/>
              <w:keepLines w:val="0"/>
              <w:suppressLineNumbers w:val="0"/>
              <w:spacing w:before="0" w:beforeAutospacing="0" w:after="0" w:afterAutospacing="0" w:line="480" w:lineRule="exact"/>
              <w:ind w:left="0" w:right="0" w:firstLine="560" w:firstLineChars="200"/>
              <w:rPr>
                <w:rFonts w:hint="eastAsia" w:ascii="宋体" w:hAnsi="宋体" w:eastAsia="宋体" w:cs="宋体"/>
                <w:sz w:val="28"/>
                <w:szCs w:val="28"/>
              </w:rPr>
            </w:pPr>
            <w:r>
              <w:rPr>
                <w:rFonts w:hint="eastAsia" w:ascii="宋体" w:hAnsi="宋体" w:eastAsia="宋体" w:cs="宋体"/>
                <w:sz w:val="28"/>
                <w:szCs w:val="28"/>
              </w:rPr>
              <w:t>本国产品应当符合以下条件：</w:t>
            </w:r>
          </w:p>
          <w:p w14:paraId="0CBFBBF8">
            <w:pPr>
              <w:keepNext w:val="0"/>
              <w:keepLines w:val="0"/>
              <w:suppressLineNumbers w:val="0"/>
              <w:spacing w:before="0" w:beforeAutospacing="0" w:after="0" w:afterAutospacing="0" w:line="480" w:lineRule="exact"/>
              <w:ind w:left="0" w:right="0"/>
              <w:rPr>
                <w:rFonts w:hint="eastAsia" w:ascii="宋体" w:hAnsi="宋体" w:eastAsia="宋体" w:cs="宋体"/>
                <w:sz w:val="28"/>
                <w:szCs w:val="28"/>
              </w:rPr>
            </w:pPr>
            <w:r>
              <w:rPr>
                <w:rFonts w:hint="eastAsia" w:ascii="宋体" w:hAnsi="宋体" w:eastAsia="宋体" w:cs="宋体"/>
                <w:sz w:val="28"/>
                <w:szCs w:val="28"/>
              </w:rPr>
              <w:t>（一）在中国境内生产</w:t>
            </w:r>
          </w:p>
          <w:p w14:paraId="0D98531E">
            <w:pPr>
              <w:keepNext w:val="0"/>
              <w:keepLines w:val="0"/>
              <w:suppressLineNumbers w:val="0"/>
              <w:spacing w:before="0" w:beforeAutospacing="0" w:after="0" w:afterAutospacing="0" w:line="480" w:lineRule="exact"/>
              <w:ind w:left="0" w:right="0" w:firstLine="560" w:firstLineChars="200"/>
              <w:rPr>
                <w:rFonts w:hint="eastAsia" w:ascii="宋体" w:hAnsi="宋体" w:eastAsia="宋体" w:cs="宋体"/>
                <w:sz w:val="28"/>
                <w:szCs w:val="28"/>
              </w:rPr>
            </w:pPr>
            <w:r>
              <w:rPr>
                <w:rFonts w:hint="eastAsia" w:ascii="宋体" w:hAnsi="宋体" w:eastAsia="宋体" w:cs="宋体"/>
                <w:sz w:val="28"/>
                <w:szCs w:val="28"/>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35FCF973">
            <w:pPr>
              <w:keepNext w:val="0"/>
              <w:keepLines w:val="0"/>
              <w:suppressLineNumbers w:val="0"/>
              <w:spacing w:before="0" w:beforeAutospacing="0" w:after="0" w:afterAutospacing="0" w:line="480" w:lineRule="exact"/>
              <w:ind w:left="0" w:right="0"/>
              <w:rPr>
                <w:rFonts w:hint="eastAsia" w:ascii="宋体" w:hAnsi="宋体" w:eastAsia="宋体" w:cs="宋体"/>
                <w:sz w:val="28"/>
                <w:szCs w:val="28"/>
              </w:rPr>
            </w:pPr>
            <w:r>
              <w:rPr>
                <w:rFonts w:hint="eastAsia" w:ascii="宋体" w:hAnsi="宋体" w:eastAsia="宋体" w:cs="宋体"/>
                <w:sz w:val="28"/>
                <w:szCs w:val="28"/>
              </w:rPr>
              <w:t>1.为确保产品在运输或者储存期间保持某种状态而进行的操作；</w:t>
            </w:r>
          </w:p>
          <w:p w14:paraId="06A29242">
            <w:pPr>
              <w:keepNext w:val="0"/>
              <w:keepLines w:val="0"/>
              <w:suppressLineNumbers w:val="0"/>
              <w:spacing w:before="0" w:beforeAutospacing="0" w:after="0" w:afterAutospacing="0" w:line="480" w:lineRule="exact"/>
              <w:ind w:left="0" w:right="0"/>
              <w:rPr>
                <w:rFonts w:hint="eastAsia" w:ascii="宋体" w:hAnsi="宋体" w:eastAsia="宋体" w:cs="宋体"/>
                <w:sz w:val="28"/>
                <w:szCs w:val="28"/>
              </w:rPr>
            </w:pPr>
            <w:r>
              <w:rPr>
                <w:rFonts w:hint="eastAsia" w:ascii="宋体" w:hAnsi="宋体" w:eastAsia="宋体" w:cs="宋体"/>
                <w:sz w:val="28"/>
                <w:szCs w:val="28"/>
              </w:rPr>
              <w:t>2.为产品运输或者销售进行的包装或者展示；</w:t>
            </w:r>
          </w:p>
          <w:p w14:paraId="2A8FB5C0">
            <w:pPr>
              <w:keepNext w:val="0"/>
              <w:keepLines w:val="0"/>
              <w:suppressLineNumbers w:val="0"/>
              <w:spacing w:before="0" w:beforeAutospacing="0" w:after="0" w:afterAutospacing="0" w:line="480" w:lineRule="exact"/>
              <w:ind w:left="0" w:right="0"/>
              <w:rPr>
                <w:rFonts w:hint="eastAsia" w:ascii="宋体" w:hAnsi="宋体" w:eastAsia="宋体" w:cs="宋体"/>
                <w:sz w:val="28"/>
                <w:szCs w:val="28"/>
              </w:rPr>
            </w:pPr>
            <w:r>
              <w:rPr>
                <w:rFonts w:hint="eastAsia" w:ascii="宋体" w:hAnsi="宋体" w:eastAsia="宋体" w:cs="宋体"/>
                <w:sz w:val="28"/>
                <w:szCs w:val="28"/>
              </w:rPr>
              <w:t>3.在产品或者其包装上粘贴或者印刷品牌、标志、标识以及其他用于区别的标记；</w:t>
            </w:r>
          </w:p>
          <w:p w14:paraId="44A673B1">
            <w:pPr>
              <w:keepNext w:val="0"/>
              <w:keepLines w:val="0"/>
              <w:suppressLineNumbers w:val="0"/>
              <w:spacing w:before="0" w:beforeAutospacing="0" w:after="0" w:afterAutospacing="0" w:line="480" w:lineRule="exact"/>
              <w:ind w:left="0" w:right="0"/>
              <w:rPr>
                <w:rFonts w:hint="eastAsia" w:ascii="宋体" w:hAnsi="宋体" w:eastAsia="宋体" w:cs="宋体"/>
                <w:sz w:val="28"/>
                <w:szCs w:val="28"/>
              </w:rPr>
            </w:pPr>
            <w:r>
              <w:rPr>
                <w:rFonts w:hint="eastAsia" w:ascii="宋体" w:hAnsi="宋体" w:eastAsia="宋体" w:cs="宋体"/>
                <w:sz w:val="28"/>
                <w:szCs w:val="28"/>
              </w:rPr>
              <w:t>4.简单的上漆、磨光和分装；</w:t>
            </w:r>
          </w:p>
          <w:p w14:paraId="492C4B88">
            <w:pPr>
              <w:keepNext w:val="0"/>
              <w:keepLines w:val="0"/>
              <w:suppressLineNumbers w:val="0"/>
              <w:spacing w:before="0" w:beforeAutospacing="0" w:after="0" w:afterAutospacing="0" w:line="480" w:lineRule="exact"/>
              <w:ind w:left="0" w:right="0"/>
              <w:rPr>
                <w:rFonts w:hint="eastAsia" w:ascii="宋体" w:hAnsi="宋体" w:eastAsia="宋体" w:cs="宋体"/>
                <w:sz w:val="28"/>
                <w:szCs w:val="28"/>
              </w:rPr>
            </w:pPr>
            <w:r>
              <w:rPr>
                <w:rFonts w:hint="eastAsia" w:ascii="宋体" w:hAnsi="宋体" w:eastAsia="宋体" w:cs="宋体"/>
                <w:sz w:val="28"/>
                <w:szCs w:val="28"/>
              </w:rPr>
              <w:t>5.其他不属于属性改变的情形。</w:t>
            </w:r>
          </w:p>
          <w:p w14:paraId="5AF18738">
            <w:pPr>
              <w:keepNext w:val="0"/>
              <w:keepLines w:val="0"/>
              <w:suppressLineNumbers w:val="0"/>
              <w:spacing w:before="0" w:beforeAutospacing="0" w:after="0" w:afterAutospacing="0" w:line="480" w:lineRule="exact"/>
              <w:ind w:left="0" w:right="0"/>
              <w:rPr>
                <w:rFonts w:hint="eastAsia" w:ascii="宋体" w:hAnsi="宋体" w:eastAsia="宋体" w:cs="宋体"/>
                <w:sz w:val="28"/>
                <w:szCs w:val="28"/>
              </w:rPr>
            </w:pPr>
            <w:r>
              <w:rPr>
                <w:rFonts w:hint="eastAsia" w:ascii="宋体" w:hAnsi="宋体" w:eastAsia="宋体" w:cs="宋体"/>
                <w:sz w:val="28"/>
                <w:szCs w:val="28"/>
              </w:rPr>
              <w:t>（二）在中国境内生产的组件成本占比达到规定比例产品在中国境内生产的组件成本占比应当达到规定比例，计算公式为：（产品在中国境内生产的组件成本/产品总成本）≥规定比例。</w:t>
            </w:r>
          </w:p>
          <w:p w14:paraId="6CA00DDE">
            <w:pPr>
              <w:keepNext w:val="0"/>
              <w:keepLines w:val="0"/>
              <w:suppressLineNumbers w:val="0"/>
              <w:spacing w:before="0" w:beforeAutospacing="0" w:after="0" w:afterAutospacing="0" w:line="480" w:lineRule="exact"/>
              <w:ind w:left="0" w:right="0" w:firstLine="560" w:firstLineChars="200"/>
              <w:rPr>
                <w:rFonts w:hint="eastAsia" w:ascii="宋体" w:hAnsi="宋体" w:eastAsia="宋体" w:cs="宋体"/>
                <w:sz w:val="28"/>
                <w:szCs w:val="28"/>
              </w:rPr>
            </w:pPr>
            <w:r>
              <w:rPr>
                <w:rFonts w:hint="eastAsia" w:ascii="宋体" w:hAnsi="宋体" w:eastAsia="宋体" w:cs="宋体"/>
                <w:sz w:val="28"/>
                <w:szCs w:val="28"/>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770BFDA">
            <w:pPr>
              <w:keepNext w:val="0"/>
              <w:keepLines w:val="0"/>
              <w:suppressLineNumbers w:val="0"/>
              <w:spacing w:before="0" w:beforeAutospacing="0" w:after="0" w:afterAutospacing="0" w:line="480" w:lineRule="exact"/>
              <w:ind w:left="0" w:right="0"/>
              <w:rPr>
                <w:rFonts w:hint="eastAsia" w:ascii="宋体" w:hAnsi="宋体" w:eastAsia="宋体" w:cs="宋体"/>
                <w:sz w:val="28"/>
                <w:szCs w:val="28"/>
              </w:rPr>
            </w:pPr>
            <w:r>
              <w:rPr>
                <w:rFonts w:hint="eastAsia" w:ascii="宋体" w:hAnsi="宋体" w:eastAsia="宋体" w:cs="宋体"/>
                <w:sz w:val="28"/>
                <w:szCs w:val="28"/>
              </w:rPr>
              <w:t>（三）特定产品的关键组件、关键工序符合相关要求对特定产品，在符合本通知第一条第（一）项和第（二）项条件的基础上，应当符合财政部会同有关行业主管部门确定的其关键组件、关键工序在中国境内生产、完成等要求。</w:t>
            </w:r>
          </w:p>
          <w:p w14:paraId="08AA1095">
            <w:pPr>
              <w:keepNext w:val="0"/>
              <w:keepLines w:val="0"/>
              <w:suppressLineNumbers w:val="0"/>
              <w:spacing w:before="0" w:beforeAutospacing="0" w:after="0" w:afterAutospacing="0" w:line="480" w:lineRule="exact"/>
              <w:ind w:left="0" w:right="0" w:firstLine="560" w:firstLineChars="200"/>
              <w:rPr>
                <w:rFonts w:hint="eastAsia" w:ascii="宋体" w:hAnsi="宋体" w:eastAsia="宋体" w:cs="宋体"/>
                <w:sz w:val="28"/>
                <w:szCs w:val="28"/>
              </w:rPr>
            </w:pPr>
            <w:r>
              <w:rPr>
                <w:rFonts w:hint="eastAsia" w:ascii="宋体" w:hAnsi="宋体" w:eastAsia="宋体" w:cs="宋体"/>
                <w:sz w:val="28"/>
                <w:szCs w:val="28"/>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CCEA88D">
            <w:pPr>
              <w:keepNext w:val="0"/>
              <w:keepLines w:val="0"/>
              <w:suppressLineNumbers w:val="0"/>
              <w:spacing w:before="0" w:beforeAutospacing="0" w:after="0" w:afterAutospacing="0" w:line="480" w:lineRule="exact"/>
              <w:ind w:left="0" w:right="0"/>
              <w:rPr>
                <w:rFonts w:hint="eastAsia" w:ascii="宋体" w:hAnsi="宋体" w:eastAsia="宋体" w:cs="宋体"/>
                <w:sz w:val="28"/>
                <w:szCs w:val="28"/>
              </w:rPr>
            </w:pPr>
            <w:r>
              <w:rPr>
                <w:rFonts w:hint="eastAsia" w:ascii="宋体" w:hAnsi="宋体" w:eastAsia="宋体" w:cs="宋体"/>
                <w:sz w:val="28"/>
                <w:szCs w:val="28"/>
              </w:rPr>
              <w:t>1.2 本国产品标准的适用范围</w:t>
            </w:r>
          </w:p>
          <w:p w14:paraId="35C50B26">
            <w:pPr>
              <w:keepNext w:val="0"/>
              <w:keepLines w:val="0"/>
              <w:suppressLineNumbers w:val="0"/>
              <w:spacing w:before="0" w:beforeAutospacing="0" w:after="0" w:afterAutospacing="0" w:line="480" w:lineRule="exact"/>
              <w:ind w:left="0" w:right="0" w:firstLine="560" w:firstLineChars="200"/>
              <w:rPr>
                <w:rFonts w:hint="eastAsia" w:ascii="宋体" w:hAnsi="宋体" w:eastAsia="宋体" w:cs="宋体"/>
                <w:sz w:val="28"/>
                <w:szCs w:val="28"/>
              </w:rPr>
            </w:pPr>
            <w:r>
              <w:rPr>
                <w:rFonts w:hint="eastAsia" w:ascii="宋体" w:hAnsi="宋体" w:eastAsia="宋体" w:cs="宋体"/>
                <w:sz w:val="28"/>
                <w:szCs w:val="28"/>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8FB9184">
            <w:pPr>
              <w:keepNext w:val="0"/>
              <w:keepLines w:val="0"/>
              <w:suppressLineNumbers w:val="0"/>
              <w:spacing w:before="0" w:beforeAutospacing="0" w:after="0" w:afterAutospacing="0" w:line="480" w:lineRule="exact"/>
              <w:ind w:left="0" w:right="0"/>
              <w:rPr>
                <w:rFonts w:hint="eastAsia" w:ascii="宋体" w:hAnsi="宋体" w:eastAsia="宋体" w:cs="宋体"/>
                <w:sz w:val="28"/>
                <w:szCs w:val="28"/>
              </w:rPr>
            </w:pPr>
            <w:r>
              <w:rPr>
                <w:rFonts w:hint="eastAsia" w:ascii="宋体" w:hAnsi="宋体" w:eastAsia="宋体" w:cs="宋体"/>
                <w:sz w:val="28"/>
                <w:szCs w:val="28"/>
              </w:rPr>
              <w:t>1.3 对本国产品的支持政策</w:t>
            </w:r>
          </w:p>
          <w:p w14:paraId="5BEDD750">
            <w:pPr>
              <w:keepNext w:val="0"/>
              <w:keepLines w:val="0"/>
              <w:suppressLineNumbers w:val="0"/>
              <w:spacing w:before="0" w:beforeAutospacing="0" w:after="0" w:afterAutospacing="0" w:line="480" w:lineRule="exact"/>
              <w:ind w:left="0" w:right="0" w:firstLine="560" w:firstLineChars="200"/>
              <w:rPr>
                <w:rFonts w:hint="eastAsia" w:ascii="宋体" w:hAnsi="宋体" w:eastAsia="宋体" w:cs="宋体"/>
                <w:sz w:val="28"/>
                <w:szCs w:val="28"/>
              </w:rPr>
            </w:pPr>
            <w:r>
              <w:rPr>
                <w:rFonts w:hint="eastAsia" w:ascii="宋体" w:hAnsi="宋体" w:eastAsia="宋体" w:cs="宋体"/>
                <w:sz w:val="28"/>
                <w:szCs w:val="28"/>
              </w:rPr>
              <w:t>政府采购活动中既有本国产品又有非本国产品参与竞争的，依法对本国产品给予价格评审优惠，对本国产品的报价给予20%的价格扣除，用扣除后的价格参与评审。</w:t>
            </w:r>
          </w:p>
          <w:p w14:paraId="42DC4228">
            <w:pPr>
              <w:keepNext w:val="0"/>
              <w:keepLines w:val="0"/>
              <w:suppressLineNumbers w:val="0"/>
              <w:spacing w:before="0" w:beforeAutospacing="0" w:after="0" w:afterAutospacing="0" w:line="480" w:lineRule="exact"/>
              <w:ind w:left="0" w:right="0" w:firstLine="560" w:firstLineChars="200"/>
              <w:rPr>
                <w:rFonts w:hint="eastAsia" w:ascii="宋体" w:hAnsi="宋体" w:eastAsia="宋体" w:cs="宋体"/>
                <w:sz w:val="28"/>
                <w:szCs w:val="28"/>
              </w:rPr>
            </w:pPr>
            <w:r>
              <w:rPr>
                <w:rFonts w:hint="eastAsia" w:ascii="宋体" w:hAnsi="宋体" w:eastAsia="宋体" w:cs="宋体"/>
                <w:sz w:val="28"/>
                <w:szCs w:val="28"/>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E7FA134">
            <w:pPr>
              <w:keepNext w:val="0"/>
              <w:keepLines w:val="0"/>
              <w:suppressLineNumbers w:val="0"/>
              <w:spacing w:before="0" w:beforeAutospacing="0" w:after="0" w:afterAutospacing="0" w:line="480" w:lineRule="exact"/>
              <w:ind w:left="0" w:right="0"/>
              <w:rPr>
                <w:rFonts w:hint="eastAsia" w:ascii="宋体" w:hAnsi="宋体" w:eastAsia="宋体" w:cs="宋体"/>
                <w:sz w:val="28"/>
                <w:szCs w:val="28"/>
              </w:rPr>
            </w:pPr>
            <w:r>
              <w:rPr>
                <w:rFonts w:hint="eastAsia" w:ascii="宋体" w:hAnsi="宋体" w:eastAsia="宋体" w:cs="宋体"/>
                <w:sz w:val="28"/>
                <w:szCs w:val="28"/>
              </w:rPr>
              <w:t>1.4有关证明文件</w:t>
            </w:r>
          </w:p>
          <w:p w14:paraId="5816D653">
            <w:pPr>
              <w:keepNext w:val="0"/>
              <w:keepLines w:val="0"/>
              <w:suppressLineNumbers w:val="0"/>
              <w:spacing w:before="0" w:beforeAutospacing="0" w:after="0" w:afterAutospacing="0" w:line="480" w:lineRule="exact"/>
              <w:ind w:left="0" w:right="0" w:firstLine="560" w:firstLineChars="200"/>
              <w:rPr>
                <w:rFonts w:hint="eastAsia" w:ascii="宋体" w:hAnsi="宋体" w:eastAsia="宋体" w:cs="宋体"/>
                <w:sz w:val="28"/>
                <w:szCs w:val="28"/>
              </w:rPr>
            </w:pPr>
            <w:r>
              <w:rPr>
                <w:rFonts w:hint="eastAsia" w:ascii="宋体" w:hAnsi="宋体" w:eastAsia="宋体" w:cs="宋体"/>
                <w:sz w:val="28"/>
                <w:szCs w:val="28"/>
              </w:rPr>
              <w:t>可享受本国产品支持政策的投标人应按照招标文件格式要求提供《关于符合本国产品标准的声明函》或财政部会同有关部门规定的有关证明文件。投标人提供虚假《关于符合本国产品标准的声明函》、虚假证明文件谋取中标的，依照《中华人民共和国政府采购法》等法律法规规定追究相应责任。</w:t>
            </w:r>
          </w:p>
        </w:tc>
      </w:tr>
      <w:tr w14:paraId="4C68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24F5ADDB">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33</w:t>
            </w:r>
          </w:p>
        </w:tc>
        <w:tc>
          <w:tcPr>
            <w:tcW w:w="1374" w:type="dxa"/>
            <w:vAlign w:val="center"/>
          </w:tcPr>
          <w:p w14:paraId="2B737513">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分项报价表说明</w:t>
            </w:r>
          </w:p>
        </w:tc>
        <w:tc>
          <w:tcPr>
            <w:tcW w:w="6473" w:type="dxa"/>
            <w:vAlign w:val="center"/>
          </w:tcPr>
          <w:p w14:paraId="6A4C52BA">
            <w:pPr>
              <w:keepNext w:val="0"/>
              <w:keepLines w:val="0"/>
              <w:suppressLineNumbers w:val="0"/>
              <w:spacing w:before="0" w:beforeAutospacing="0" w:after="0" w:afterAutospacing="0" w:line="480" w:lineRule="exact"/>
              <w:ind w:left="0" w:right="0"/>
              <w:rPr>
                <w:rFonts w:hint="eastAsia" w:ascii="宋体" w:hAnsi="宋体" w:eastAsia="宋体" w:cs="宋体"/>
                <w:sz w:val="28"/>
                <w:szCs w:val="28"/>
              </w:rPr>
            </w:pPr>
            <w:r>
              <w:rPr>
                <w:rFonts w:hint="eastAsia" w:ascii="宋体" w:hAnsi="宋体" w:eastAsia="宋体" w:cs="宋体"/>
                <w:sz w:val="28"/>
                <w:szCs w:val="28"/>
                <w:highlight w:val="cyan"/>
              </w:rPr>
              <w:t>★</w:t>
            </w:r>
            <w:r>
              <w:rPr>
                <w:rFonts w:hint="eastAsia" w:hAnsi="宋体" w:cs="宋体"/>
                <w:sz w:val="28"/>
                <w:szCs w:val="28"/>
                <w:lang w:eastAsia="zh-CN"/>
              </w:rPr>
              <w:t>投标人</w:t>
            </w:r>
            <w:r>
              <w:rPr>
                <w:rFonts w:hint="eastAsia" w:ascii="宋体" w:hAnsi="宋体" w:eastAsia="宋体" w:cs="宋体"/>
                <w:sz w:val="28"/>
                <w:szCs w:val="28"/>
              </w:rPr>
              <w:t>所填分项报价表中的单价时请合理分配产品利润，产品单价不得出现严重偏离市场单价金额情况（如出现视为价格歧视情形）；后续确实出现上述情形，采购人可针对该产品进行三方询价，以询价后均价作为单价修订偏离实际单价，签订合同。修订单价后产生的优惠，视为</w:t>
            </w:r>
            <w:r>
              <w:rPr>
                <w:rFonts w:hint="eastAsia" w:hAnsi="宋体" w:cs="宋体"/>
                <w:sz w:val="28"/>
                <w:szCs w:val="28"/>
                <w:lang w:eastAsia="zh-CN"/>
              </w:rPr>
              <w:t>投标人</w:t>
            </w:r>
            <w:r>
              <w:rPr>
                <w:rFonts w:hint="eastAsia" w:ascii="宋体" w:hAnsi="宋体" w:eastAsia="宋体" w:cs="宋体"/>
                <w:sz w:val="28"/>
                <w:szCs w:val="28"/>
              </w:rPr>
              <w:t>自行让利行为。</w:t>
            </w:r>
            <w:r>
              <w:rPr>
                <w:rFonts w:hint="eastAsia" w:hAnsi="宋体" w:cs="宋体"/>
                <w:sz w:val="28"/>
                <w:szCs w:val="28"/>
                <w:lang w:eastAsia="zh-CN"/>
              </w:rPr>
              <w:t>投标人</w:t>
            </w:r>
            <w:r>
              <w:rPr>
                <w:rFonts w:hint="eastAsia" w:ascii="宋体" w:hAnsi="宋体" w:eastAsia="宋体" w:cs="宋体"/>
                <w:sz w:val="28"/>
                <w:szCs w:val="28"/>
              </w:rPr>
              <w:t>须提供承诺函响应本条要求，否则作无效标处理</w:t>
            </w:r>
          </w:p>
        </w:tc>
      </w:tr>
    </w:tbl>
    <w:p w14:paraId="73353A76">
      <w:pPr>
        <w:pStyle w:val="4"/>
        <w:spacing w:before="0" w:after="0" w:line="500" w:lineRule="exact"/>
        <w:ind w:firstLine="562" w:firstLineChars="200"/>
        <w:jc w:val="center"/>
        <w:rPr>
          <w:rFonts w:hint="eastAsia" w:ascii="宋体" w:hAnsi="宋体" w:eastAsia="宋体" w:cs="宋体"/>
          <w:bCs w:val="0"/>
          <w:sz w:val="28"/>
          <w:szCs w:val="28"/>
        </w:rPr>
      </w:pPr>
      <w:r>
        <w:rPr>
          <w:rFonts w:hint="eastAsia" w:ascii="宋体" w:hAnsi="宋体" w:eastAsia="宋体" w:cs="宋体"/>
          <w:bCs w:val="0"/>
          <w:sz w:val="28"/>
          <w:szCs w:val="28"/>
        </w:rPr>
        <w:br w:type="page"/>
      </w:r>
      <w:r>
        <w:rPr>
          <w:rFonts w:hint="eastAsia" w:ascii="宋体" w:hAnsi="宋体" w:eastAsia="宋体" w:cs="宋体"/>
          <w:bCs w:val="0"/>
          <w:sz w:val="28"/>
          <w:szCs w:val="28"/>
        </w:rPr>
        <w:t>二、总  则</w:t>
      </w:r>
    </w:p>
    <w:p w14:paraId="20363288">
      <w:pPr>
        <w:spacing w:line="500" w:lineRule="exact"/>
        <w:ind w:firstLine="562" w:firstLineChars="200"/>
        <w:rPr>
          <w:rFonts w:hint="eastAsia" w:ascii="宋体" w:hAnsi="宋体" w:eastAsia="宋体" w:cs="宋体"/>
          <w:b/>
          <w:bCs/>
          <w:sz w:val="28"/>
          <w:szCs w:val="28"/>
        </w:rPr>
      </w:pPr>
      <w:bookmarkStart w:id="40" w:name="_Toc183582205"/>
      <w:bookmarkStart w:id="41" w:name="_Toc183682342"/>
      <w:bookmarkStart w:id="42" w:name="_Toc217446034"/>
      <w:r>
        <w:rPr>
          <w:rFonts w:hint="eastAsia" w:ascii="宋体" w:hAnsi="宋体" w:eastAsia="宋体" w:cs="宋体"/>
          <w:b/>
          <w:bCs/>
          <w:sz w:val="28"/>
          <w:szCs w:val="28"/>
        </w:rPr>
        <w:t>1.</w:t>
      </w:r>
      <w:bookmarkEnd w:id="40"/>
      <w:bookmarkEnd w:id="41"/>
      <w:r>
        <w:rPr>
          <w:rFonts w:hint="eastAsia" w:ascii="宋体" w:hAnsi="宋体" w:eastAsia="宋体" w:cs="宋体"/>
          <w:b/>
          <w:bCs/>
          <w:sz w:val="28"/>
          <w:szCs w:val="28"/>
        </w:rPr>
        <w:t xml:space="preserve"> 适用范围</w:t>
      </w:r>
      <w:bookmarkEnd w:id="42"/>
    </w:p>
    <w:p w14:paraId="7FD20129">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 本招标文件仅适用于本次招标项目。</w:t>
      </w:r>
    </w:p>
    <w:p w14:paraId="72714ABB">
      <w:pPr>
        <w:spacing w:line="500" w:lineRule="exact"/>
        <w:ind w:firstLine="562" w:firstLineChars="200"/>
        <w:rPr>
          <w:rFonts w:hint="eastAsia" w:ascii="宋体" w:hAnsi="宋体" w:eastAsia="宋体" w:cs="宋体"/>
          <w:b/>
          <w:bCs/>
          <w:sz w:val="28"/>
          <w:szCs w:val="28"/>
        </w:rPr>
      </w:pPr>
      <w:bookmarkStart w:id="43" w:name="_Toc183682343"/>
      <w:bookmarkStart w:id="44" w:name="_Toc183582206"/>
      <w:bookmarkStart w:id="45" w:name="_Toc217446035"/>
      <w:r>
        <w:rPr>
          <w:rFonts w:hint="eastAsia" w:ascii="宋体" w:hAnsi="宋体" w:eastAsia="宋体" w:cs="宋体"/>
          <w:b/>
          <w:bCs/>
          <w:sz w:val="28"/>
          <w:szCs w:val="28"/>
        </w:rPr>
        <w:t xml:space="preserve">2. </w:t>
      </w:r>
      <w:bookmarkEnd w:id="43"/>
      <w:bookmarkEnd w:id="44"/>
      <w:r>
        <w:rPr>
          <w:rFonts w:hint="eastAsia" w:ascii="宋体" w:hAnsi="宋体" w:eastAsia="宋体" w:cs="宋体"/>
          <w:b/>
          <w:bCs/>
          <w:sz w:val="28"/>
          <w:szCs w:val="28"/>
        </w:rPr>
        <w:t>有关定义</w:t>
      </w:r>
      <w:bookmarkEnd w:id="45"/>
    </w:p>
    <w:p w14:paraId="4B9C2D08">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 “采购人”系指依法进行招投标的国家机关、事业单位、团体组织。</w:t>
      </w:r>
    </w:p>
    <w:p w14:paraId="7D564AE4">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2.2 “采购代理机构”系指根据采购人的委托依法办理招标事宜的招标机构。</w:t>
      </w:r>
    </w:p>
    <w:p w14:paraId="7E9870FF">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2.3 “采购单位”系指“采购人”和“采购代理机构”的统称。</w:t>
      </w:r>
    </w:p>
    <w:p w14:paraId="6AE4D396">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2.4 “投标人”系指下载了招标文件拟参加投标和向采购人提供货物的投标人的法人、其他组织或者自然人。</w:t>
      </w:r>
    </w:p>
    <w:p w14:paraId="6A80077B">
      <w:pPr>
        <w:spacing w:line="500" w:lineRule="exact"/>
        <w:ind w:firstLine="562" w:firstLineChars="200"/>
        <w:rPr>
          <w:rFonts w:hint="eastAsia" w:ascii="宋体" w:hAnsi="宋体" w:eastAsia="宋体" w:cs="宋体"/>
          <w:b/>
          <w:bCs/>
          <w:sz w:val="28"/>
          <w:szCs w:val="28"/>
        </w:rPr>
      </w:pPr>
      <w:bookmarkStart w:id="46" w:name="_Toc183582207"/>
      <w:bookmarkStart w:id="47" w:name="_Toc217390843"/>
      <w:bookmarkStart w:id="48" w:name="_Toc217446036"/>
      <w:bookmarkStart w:id="49" w:name="_Toc183682344"/>
      <w:r>
        <w:rPr>
          <w:rFonts w:hint="eastAsia" w:ascii="宋体" w:hAnsi="宋体" w:eastAsia="宋体" w:cs="宋体"/>
          <w:b/>
          <w:bCs/>
          <w:sz w:val="28"/>
          <w:szCs w:val="28"/>
        </w:rPr>
        <w:t>3. 合格的</w:t>
      </w:r>
      <w:bookmarkEnd w:id="46"/>
      <w:bookmarkEnd w:id="47"/>
      <w:bookmarkEnd w:id="48"/>
      <w:bookmarkEnd w:id="49"/>
      <w:r>
        <w:rPr>
          <w:rFonts w:hint="eastAsia" w:ascii="宋体" w:hAnsi="宋体" w:eastAsia="宋体" w:cs="宋体"/>
          <w:b/>
          <w:bCs/>
          <w:sz w:val="28"/>
          <w:szCs w:val="28"/>
        </w:rPr>
        <w:t>投标人</w:t>
      </w:r>
    </w:p>
    <w:p w14:paraId="779FE45E">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合格的投标人应具备以下条件：</w:t>
      </w:r>
    </w:p>
    <w:p w14:paraId="60077EB0">
      <w:pPr>
        <w:tabs>
          <w:tab w:val="left" w:pos="7665"/>
        </w:tabs>
        <w:spacing w:line="500" w:lineRule="exact"/>
        <w:ind w:firstLine="560" w:firstLineChars="200"/>
        <w:rPr>
          <w:rFonts w:hint="eastAsia" w:ascii="宋体" w:hAnsi="宋体" w:eastAsia="宋体" w:cs="宋体"/>
          <w:spacing w:val="-4"/>
          <w:sz w:val="28"/>
          <w:szCs w:val="28"/>
        </w:rPr>
      </w:pPr>
      <w:r>
        <w:rPr>
          <w:rFonts w:hint="eastAsia" w:ascii="宋体" w:hAnsi="宋体" w:eastAsia="宋体" w:cs="宋体"/>
          <w:sz w:val="28"/>
          <w:szCs w:val="28"/>
        </w:rPr>
        <w:t>（1）本招标文件“招标公告”第四条规定的条件</w:t>
      </w:r>
      <w:r>
        <w:rPr>
          <w:rFonts w:hint="eastAsia" w:ascii="宋体" w:hAnsi="宋体" w:eastAsia="宋体" w:cs="宋体"/>
          <w:spacing w:val="-4"/>
          <w:sz w:val="28"/>
          <w:szCs w:val="28"/>
        </w:rPr>
        <w:t>；</w:t>
      </w:r>
    </w:p>
    <w:p w14:paraId="132EE1AC">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（2）遵守国家有关的法律、法规、规章和其他政策规定；</w:t>
      </w:r>
    </w:p>
    <w:p w14:paraId="2238E9A3">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（3）下载了招标文件并按要求缴纳投标保证金。</w:t>
      </w:r>
    </w:p>
    <w:p w14:paraId="25C7B836">
      <w:pPr>
        <w:spacing w:line="500" w:lineRule="exact"/>
        <w:ind w:firstLine="562" w:firstLineChars="200"/>
        <w:rPr>
          <w:rFonts w:hint="eastAsia" w:ascii="宋体" w:hAnsi="宋体" w:eastAsia="宋体" w:cs="宋体"/>
          <w:b/>
          <w:bCs/>
          <w:sz w:val="28"/>
          <w:szCs w:val="28"/>
        </w:rPr>
      </w:pPr>
      <w:bookmarkStart w:id="50" w:name="_Toc183682345"/>
      <w:bookmarkStart w:id="51" w:name="_Toc217446037"/>
      <w:bookmarkStart w:id="52" w:name="_Toc183582208"/>
      <w:r>
        <w:rPr>
          <w:rFonts w:hint="eastAsia" w:ascii="宋体" w:hAnsi="宋体" w:eastAsia="宋体" w:cs="宋体"/>
          <w:b/>
          <w:bCs/>
          <w:sz w:val="28"/>
          <w:szCs w:val="28"/>
        </w:rPr>
        <w:t>4. 投标费用</w:t>
      </w:r>
      <w:bookmarkEnd w:id="50"/>
      <w:bookmarkEnd w:id="51"/>
      <w:bookmarkEnd w:id="52"/>
    </w:p>
    <w:p w14:paraId="08C8FE30">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投标人参加投标的有关费用由投标人自行承担。</w:t>
      </w:r>
    </w:p>
    <w:p w14:paraId="108A04DB">
      <w:pPr>
        <w:pStyle w:val="4"/>
        <w:spacing w:before="0" w:after="0" w:line="500" w:lineRule="exact"/>
        <w:ind w:firstLine="562" w:firstLineChars="200"/>
        <w:jc w:val="center"/>
        <w:rPr>
          <w:rFonts w:hint="eastAsia" w:ascii="宋体" w:hAnsi="宋体" w:eastAsia="宋体" w:cs="宋体"/>
          <w:bCs w:val="0"/>
          <w:sz w:val="28"/>
          <w:szCs w:val="28"/>
        </w:rPr>
      </w:pPr>
      <w:bookmarkStart w:id="53" w:name="_Toc183682346"/>
      <w:bookmarkStart w:id="54" w:name="_Toc183582209"/>
      <w:bookmarkStart w:id="55" w:name="_Toc217446038"/>
      <w:bookmarkStart w:id="56" w:name="_Toc89075875"/>
      <w:bookmarkStart w:id="57" w:name="_Toc77400779"/>
      <w:r>
        <w:rPr>
          <w:rFonts w:hint="eastAsia" w:ascii="宋体" w:hAnsi="宋体" w:eastAsia="宋体" w:cs="宋体"/>
          <w:bCs w:val="0"/>
          <w:sz w:val="28"/>
          <w:szCs w:val="28"/>
        </w:rPr>
        <w:t>三、</w:t>
      </w:r>
      <w:bookmarkEnd w:id="53"/>
      <w:bookmarkEnd w:id="54"/>
      <w:bookmarkEnd w:id="55"/>
      <w:bookmarkEnd w:id="56"/>
      <w:bookmarkEnd w:id="57"/>
      <w:r>
        <w:rPr>
          <w:rFonts w:hint="eastAsia" w:ascii="宋体" w:hAnsi="宋体" w:eastAsia="宋体" w:cs="宋体"/>
          <w:bCs w:val="0"/>
          <w:sz w:val="28"/>
          <w:szCs w:val="28"/>
        </w:rPr>
        <w:t>招标文件</w:t>
      </w:r>
    </w:p>
    <w:p w14:paraId="182921C2">
      <w:pPr>
        <w:spacing w:line="500" w:lineRule="exact"/>
        <w:ind w:firstLine="562" w:firstLineChars="200"/>
        <w:rPr>
          <w:rFonts w:hint="eastAsia" w:ascii="宋体" w:hAnsi="宋体" w:eastAsia="宋体" w:cs="宋体"/>
          <w:b/>
          <w:bCs/>
          <w:sz w:val="28"/>
          <w:szCs w:val="28"/>
        </w:rPr>
      </w:pPr>
      <w:bookmarkStart w:id="58" w:name="_Toc217446039"/>
      <w:bookmarkStart w:id="59" w:name="_Toc183582210"/>
      <w:bookmarkStart w:id="60" w:name="_Toc183682347"/>
      <w:r>
        <w:rPr>
          <w:rFonts w:hint="eastAsia" w:ascii="宋体" w:hAnsi="宋体" w:eastAsia="宋体" w:cs="宋体"/>
          <w:b/>
          <w:bCs/>
          <w:sz w:val="28"/>
          <w:szCs w:val="28"/>
        </w:rPr>
        <w:t>5．招标文件的构成</w:t>
      </w:r>
      <w:bookmarkEnd w:id="58"/>
      <w:bookmarkEnd w:id="59"/>
      <w:bookmarkEnd w:id="60"/>
    </w:p>
    <w:p w14:paraId="029F1D3D">
      <w:pPr>
        <w:tabs>
          <w:tab w:val="left" w:pos="720"/>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b/>
          <w:bCs/>
          <w:sz w:val="28"/>
          <w:szCs w:val="28"/>
        </w:rPr>
        <w:t>.</w:t>
      </w:r>
      <w:r>
        <w:rPr>
          <w:rFonts w:hint="eastAsia" w:ascii="宋体" w:hAnsi="宋体" w:eastAsia="宋体" w:cs="宋体"/>
          <w:sz w:val="28"/>
          <w:szCs w:val="28"/>
        </w:rPr>
        <w:t>1 招标文件是投标人准备投标文件和参加投标的依据，同时也是评标的重要依据，具有准法律文件性质。招标文件用以阐明招标项目所需的资质、技术及报价等要求、招标程序、有关规定和注意事项以及拟签订的合同文本等。本招标文件包括以下内容：</w:t>
      </w:r>
    </w:p>
    <w:p w14:paraId="3608C980">
      <w:pPr>
        <w:tabs>
          <w:tab w:val="left" w:pos="0"/>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（1）招标公告</w:t>
      </w:r>
      <w:r>
        <w:rPr>
          <w:rFonts w:hint="eastAsia" w:ascii="宋体" w:hAnsi="宋体" w:eastAsia="宋体" w:cs="宋体"/>
          <w:sz w:val="28"/>
          <w:szCs w:val="28"/>
        </w:rPr>
        <w:tab/>
      </w:r>
    </w:p>
    <w:p w14:paraId="2A45D1FB">
      <w:pPr>
        <w:tabs>
          <w:tab w:val="left" w:pos="0"/>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（2）投标人须知</w:t>
      </w:r>
      <w:r>
        <w:rPr>
          <w:rFonts w:hint="eastAsia" w:ascii="宋体" w:hAnsi="宋体" w:eastAsia="宋体" w:cs="宋体"/>
          <w:sz w:val="28"/>
          <w:szCs w:val="28"/>
        </w:rPr>
        <w:tab/>
      </w:r>
    </w:p>
    <w:p w14:paraId="32DA81A9">
      <w:pPr>
        <w:tabs>
          <w:tab w:val="left" w:pos="0"/>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（3）投标文件格式</w:t>
      </w:r>
      <w:r>
        <w:rPr>
          <w:rFonts w:hint="eastAsia" w:ascii="宋体" w:hAnsi="宋体" w:eastAsia="宋体" w:cs="宋体"/>
          <w:sz w:val="28"/>
          <w:szCs w:val="28"/>
        </w:rPr>
        <w:tab/>
      </w:r>
    </w:p>
    <w:p w14:paraId="4F38A416">
      <w:pPr>
        <w:tabs>
          <w:tab w:val="left" w:pos="0"/>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（4）项目采购需求</w:t>
      </w:r>
      <w:r>
        <w:rPr>
          <w:rFonts w:hint="eastAsia" w:ascii="宋体" w:hAnsi="宋体" w:eastAsia="宋体" w:cs="宋体"/>
          <w:sz w:val="28"/>
          <w:szCs w:val="28"/>
        </w:rPr>
        <w:tab/>
      </w:r>
    </w:p>
    <w:p w14:paraId="6F3C278C">
      <w:pPr>
        <w:tabs>
          <w:tab w:val="left" w:pos="0"/>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（5）评标办法</w:t>
      </w:r>
      <w:r>
        <w:rPr>
          <w:rFonts w:hint="eastAsia" w:ascii="宋体" w:hAnsi="宋体" w:eastAsia="宋体" w:cs="宋体"/>
          <w:sz w:val="28"/>
          <w:szCs w:val="28"/>
        </w:rPr>
        <w:tab/>
      </w:r>
    </w:p>
    <w:p w14:paraId="7A78BD3C">
      <w:pPr>
        <w:tabs>
          <w:tab w:val="left" w:pos="0"/>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（6）拟签订的合同文本</w:t>
      </w:r>
      <w:r>
        <w:rPr>
          <w:rFonts w:hint="eastAsia" w:ascii="宋体" w:hAnsi="宋体" w:eastAsia="宋体" w:cs="宋体"/>
          <w:sz w:val="28"/>
          <w:szCs w:val="28"/>
        </w:rPr>
        <w:tab/>
      </w:r>
    </w:p>
    <w:p w14:paraId="46DEC084">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b/>
          <w:bCs/>
          <w:sz w:val="28"/>
          <w:szCs w:val="28"/>
        </w:rPr>
        <w:t>.</w:t>
      </w:r>
      <w:r>
        <w:rPr>
          <w:rFonts w:hint="eastAsia" w:ascii="宋体" w:hAnsi="宋体" w:eastAsia="宋体" w:cs="宋体"/>
          <w:sz w:val="28"/>
          <w:szCs w:val="28"/>
        </w:rPr>
        <w:t>2 投标人应认真阅读和充分理解招标文件中所有的事项、格式条款和规范要求。投标人没有对招标文件全面做出实质性响应是投标人的风险。没有按照招标文件要求作出实质性响应的投标文件将被视为</w:t>
      </w:r>
      <w:r>
        <w:rPr>
          <w:rFonts w:hint="eastAsia" w:ascii="宋体" w:hAnsi="宋体" w:eastAsia="宋体" w:cs="宋体"/>
          <w:b/>
          <w:bCs/>
          <w:sz w:val="28"/>
          <w:szCs w:val="28"/>
        </w:rPr>
        <w:t>投标无效</w:t>
      </w:r>
      <w:r>
        <w:rPr>
          <w:rFonts w:hint="eastAsia" w:ascii="宋体" w:hAnsi="宋体" w:eastAsia="宋体" w:cs="宋体"/>
          <w:sz w:val="28"/>
          <w:szCs w:val="28"/>
        </w:rPr>
        <w:t>。</w:t>
      </w:r>
    </w:p>
    <w:p w14:paraId="64FCB69B">
      <w:pPr>
        <w:spacing w:line="500" w:lineRule="exact"/>
        <w:ind w:firstLine="562" w:firstLineChars="200"/>
        <w:rPr>
          <w:rFonts w:hint="eastAsia" w:ascii="宋体" w:hAnsi="宋体" w:eastAsia="宋体" w:cs="宋体"/>
          <w:b/>
          <w:bCs/>
          <w:sz w:val="28"/>
          <w:szCs w:val="28"/>
        </w:rPr>
      </w:pPr>
      <w:bookmarkStart w:id="61" w:name="_Toc183582211"/>
      <w:bookmarkStart w:id="62" w:name="_Toc183682348"/>
      <w:bookmarkStart w:id="63" w:name="_Toc217446040"/>
      <w:r>
        <w:rPr>
          <w:rFonts w:hint="eastAsia" w:ascii="宋体" w:hAnsi="宋体" w:eastAsia="宋体" w:cs="宋体"/>
          <w:b/>
          <w:bCs/>
          <w:sz w:val="28"/>
          <w:szCs w:val="28"/>
        </w:rPr>
        <w:t>6. 招标文件的澄清</w:t>
      </w:r>
      <w:bookmarkEnd w:id="61"/>
      <w:bookmarkEnd w:id="62"/>
      <w:r>
        <w:rPr>
          <w:rFonts w:hint="eastAsia" w:ascii="宋体" w:hAnsi="宋体" w:eastAsia="宋体" w:cs="宋体"/>
          <w:b/>
          <w:bCs/>
          <w:sz w:val="28"/>
          <w:szCs w:val="28"/>
        </w:rPr>
        <w:t>和修改</w:t>
      </w:r>
      <w:bookmarkEnd w:id="63"/>
    </w:p>
    <w:p w14:paraId="18C06AAF">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6.1 </w:t>
      </w:r>
      <w:bookmarkStart w:id="64" w:name="_Toc208848971"/>
      <w:bookmarkStart w:id="65" w:name="_Toc217446041"/>
      <w:r>
        <w:rPr>
          <w:rFonts w:hint="eastAsia" w:ascii="宋体" w:hAnsi="宋体" w:eastAsia="宋体" w:cs="宋体"/>
          <w:sz w:val="28"/>
          <w:szCs w:val="28"/>
        </w:rPr>
        <w:t>7.1 详见“投标人须知前附表”。</w:t>
      </w:r>
    </w:p>
    <w:p w14:paraId="53780F14">
      <w:p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7. 答疑会和现场考察</w:t>
      </w:r>
      <w:bookmarkEnd w:id="64"/>
      <w:bookmarkEnd w:id="65"/>
    </w:p>
    <w:p w14:paraId="02B44E66">
      <w:pPr>
        <w:spacing w:line="500" w:lineRule="exact"/>
        <w:ind w:firstLine="560" w:firstLineChars="200"/>
        <w:rPr>
          <w:rFonts w:hint="eastAsia" w:ascii="宋体" w:hAnsi="宋体" w:eastAsia="宋体" w:cs="宋体"/>
          <w:sz w:val="28"/>
          <w:szCs w:val="28"/>
        </w:rPr>
      </w:pPr>
      <w:bookmarkStart w:id="66" w:name="_Toc183682351"/>
      <w:bookmarkStart w:id="67" w:name="_Toc217446042"/>
      <w:bookmarkStart w:id="68" w:name="_Toc89075876"/>
      <w:bookmarkStart w:id="69" w:name="_Toc77400780"/>
      <w:bookmarkStart w:id="70" w:name="_Toc183582214"/>
      <w:r>
        <w:rPr>
          <w:rFonts w:hint="eastAsia" w:ascii="宋体" w:hAnsi="宋体" w:eastAsia="宋体" w:cs="宋体"/>
          <w:sz w:val="28"/>
          <w:szCs w:val="28"/>
        </w:rPr>
        <w:t>7.1 详见“投标人须知前附表”。</w:t>
      </w:r>
    </w:p>
    <w:p w14:paraId="15105D46">
      <w:pPr>
        <w:pStyle w:val="4"/>
        <w:spacing w:before="0" w:after="0" w:line="500" w:lineRule="exact"/>
        <w:ind w:firstLine="562" w:firstLineChars="200"/>
        <w:jc w:val="center"/>
        <w:rPr>
          <w:rFonts w:hint="eastAsia" w:ascii="宋体" w:hAnsi="宋体" w:eastAsia="宋体" w:cs="宋体"/>
          <w:bCs w:val="0"/>
          <w:sz w:val="28"/>
          <w:szCs w:val="28"/>
        </w:rPr>
      </w:pPr>
      <w:r>
        <w:rPr>
          <w:rFonts w:hint="eastAsia" w:ascii="宋体" w:hAnsi="宋体" w:eastAsia="宋体" w:cs="宋体"/>
          <w:bCs w:val="0"/>
          <w:sz w:val="28"/>
          <w:szCs w:val="28"/>
        </w:rPr>
        <w:t>四、</w:t>
      </w:r>
      <w:bookmarkEnd w:id="66"/>
      <w:bookmarkEnd w:id="67"/>
      <w:bookmarkEnd w:id="68"/>
      <w:bookmarkEnd w:id="69"/>
      <w:bookmarkEnd w:id="70"/>
      <w:r>
        <w:rPr>
          <w:rFonts w:hint="eastAsia" w:ascii="宋体" w:hAnsi="宋体" w:eastAsia="宋体" w:cs="宋体"/>
          <w:bCs w:val="0"/>
          <w:sz w:val="28"/>
          <w:szCs w:val="28"/>
        </w:rPr>
        <w:t>投标文件</w:t>
      </w:r>
    </w:p>
    <w:p w14:paraId="21193B99">
      <w:pPr>
        <w:spacing w:line="500" w:lineRule="exact"/>
        <w:ind w:firstLine="562" w:firstLineChars="200"/>
        <w:rPr>
          <w:rFonts w:hint="eastAsia" w:ascii="宋体" w:hAnsi="宋体" w:eastAsia="宋体" w:cs="宋体"/>
          <w:b/>
          <w:bCs/>
          <w:sz w:val="28"/>
          <w:szCs w:val="28"/>
        </w:rPr>
      </w:pPr>
      <w:bookmarkStart w:id="71" w:name="_Toc217446043"/>
      <w:bookmarkStart w:id="72" w:name="_Toc183682352"/>
      <w:bookmarkStart w:id="73" w:name="_Toc183582215"/>
      <w:r>
        <w:rPr>
          <w:rFonts w:hint="eastAsia" w:ascii="宋体" w:hAnsi="宋体" w:eastAsia="宋体" w:cs="宋体"/>
          <w:b/>
          <w:bCs/>
          <w:sz w:val="28"/>
          <w:szCs w:val="28"/>
        </w:rPr>
        <w:t>8．投标文件的语言</w:t>
      </w:r>
      <w:bookmarkEnd w:id="71"/>
      <w:bookmarkEnd w:id="72"/>
      <w:bookmarkEnd w:id="73"/>
    </w:p>
    <w:p w14:paraId="2FC4207D">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被视为</w:t>
      </w:r>
      <w:r>
        <w:rPr>
          <w:rFonts w:hint="eastAsia" w:ascii="宋体" w:hAnsi="宋体" w:eastAsia="宋体" w:cs="宋体"/>
          <w:b/>
          <w:bCs/>
          <w:sz w:val="28"/>
          <w:szCs w:val="28"/>
        </w:rPr>
        <w:t>投标无效</w:t>
      </w:r>
      <w:r>
        <w:rPr>
          <w:rFonts w:hint="eastAsia" w:ascii="宋体" w:hAnsi="宋体" w:eastAsia="宋体" w:cs="宋体"/>
          <w:sz w:val="28"/>
          <w:szCs w:val="28"/>
        </w:rPr>
        <w:t>。</w:t>
      </w:r>
    </w:p>
    <w:p w14:paraId="59C8741D">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8.2 翻译的中文资料与外文资料如果出现差异和矛盾时，以中文为准。但不能故意错误翻译，否则，投标人的投标文件将被视为</w:t>
      </w:r>
      <w:r>
        <w:rPr>
          <w:rFonts w:hint="eastAsia" w:ascii="宋体" w:hAnsi="宋体" w:eastAsia="宋体" w:cs="宋体"/>
          <w:b/>
          <w:bCs/>
          <w:sz w:val="28"/>
          <w:szCs w:val="28"/>
        </w:rPr>
        <w:t>投标无效</w:t>
      </w:r>
      <w:r>
        <w:rPr>
          <w:rFonts w:hint="eastAsia" w:ascii="宋体" w:hAnsi="宋体" w:eastAsia="宋体" w:cs="宋体"/>
          <w:sz w:val="28"/>
          <w:szCs w:val="28"/>
        </w:rPr>
        <w:t>。</w:t>
      </w:r>
    </w:p>
    <w:p w14:paraId="3BEA44AE">
      <w:pPr>
        <w:spacing w:line="500" w:lineRule="exact"/>
        <w:ind w:firstLine="562" w:firstLineChars="200"/>
        <w:rPr>
          <w:rFonts w:hint="eastAsia" w:ascii="宋体" w:hAnsi="宋体" w:eastAsia="宋体" w:cs="宋体"/>
          <w:b/>
          <w:bCs/>
          <w:sz w:val="28"/>
          <w:szCs w:val="28"/>
        </w:rPr>
      </w:pPr>
      <w:bookmarkStart w:id="74" w:name="_Toc183682353"/>
      <w:bookmarkStart w:id="75" w:name="_Toc217446044"/>
      <w:bookmarkStart w:id="76" w:name="_Toc183582216"/>
      <w:r>
        <w:rPr>
          <w:rFonts w:hint="eastAsia" w:ascii="宋体" w:hAnsi="宋体" w:eastAsia="宋体" w:cs="宋体"/>
          <w:b/>
          <w:bCs/>
          <w:sz w:val="28"/>
          <w:szCs w:val="28"/>
        </w:rPr>
        <w:t>9．计量单位</w:t>
      </w:r>
      <w:bookmarkEnd w:id="74"/>
      <w:bookmarkEnd w:id="75"/>
      <w:bookmarkEnd w:id="76"/>
    </w:p>
    <w:p w14:paraId="5B5ED447">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除采购标准及要求中另有规定外，本招标项下的投标均采用国家法定的计量单位。</w:t>
      </w:r>
    </w:p>
    <w:p w14:paraId="3BBD59AE">
      <w:pPr>
        <w:spacing w:line="500" w:lineRule="exact"/>
        <w:ind w:firstLine="562" w:firstLineChars="200"/>
        <w:rPr>
          <w:rFonts w:hint="eastAsia" w:ascii="宋体" w:hAnsi="宋体" w:eastAsia="宋体" w:cs="宋体"/>
          <w:b/>
          <w:bCs/>
          <w:sz w:val="28"/>
          <w:szCs w:val="28"/>
        </w:rPr>
      </w:pPr>
      <w:bookmarkStart w:id="77" w:name="_Toc217446045"/>
      <w:r>
        <w:rPr>
          <w:rFonts w:hint="eastAsia" w:ascii="宋体" w:hAnsi="宋体" w:eastAsia="宋体" w:cs="宋体"/>
          <w:b/>
          <w:bCs/>
          <w:sz w:val="28"/>
          <w:szCs w:val="28"/>
        </w:rPr>
        <w:t>10. 投标货币</w:t>
      </w:r>
      <w:bookmarkEnd w:id="77"/>
    </w:p>
    <w:p w14:paraId="7CBA0244">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本次招标项目的投标均以人民币/元报价。</w:t>
      </w:r>
    </w:p>
    <w:p w14:paraId="690AA800">
      <w:pPr>
        <w:spacing w:line="500" w:lineRule="exact"/>
        <w:ind w:firstLine="562" w:firstLineChars="200"/>
        <w:rPr>
          <w:rFonts w:hint="eastAsia" w:ascii="宋体" w:hAnsi="宋体" w:eastAsia="宋体" w:cs="宋体"/>
          <w:b/>
          <w:bCs/>
          <w:sz w:val="28"/>
          <w:szCs w:val="28"/>
        </w:rPr>
      </w:pPr>
      <w:bookmarkStart w:id="78" w:name="_Toc217446046"/>
      <w:r>
        <w:rPr>
          <w:rFonts w:hint="eastAsia" w:ascii="宋体" w:hAnsi="宋体" w:eastAsia="宋体" w:cs="宋体"/>
          <w:b/>
          <w:bCs/>
          <w:sz w:val="28"/>
          <w:szCs w:val="28"/>
        </w:rPr>
        <w:t>11. 联合体投标</w:t>
      </w:r>
      <w:bookmarkEnd w:id="78"/>
    </w:p>
    <w:p w14:paraId="6B3E2DB9">
      <w:pPr>
        <w:pStyle w:val="1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详见“投标人须知前附表”。</w:t>
      </w:r>
    </w:p>
    <w:p w14:paraId="3E1A2A6D">
      <w:pPr>
        <w:spacing w:line="500" w:lineRule="exact"/>
        <w:ind w:firstLine="562" w:firstLineChars="200"/>
        <w:rPr>
          <w:rFonts w:hint="eastAsia" w:ascii="宋体" w:hAnsi="宋体" w:eastAsia="宋体" w:cs="宋体"/>
          <w:b/>
          <w:bCs/>
          <w:sz w:val="28"/>
          <w:szCs w:val="28"/>
        </w:rPr>
      </w:pPr>
      <w:bookmarkStart w:id="79" w:name="_Toc217446047"/>
      <w:r>
        <w:rPr>
          <w:rFonts w:hint="eastAsia" w:ascii="宋体" w:hAnsi="宋体" w:eastAsia="宋体" w:cs="宋体"/>
          <w:b/>
          <w:bCs/>
          <w:sz w:val="28"/>
          <w:szCs w:val="28"/>
        </w:rPr>
        <w:t>12. 知识产权</w:t>
      </w:r>
      <w:bookmarkEnd w:id="79"/>
    </w:p>
    <w:p w14:paraId="578AE007">
      <w:pPr>
        <w:pStyle w:val="1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12.1 投标人应保证在本项目使用的任何产品（包括部分使用）时，不会产生因第三方提出侵犯其专利权、商标权或其它知识产权而引起的法律和经济纠纷，如因专利权、商标权或其它知识产权而引起法律和经济纠纷，由投标人承担所有相关责任。</w:t>
      </w:r>
    </w:p>
    <w:p w14:paraId="3211E7F4">
      <w:pPr>
        <w:pStyle w:val="1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12.2 采购人享有本项目实施过程中产生的知识成果及知识产权。</w:t>
      </w:r>
    </w:p>
    <w:p w14:paraId="625CD40A">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6036780F">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12.4 如采用投标人所不拥有的知识产权，则在投标报价中必须包括合法获取该知识产权的相关费用。 </w:t>
      </w:r>
    </w:p>
    <w:p w14:paraId="31B94109">
      <w:pPr>
        <w:spacing w:line="500" w:lineRule="exact"/>
        <w:ind w:firstLine="562" w:firstLineChars="200"/>
        <w:rPr>
          <w:rFonts w:hint="eastAsia" w:ascii="宋体" w:hAnsi="宋体" w:eastAsia="宋体" w:cs="宋体"/>
          <w:b/>
          <w:bCs/>
          <w:sz w:val="28"/>
          <w:szCs w:val="28"/>
        </w:rPr>
      </w:pPr>
      <w:bookmarkStart w:id="80" w:name="_Toc183582217"/>
      <w:bookmarkStart w:id="81" w:name="_Toc183682354"/>
      <w:bookmarkStart w:id="82" w:name="_Toc217446048"/>
      <w:r>
        <w:rPr>
          <w:rFonts w:hint="eastAsia" w:ascii="宋体" w:hAnsi="宋体" w:eastAsia="宋体" w:cs="宋体"/>
          <w:b/>
          <w:bCs/>
          <w:sz w:val="28"/>
          <w:szCs w:val="28"/>
        </w:rPr>
        <w:t>13．投标文件的组成</w:t>
      </w:r>
      <w:bookmarkEnd w:id="80"/>
      <w:bookmarkEnd w:id="81"/>
      <w:bookmarkEnd w:id="82"/>
    </w:p>
    <w:p w14:paraId="5004015F">
      <w:pPr>
        <w:spacing w:line="500" w:lineRule="exact"/>
        <w:jc w:val="left"/>
        <w:rPr>
          <w:rFonts w:hint="eastAsia" w:ascii="宋体" w:hAnsi="宋体" w:eastAsia="宋体" w:cs="宋体"/>
          <w:sz w:val="28"/>
          <w:szCs w:val="28"/>
        </w:rPr>
      </w:pPr>
      <w:r>
        <w:rPr>
          <w:rFonts w:hint="eastAsia" w:ascii="宋体" w:hAnsi="宋体" w:eastAsia="宋体" w:cs="宋体"/>
          <w:sz w:val="28"/>
          <w:szCs w:val="28"/>
        </w:rPr>
        <w:t>投标人应按照招标文件的规定和要求编制投标文件。招标文件允许分包的，投标人拟在中标后将中标项目的非主体、非关键性工作交由他人完成的，应当在投标文件中载明。</w:t>
      </w:r>
      <w:bookmarkStart w:id="83" w:name="_Toc217446049"/>
      <w:bookmarkStart w:id="84" w:name="_Toc183682355"/>
      <w:bookmarkStart w:id="85" w:name="_Toc183582218"/>
    </w:p>
    <w:p w14:paraId="4A31B05E">
      <w:pPr>
        <w:tabs>
          <w:tab w:val="left" w:pos="3480"/>
        </w:tabs>
        <w:spacing w:line="50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14．投标文件格式</w:t>
      </w:r>
      <w:bookmarkEnd w:id="83"/>
      <w:bookmarkEnd w:id="84"/>
      <w:bookmarkEnd w:id="85"/>
      <w:r>
        <w:rPr>
          <w:rFonts w:hint="eastAsia" w:ascii="宋体" w:hAnsi="宋体" w:eastAsia="宋体" w:cs="宋体"/>
          <w:sz w:val="28"/>
          <w:szCs w:val="28"/>
        </w:rPr>
        <w:tab/>
      </w:r>
    </w:p>
    <w:p w14:paraId="204C2130">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14.1 投标人应严格按照招标文件“第三章 投标文件格式”填写相关内容。除明确允许投标人可以自行编写的外，投标人不得以“投标文件格式”规定之外的方式填写相关内容。</w:t>
      </w:r>
    </w:p>
    <w:p w14:paraId="12F8B973">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14.2 对于没有格式要求的投标文件由投标人自行编写。</w:t>
      </w:r>
    </w:p>
    <w:p w14:paraId="0FEA7425">
      <w:pPr>
        <w:spacing w:line="500" w:lineRule="exact"/>
        <w:ind w:firstLine="562" w:firstLineChars="200"/>
        <w:rPr>
          <w:rFonts w:hint="eastAsia" w:ascii="宋体" w:hAnsi="宋体" w:eastAsia="宋体" w:cs="宋体"/>
          <w:b/>
          <w:bCs/>
          <w:sz w:val="28"/>
          <w:szCs w:val="28"/>
        </w:rPr>
      </w:pPr>
      <w:bookmarkStart w:id="86" w:name="_Toc183682360"/>
      <w:bookmarkStart w:id="87" w:name="_Toc217446050"/>
      <w:bookmarkStart w:id="88" w:name="_Toc183582223"/>
      <w:r>
        <w:rPr>
          <w:rFonts w:hint="eastAsia" w:ascii="宋体" w:hAnsi="宋体" w:eastAsia="宋体" w:cs="宋体"/>
          <w:b/>
          <w:bCs/>
          <w:sz w:val="28"/>
          <w:szCs w:val="28"/>
        </w:rPr>
        <w:t>15．投标保证金</w:t>
      </w:r>
      <w:bookmarkEnd w:id="86"/>
      <w:bookmarkEnd w:id="87"/>
      <w:bookmarkEnd w:id="88"/>
    </w:p>
    <w:p w14:paraId="750A7717">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15.1 投标人投标时，必须以人民币提交招标文件规定数额的投标保证金，并作为其投标文件的一部分。</w:t>
      </w:r>
    </w:p>
    <w:p w14:paraId="5858DE3A">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15.2未按招标文件要求在规定时间前缴纳规定数额投标保证金的</w:t>
      </w:r>
      <w:r>
        <w:rPr>
          <w:rFonts w:hint="eastAsia" w:ascii="宋体" w:hAnsi="宋体" w:eastAsia="宋体" w:cs="宋体"/>
          <w:b/>
          <w:bCs/>
          <w:sz w:val="28"/>
          <w:szCs w:val="28"/>
        </w:rPr>
        <w:t>投标无效</w:t>
      </w:r>
      <w:r>
        <w:rPr>
          <w:rFonts w:hint="eastAsia" w:ascii="宋体" w:hAnsi="宋体" w:eastAsia="宋体" w:cs="宋体"/>
          <w:sz w:val="28"/>
          <w:szCs w:val="28"/>
        </w:rPr>
        <w:t>。</w:t>
      </w:r>
    </w:p>
    <w:p w14:paraId="671073EB">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15.3 投标人所缴纳的投标保证金不计利息。</w:t>
      </w:r>
    </w:p>
    <w:p w14:paraId="7F2D5295">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15.4未中标人的投标保证金，将在中标通知书发出后五个工作日内全额退还。中标人的投标保证金，自采购合同签订之日起5个工作日内退还中标人的投标保证金。</w:t>
      </w:r>
    </w:p>
    <w:p w14:paraId="36461AE5">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15.5发生下列情形之一的，采购代理机构将</w:t>
      </w:r>
      <w:r>
        <w:rPr>
          <w:rFonts w:hint="eastAsia" w:ascii="宋体" w:hAnsi="宋体" w:eastAsia="宋体" w:cs="宋体"/>
          <w:b/>
          <w:bCs/>
          <w:sz w:val="28"/>
          <w:szCs w:val="28"/>
        </w:rPr>
        <w:t>不予退还</w:t>
      </w:r>
      <w:r>
        <w:rPr>
          <w:rFonts w:hint="eastAsia" w:ascii="宋体" w:hAnsi="宋体" w:eastAsia="宋体" w:cs="宋体"/>
          <w:sz w:val="28"/>
          <w:szCs w:val="28"/>
        </w:rPr>
        <w:t>投标人缴纳的投标保证金：</w:t>
      </w:r>
    </w:p>
    <w:p w14:paraId="441F9E5F">
      <w:pPr>
        <w:spacing w:line="500" w:lineRule="exact"/>
        <w:ind w:firstLine="560" w:firstLineChars="200"/>
        <w:rPr>
          <w:rFonts w:hint="eastAsia" w:ascii="宋体" w:hAnsi="宋体" w:eastAsia="宋体" w:cs="宋体"/>
          <w:sz w:val="28"/>
          <w:szCs w:val="28"/>
        </w:rPr>
      </w:pPr>
      <w:bookmarkStart w:id="89" w:name="_Toc217446051"/>
      <w:bookmarkStart w:id="90" w:name="_Toc183582224"/>
      <w:bookmarkStart w:id="91" w:name="_Toc183682361"/>
      <w:r>
        <w:rPr>
          <w:rFonts w:hint="eastAsia" w:ascii="宋体" w:hAnsi="宋体" w:eastAsia="宋体" w:cs="宋体"/>
          <w:sz w:val="28"/>
          <w:szCs w:val="28"/>
        </w:rPr>
        <w:t>（1）投标人在提交投标文件截止时间后撤回投标文件的；</w:t>
      </w:r>
    </w:p>
    <w:p w14:paraId="53C6BDAA">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（2）投标人在投标文件中提供虚假材料的；</w:t>
      </w:r>
    </w:p>
    <w:p w14:paraId="603D8517">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（3）投标人不接受按投标文件规定对其投标报价进行修正的；</w:t>
      </w:r>
    </w:p>
    <w:p w14:paraId="547B60BE">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（4）除因不可抗力或投标文件认可的情形以外，中标人不履行与采购人签订合同的，在签订合同时向采购人提出附加条件；</w:t>
      </w:r>
    </w:p>
    <w:p w14:paraId="6149B6CA">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（5）中标人未能在规定期限内与采购人签署合同协议书或提交履约保证金的；</w:t>
      </w:r>
    </w:p>
    <w:p w14:paraId="64F9B23D">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（6）投标人与采购人、其他投标人或者采购代理机构恶意串通的；</w:t>
      </w:r>
    </w:p>
    <w:p w14:paraId="335BE9B0">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（7）招标文件规定的其他情形；</w:t>
      </w:r>
    </w:p>
    <w:p w14:paraId="5BD6E96D">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（8）符合法律、法规规定的其他情形的。 </w:t>
      </w:r>
    </w:p>
    <w:p w14:paraId="03AEB40D">
      <w:p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16．投标有效期</w:t>
      </w:r>
      <w:bookmarkEnd w:id="89"/>
      <w:bookmarkEnd w:id="90"/>
      <w:bookmarkEnd w:id="91"/>
    </w:p>
    <w:p w14:paraId="3A546BE7">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16.1 投标有效期详见“投标人须知前附表”。投标有效期短于此规定期限的投标，</w:t>
      </w:r>
      <w:r>
        <w:rPr>
          <w:rFonts w:hint="eastAsia" w:ascii="宋体" w:hAnsi="宋体" w:eastAsia="宋体" w:cs="宋体"/>
          <w:b/>
          <w:bCs/>
          <w:sz w:val="28"/>
          <w:szCs w:val="28"/>
        </w:rPr>
        <w:t>投标无效</w:t>
      </w:r>
      <w:r>
        <w:rPr>
          <w:rFonts w:hint="eastAsia" w:ascii="宋体" w:hAnsi="宋体" w:eastAsia="宋体" w:cs="宋体"/>
          <w:sz w:val="28"/>
          <w:szCs w:val="28"/>
        </w:rPr>
        <w:t>。</w:t>
      </w:r>
    </w:p>
    <w:p w14:paraId="7E10CB94">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16.2 特殊情况下，采购人可于投标有效期满之前要求投标人同意延长有效期，要求与答复均应为书面形式。投标人可以拒绝上述要求，其投标保证金</w:t>
      </w:r>
      <w:r>
        <w:rPr>
          <w:rFonts w:hint="eastAsia" w:ascii="宋体" w:hAnsi="宋体" w:eastAsia="宋体" w:cs="宋体"/>
          <w:spacing w:val="8"/>
          <w:sz w:val="28"/>
          <w:szCs w:val="28"/>
        </w:rPr>
        <w:t>不被没收。</w:t>
      </w:r>
      <w:r>
        <w:rPr>
          <w:rFonts w:hint="eastAsia" w:ascii="宋体" w:hAnsi="宋体" w:eastAsia="宋体" w:cs="宋体"/>
          <w:sz w:val="28"/>
          <w:szCs w:val="28"/>
        </w:rPr>
        <w:t>拒绝延长投标有效期的投标人不得再参与该项目后续招标活动。同意延长投标有效期的投标人不能修改其投标文件，关于投标保证金的有关规定在延长的投标有效期内继续有效。</w:t>
      </w:r>
    </w:p>
    <w:p w14:paraId="0A00D9E8">
      <w:pPr>
        <w:spacing w:line="500" w:lineRule="exact"/>
        <w:ind w:firstLine="560" w:firstLineChars="200"/>
        <w:rPr>
          <w:rFonts w:hint="eastAsia" w:ascii="宋体" w:hAnsi="宋体" w:eastAsia="宋体" w:cs="宋体"/>
          <w:sz w:val="28"/>
          <w:szCs w:val="28"/>
        </w:rPr>
      </w:pPr>
      <w:bookmarkStart w:id="92" w:name="_Toc183582238"/>
      <w:bookmarkStart w:id="93" w:name="_Toc183682375"/>
      <w:bookmarkStart w:id="94" w:name="_Toc217446063"/>
      <w:r>
        <w:rPr>
          <w:rFonts w:hint="eastAsia" w:ascii="宋体" w:hAnsi="宋体" w:eastAsia="宋体" w:cs="宋体"/>
          <w:sz w:val="28"/>
          <w:szCs w:val="28"/>
        </w:rPr>
        <w:t>17．投标文件的印制和签署</w:t>
      </w:r>
    </w:p>
    <w:p w14:paraId="7C70C737">
      <w:pPr>
        <w:shd w:val="clear" w:color="auto" w:fill="FFFFFF"/>
        <w:tabs>
          <w:tab w:val="left" w:pos="1080"/>
        </w:tabs>
        <w:spacing w:line="500" w:lineRule="exact"/>
        <w:ind w:firstLine="560" w:firstLineChars="200"/>
        <w:rPr>
          <w:rFonts w:hint="eastAsia" w:ascii="宋体" w:hAnsi="宋体" w:eastAsia="宋体" w:cs="宋体"/>
          <w:sz w:val="28"/>
          <w:szCs w:val="28"/>
        </w:rPr>
      </w:pPr>
      <w:bookmarkStart w:id="95" w:name="_Toc89075877"/>
      <w:bookmarkStart w:id="96" w:name="_Toc77400781"/>
      <w:bookmarkStart w:id="97" w:name="_Toc217446053"/>
      <w:bookmarkStart w:id="98" w:name="_Toc183682363"/>
      <w:bookmarkStart w:id="99" w:name="_Toc183582226"/>
      <w:r>
        <w:rPr>
          <w:rFonts w:hint="eastAsia" w:ascii="宋体" w:hAnsi="宋体" w:eastAsia="宋体" w:cs="宋体"/>
          <w:sz w:val="28"/>
          <w:szCs w:val="28"/>
        </w:rPr>
        <w:t>17.1 投标文件应根据招标文件的要求制作、签署、盖章、加密、上传，内容应完整。</w:t>
      </w:r>
    </w:p>
    <w:p w14:paraId="39134B6F">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18. </w:t>
      </w:r>
      <w:bookmarkEnd w:id="95"/>
      <w:bookmarkEnd w:id="96"/>
      <w:bookmarkEnd w:id="97"/>
      <w:bookmarkEnd w:id="98"/>
      <w:bookmarkEnd w:id="99"/>
      <w:r>
        <w:rPr>
          <w:rFonts w:hint="eastAsia" w:ascii="宋体" w:hAnsi="宋体" w:eastAsia="宋体" w:cs="宋体"/>
          <w:sz w:val="28"/>
          <w:szCs w:val="28"/>
        </w:rPr>
        <w:t>投标文件的加密和上传</w:t>
      </w:r>
    </w:p>
    <w:p w14:paraId="7A9CCE51">
      <w:pPr>
        <w:shd w:val="clear" w:color="auto" w:fill="FFFFFF"/>
        <w:spacing w:line="500" w:lineRule="exact"/>
        <w:ind w:firstLine="481"/>
        <w:rPr>
          <w:rFonts w:hint="eastAsia" w:ascii="宋体" w:hAnsi="宋体" w:eastAsia="宋体" w:cs="宋体"/>
          <w:sz w:val="28"/>
          <w:szCs w:val="28"/>
        </w:rPr>
      </w:pPr>
      <w:bookmarkStart w:id="100" w:name="_Toc183582227"/>
      <w:bookmarkStart w:id="101" w:name="_Toc183682364"/>
      <w:bookmarkStart w:id="102" w:name="_Toc217446054"/>
      <w:r>
        <w:rPr>
          <w:rFonts w:hint="eastAsia" w:ascii="宋体" w:hAnsi="宋体" w:eastAsia="宋体" w:cs="宋体"/>
          <w:sz w:val="28"/>
          <w:szCs w:val="28"/>
        </w:rPr>
        <w:t>18.1 本项目实行全流程电子交易方式，采用电子加密投标文件（“.jmbs”格式）上传方式；投标人应当在投标截止时间前，将“电子招投标人客户端”生成的“电子加密投标文件”上传电子交易平台，成功上传电子加密投标文件后，可自行打印投标文件接收回执。</w:t>
      </w:r>
    </w:p>
    <w:p w14:paraId="16A6138F">
      <w:pPr>
        <w:shd w:val="clear" w:color="auto" w:fill="FFFFFF"/>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18.2</w:t>
      </w:r>
      <w:r>
        <w:rPr>
          <w:rFonts w:hint="eastAsia" w:ascii="宋体" w:hAnsi="宋体" w:eastAsia="宋体" w:cs="宋体"/>
          <w:bCs/>
          <w:sz w:val="28"/>
          <w:szCs w:val="28"/>
        </w:rPr>
        <w:t>所有投标人</w:t>
      </w:r>
      <w:r>
        <w:rPr>
          <w:rFonts w:hint="eastAsia" w:ascii="宋体" w:hAnsi="宋体" w:eastAsia="宋体" w:cs="宋体"/>
          <w:b/>
          <w:sz w:val="28"/>
          <w:szCs w:val="28"/>
        </w:rPr>
        <w:t>开标结束提供纸质版投标文件要求：</w:t>
      </w:r>
      <w:r>
        <w:rPr>
          <w:rFonts w:hint="eastAsia" w:ascii="宋体" w:hAnsi="宋体" w:eastAsia="宋体" w:cs="宋体"/>
          <w:sz w:val="28"/>
          <w:szCs w:val="28"/>
        </w:rPr>
        <w:t>详见“投标人须知前附表”</w:t>
      </w:r>
      <w:r>
        <w:rPr>
          <w:rFonts w:hint="eastAsia" w:ascii="宋体" w:hAnsi="宋体" w:eastAsia="宋体" w:cs="宋体"/>
          <w:bCs/>
          <w:sz w:val="28"/>
          <w:szCs w:val="28"/>
        </w:rPr>
        <w:t>。投标文件的正本和副本应在其封面右上角清楚地标明“正本”或“副本”字样，统一用A4幅面纸印制，图纸、横道图等必须使用A3幅面印制的应折叠成A4幅面，并按招标文件规定签字和盖章，投标文件胶装成册并编码，每册装订应牢固、不易拆散和换页，不得采用活页装订。</w:t>
      </w:r>
    </w:p>
    <w:bookmarkEnd w:id="100"/>
    <w:bookmarkEnd w:id="101"/>
    <w:bookmarkEnd w:id="102"/>
    <w:p w14:paraId="4E209061">
      <w:pPr>
        <w:shd w:val="clear" w:color="auto" w:fill="FFFFFF"/>
        <w:spacing w:line="500" w:lineRule="exact"/>
        <w:ind w:firstLine="560" w:firstLineChars="200"/>
        <w:rPr>
          <w:rFonts w:hint="eastAsia" w:ascii="宋体" w:hAnsi="宋体" w:eastAsia="宋体" w:cs="宋体"/>
          <w:sz w:val="28"/>
          <w:szCs w:val="28"/>
        </w:rPr>
      </w:pPr>
      <w:bookmarkStart w:id="103" w:name="_Toc77400782"/>
      <w:bookmarkStart w:id="104" w:name="_Toc183682368"/>
      <w:bookmarkStart w:id="105" w:name="_Toc217446056"/>
      <w:bookmarkStart w:id="106" w:name="_Toc89075878"/>
      <w:bookmarkStart w:id="107" w:name="_Toc183582231"/>
      <w:r>
        <w:rPr>
          <w:rFonts w:hint="eastAsia" w:ascii="宋体" w:hAnsi="宋体" w:eastAsia="宋体" w:cs="宋体"/>
          <w:sz w:val="28"/>
          <w:szCs w:val="28"/>
        </w:rPr>
        <w:t>19．投标文件的修改和撤回</w:t>
      </w:r>
    </w:p>
    <w:p w14:paraId="5326B5DB">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19.1 投标人在投标文件上传截止时间前，可以对所上传的投标文件进行补充、修改或撤回。</w:t>
      </w:r>
    </w:p>
    <w:p w14:paraId="5278A889">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19.2 在投标文件上传截止时间之后，投标人不得对其上传的投标文件做任何修改、补充或撤回。</w:t>
      </w:r>
    </w:p>
    <w:p w14:paraId="7C7B5A44">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19.3 投标文件中-如果出现计算上或累加上的算术错误，可按以下原则进行修改：</w:t>
      </w:r>
    </w:p>
    <w:p w14:paraId="0FF6ECD2">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（1）投标文件中投标函内容与报价明细表不一致的，以投标函为准;</w:t>
      </w:r>
    </w:p>
    <w:p w14:paraId="2580D466">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（2）用小写金额和大写金额不一致，应以大写金额为准；</w:t>
      </w:r>
    </w:p>
    <w:p w14:paraId="3C9C2427">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（3）总价金额与按单价汇总金额不一致的，以单价金额计算结果为准；</w:t>
      </w:r>
    </w:p>
    <w:p w14:paraId="6CCF7B44">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（4）单价金额小数点或者百分比有明显错位的，以投标函的总价为准，并修改单价。</w:t>
      </w:r>
    </w:p>
    <w:p w14:paraId="4E5C58BA">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同时出现两种以上不一致的，按照前款规定的顺序修正。修正后的报价经投标人确认后产生约束力，投标人不确认的，其</w:t>
      </w:r>
      <w:r>
        <w:rPr>
          <w:rFonts w:hint="eastAsia" w:ascii="宋体" w:hAnsi="宋体" w:eastAsia="宋体" w:cs="宋体"/>
          <w:b/>
          <w:bCs/>
          <w:sz w:val="28"/>
          <w:szCs w:val="28"/>
        </w:rPr>
        <w:t>响应无效</w:t>
      </w:r>
      <w:r>
        <w:rPr>
          <w:rFonts w:hint="eastAsia" w:ascii="宋体" w:hAnsi="宋体" w:eastAsia="宋体" w:cs="宋体"/>
          <w:sz w:val="28"/>
          <w:szCs w:val="28"/>
        </w:rPr>
        <w:t>。</w:t>
      </w:r>
    </w:p>
    <w:bookmarkEnd w:id="103"/>
    <w:bookmarkEnd w:id="104"/>
    <w:bookmarkEnd w:id="105"/>
    <w:bookmarkEnd w:id="106"/>
    <w:bookmarkEnd w:id="107"/>
    <w:p w14:paraId="35EF82A3">
      <w:pPr>
        <w:pStyle w:val="4"/>
        <w:shd w:val="clear" w:color="auto" w:fill="FFFFFF"/>
        <w:spacing w:before="0" w:after="0" w:line="500" w:lineRule="exact"/>
        <w:jc w:val="center"/>
        <w:rPr>
          <w:rFonts w:hint="eastAsia" w:ascii="宋体" w:hAnsi="宋体" w:eastAsia="宋体" w:cs="宋体"/>
          <w:sz w:val="28"/>
          <w:szCs w:val="28"/>
        </w:rPr>
      </w:pPr>
      <w:r>
        <w:rPr>
          <w:rFonts w:hint="eastAsia" w:ascii="宋体" w:hAnsi="宋体" w:eastAsia="宋体" w:cs="宋体"/>
          <w:sz w:val="28"/>
          <w:szCs w:val="28"/>
        </w:rPr>
        <w:t>五、开标、评标、中标</w:t>
      </w:r>
    </w:p>
    <w:p w14:paraId="7E5A74FB">
      <w:pPr>
        <w:keepNext/>
        <w:keepLines/>
        <w:shd w:val="clear" w:color="auto" w:fill="FFFFFF"/>
        <w:spacing w:line="500" w:lineRule="exact"/>
        <w:ind w:firstLine="560" w:firstLineChars="200"/>
        <w:rPr>
          <w:rFonts w:hint="eastAsia" w:ascii="宋体" w:hAnsi="宋体" w:eastAsia="宋体" w:cs="宋体"/>
          <w:sz w:val="28"/>
          <w:szCs w:val="28"/>
        </w:rPr>
      </w:pPr>
      <w:bookmarkStart w:id="108" w:name="_Toc183682369"/>
      <w:bookmarkStart w:id="109" w:name="_Toc217446057"/>
      <w:bookmarkStart w:id="110" w:name="_Toc183582232"/>
      <w:r>
        <w:rPr>
          <w:rFonts w:hint="eastAsia" w:ascii="宋体" w:hAnsi="宋体" w:eastAsia="宋体" w:cs="宋体"/>
          <w:sz w:val="28"/>
          <w:szCs w:val="28"/>
        </w:rPr>
        <w:t>20．</w:t>
      </w:r>
      <w:bookmarkEnd w:id="108"/>
      <w:bookmarkEnd w:id="109"/>
      <w:bookmarkEnd w:id="110"/>
      <w:r>
        <w:rPr>
          <w:rFonts w:hint="eastAsia" w:ascii="宋体" w:hAnsi="宋体" w:eastAsia="宋体" w:cs="宋体"/>
          <w:sz w:val="28"/>
          <w:szCs w:val="28"/>
        </w:rPr>
        <w:t>开标程序</w:t>
      </w:r>
    </w:p>
    <w:p w14:paraId="07483C02">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20.1 采购代理机构在招标文件规定的时间和地点组织线上招标活动，邀请下载招标文件并参与竞争的投标人在线参加开标，投标人未参加开标的视同认可开标结果，事后不得对采购相关人员、开标过程和开标结果提出异议，同时投标人因未在线参加开标而导致投标文件无法按时解密等一切后果由投标人自行承担。投标人不足3家的，不得开标。</w:t>
      </w:r>
    </w:p>
    <w:p w14:paraId="0DF6BB27">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 开标时，采购代理机构可以邀请有关监督管理部门对招标会议进行现场监督。</w:t>
      </w:r>
    </w:p>
    <w:p w14:paraId="49D3D9C2">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20.3 投标文件上传截止时间到，开标会议开始，公布投标人名单。</w:t>
      </w:r>
    </w:p>
    <w:p w14:paraId="0D85818E">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20.4开启“投标文件解密”环节，投标人在规定时间内进行解密</w:t>
      </w:r>
      <w:r>
        <w:rPr>
          <w:rFonts w:hint="eastAsia" w:ascii="宋体" w:hAnsi="宋体" w:eastAsia="宋体" w:cs="宋体"/>
          <w:b/>
          <w:bCs/>
          <w:sz w:val="28"/>
          <w:szCs w:val="28"/>
        </w:rPr>
        <w:t>（解密规定见《投标人须知前附表》</w:t>
      </w:r>
      <w:r>
        <w:rPr>
          <w:rFonts w:hint="eastAsia" w:ascii="宋体" w:hAnsi="宋体" w:eastAsia="宋体" w:cs="宋体"/>
          <w:sz w:val="28"/>
          <w:szCs w:val="28"/>
        </w:rPr>
        <w:t>）。</w:t>
      </w:r>
    </w:p>
    <w:p w14:paraId="7B4D1C53">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20.5投标文件解密完毕，开启报价签字确认（不予确认的应说明理由，否则视为无异议，开标结束后，由评标委员会对报价的合理性、准确性等进行审查核实）。</w:t>
      </w:r>
    </w:p>
    <w:p w14:paraId="2D27EE1B">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20.6采购项目开标结束后，采购人或者采购代理机构应当依法对投标人的资格进行审查。合格投标人不足3家的，不得评审；</w:t>
      </w:r>
    </w:p>
    <w:p w14:paraId="617F0A5E">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20.7符合性审查。符合性审查是指依据招标文件的规定，从商务和技术角度对投标文件的有效性和完整性进行审查，以确定是否对招标文件的实质性要求做出响应；合格投标人不足3家的，不得评标。</w:t>
      </w:r>
    </w:p>
    <w:p w14:paraId="2B2614E2">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20.8比较与评价。按招标文件中规定的评标方法和标准，对符合性检查合格的投标文件进行商务和技术评估，综合比较与评价。</w:t>
      </w:r>
    </w:p>
    <w:p w14:paraId="11BF9174">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20.9评标委员会采用综合评分法对满足招标文件全部实质性要求的投标文件和报价进行综合评分</w:t>
      </w:r>
      <w:r>
        <w:rPr>
          <w:rFonts w:hint="eastAsia" w:ascii="宋体" w:hAnsi="宋体" w:eastAsia="宋体" w:cs="宋体"/>
          <w:bCs/>
          <w:sz w:val="28"/>
          <w:szCs w:val="28"/>
        </w:rPr>
        <w:t>。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宋体"/>
          <w:sz w:val="28"/>
          <w:szCs w:val="28"/>
        </w:rPr>
        <w:t>。评分分值计算保留小数点后两位，第三位四舍五入。</w:t>
      </w:r>
    </w:p>
    <w:p w14:paraId="3BC280E2">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20.10推荐中标候选投标人名单。中标候选投标人数量应当根据招标需要确定，但必须按顺序排列中标候选投标人。</w:t>
      </w:r>
    </w:p>
    <w:p w14:paraId="2FFD9D57">
      <w:pPr>
        <w:pStyle w:val="9"/>
        <w:spacing w:after="0" w:line="500" w:lineRule="exact"/>
        <w:rPr>
          <w:rFonts w:hint="eastAsia" w:ascii="宋体" w:hAnsi="宋体" w:eastAsia="宋体" w:cs="宋体"/>
          <w:sz w:val="28"/>
          <w:szCs w:val="28"/>
        </w:rPr>
      </w:pPr>
    </w:p>
    <w:p w14:paraId="62AE0A55">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20.11评标委员会推荐前3名中标候选人，并编写评审报告</w:t>
      </w:r>
    </w:p>
    <w:p w14:paraId="3774D04A">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20.12编写评标报告。评标报告是评标委员会根据全体评标成员签字的原始评标记录和评标结果编写的报告，其主要内容包括：</w:t>
      </w:r>
    </w:p>
    <w:p w14:paraId="5DB01030">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（1）项目概况、开标日期和地点；</w:t>
      </w:r>
    </w:p>
    <w:p w14:paraId="75F04CEA">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（2）下载招标文件的投标人名单和评标委员会成员名单；</w:t>
      </w:r>
    </w:p>
    <w:p w14:paraId="6B77B0C6">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（3）评标方法和标准；</w:t>
      </w:r>
    </w:p>
    <w:p w14:paraId="28AD4880">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（4）开标记录和评标情况及说明，包括投标无效投标人名单及原因；</w:t>
      </w:r>
    </w:p>
    <w:p w14:paraId="51AD98DB">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（5）评标结果和中标候选投标人排序。</w:t>
      </w:r>
    </w:p>
    <w:p w14:paraId="7A53DDDF">
      <w:pPr>
        <w:numPr>
          <w:ilvl w:val="0"/>
          <w:numId w:val="5"/>
        </w:numPr>
        <w:shd w:val="clear" w:color="auto" w:fill="FFFFFF"/>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中标结果</w:t>
      </w:r>
    </w:p>
    <w:p w14:paraId="6FA5E09F">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21.1采购代理机构在评审结束后2个工作日内将评审报告送采购人确认。</w:t>
      </w:r>
    </w:p>
    <w:p w14:paraId="1FA47AA9">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E8E00F3">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21.3采购人或者采购代理机构应当自中标人确定之日起2个工作日内，在省级以上财政部门指定的媒体上公告中标结果。</w:t>
      </w:r>
    </w:p>
    <w:p w14:paraId="768E4520">
      <w:pPr>
        <w:shd w:val="clear" w:color="auto" w:fill="FFFFFF"/>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21.4中标公告期限为1个工作日。</w:t>
      </w:r>
    </w:p>
    <w:p w14:paraId="0C9569BB">
      <w:p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22．中标通知</w:t>
      </w:r>
      <w:bookmarkEnd w:id="92"/>
      <w:bookmarkEnd w:id="93"/>
      <w:r>
        <w:rPr>
          <w:rFonts w:hint="eastAsia" w:ascii="宋体" w:hAnsi="宋体" w:eastAsia="宋体" w:cs="宋体"/>
          <w:b/>
          <w:bCs/>
          <w:sz w:val="28"/>
          <w:szCs w:val="28"/>
        </w:rPr>
        <w:t>书</w:t>
      </w:r>
      <w:bookmarkEnd w:id="94"/>
    </w:p>
    <w:p w14:paraId="221BC01F">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22</w:t>
      </w:r>
      <w:r>
        <w:rPr>
          <w:rFonts w:hint="eastAsia" w:ascii="宋体" w:hAnsi="宋体" w:eastAsia="宋体" w:cs="宋体"/>
          <w:b/>
          <w:bCs/>
          <w:sz w:val="28"/>
          <w:szCs w:val="28"/>
        </w:rPr>
        <w:t>.</w:t>
      </w:r>
      <w:r>
        <w:rPr>
          <w:rFonts w:hint="eastAsia" w:ascii="宋体" w:hAnsi="宋体" w:eastAsia="宋体" w:cs="宋体"/>
          <w:sz w:val="28"/>
          <w:szCs w:val="28"/>
        </w:rPr>
        <w:t>1 中标通知书为签订中标合同的依据，是合同的有效组成部分。</w:t>
      </w:r>
    </w:p>
    <w:p w14:paraId="659339C5">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22.2 中标通知书对采购人和中标人均具有法律效力。中标通知书发出后，采购人改变中标结果，或者中标人无正当理由放弃中标的，应当承担相应的法律责任。</w:t>
      </w:r>
    </w:p>
    <w:p w14:paraId="41C14DD0">
      <w:pPr>
        <w:tabs>
          <w:tab w:val="left" w:pos="7665"/>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22．3中标人的投标文件本应作为</w:t>
      </w:r>
      <w:r>
        <w:rPr>
          <w:rFonts w:hint="eastAsia" w:ascii="宋体" w:hAnsi="宋体" w:eastAsia="宋体" w:cs="宋体"/>
          <w:b/>
          <w:bCs/>
          <w:sz w:val="28"/>
          <w:szCs w:val="28"/>
        </w:rPr>
        <w:t>投标无效</w:t>
      </w:r>
      <w:r>
        <w:rPr>
          <w:rFonts w:hint="eastAsia" w:ascii="宋体" w:hAnsi="宋体" w:eastAsia="宋体" w:cs="宋体"/>
          <w:sz w:val="28"/>
          <w:szCs w:val="28"/>
        </w:rPr>
        <w:t>或者有招投标法律法规规章制度规定的</w:t>
      </w:r>
      <w:r>
        <w:rPr>
          <w:rFonts w:hint="eastAsia" w:ascii="宋体" w:hAnsi="宋体" w:eastAsia="宋体" w:cs="宋体"/>
          <w:b/>
          <w:bCs/>
          <w:sz w:val="28"/>
          <w:szCs w:val="28"/>
        </w:rPr>
        <w:t>中标无效</w:t>
      </w:r>
      <w:r>
        <w:rPr>
          <w:rFonts w:hint="eastAsia" w:ascii="宋体" w:hAnsi="宋体" w:eastAsia="宋体" w:cs="宋体"/>
          <w:sz w:val="28"/>
          <w:szCs w:val="28"/>
        </w:rPr>
        <w:t>情形的，采购代理机构在取得有权主体的认定以后，应当宣布发出的中标通知书无效，并收回发出的中标通知书（中标人也应当缴回），依法重新确定中标人或者重新开展招标活动。</w:t>
      </w:r>
    </w:p>
    <w:p w14:paraId="43B7F09C">
      <w:pPr>
        <w:pStyle w:val="4"/>
        <w:spacing w:before="0" w:after="0" w:line="500" w:lineRule="exact"/>
        <w:ind w:firstLine="562" w:firstLineChars="200"/>
        <w:jc w:val="center"/>
        <w:rPr>
          <w:rFonts w:hint="eastAsia" w:ascii="宋体" w:hAnsi="宋体" w:eastAsia="宋体" w:cs="宋体"/>
          <w:sz w:val="28"/>
          <w:szCs w:val="28"/>
        </w:rPr>
      </w:pPr>
      <w:bookmarkStart w:id="111" w:name="_Toc217446064"/>
      <w:bookmarkStart w:id="112" w:name="_Toc183682377"/>
      <w:bookmarkStart w:id="113" w:name="_Toc183582240"/>
      <w:r>
        <w:rPr>
          <w:rFonts w:hint="eastAsia" w:ascii="宋体" w:hAnsi="宋体" w:eastAsia="宋体" w:cs="宋体"/>
          <w:sz w:val="28"/>
          <w:szCs w:val="28"/>
        </w:rPr>
        <w:t>六、签订及履行合同</w:t>
      </w:r>
      <w:bookmarkEnd w:id="111"/>
    </w:p>
    <w:p w14:paraId="0A841415">
      <w:pPr>
        <w:spacing w:line="500" w:lineRule="exact"/>
        <w:ind w:firstLine="562" w:firstLineChars="200"/>
        <w:rPr>
          <w:rFonts w:hint="eastAsia" w:ascii="宋体" w:hAnsi="宋体" w:eastAsia="宋体" w:cs="宋体"/>
          <w:b/>
          <w:bCs/>
          <w:sz w:val="28"/>
          <w:szCs w:val="28"/>
        </w:rPr>
      </w:pPr>
      <w:bookmarkStart w:id="114" w:name="_Toc217446065"/>
      <w:r>
        <w:rPr>
          <w:rFonts w:hint="eastAsia" w:ascii="宋体" w:hAnsi="宋体" w:eastAsia="宋体" w:cs="宋体"/>
          <w:b/>
          <w:bCs/>
          <w:sz w:val="28"/>
          <w:szCs w:val="28"/>
        </w:rPr>
        <w:t>23. 签订合同</w:t>
      </w:r>
      <w:bookmarkEnd w:id="114"/>
    </w:p>
    <w:p w14:paraId="40B32393">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23.1 中标人在收到采购人发出的《中标通知书》后，须在中标通知书下达30个日历日内与采购人签订采购合同。由于中标人的原因逾期未与采购人签订采购合同的，将视为放弃中标，取消其中标资格并将按相关规定进行处理。</w:t>
      </w:r>
    </w:p>
    <w:p w14:paraId="30598A40">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23.2 采购人不得向中标人提出任何不合理的要求，作为签订合同的条件，不得与中标人私下订立背离合同实质性内容的任何协议，所签订的合同不得对招标文件和中标人投标文件作实质性修改。</w:t>
      </w:r>
    </w:p>
    <w:p w14:paraId="6C5CF0AA">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23.3 中标人因不可抗力原因不能履行采购合同或放弃中标的，采购人可以与排在中标人之后第一位的中标候选人签订采购合同，以此类推。</w:t>
      </w:r>
    </w:p>
    <w:p w14:paraId="48CB30BF">
      <w:pPr>
        <w:pStyle w:val="9"/>
        <w:spacing w:after="0" w:line="500" w:lineRule="exact"/>
        <w:ind w:firstLine="560" w:firstLineChars="200"/>
        <w:rPr>
          <w:rFonts w:hint="eastAsia" w:ascii="宋体" w:hAnsi="宋体" w:eastAsia="宋体" w:cs="宋体"/>
          <w:b/>
          <w:bCs/>
          <w:sz w:val="28"/>
          <w:szCs w:val="28"/>
        </w:rPr>
      </w:pPr>
      <w:r>
        <w:rPr>
          <w:rFonts w:hint="eastAsia" w:ascii="宋体" w:hAnsi="宋体" w:eastAsia="宋体" w:cs="宋体"/>
          <w:sz w:val="28"/>
          <w:szCs w:val="28"/>
        </w:rPr>
        <w:t>23.4中标人在合同签订之后三个工作日内，</w:t>
      </w:r>
      <w:r>
        <w:rPr>
          <w:rFonts w:hint="eastAsia" w:ascii="宋体" w:hAnsi="宋体" w:eastAsia="宋体" w:cs="宋体"/>
          <w:b/>
          <w:bCs/>
          <w:sz w:val="28"/>
          <w:szCs w:val="28"/>
        </w:rPr>
        <w:t>将签订的合同彩色扫描件发送至邮箱932578471@qq.com，并协助采购代理机构完成合同公示工作。</w:t>
      </w:r>
    </w:p>
    <w:p w14:paraId="39E7C721">
      <w:pPr>
        <w:spacing w:line="500" w:lineRule="exact"/>
        <w:ind w:firstLine="562" w:firstLineChars="200"/>
        <w:rPr>
          <w:rFonts w:hint="eastAsia" w:ascii="宋体" w:hAnsi="宋体" w:eastAsia="宋体" w:cs="宋体"/>
          <w:b/>
          <w:bCs/>
          <w:sz w:val="28"/>
          <w:szCs w:val="28"/>
        </w:rPr>
      </w:pPr>
      <w:bookmarkStart w:id="115" w:name="_Toc217446066"/>
      <w:r>
        <w:rPr>
          <w:rFonts w:hint="eastAsia" w:ascii="宋体" w:hAnsi="宋体" w:eastAsia="宋体" w:cs="宋体"/>
          <w:b/>
          <w:bCs/>
          <w:sz w:val="28"/>
          <w:szCs w:val="28"/>
        </w:rPr>
        <w:t>24. 合同分包</w:t>
      </w:r>
      <w:bookmarkEnd w:id="115"/>
    </w:p>
    <w:p w14:paraId="6FDCB2B5">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24.1 详见“投标人须知前附表”。</w:t>
      </w:r>
    </w:p>
    <w:p w14:paraId="01C38DCA">
      <w:pPr>
        <w:spacing w:line="500" w:lineRule="exact"/>
        <w:ind w:firstLine="562" w:firstLineChars="200"/>
        <w:rPr>
          <w:rFonts w:hint="eastAsia" w:ascii="宋体" w:hAnsi="宋体" w:eastAsia="宋体" w:cs="宋体"/>
          <w:b/>
          <w:bCs/>
          <w:sz w:val="28"/>
          <w:szCs w:val="28"/>
        </w:rPr>
      </w:pPr>
      <w:bookmarkStart w:id="116" w:name="_Toc217446068"/>
      <w:r>
        <w:rPr>
          <w:rFonts w:hint="eastAsia" w:ascii="宋体" w:hAnsi="宋体" w:eastAsia="宋体" w:cs="宋体"/>
          <w:b/>
          <w:bCs/>
          <w:sz w:val="28"/>
          <w:szCs w:val="28"/>
        </w:rPr>
        <w:t>25. 履约保证金</w:t>
      </w:r>
      <w:bookmarkEnd w:id="116"/>
    </w:p>
    <w:p w14:paraId="49712AFC">
      <w:pPr>
        <w:spacing w:line="500" w:lineRule="exact"/>
        <w:ind w:firstLine="560" w:firstLineChars="200"/>
        <w:rPr>
          <w:rFonts w:hint="eastAsia" w:ascii="宋体" w:hAnsi="宋体" w:eastAsia="宋体" w:cs="宋体"/>
          <w:sz w:val="28"/>
          <w:szCs w:val="28"/>
        </w:rPr>
      </w:pPr>
      <w:bookmarkStart w:id="117" w:name="_Toc217446069"/>
      <w:r>
        <w:rPr>
          <w:rFonts w:hint="eastAsia" w:ascii="宋体" w:hAnsi="宋体" w:eastAsia="宋体" w:cs="宋体"/>
          <w:sz w:val="28"/>
          <w:szCs w:val="28"/>
        </w:rPr>
        <w:t>25.1详见“投标人须知前附表”。</w:t>
      </w:r>
    </w:p>
    <w:p w14:paraId="59D7546D">
      <w:p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26. 履行合同</w:t>
      </w:r>
      <w:bookmarkEnd w:id="117"/>
    </w:p>
    <w:p w14:paraId="3679A038">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26.1 中标人与采购人签订合同后，合同双方应严格执行合同条款，履行合同规定的义务，保证合同的顺利完成。</w:t>
      </w:r>
    </w:p>
    <w:p w14:paraId="20375068">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26.2 在合同履行过程中，如发生合同纠纷，合同双方应按照《中华人民共和国民法典》的有关规定进行处理。</w:t>
      </w:r>
    </w:p>
    <w:bookmarkEnd w:id="112"/>
    <w:bookmarkEnd w:id="113"/>
    <w:p w14:paraId="1D41DB82">
      <w:pPr>
        <w:pStyle w:val="4"/>
        <w:spacing w:before="0" w:after="0" w:line="500" w:lineRule="exact"/>
        <w:ind w:firstLine="562" w:firstLineChars="200"/>
        <w:jc w:val="center"/>
        <w:rPr>
          <w:rFonts w:hint="eastAsia" w:ascii="宋体" w:hAnsi="宋体" w:eastAsia="宋体" w:cs="宋体"/>
          <w:sz w:val="28"/>
          <w:szCs w:val="28"/>
        </w:rPr>
      </w:pPr>
      <w:bookmarkStart w:id="118" w:name="_Toc217446074"/>
      <w:bookmarkStart w:id="119" w:name="_Toc183682380"/>
      <w:bookmarkStart w:id="120" w:name="_Toc183582243"/>
      <w:r>
        <w:rPr>
          <w:rFonts w:hint="eastAsia" w:ascii="宋体" w:hAnsi="宋体" w:eastAsia="宋体" w:cs="宋体"/>
          <w:sz w:val="28"/>
          <w:szCs w:val="28"/>
        </w:rPr>
        <w:t>七、</w:t>
      </w:r>
      <w:bookmarkEnd w:id="118"/>
      <w:r>
        <w:rPr>
          <w:rFonts w:hint="eastAsia" w:ascii="宋体" w:hAnsi="宋体" w:eastAsia="宋体" w:cs="宋体"/>
          <w:sz w:val="28"/>
          <w:szCs w:val="28"/>
        </w:rPr>
        <w:t>投标纪律要求</w:t>
      </w:r>
    </w:p>
    <w:p w14:paraId="24D10379">
      <w:pPr>
        <w:spacing w:line="500" w:lineRule="exact"/>
        <w:ind w:firstLine="562" w:firstLineChars="200"/>
        <w:rPr>
          <w:rFonts w:hint="eastAsia" w:ascii="宋体" w:hAnsi="宋体" w:eastAsia="宋体" w:cs="宋体"/>
          <w:b/>
          <w:bCs/>
          <w:sz w:val="28"/>
          <w:szCs w:val="28"/>
        </w:rPr>
      </w:pPr>
      <w:bookmarkStart w:id="121" w:name="_Toc217446075"/>
      <w:bookmarkStart w:id="122" w:name="_Toc217446076"/>
      <w:r>
        <w:rPr>
          <w:rFonts w:hint="eastAsia" w:ascii="宋体" w:hAnsi="宋体" w:eastAsia="宋体" w:cs="宋体"/>
          <w:b/>
          <w:bCs/>
          <w:sz w:val="28"/>
          <w:szCs w:val="28"/>
        </w:rPr>
        <w:t>27. 投标人、采购人、评标委员会成员、评标活动有关的工作人员、监督</w:t>
      </w:r>
    </w:p>
    <w:bookmarkEnd w:id="121"/>
    <w:p w14:paraId="794CF06D">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27.1投标人参加投标不得有下列情形：</w:t>
      </w:r>
    </w:p>
    <w:p w14:paraId="6B3A8E94">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（1）提供虚假材料谋取中标；</w:t>
      </w:r>
    </w:p>
    <w:p w14:paraId="1284B163">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（2）采取不正当手段诋毁、排挤其他投标人；</w:t>
      </w:r>
    </w:p>
    <w:p w14:paraId="4C5C36ED">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（3）与采购人、其他投标人恶意串通；</w:t>
      </w:r>
    </w:p>
    <w:p w14:paraId="44FD1EEA">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（4）向采购人、评标委员会成员行贿或者提供其他不正当利益；</w:t>
      </w:r>
    </w:p>
    <w:p w14:paraId="664F7D06">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（5）在招标过程中私下与采购人进行协商谈判；</w:t>
      </w:r>
    </w:p>
    <w:p w14:paraId="723F5C22">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（6）拒绝有关部门的监督检查或者向监督检查部门提供虚假情况。</w:t>
      </w:r>
    </w:p>
    <w:p w14:paraId="5FF3D5A0">
      <w:pPr>
        <w:tabs>
          <w:tab w:val="center" w:pos="4832"/>
          <w:tab w:val="left" w:pos="7140"/>
        </w:tabs>
        <w:spacing w:line="50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有上述情形之一的投标人，属于不合格投标人，其投标或中标资格将被取消。</w:t>
      </w:r>
    </w:p>
    <w:p w14:paraId="5750EE33">
      <w:pPr>
        <w:widowControl/>
        <w:shd w:val="clear" w:color="auto" w:fill="FFFFFF"/>
        <w:snapToGrid w:val="0"/>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27.2 对采购人的纪律要求</w:t>
      </w:r>
    </w:p>
    <w:p w14:paraId="103642B6">
      <w:pPr>
        <w:widowControl/>
        <w:shd w:val="clear" w:color="auto" w:fill="FFFFFF"/>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采购人不得泄漏招标投标活动中应当保密的情况和资料，不得与投标人串通损害国家利益、社会公共利益或者他人合法权益。</w:t>
      </w:r>
    </w:p>
    <w:p w14:paraId="064E691A">
      <w:pPr>
        <w:widowControl/>
        <w:shd w:val="clear" w:color="auto" w:fill="FFFFFF"/>
        <w:snapToGrid w:val="0"/>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27.3 对投标人的纪律要求</w:t>
      </w:r>
    </w:p>
    <w:p w14:paraId="6069F8EB">
      <w:pPr>
        <w:widowControl/>
        <w:shd w:val="clear" w:color="auto" w:fill="FFFFFF"/>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02E1C1AC">
      <w:pPr>
        <w:widowControl/>
        <w:shd w:val="clear" w:color="auto" w:fill="FFFFFF"/>
        <w:snapToGrid w:val="0"/>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27.4 对评标委员会成员的义务和纪律要求</w:t>
      </w:r>
    </w:p>
    <w:p w14:paraId="121F36EB">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27.4.1. 评标专家在招投标活动中承担以下义务：</w:t>
      </w:r>
    </w:p>
    <w:p w14:paraId="2D699DC8">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① 遵纪守法，客观、公正、廉洁地履行职责。</w:t>
      </w:r>
    </w:p>
    <w:p w14:paraId="33412597">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② 按照法律法规和招标文件的规定要求对投标人的资格条件和投标人提供的技术、技术等方面严格进行评判，提供科学合理、公平公正的评标意见，参与起草评标报告，并予签字确认。</w:t>
      </w:r>
    </w:p>
    <w:p w14:paraId="186CF341">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③保守秘密。不得透露招标文件咨询情况，不得泄漏投标人的投标文件及知悉的商业秘密，不得向投标人透露评标情况。</w:t>
      </w:r>
    </w:p>
    <w:p w14:paraId="2AE54B44">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④发现投标人在招投标活动中有不正当竞争或恶意串通等违规行为，及时向评标工作的组织者或监督部门报告并加以制止。</w:t>
      </w:r>
    </w:p>
    <w:p w14:paraId="563D0192">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发现采购人、招标代理机构及其工作人员在招标活动中有干预评标、发表倾向性和歧视性言论、受贿或者接受投标人的其他好处及其他违法违规行为，及时向监督部门报告。</w:t>
      </w:r>
    </w:p>
    <w:p w14:paraId="56693C2C">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⑤解答有关方面对招标评标工作中有关问题的询问，配合采购人或者招标代理机构答复投标人质疑，配合监督部门的投诉处理工作等事宜。</w:t>
      </w:r>
    </w:p>
    <w:p w14:paraId="7956A306">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⑥法律、法规和规章规定的其他义务。</w:t>
      </w:r>
    </w:p>
    <w:p w14:paraId="307A9535">
      <w:pPr>
        <w:widowControl/>
        <w:shd w:val="clear" w:color="auto" w:fill="FFFFFF"/>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五章“评标办法”没有规定的评审因素和标准进行评标。</w:t>
      </w:r>
    </w:p>
    <w:p w14:paraId="55B023E3">
      <w:pPr>
        <w:widowControl/>
        <w:autoSpaceDE w:val="0"/>
        <w:autoSpaceDN w:val="0"/>
        <w:spacing w:line="500" w:lineRule="exact"/>
        <w:ind w:firstLine="562" w:firstLineChars="200"/>
        <w:textAlignment w:val="bottom"/>
        <w:rPr>
          <w:rFonts w:hint="eastAsia" w:ascii="宋体" w:hAnsi="宋体" w:eastAsia="宋体" w:cs="宋体"/>
          <w:b/>
          <w:bCs/>
          <w:sz w:val="28"/>
          <w:szCs w:val="28"/>
        </w:rPr>
      </w:pPr>
      <w:r>
        <w:rPr>
          <w:rFonts w:hint="eastAsia" w:ascii="宋体" w:hAnsi="宋体" w:eastAsia="宋体" w:cs="宋体"/>
          <w:b/>
          <w:bCs/>
          <w:sz w:val="28"/>
          <w:szCs w:val="28"/>
        </w:rPr>
        <w:t>27.5 对评标委员会成员的纪律要求</w:t>
      </w:r>
    </w:p>
    <w:p w14:paraId="604425F3">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27.5.1应邀按时参加评标和咨询活动。遇特殊情况不能出席或途中遇阻不能按时参加评标或咨询的，应及时告知监督部门或者采购人或者招标代理机构，不得私自转托他人。</w:t>
      </w:r>
    </w:p>
    <w:p w14:paraId="778596E7">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27.5.2不得参加与自己有利害关系的招标项目的评标活动。对与自己有利害关系的评标项目，如受到邀请，应主动提出回避。监督部门、采购人或招标代理机构也可要求该评标专家回避。</w:t>
      </w:r>
    </w:p>
    <w:p w14:paraId="16D67DAC">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27.5.3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14:paraId="308489D0">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27.5.4评标或咨询过程中关闭通讯设备，不得与外界联系。</w:t>
      </w:r>
    </w:p>
    <w:p w14:paraId="29D40051">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27.5.5评标过程中，不得发表影响评标公正的倾向性、歧视性言论；不得征询或者接受采购人的倾向性意见；不得以任何明示或暗示的方式要求参加该招标项目的投标人以澄清、说明或补正为借口，表达与其原投标文件原意不同的新意见；不得以招标文件没有规定的方法和标准作为评标的依据；不得违反规定的评标格式评审和撰写评标意见；不得拒绝对自己的评标意见签字确认。</w:t>
      </w:r>
    </w:p>
    <w:p w14:paraId="34E3503D">
      <w:pPr>
        <w:widowControl/>
        <w:shd w:val="clear" w:color="auto" w:fill="FFFFFF"/>
        <w:snapToGrid w:val="0"/>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27.6 对与评标活动有关的工作人员的纪律要求</w:t>
      </w:r>
    </w:p>
    <w:p w14:paraId="46B9D7D9">
      <w:pPr>
        <w:widowControl/>
        <w:shd w:val="clear" w:color="auto" w:fill="FFFFFF"/>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92944F0">
      <w:pPr>
        <w:widowControl/>
        <w:shd w:val="clear" w:color="auto" w:fill="FFFFFF"/>
        <w:snapToGrid w:val="0"/>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27.7 监督</w:t>
      </w:r>
    </w:p>
    <w:p w14:paraId="68EDC94B">
      <w:pPr>
        <w:widowControl/>
        <w:shd w:val="clear" w:color="auto" w:fill="FFFFFF"/>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本项目的招标投标活动及其相关当事人应当接受有管辖权的监督部门依法实施的监督。</w:t>
      </w:r>
      <w:bookmarkStart w:id="123" w:name="_BookMark_12"/>
      <w:bookmarkEnd w:id="123"/>
    </w:p>
    <w:p w14:paraId="0657478A">
      <w:pPr>
        <w:pStyle w:val="4"/>
        <w:spacing w:before="0" w:after="0" w:line="500" w:lineRule="exact"/>
        <w:ind w:firstLine="562" w:firstLineChars="200"/>
        <w:jc w:val="center"/>
        <w:rPr>
          <w:rFonts w:hint="eastAsia" w:ascii="宋体" w:hAnsi="宋体" w:eastAsia="宋体" w:cs="宋体"/>
          <w:b w:val="0"/>
          <w:bCs w:val="0"/>
          <w:sz w:val="28"/>
          <w:szCs w:val="28"/>
        </w:rPr>
      </w:pPr>
      <w:r>
        <w:rPr>
          <w:rFonts w:hint="eastAsia" w:ascii="宋体" w:hAnsi="宋体" w:eastAsia="宋体" w:cs="宋体"/>
          <w:sz w:val="28"/>
          <w:szCs w:val="28"/>
        </w:rPr>
        <w:t>八、</w:t>
      </w:r>
      <w:bookmarkEnd w:id="122"/>
      <w:r>
        <w:rPr>
          <w:rFonts w:hint="eastAsia" w:ascii="宋体" w:hAnsi="宋体" w:eastAsia="宋体" w:cs="宋体"/>
          <w:sz w:val="28"/>
          <w:szCs w:val="28"/>
        </w:rPr>
        <w:t>支付合同价款</w:t>
      </w:r>
    </w:p>
    <w:p w14:paraId="47D08F28">
      <w:pPr>
        <w:keepNext/>
        <w:keepLines/>
        <w:spacing w:line="500" w:lineRule="exact"/>
        <w:ind w:firstLine="562" w:firstLineChars="200"/>
        <w:rPr>
          <w:rFonts w:hint="eastAsia" w:ascii="宋体" w:hAnsi="宋体" w:eastAsia="宋体" w:cs="宋体"/>
          <w:b/>
          <w:bCs/>
          <w:sz w:val="28"/>
          <w:szCs w:val="28"/>
        </w:rPr>
      </w:pPr>
      <w:bookmarkStart w:id="124" w:name="_Toc217446078"/>
      <w:r>
        <w:rPr>
          <w:rFonts w:hint="eastAsia" w:ascii="宋体" w:hAnsi="宋体" w:eastAsia="宋体" w:cs="宋体"/>
          <w:b/>
          <w:bCs/>
          <w:sz w:val="28"/>
          <w:szCs w:val="28"/>
        </w:rPr>
        <w:t>28.</w:t>
      </w:r>
      <w:bookmarkStart w:id="125" w:name="_Toc217446077"/>
      <w:r>
        <w:rPr>
          <w:rFonts w:hint="eastAsia" w:ascii="宋体" w:hAnsi="宋体" w:eastAsia="宋体" w:cs="宋体"/>
          <w:b/>
          <w:bCs/>
          <w:sz w:val="28"/>
          <w:szCs w:val="28"/>
        </w:rPr>
        <w:t>申请支付</w:t>
      </w:r>
      <w:bookmarkEnd w:id="125"/>
    </w:p>
    <w:p w14:paraId="57F8F5A8">
      <w:pPr>
        <w:pStyle w:val="75"/>
        <w:spacing w:line="50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28.1</w:t>
      </w:r>
      <w:r>
        <w:rPr>
          <w:rFonts w:hint="eastAsia" w:ascii="宋体" w:hAnsi="宋体" w:eastAsia="宋体" w:cs="宋体"/>
          <w:sz w:val="28"/>
          <w:szCs w:val="28"/>
        </w:rPr>
        <w:t>详见“投标人须知前附表”</w:t>
      </w:r>
      <w:r>
        <w:rPr>
          <w:rFonts w:hint="eastAsia" w:ascii="宋体" w:hAnsi="宋体" w:eastAsia="宋体" w:cs="宋体"/>
          <w:snapToGrid w:val="0"/>
          <w:sz w:val="28"/>
          <w:szCs w:val="28"/>
        </w:rPr>
        <w:t>。</w:t>
      </w:r>
    </w:p>
    <w:p w14:paraId="659B86C7">
      <w:pPr>
        <w:pStyle w:val="4"/>
        <w:spacing w:before="0" w:after="0" w:line="500" w:lineRule="exact"/>
        <w:ind w:firstLine="562" w:firstLineChars="200"/>
        <w:jc w:val="center"/>
        <w:rPr>
          <w:rFonts w:hint="eastAsia" w:ascii="宋体" w:hAnsi="宋体" w:eastAsia="宋体" w:cs="宋体"/>
          <w:sz w:val="28"/>
          <w:szCs w:val="28"/>
        </w:rPr>
      </w:pPr>
      <w:r>
        <w:rPr>
          <w:rFonts w:hint="eastAsia" w:ascii="宋体" w:hAnsi="宋体" w:eastAsia="宋体" w:cs="宋体"/>
          <w:sz w:val="28"/>
          <w:szCs w:val="28"/>
        </w:rPr>
        <w:t>九、质疑和投诉</w:t>
      </w:r>
      <w:bookmarkEnd w:id="124"/>
      <w:bookmarkStart w:id="126" w:name="_Toc217446079"/>
    </w:p>
    <w:bookmarkEnd w:id="119"/>
    <w:bookmarkEnd w:id="120"/>
    <w:bookmarkEnd w:id="126"/>
    <w:p w14:paraId="0BE23BA7">
      <w:pPr>
        <w:pStyle w:val="13"/>
        <w:spacing w:after="0" w:line="500" w:lineRule="exact"/>
        <w:ind w:left="0" w:leftChars="0" w:firstLine="562" w:firstLineChars="200"/>
        <w:rPr>
          <w:rFonts w:hint="eastAsia" w:ascii="宋体" w:hAnsi="宋体" w:eastAsia="宋体" w:cs="宋体"/>
          <w:sz w:val="28"/>
          <w:szCs w:val="28"/>
        </w:rPr>
      </w:pPr>
      <w:r>
        <w:rPr>
          <w:rFonts w:hint="eastAsia" w:ascii="宋体" w:hAnsi="宋体" w:eastAsia="宋体" w:cs="宋体"/>
          <w:b/>
          <w:bCs/>
          <w:sz w:val="28"/>
          <w:szCs w:val="28"/>
        </w:rPr>
        <w:t>29．</w:t>
      </w:r>
      <w:r>
        <w:rPr>
          <w:rFonts w:hint="eastAsia" w:ascii="宋体" w:hAnsi="宋体" w:eastAsia="宋体" w:cs="宋体"/>
          <w:sz w:val="28"/>
          <w:szCs w:val="28"/>
        </w:rPr>
        <w:t>质疑、投诉的接收和处理严格参照《中华人民共和国政府采购法》《政府采购质疑和投诉办法》《财政部关于加强政府采购投标人投诉受理审查工作的通知》的规定办理。</w:t>
      </w:r>
    </w:p>
    <w:p w14:paraId="048522A2">
      <w:pPr>
        <w:pStyle w:val="13"/>
        <w:spacing w:after="0" w:line="500" w:lineRule="exact"/>
        <w:ind w:left="0" w:leftChars="0"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rPr>
        <w:t>29.1投标人认为招标文件、采购过程和中标、中标结果使自己的权益受到损害的，可以在知道或者应知其权益受到损害之日起</w:t>
      </w:r>
      <w:r>
        <w:rPr>
          <w:rFonts w:hint="eastAsia" w:ascii="宋体" w:hAnsi="宋体" w:eastAsia="宋体" w:cs="宋体"/>
          <w:b/>
          <w:bCs/>
          <w:sz w:val="28"/>
          <w:szCs w:val="28"/>
        </w:rPr>
        <w:t>七个工作日内</w:t>
      </w:r>
      <w:r>
        <w:rPr>
          <w:rFonts w:hint="eastAsia" w:ascii="宋体" w:hAnsi="宋体" w:eastAsia="宋体" w:cs="宋体"/>
          <w:sz w:val="28"/>
          <w:szCs w:val="28"/>
        </w:rPr>
        <w:t>，以</w:t>
      </w:r>
      <w:r>
        <w:rPr>
          <w:rFonts w:hint="eastAsia" w:ascii="宋体" w:hAnsi="宋体" w:eastAsia="宋体" w:cs="宋体"/>
          <w:b/>
          <w:bCs/>
          <w:sz w:val="28"/>
          <w:szCs w:val="28"/>
        </w:rPr>
        <w:t>书面形式</w:t>
      </w:r>
      <w:r>
        <w:rPr>
          <w:rFonts w:hint="eastAsia" w:ascii="宋体" w:hAnsi="宋体" w:eastAsia="宋体" w:cs="宋体"/>
          <w:sz w:val="28"/>
          <w:szCs w:val="28"/>
        </w:rPr>
        <w:t>向采购人提出质疑。针对同一采购环节的质疑应</w:t>
      </w:r>
      <w:r>
        <w:rPr>
          <w:rFonts w:hint="eastAsia" w:ascii="宋体" w:hAnsi="宋体" w:eastAsia="宋体" w:cs="宋体"/>
          <w:b/>
          <w:bCs/>
          <w:sz w:val="28"/>
          <w:szCs w:val="28"/>
        </w:rPr>
        <w:t>一次性提出</w:t>
      </w:r>
      <w:r>
        <w:rPr>
          <w:rFonts w:hint="eastAsia" w:ascii="宋体" w:hAnsi="宋体" w:eastAsia="宋体" w:cs="宋体"/>
          <w:sz w:val="28"/>
          <w:szCs w:val="28"/>
        </w:rPr>
        <w:t>，提出质疑的投标人应当是参与所质疑项目投标活动的投标人。</w:t>
      </w:r>
    </w:p>
    <w:p w14:paraId="73C6D47F">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29.2潜在投标人已依法获取其可质疑的招标文件的，可以对该文件提出质疑。对招标文件提出质疑的，应当在获取招标文件或者招标文件公告期限届满之日起7个工作日内提出。</w:t>
      </w:r>
    </w:p>
    <w:p w14:paraId="628F8865">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29.3投标人可以委托代理人进行质疑和投诉。其授权委托书应当载明代理人的姓名或者名称、代理事项、具体权限、期限和相关事项。应当由授权人、主要负责人签字或者盖章，并加盖公章。</w:t>
      </w:r>
    </w:p>
    <w:p w14:paraId="4FA98F2F">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代理人提出质疑和投诉，应当提交投标人签署的授权委托书。</w:t>
      </w:r>
    </w:p>
    <w:p w14:paraId="3A8966A6">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29.4投标人提出质疑应当提交质疑函和必要的证明材料。质疑函应当包括下列内容：</w:t>
      </w:r>
    </w:p>
    <w:p w14:paraId="6A50C27C">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（一）投标人的姓名或者名称、地址、邮编、联系人及联系电话；</w:t>
      </w:r>
    </w:p>
    <w:p w14:paraId="1909743E">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（二）质疑项目的名称、编号；</w:t>
      </w:r>
    </w:p>
    <w:p w14:paraId="25988DC7">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（三）具体、明确的质疑事项和与质疑事项相关的请求；</w:t>
      </w:r>
    </w:p>
    <w:p w14:paraId="0FC95600">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（四）事实依据；</w:t>
      </w:r>
    </w:p>
    <w:p w14:paraId="703A729A">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（五）必要的法律依据；</w:t>
      </w:r>
    </w:p>
    <w:p w14:paraId="164D48B6">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（六）提出质疑的日期。</w:t>
      </w:r>
    </w:p>
    <w:p w14:paraId="3D3F3F10">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应当由授权人、主要负责人或者其被授权人签字或盖章，并加盖公章。</w:t>
      </w:r>
    </w:p>
    <w:p w14:paraId="573EE083">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接收质疑函的方式：以书面形式向采购代理机构一次性提出质疑。</w:t>
      </w:r>
    </w:p>
    <w:p w14:paraId="4D5185D2">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联系部门：新疆拓源工程管理咨询有限公司招标部</w:t>
      </w:r>
    </w:p>
    <w:p w14:paraId="57CD5E1E">
      <w:pPr>
        <w:pStyle w:val="76"/>
        <w:widowControl/>
        <w:adjustRightIn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项目联系人：</w:t>
      </w:r>
      <w:r>
        <w:rPr>
          <w:rStyle w:val="30"/>
          <w:rFonts w:hint="eastAsia" w:ascii="宋体" w:hAnsi="宋体" w:eastAsia="宋体" w:cs="宋体"/>
          <w:bCs/>
          <w:sz w:val="28"/>
          <w:szCs w:val="28"/>
          <w:lang w:eastAsia="zh-CN"/>
        </w:rPr>
        <w:t>田释月、郭时忠、张曼</w:t>
      </w:r>
    </w:p>
    <w:p w14:paraId="43DE5595">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联系电话：17599816806、13009690616</w:t>
      </w:r>
    </w:p>
    <w:p w14:paraId="02E5AD2D">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通讯地址：乌鲁木齐市水磨沟区龙盛街898号万科中央公园S6栋5层</w:t>
      </w:r>
    </w:p>
    <w:p w14:paraId="31075360">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29.5质疑投标人对采购人、采购代理机构的答复不满意，或者采购人、采购代理机构未在规定时间内作出答复的，可以在答复期满后15个工作日内向本办法第六条规定的财政部门提起投诉。</w:t>
      </w:r>
    </w:p>
    <w:p w14:paraId="24FF9DF4">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29.6投诉人投诉时，应当提交投诉书和必要的证明材料，并按照被投诉采购人、采购代理机构（以下简称被投诉人）和与投诉事项有关的投标人数量提供投诉书的副本。投诉书应当包括下列内容：</w:t>
      </w:r>
    </w:p>
    <w:p w14:paraId="7FCC965D">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（一）投诉人和被投诉人的姓名或者名称、通讯地址、邮编、联系人及联系电话；</w:t>
      </w:r>
    </w:p>
    <w:p w14:paraId="43D808AA">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（二）质疑和质疑答复情况说明及相关证明材料；</w:t>
      </w:r>
    </w:p>
    <w:p w14:paraId="431A4868">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（三）具体、明确的投诉事项和与投诉事项相关的投诉请求；</w:t>
      </w:r>
    </w:p>
    <w:p w14:paraId="6605C598">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（四）事实依据；</w:t>
      </w:r>
    </w:p>
    <w:p w14:paraId="0EB05EFF">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（五）法律依据；</w:t>
      </w:r>
    </w:p>
    <w:p w14:paraId="3D635573">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（六）提起投诉的日期。</w:t>
      </w:r>
    </w:p>
    <w:p w14:paraId="463E9BBC">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应当由授权人、主要负责人，或者其授权代表签字或者盖章，并加盖公章。</w:t>
      </w:r>
    </w:p>
    <w:p w14:paraId="414AB674">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29.7投诉人应当根据《政府采购质疑和投诉办法》第七条第二款规定的信息内容，并按照其规定的方式提起投诉。</w:t>
      </w:r>
    </w:p>
    <w:p w14:paraId="4F3447C3">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投诉人提起投诉应当符合下列条件：</w:t>
      </w:r>
    </w:p>
    <w:p w14:paraId="654CAF7C">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（一）提起投诉前已依法进行质疑；</w:t>
      </w:r>
    </w:p>
    <w:p w14:paraId="7C3FC3AC">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（二）投诉书内容符合本办法的规定；</w:t>
      </w:r>
    </w:p>
    <w:p w14:paraId="5E83106B">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（三）在投诉有效期限内提起投诉；</w:t>
      </w:r>
    </w:p>
    <w:p w14:paraId="16C29773">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（四）同一投诉事项未经财政部门投诉处理；</w:t>
      </w:r>
    </w:p>
    <w:p w14:paraId="77028EE9">
      <w:pPr>
        <w:pStyle w:val="13"/>
        <w:spacing w:after="0" w:line="50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（五）财政部规定的其他条件。</w:t>
      </w:r>
    </w:p>
    <w:p w14:paraId="47DD0451">
      <w:pP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rPr>
        <w:t>质疑函范本</w:t>
      </w:r>
    </w:p>
    <w:p w14:paraId="11BAB9A7">
      <w:pPr>
        <w:adjustRightInd w:val="0"/>
        <w:snapToGrid w:val="0"/>
        <w:spacing w:line="500" w:lineRule="exact"/>
        <w:rPr>
          <w:rFonts w:hint="eastAsia" w:ascii="宋体" w:hAnsi="宋体" w:eastAsia="宋体" w:cs="宋体"/>
          <w:bCs/>
          <w:sz w:val="28"/>
          <w:szCs w:val="28"/>
        </w:rPr>
      </w:pPr>
      <w:r>
        <w:rPr>
          <w:rFonts w:hint="eastAsia" w:ascii="宋体" w:hAnsi="宋体" w:eastAsia="宋体" w:cs="宋体"/>
          <w:bCs/>
          <w:sz w:val="28"/>
          <w:szCs w:val="28"/>
        </w:rPr>
        <w:t>一、质疑投标人基本信息</w:t>
      </w:r>
    </w:p>
    <w:p w14:paraId="0E54CC60">
      <w:pPr>
        <w:adjustRightInd w:val="0"/>
        <w:snapToGrid w:val="0"/>
        <w:spacing w:line="500" w:lineRule="exact"/>
        <w:rPr>
          <w:rFonts w:hint="eastAsia" w:ascii="宋体" w:hAnsi="宋体" w:eastAsia="宋体" w:cs="宋体"/>
          <w:sz w:val="28"/>
          <w:szCs w:val="28"/>
          <w:u w:val="dotted"/>
        </w:rPr>
      </w:pPr>
      <w:r>
        <w:rPr>
          <w:rFonts w:hint="eastAsia" w:ascii="宋体" w:hAnsi="宋体" w:eastAsia="宋体" w:cs="宋体"/>
          <w:sz w:val="28"/>
          <w:szCs w:val="28"/>
        </w:rPr>
        <w:t>质疑投标人：</w:t>
      </w:r>
      <w:r>
        <w:rPr>
          <w:rFonts w:hint="eastAsia" w:ascii="宋体" w:hAnsi="宋体" w:eastAsia="宋体" w:cs="宋体"/>
          <w:sz w:val="28"/>
          <w:szCs w:val="28"/>
          <w:u w:val="dotted"/>
        </w:rPr>
        <w:t xml:space="preserve">                                        </w:t>
      </w:r>
    </w:p>
    <w:p w14:paraId="506726BF">
      <w:pPr>
        <w:adjustRightInd w:val="0"/>
        <w:snapToGrid w:val="0"/>
        <w:spacing w:line="500" w:lineRule="exact"/>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u w:val="dotted"/>
        </w:rPr>
        <w:t xml:space="preserve">                          </w:t>
      </w:r>
      <w:r>
        <w:rPr>
          <w:rFonts w:hint="eastAsia" w:ascii="宋体" w:hAnsi="宋体" w:eastAsia="宋体" w:cs="宋体"/>
          <w:sz w:val="28"/>
          <w:szCs w:val="28"/>
        </w:rPr>
        <w:t>邮编：</w:t>
      </w:r>
      <w:r>
        <w:rPr>
          <w:rFonts w:hint="eastAsia" w:ascii="宋体" w:hAnsi="宋体" w:eastAsia="宋体" w:cs="宋体"/>
          <w:sz w:val="28"/>
          <w:szCs w:val="28"/>
          <w:u w:val="dotted"/>
        </w:rPr>
        <w:t xml:space="preserve">                           </w:t>
      </w:r>
    </w:p>
    <w:p w14:paraId="010A729B">
      <w:pPr>
        <w:adjustRightInd w:val="0"/>
        <w:snapToGrid w:val="0"/>
        <w:spacing w:line="500" w:lineRule="exact"/>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u w:val="dotted"/>
        </w:rPr>
        <w:t xml:space="preserve">                      </w:t>
      </w:r>
      <w:r>
        <w:rPr>
          <w:rFonts w:hint="eastAsia" w:ascii="宋体" w:hAnsi="宋体" w:eastAsia="宋体" w:cs="宋体"/>
          <w:sz w:val="28"/>
          <w:szCs w:val="28"/>
        </w:rPr>
        <w:t>联系电话：</w:t>
      </w:r>
      <w:r>
        <w:rPr>
          <w:rFonts w:hint="eastAsia" w:ascii="宋体" w:hAnsi="宋体" w:eastAsia="宋体" w:cs="宋体"/>
          <w:sz w:val="28"/>
          <w:szCs w:val="28"/>
          <w:u w:val="dotted"/>
        </w:rPr>
        <w:t xml:space="preserve">                              </w:t>
      </w:r>
    </w:p>
    <w:p w14:paraId="39E3C9A6">
      <w:pPr>
        <w:adjustRightInd w:val="0"/>
        <w:snapToGrid w:val="0"/>
        <w:spacing w:line="500" w:lineRule="exact"/>
        <w:rPr>
          <w:rFonts w:hint="eastAsia" w:ascii="宋体" w:hAnsi="宋体" w:eastAsia="宋体" w:cs="宋体"/>
          <w:sz w:val="28"/>
          <w:szCs w:val="28"/>
          <w:u w:val="dotted"/>
        </w:rPr>
      </w:pPr>
      <w:r>
        <w:rPr>
          <w:rFonts w:hint="eastAsia" w:ascii="宋体" w:hAnsi="宋体" w:eastAsia="宋体" w:cs="宋体"/>
          <w:sz w:val="28"/>
          <w:szCs w:val="28"/>
        </w:rPr>
        <w:t>授权代表：</w:t>
      </w:r>
      <w:r>
        <w:rPr>
          <w:rFonts w:hint="eastAsia" w:ascii="宋体" w:hAnsi="宋体" w:eastAsia="宋体" w:cs="宋体"/>
          <w:sz w:val="28"/>
          <w:szCs w:val="28"/>
          <w:u w:val="dotted"/>
        </w:rPr>
        <w:t xml:space="preserve">                                          </w:t>
      </w:r>
    </w:p>
    <w:p w14:paraId="3FAB8C6B">
      <w:pPr>
        <w:adjustRightInd w:val="0"/>
        <w:snapToGrid w:val="0"/>
        <w:spacing w:line="500" w:lineRule="exact"/>
        <w:rPr>
          <w:rFonts w:hint="eastAsia" w:ascii="宋体" w:hAnsi="宋体" w:eastAsia="宋体" w:cs="宋体"/>
          <w:sz w:val="28"/>
          <w:szCs w:val="28"/>
        </w:rPr>
      </w:pPr>
      <w:r>
        <w:rPr>
          <w:rFonts w:hint="eastAsia" w:ascii="宋体" w:hAnsi="宋体" w:eastAsia="宋体" w:cs="宋体"/>
          <w:sz w:val="28"/>
          <w:szCs w:val="28"/>
        </w:rPr>
        <w:t>联系电话：</w:t>
      </w:r>
      <w:r>
        <w:rPr>
          <w:rFonts w:hint="eastAsia" w:ascii="宋体" w:hAnsi="宋体" w:eastAsia="宋体" w:cs="宋体"/>
          <w:sz w:val="28"/>
          <w:szCs w:val="28"/>
          <w:u w:val="dotted"/>
        </w:rPr>
        <w:t xml:space="preserve">                                           </w:t>
      </w:r>
      <w:r>
        <w:rPr>
          <w:rFonts w:hint="eastAsia" w:ascii="宋体" w:hAnsi="宋体" w:eastAsia="宋体" w:cs="宋体"/>
          <w:sz w:val="28"/>
          <w:szCs w:val="28"/>
        </w:rPr>
        <w:t xml:space="preserve"> </w:t>
      </w:r>
    </w:p>
    <w:p w14:paraId="1C5C435D">
      <w:pPr>
        <w:adjustRightInd w:val="0"/>
        <w:snapToGrid w:val="0"/>
        <w:spacing w:line="500" w:lineRule="exact"/>
        <w:rPr>
          <w:rFonts w:hint="eastAsia" w:ascii="宋体" w:hAnsi="宋体" w:eastAsia="宋体" w:cs="宋体"/>
          <w:bCs/>
          <w:sz w:val="28"/>
          <w:szCs w:val="28"/>
        </w:rPr>
      </w:pPr>
      <w:r>
        <w:rPr>
          <w:rFonts w:hint="eastAsia" w:ascii="宋体" w:hAnsi="宋体" w:eastAsia="宋体" w:cs="宋体"/>
          <w:sz w:val="28"/>
          <w:szCs w:val="28"/>
        </w:rPr>
        <w:t xml:space="preserve">地址： </w:t>
      </w:r>
      <w:r>
        <w:rPr>
          <w:rFonts w:hint="eastAsia" w:ascii="宋体" w:hAnsi="宋体" w:eastAsia="宋体" w:cs="宋体"/>
          <w:sz w:val="28"/>
          <w:szCs w:val="28"/>
          <w:u w:val="dotted"/>
        </w:rPr>
        <w:t xml:space="preserve">                        </w:t>
      </w:r>
      <w:r>
        <w:rPr>
          <w:rFonts w:hint="eastAsia" w:ascii="宋体" w:hAnsi="宋体" w:eastAsia="宋体" w:cs="宋体"/>
          <w:sz w:val="28"/>
          <w:szCs w:val="28"/>
        </w:rPr>
        <w:t>邮编：</w:t>
      </w:r>
      <w:r>
        <w:rPr>
          <w:rFonts w:hint="eastAsia" w:ascii="宋体" w:hAnsi="宋体" w:eastAsia="宋体" w:cs="宋体"/>
          <w:sz w:val="28"/>
          <w:szCs w:val="28"/>
          <w:u w:val="dotted"/>
        </w:rPr>
        <w:t xml:space="preserve">                           </w:t>
      </w:r>
      <w:r>
        <w:rPr>
          <w:rFonts w:hint="eastAsia" w:ascii="宋体" w:hAnsi="宋体" w:eastAsia="宋体" w:cs="宋体"/>
          <w:bCs/>
          <w:sz w:val="28"/>
          <w:szCs w:val="28"/>
        </w:rPr>
        <w:t>二、质疑项目基本情况</w:t>
      </w:r>
    </w:p>
    <w:p w14:paraId="59CDA7E4">
      <w:pPr>
        <w:adjustRightInd w:val="0"/>
        <w:snapToGrid w:val="0"/>
        <w:spacing w:line="500" w:lineRule="exact"/>
        <w:rPr>
          <w:rFonts w:hint="eastAsia" w:ascii="宋体" w:hAnsi="宋体" w:eastAsia="宋体" w:cs="宋体"/>
          <w:sz w:val="28"/>
          <w:szCs w:val="28"/>
        </w:rPr>
      </w:pPr>
      <w:r>
        <w:rPr>
          <w:rFonts w:hint="eastAsia" w:ascii="宋体" w:hAnsi="宋体" w:eastAsia="宋体" w:cs="宋体"/>
          <w:sz w:val="28"/>
          <w:szCs w:val="28"/>
        </w:rPr>
        <w:t>质疑项目的名称：</w:t>
      </w:r>
      <w:r>
        <w:rPr>
          <w:rFonts w:hint="eastAsia" w:ascii="宋体" w:hAnsi="宋体" w:eastAsia="宋体" w:cs="宋体"/>
          <w:sz w:val="28"/>
          <w:szCs w:val="28"/>
          <w:u w:val="dotted"/>
        </w:rPr>
        <w:t xml:space="preserve">                                      </w:t>
      </w:r>
    </w:p>
    <w:p w14:paraId="207729C4">
      <w:pPr>
        <w:adjustRightInd w:val="0"/>
        <w:snapToGrid w:val="0"/>
        <w:spacing w:line="500" w:lineRule="exact"/>
        <w:rPr>
          <w:rFonts w:hint="eastAsia" w:ascii="宋体" w:hAnsi="宋体" w:eastAsia="宋体" w:cs="宋体"/>
          <w:sz w:val="28"/>
          <w:szCs w:val="28"/>
        </w:rPr>
      </w:pPr>
      <w:r>
        <w:rPr>
          <w:rFonts w:hint="eastAsia" w:ascii="宋体" w:hAnsi="宋体" w:eastAsia="宋体" w:cs="宋体"/>
          <w:sz w:val="28"/>
          <w:szCs w:val="28"/>
        </w:rPr>
        <w:t>质疑项目的编号：</w:t>
      </w:r>
      <w:r>
        <w:rPr>
          <w:rFonts w:hint="eastAsia" w:ascii="宋体" w:hAnsi="宋体" w:eastAsia="宋体" w:cs="宋体"/>
          <w:sz w:val="28"/>
          <w:szCs w:val="28"/>
          <w:u w:val="dotted"/>
        </w:rPr>
        <w:t xml:space="preserve">               </w:t>
      </w:r>
      <w:r>
        <w:rPr>
          <w:rFonts w:hint="eastAsia" w:ascii="宋体" w:hAnsi="宋体" w:eastAsia="宋体" w:cs="宋体"/>
          <w:sz w:val="28"/>
          <w:szCs w:val="28"/>
        </w:rPr>
        <w:t>包号：</w:t>
      </w:r>
      <w:r>
        <w:rPr>
          <w:rFonts w:hint="eastAsia" w:ascii="宋体" w:hAnsi="宋体" w:eastAsia="宋体" w:cs="宋体"/>
          <w:sz w:val="28"/>
          <w:szCs w:val="28"/>
          <w:u w:val="dotted"/>
        </w:rPr>
        <w:t xml:space="preserve">                 </w:t>
      </w:r>
    </w:p>
    <w:p w14:paraId="1529BC03">
      <w:pPr>
        <w:adjustRightInd w:val="0"/>
        <w:snapToGrid w:val="0"/>
        <w:spacing w:line="500" w:lineRule="exact"/>
        <w:rPr>
          <w:rFonts w:hint="eastAsia" w:ascii="宋体" w:hAnsi="宋体" w:eastAsia="宋体" w:cs="宋体"/>
          <w:sz w:val="28"/>
          <w:szCs w:val="28"/>
          <w:u w:val="dotted"/>
        </w:rPr>
      </w:pPr>
      <w:r>
        <w:rPr>
          <w:rFonts w:hint="eastAsia" w:ascii="宋体" w:hAnsi="宋体" w:eastAsia="宋体" w:cs="宋体"/>
          <w:sz w:val="28"/>
          <w:szCs w:val="28"/>
        </w:rPr>
        <w:t>采购人名称：</w:t>
      </w:r>
      <w:r>
        <w:rPr>
          <w:rFonts w:hint="eastAsia" w:ascii="宋体" w:hAnsi="宋体" w:eastAsia="宋体" w:cs="宋体"/>
          <w:sz w:val="28"/>
          <w:szCs w:val="28"/>
          <w:u w:val="dotted"/>
        </w:rPr>
        <w:t xml:space="preserve">                                         </w:t>
      </w:r>
    </w:p>
    <w:p w14:paraId="5150D60F">
      <w:pPr>
        <w:adjustRightInd w:val="0"/>
        <w:snapToGrid w:val="0"/>
        <w:spacing w:line="500" w:lineRule="exact"/>
        <w:rPr>
          <w:rFonts w:hint="eastAsia" w:ascii="宋体" w:hAnsi="宋体" w:eastAsia="宋体" w:cs="宋体"/>
          <w:sz w:val="28"/>
          <w:szCs w:val="28"/>
        </w:rPr>
      </w:pPr>
      <w:r>
        <w:rPr>
          <w:rFonts w:hint="eastAsia" w:ascii="宋体" w:hAnsi="宋体" w:eastAsia="宋体" w:cs="宋体"/>
          <w:sz w:val="28"/>
          <w:szCs w:val="28"/>
        </w:rPr>
        <w:t>招标文件获取日期：</w:t>
      </w:r>
      <w:r>
        <w:rPr>
          <w:rFonts w:hint="eastAsia" w:ascii="宋体" w:hAnsi="宋体" w:eastAsia="宋体" w:cs="宋体"/>
          <w:sz w:val="28"/>
          <w:szCs w:val="28"/>
          <w:u w:val="dotted"/>
        </w:rPr>
        <w:t xml:space="preserve">                                           </w:t>
      </w:r>
    </w:p>
    <w:p w14:paraId="0EE725A2">
      <w:pPr>
        <w:adjustRightInd w:val="0"/>
        <w:snapToGrid w:val="0"/>
        <w:spacing w:line="500" w:lineRule="exact"/>
        <w:rPr>
          <w:rFonts w:hint="eastAsia" w:ascii="宋体" w:hAnsi="宋体" w:eastAsia="宋体" w:cs="宋体"/>
          <w:bCs/>
          <w:sz w:val="28"/>
          <w:szCs w:val="28"/>
        </w:rPr>
      </w:pPr>
      <w:r>
        <w:rPr>
          <w:rFonts w:hint="eastAsia" w:ascii="宋体" w:hAnsi="宋体" w:eastAsia="宋体" w:cs="宋体"/>
          <w:bCs/>
          <w:sz w:val="28"/>
          <w:szCs w:val="28"/>
        </w:rPr>
        <w:t>三、质疑事项具体内容</w:t>
      </w:r>
    </w:p>
    <w:p w14:paraId="2E62CF85">
      <w:pPr>
        <w:adjustRightInd w:val="0"/>
        <w:snapToGrid w:val="0"/>
        <w:spacing w:line="500" w:lineRule="exact"/>
        <w:rPr>
          <w:rFonts w:hint="eastAsia" w:ascii="宋体" w:hAnsi="宋体" w:eastAsia="宋体" w:cs="宋体"/>
          <w:sz w:val="28"/>
          <w:szCs w:val="28"/>
          <w:u w:val="dotted"/>
        </w:rPr>
      </w:pPr>
      <w:r>
        <w:rPr>
          <w:rFonts w:hint="eastAsia" w:ascii="宋体" w:hAnsi="宋体" w:eastAsia="宋体" w:cs="宋体"/>
          <w:sz w:val="28"/>
          <w:szCs w:val="28"/>
        </w:rPr>
        <w:t>质疑事项1：</w:t>
      </w:r>
      <w:r>
        <w:rPr>
          <w:rFonts w:hint="eastAsia" w:ascii="宋体" w:hAnsi="宋体" w:eastAsia="宋体" w:cs="宋体"/>
          <w:sz w:val="28"/>
          <w:szCs w:val="28"/>
          <w:u w:val="dotted"/>
        </w:rPr>
        <w:t xml:space="preserve">                                         </w:t>
      </w:r>
    </w:p>
    <w:p w14:paraId="305AC909">
      <w:pPr>
        <w:adjustRightInd w:val="0"/>
        <w:snapToGrid w:val="0"/>
        <w:spacing w:line="500" w:lineRule="exact"/>
        <w:rPr>
          <w:rFonts w:hint="eastAsia" w:ascii="宋体" w:hAnsi="宋体" w:eastAsia="宋体" w:cs="宋体"/>
          <w:sz w:val="28"/>
          <w:szCs w:val="28"/>
          <w:u w:val="dotted"/>
        </w:rPr>
      </w:pPr>
      <w:r>
        <w:rPr>
          <w:rFonts w:hint="eastAsia" w:ascii="宋体" w:hAnsi="宋体" w:eastAsia="宋体" w:cs="宋体"/>
          <w:sz w:val="28"/>
          <w:szCs w:val="28"/>
        </w:rPr>
        <w:t>事实依据：</w:t>
      </w:r>
      <w:r>
        <w:rPr>
          <w:rFonts w:hint="eastAsia" w:ascii="宋体" w:hAnsi="宋体" w:eastAsia="宋体" w:cs="宋体"/>
          <w:sz w:val="28"/>
          <w:szCs w:val="28"/>
          <w:u w:val="dotted"/>
        </w:rPr>
        <w:t xml:space="preserve">                                          </w:t>
      </w:r>
    </w:p>
    <w:p w14:paraId="3A25198C">
      <w:pPr>
        <w:adjustRightInd w:val="0"/>
        <w:snapToGrid w:val="0"/>
        <w:spacing w:line="500" w:lineRule="exact"/>
        <w:rPr>
          <w:rFonts w:hint="eastAsia" w:ascii="宋体" w:hAnsi="宋体" w:eastAsia="宋体" w:cs="宋体"/>
          <w:sz w:val="28"/>
          <w:szCs w:val="28"/>
        </w:rPr>
      </w:pPr>
      <w:r>
        <w:rPr>
          <w:rFonts w:hint="eastAsia" w:ascii="宋体" w:hAnsi="宋体" w:eastAsia="宋体" w:cs="宋体"/>
          <w:sz w:val="28"/>
          <w:szCs w:val="28"/>
          <w:u w:val="dotted"/>
        </w:rPr>
        <w:t xml:space="preserve">                                                       </w:t>
      </w:r>
    </w:p>
    <w:p w14:paraId="6F86E4E1">
      <w:pPr>
        <w:adjustRightInd w:val="0"/>
        <w:snapToGrid w:val="0"/>
        <w:spacing w:line="500" w:lineRule="exact"/>
        <w:rPr>
          <w:rFonts w:hint="eastAsia" w:ascii="宋体" w:hAnsi="宋体" w:eastAsia="宋体" w:cs="宋体"/>
          <w:sz w:val="28"/>
          <w:szCs w:val="28"/>
          <w:u w:val="dotted"/>
        </w:rPr>
      </w:pPr>
      <w:r>
        <w:rPr>
          <w:rFonts w:hint="eastAsia" w:ascii="宋体" w:hAnsi="宋体" w:eastAsia="宋体" w:cs="宋体"/>
          <w:sz w:val="28"/>
          <w:szCs w:val="28"/>
        </w:rPr>
        <w:t>法律依据：</w:t>
      </w:r>
      <w:r>
        <w:rPr>
          <w:rFonts w:hint="eastAsia" w:ascii="宋体" w:hAnsi="宋体" w:eastAsia="宋体" w:cs="宋体"/>
          <w:sz w:val="28"/>
          <w:szCs w:val="28"/>
          <w:u w:val="dotted"/>
        </w:rPr>
        <w:t xml:space="preserve">                                          </w:t>
      </w:r>
    </w:p>
    <w:p w14:paraId="6E317B6C">
      <w:pPr>
        <w:adjustRightInd w:val="0"/>
        <w:snapToGrid w:val="0"/>
        <w:spacing w:line="500" w:lineRule="exact"/>
        <w:rPr>
          <w:rFonts w:hint="eastAsia" w:ascii="宋体" w:hAnsi="宋体" w:eastAsia="宋体" w:cs="宋体"/>
          <w:sz w:val="28"/>
          <w:szCs w:val="28"/>
          <w:u w:val="dotted"/>
        </w:rPr>
      </w:pPr>
      <w:r>
        <w:rPr>
          <w:rFonts w:hint="eastAsia" w:ascii="宋体" w:hAnsi="宋体" w:eastAsia="宋体" w:cs="宋体"/>
          <w:sz w:val="28"/>
          <w:szCs w:val="28"/>
          <w:u w:val="dotted"/>
        </w:rPr>
        <w:t xml:space="preserve">                                                     </w:t>
      </w:r>
    </w:p>
    <w:p w14:paraId="45B09E6F">
      <w:pPr>
        <w:adjustRightInd w:val="0"/>
        <w:snapToGrid w:val="0"/>
        <w:spacing w:line="500" w:lineRule="exact"/>
        <w:rPr>
          <w:rFonts w:hint="eastAsia" w:ascii="宋体" w:hAnsi="宋体" w:eastAsia="宋体" w:cs="宋体"/>
          <w:sz w:val="28"/>
          <w:szCs w:val="28"/>
          <w:u w:val="dotted"/>
        </w:rPr>
      </w:pPr>
      <w:r>
        <w:rPr>
          <w:rFonts w:hint="eastAsia" w:ascii="宋体" w:hAnsi="宋体" w:eastAsia="宋体" w:cs="宋体"/>
          <w:sz w:val="28"/>
          <w:szCs w:val="28"/>
        </w:rPr>
        <w:t>质疑事项2</w:t>
      </w:r>
    </w:p>
    <w:p w14:paraId="6DC7B57B">
      <w:pPr>
        <w:adjustRightInd w:val="0"/>
        <w:snapToGrid w:val="0"/>
        <w:spacing w:line="500" w:lineRule="exact"/>
        <w:rPr>
          <w:rFonts w:hint="eastAsia" w:ascii="宋体" w:hAnsi="宋体" w:eastAsia="宋体" w:cs="宋体"/>
          <w:sz w:val="28"/>
          <w:szCs w:val="28"/>
        </w:rPr>
      </w:pPr>
      <w:r>
        <w:rPr>
          <w:rFonts w:hint="eastAsia" w:ascii="宋体" w:hAnsi="宋体" w:eastAsia="宋体" w:cs="宋体"/>
          <w:sz w:val="28"/>
          <w:szCs w:val="28"/>
        </w:rPr>
        <w:t>……</w:t>
      </w:r>
    </w:p>
    <w:p w14:paraId="32E6A1AC">
      <w:pPr>
        <w:adjustRightInd w:val="0"/>
        <w:snapToGrid w:val="0"/>
        <w:spacing w:line="500" w:lineRule="exact"/>
        <w:rPr>
          <w:rFonts w:hint="eastAsia" w:ascii="宋体" w:hAnsi="宋体" w:eastAsia="宋体" w:cs="宋体"/>
          <w:bCs/>
          <w:sz w:val="28"/>
          <w:szCs w:val="28"/>
        </w:rPr>
      </w:pPr>
      <w:r>
        <w:rPr>
          <w:rFonts w:hint="eastAsia" w:ascii="宋体" w:hAnsi="宋体" w:eastAsia="宋体" w:cs="宋体"/>
          <w:bCs/>
          <w:sz w:val="28"/>
          <w:szCs w:val="28"/>
        </w:rPr>
        <w:t>四、与质疑事项相关的质疑请求</w:t>
      </w:r>
    </w:p>
    <w:p w14:paraId="3E0C56D6">
      <w:pPr>
        <w:adjustRightInd w:val="0"/>
        <w:snapToGrid w:val="0"/>
        <w:spacing w:line="500" w:lineRule="exact"/>
        <w:rPr>
          <w:rFonts w:hint="eastAsia" w:ascii="宋体" w:hAnsi="宋体" w:eastAsia="宋体" w:cs="宋体"/>
          <w:sz w:val="28"/>
          <w:szCs w:val="28"/>
          <w:u w:val="dotted"/>
        </w:rPr>
      </w:pPr>
      <w:r>
        <w:rPr>
          <w:rFonts w:hint="eastAsia" w:ascii="宋体" w:hAnsi="宋体" w:eastAsia="宋体" w:cs="宋体"/>
          <w:sz w:val="28"/>
          <w:szCs w:val="28"/>
        </w:rPr>
        <w:t>请求：</w:t>
      </w:r>
      <w:r>
        <w:rPr>
          <w:rFonts w:hint="eastAsia" w:ascii="宋体" w:hAnsi="宋体" w:eastAsia="宋体" w:cs="宋体"/>
          <w:sz w:val="28"/>
          <w:szCs w:val="28"/>
          <w:u w:val="dotted"/>
        </w:rPr>
        <w:t xml:space="preserve">                                               </w:t>
      </w:r>
    </w:p>
    <w:p w14:paraId="61D19456">
      <w:pPr>
        <w:spacing w:line="500" w:lineRule="exact"/>
        <w:rPr>
          <w:rFonts w:hint="eastAsia" w:ascii="宋体" w:hAnsi="宋体" w:eastAsia="宋体" w:cs="宋体"/>
          <w:sz w:val="28"/>
          <w:szCs w:val="28"/>
        </w:rPr>
      </w:pPr>
    </w:p>
    <w:p w14:paraId="2DEE43CF">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投标人（盖章）：                      </w:t>
      </w:r>
    </w:p>
    <w:p w14:paraId="2B89165A">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授权人、主要负责人或者其被授权人（签字或盖章）：                   </w:t>
      </w:r>
    </w:p>
    <w:p w14:paraId="3C382AED">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日期：  </w:t>
      </w:r>
    </w:p>
    <w:p w14:paraId="5CF7DD07">
      <w:pPr>
        <w:spacing w:line="500" w:lineRule="exact"/>
        <w:ind w:firstLine="562" w:firstLineChars="200"/>
        <w:rPr>
          <w:rFonts w:hint="eastAsia" w:ascii="宋体" w:hAnsi="宋体" w:eastAsia="宋体" w:cs="宋体"/>
          <w:b/>
          <w:bCs/>
          <w:sz w:val="28"/>
          <w:szCs w:val="28"/>
        </w:rPr>
      </w:pPr>
    </w:p>
    <w:p w14:paraId="3DBDED35">
      <w:p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质疑函制作说明：</w:t>
      </w:r>
    </w:p>
    <w:p w14:paraId="0976663D">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1.投标人提出质疑时，应提交质疑函和必要的证明材料。</w:t>
      </w:r>
    </w:p>
    <w:p w14:paraId="1B6CD9EA">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质疑投标人若委托代理人进行质疑的，质疑函应按要求列明“被授权人”的有关内容，并在附件中提交由质疑投标人签署的授权委托书。授权委托书应载明代理人的姓名或者名称、代理事项、具体权限、期限和相关事项。</w:t>
      </w:r>
    </w:p>
    <w:p w14:paraId="0DA45122">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3.质疑投标人若对项目的某一分包进行质疑，质疑函中应列明具体分包号。</w:t>
      </w:r>
    </w:p>
    <w:p w14:paraId="43C6D55D">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4.质疑函的质疑事项应具体、明确，并有必要的事实依据和法律依据。</w:t>
      </w:r>
    </w:p>
    <w:p w14:paraId="04E0B792">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5.质疑函的质疑请求应与质疑事项相关。</w:t>
      </w:r>
    </w:p>
    <w:p w14:paraId="700A612F">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6.质疑投标人的质疑函应由授权人、主要负责人或者其被授权人签字或者盖章，并加盖公章。  </w:t>
      </w:r>
    </w:p>
    <w:p w14:paraId="29750394">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1B6335CE">
      <w:pPr>
        <w:rPr>
          <w:rFonts w:hint="eastAsia" w:ascii="宋体" w:hAnsi="宋体" w:eastAsia="宋体" w:cs="宋体"/>
        </w:rPr>
      </w:pPr>
    </w:p>
    <w:p w14:paraId="32CAC5DD">
      <w:pPr>
        <w:spacing w:line="500" w:lineRule="exact"/>
        <w:jc w:val="center"/>
        <w:outlineLvl w:val="0"/>
        <w:rPr>
          <w:rFonts w:hint="eastAsia" w:ascii="宋体" w:hAnsi="宋体" w:eastAsia="宋体" w:cs="宋体"/>
          <w:b/>
          <w:bCs/>
          <w:sz w:val="28"/>
          <w:szCs w:val="28"/>
        </w:rPr>
      </w:pPr>
      <w:r>
        <w:rPr>
          <w:rFonts w:hint="eastAsia" w:ascii="宋体" w:hAnsi="宋体" w:eastAsia="宋体" w:cs="宋体"/>
          <w:b/>
          <w:bCs/>
          <w:sz w:val="28"/>
          <w:szCs w:val="28"/>
        </w:rPr>
        <w:br w:type="page"/>
      </w:r>
      <w:bookmarkStart w:id="127" w:name="_Toc29822"/>
      <w:bookmarkStart w:id="128" w:name="_Toc5850_WPSOffice_Level1"/>
      <w:bookmarkStart w:id="129" w:name="_Toc1078016322"/>
      <w:bookmarkStart w:id="130" w:name="_Toc21003"/>
      <w:bookmarkStart w:id="131" w:name="_Toc14436"/>
      <w:bookmarkStart w:id="132" w:name="_Toc228046104"/>
      <w:bookmarkStart w:id="133" w:name="_Toc22848"/>
      <w:bookmarkStart w:id="134" w:name="_Toc31258"/>
      <w:bookmarkStart w:id="135" w:name="_Toc14285"/>
      <w:bookmarkStart w:id="136" w:name="_Toc28790"/>
      <w:r>
        <w:rPr>
          <w:rFonts w:hint="eastAsia" w:ascii="宋体" w:hAnsi="宋体" w:eastAsia="宋体" w:cs="宋体"/>
          <w:b/>
          <w:bCs/>
          <w:sz w:val="28"/>
          <w:szCs w:val="28"/>
        </w:rPr>
        <w:t>第三章  投标文件格式</w:t>
      </w:r>
      <w:bookmarkEnd w:id="127"/>
      <w:bookmarkEnd w:id="128"/>
      <w:bookmarkEnd w:id="129"/>
      <w:bookmarkEnd w:id="130"/>
      <w:bookmarkEnd w:id="131"/>
      <w:bookmarkEnd w:id="132"/>
      <w:bookmarkEnd w:id="133"/>
      <w:bookmarkEnd w:id="134"/>
      <w:bookmarkEnd w:id="135"/>
      <w:bookmarkEnd w:id="136"/>
    </w:p>
    <w:p w14:paraId="52503FEE">
      <w:pPr>
        <w:spacing w:line="500" w:lineRule="exact"/>
        <w:rPr>
          <w:rFonts w:hint="eastAsia" w:ascii="宋体" w:hAnsi="宋体" w:eastAsia="宋体" w:cs="宋体"/>
          <w:sz w:val="28"/>
          <w:szCs w:val="28"/>
          <w:u w:val="single"/>
        </w:rPr>
      </w:pPr>
      <w:r>
        <w:rPr>
          <w:rFonts w:hint="eastAsia" w:ascii="宋体" w:hAnsi="宋体" w:eastAsia="宋体" w:cs="宋体"/>
          <w:sz w:val="28"/>
          <w:szCs w:val="28"/>
          <w:u w:val="single"/>
        </w:rPr>
        <w:t>投标文件封面示例</w:t>
      </w:r>
    </w:p>
    <w:p w14:paraId="171AC3AE">
      <w:pPr>
        <w:spacing w:line="500" w:lineRule="exact"/>
        <w:rPr>
          <w:rFonts w:hint="eastAsia" w:ascii="宋体" w:hAnsi="宋体" w:eastAsia="宋体" w:cs="宋体"/>
          <w:b/>
          <w:sz w:val="28"/>
          <w:szCs w:val="28"/>
        </w:rPr>
      </w:pPr>
    </w:p>
    <w:p w14:paraId="68CF575B">
      <w:pPr>
        <w:spacing w:line="500" w:lineRule="exact"/>
        <w:jc w:val="center"/>
        <w:rPr>
          <w:rFonts w:hint="eastAsia" w:ascii="宋体" w:hAnsi="宋体" w:eastAsia="宋体" w:cs="宋体"/>
          <w:b/>
          <w:sz w:val="28"/>
          <w:szCs w:val="28"/>
        </w:rPr>
      </w:pPr>
    </w:p>
    <w:p w14:paraId="2F2F4D68">
      <w:pPr>
        <w:spacing w:line="500" w:lineRule="exact"/>
        <w:jc w:val="center"/>
        <w:rPr>
          <w:rFonts w:hint="eastAsia" w:ascii="宋体" w:hAnsi="宋体" w:eastAsia="宋体" w:cs="宋体"/>
          <w:b/>
          <w:sz w:val="28"/>
          <w:szCs w:val="28"/>
        </w:rPr>
      </w:pPr>
    </w:p>
    <w:p w14:paraId="6238D9AF">
      <w:pPr>
        <w:spacing w:line="500" w:lineRule="exact"/>
        <w:jc w:val="center"/>
        <w:rPr>
          <w:rFonts w:hint="eastAsia" w:ascii="宋体" w:hAnsi="宋体" w:eastAsia="宋体" w:cs="宋体"/>
          <w:b/>
          <w:sz w:val="28"/>
          <w:szCs w:val="28"/>
        </w:rPr>
      </w:pPr>
      <w:r>
        <w:rPr>
          <w:rFonts w:hint="eastAsia" w:ascii="宋体" w:hAnsi="宋体" w:eastAsia="宋体" w:cs="宋体"/>
          <w:b/>
          <w:sz w:val="28"/>
          <w:szCs w:val="28"/>
        </w:rPr>
        <w:t>投标文件</w:t>
      </w:r>
    </w:p>
    <w:p w14:paraId="1CBBA6A8">
      <w:pPr>
        <w:spacing w:line="500" w:lineRule="exact"/>
        <w:rPr>
          <w:rFonts w:hint="eastAsia" w:ascii="宋体" w:hAnsi="宋体" w:eastAsia="宋体" w:cs="宋体"/>
          <w:b/>
          <w:sz w:val="28"/>
          <w:szCs w:val="28"/>
        </w:rPr>
      </w:pPr>
    </w:p>
    <w:p w14:paraId="29120CC6">
      <w:pPr>
        <w:spacing w:line="500" w:lineRule="exact"/>
        <w:ind w:firstLine="504"/>
        <w:rPr>
          <w:rFonts w:hint="eastAsia" w:ascii="宋体" w:hAnsi="宋体" w:eastAsia="宋体" w:cs="宋体"/>
          <w:b/>
          <w:sz w:val="28"/>
          <w:szCs w:val="28"/>
        </w:rPr>
      </w:pPr>
    </w:p>
    <w:p w14:paraId="2E789F27">
      <w:pPr>
        <w:spacing w:line="500" w:lineRule="exact"/>
        <w:ind w:firstLine="504"/>
        <w:rPr>
          <w:rFonts w:hint="eastAsia" w:ascii="宋体" w:hAnsi="宋体" w:eastAsia="宋体" w:cs="宋体"/>
          <w:b/>
          <w:sz w:val="28"/>
          <w:szCs w:val="28"/>
        </w:rPr>
      </w:pPr>
    </w:p>
    <w:p w14:paraId="2F7FCE37">
      <w:pPr>
        <w:spacing w:line="500" w:lineRule="exact"/>
        <w:ind w:firstLine="504"/>
        <w:rPr>
          <w:rFonts w:hint="eastAsia" w:ascii="宋体" w:hAnsi="宋体" w:eastAsia="宋体" w:cs="宋体"/>
          <w:b/>
          <w:sz w:val="28"/>
          <w:szCs w:val="28"/>
        </w:rPr>
      </w:pPr>
    </w:p>
    <w:p w14:paraId="1D5D9807">
      <w:pPr>
        <w:spacing w:line="500" w:lineRule="exact"/>
        <w:ind w:firstLine="504"/>
        <w:rPr>
          <w:rFonts w:hint="eastAsia" w:ascii="宋体" w:hAnsi="宋体" w:eastAsia="宋体" w:cs="宋体"/>
          <w:b/>
          <w:sz w:val="28"/>
          <w:szCs w:val="28"/>
        </w:rPr>
      </w:pPr>
    </w:p>
    <w:p w14:paraId="7ABBE66B">
      <w:pPr>
        <w:spacing w:line="500" w:lineRule="exact"/>
        <w:ind w:firstLine="504"/>
        <w:rPr>
          <w:rFonts w:hint="eastAsia" w:ascii="宋体" w:hAnsi="宋体" w:eastAsia="宋体" w:cs="宋体"/>
          <w:b/>
          <w:sz w:val="28"/>
          <w:szCs w:val="28"/>
        </w:rPr>
      </w:pPr>
    </w:p>
    <w:p w14:paraId="7319E48D">
      <w:pPr>
        <w:spacing w:line="500" w:lineRule="exact"/>
        <w:rPr>
          <w:rFonts w:hint="eastAsia" w:ascii="宋体" w:hAnsi="宋体" w:eastAsia="宋体" w:cs="宋体"/>
          <w:b/>
          <w:sz w:val="28"/>
          <w:szCs w:val="28"/>
        </w:rPr>
      </w:pPr>
    </w:p>
    <w:p w14:paraId="7C04DAEA">
      <w:pPr>
        <w:spacing w:line="500" w:lineRule="exact"/>
        <w:rPr>
          <w:rFonts w:hint="eastAsia" w:ascii="宋体" w:hAnsi="宋体" w:eastAsia="宋体" w:cs="宋体"/>
          <w:b/>
          <w:sz w:val="28"/>
          <w:szCs w:val="28"/>
        </w:rPr>
      </w:pPr>
      <w:r>
        <w:rPr>
          <w:rFonts w:hint="eastAsia" w:ascii="宋体" w:hAnsi="宋体" w:eastAsia="宋体" w:cs="宋体"/>
          <w:b/>
          <w:sz w:val="28"/>
          <w:szCs w:val="28"/>
        </w:rPr>
        <w:t>项目名称：</w:t>
      </w:r>
    </w:p>
    <w:p w14:paraId="1E6668A8">
      <w:pPr>
        <w:spacing w:line="500" w:lineRule="exact"/>
        <w:rPr>
          <w:rFonts w:hint="eastAsia" w:ascii="宋体" w:hAnsi="宋体" w:eastAsia="宋体" w:cs="宋体"/>
          <w:b/>
          <w:sz w:val="28"/>
          <w:szCs w:val="28"/>
        </w:rPr>
      </w:pPr>
    </w:p>
    <w:p w14:paraId="50FB7421">
      <w:pPr>
        <w:spacing w:line="500" w:lineRule="exact"/>
        <w:rPr>
          <w:rFonts w:hint="eastAsia" w:ascii="宋体" w:hAnsi="宋体" w:eastAsia="宋体" w:cs="宋体"/>
          <w:sz w:val="28"/>
          <w:szCs w:val="28"/>
        </w:rPr>
      </w:pPr>
      <w:r>
        <w:rPr>
          <w:rFonts w:hint="eastAsia" w:ascii="宋体" w:hAnsi="宋体" w:eastAsia="宋体" w:cs="宋体"/>
          <w:b/>
          <w:sz w:val="28"/>
          <w:szCs w:val="28"/>
        </w:rPr>
        <w:t>项目编号：</w:t>
      </w:r>
    </w:p>
    <w:p w14:paraId="21D88DD3">
      <w:pPr>
        <w:spacing w:line="500" w:lineRule="exact"/>
        <w:rPr>
          <w:rFonts w:hint="eastAsia" w:ascii="宋体" w:hAnsi="宋体" w:eastAsia="宋体" w:cs="宋体"/>
          <w:b/>
          <w:sz w:val="28"/>
          <w:szCs w:val="28"/>
        </w:rPr>
      </w:pPr>
      <w:r>
        <w:rPr>
          <w:rFonts w:hint="eastAsia" w:ascii="宋体" w:hAnsi="宋体" w:eastAsia="宋体" w:cs="宋体"/>
          <w:b/>
          <w:sz w:val="28"/>
          <w:szCs w:val="28"/>
        </w:rPr>
        <w:t xml:space="preserve">            </w:t>
      </w:r>
    </w:p>
    <w:p w14:paraId="6B1771EE">
      <w:pPr>
        <w:spacing w:line="500" w:lineRule="exact"/>
        <w:rPr>
          <w:rFonts w:hint="eastAsia" w:ascii="宋体" w:hAnsi="宋体" w:eastAsia="宋体" w:cs="宋体"/>
          <w:b/>
          <w:sz w:val="28"/>
          <w:szCs w:val="28"/>
        </w:rPr>
      </w:pPr>
      <w:r>
        <w:rPr>
          <w:rFonts w:hint="eastAsia" w:ascii="宋体" w:hAnsi="宋体" w:eastAsia="宋体" w:cs="宋体"/>
          <w:b/>
          <w:sz w:val="28"/>
          <w:szCs w:val="28"/>
        </w:rPr>
        <w:t>投标人名称（盖章）：</w:t>
      </w:r>
    </w:p>
    <w:p w14:paraId="2BC3B46D">
      <w:pPr>
        <w:spacing w:line="500" w:lineRule="exact"/>
        <w:rPr>
          <w:rFonts w:hint="eastAsia" w:ascii="宋体" w:hAnsi="宋体" w:eastAsia="宋体" w:cs="宋体"/>
          <w:b/>
          <w:sz w:val="28"/>
          <w:szCs w:val="28"/>
        </w:rPr>
      </w:pPr>
    </w:p>
    <w:p w14:paraId="094AEFB4">
      <w:pPr>
        <w:spacing w:line="500" w:lineRule="exact"/>
        <w:rPr>
          <w:rFonts w:hint="eastAsia" w:ascii="宋体" w:hAnsi="宋体" w:eastAsia="宋体" w:cs="宋体"/>
          <w:b/>
          <w:sz w:val="28"/>
          <w:szCs w:val="28"/>
        </w:rPr>
      </w:pPr>
      <w:r>
        <w:rPr>
          <w:rFonts w:hint="eastAsia" w:ascii="宋体" w:hAnsi="宋体" w:eastAsia="宋体" w:cs="宋体"/>
          <w:b/>
          <w:sz w:val="28"/>
          <w:szCs w:val="28"/>
        </w:rPr>
        <w:t>授权人（签字或盖章）：</w:t>
      </w:r>
    </w:p>
    <w:p w14:paraId="762FB833">
      <w:pPr>
        <w:spacing w:line="500" w:lineRule="exact"/>
        <w:rPr>
          <w:rFonts w:hint="eastAsia" w:ascii="宋体" w:hAnsi="宋体" w:eastAsia="宋体" w:cs="宋体"/>
          <w:b/>
          <w:sz w:val="28"/>
          <w:szCs w:val="28"/>
        </w:rPr>
      </w:pPr>
    </w:p>
    <w:p w14:paraId="7C8A0CD5">
      <w:pPr>
        <w:spacing w:line="500" w:lineRule="exact"/>
        <w:rPr>
          <w:rFonts w:hint="eastAsia" w:ascii="宋体" w:hAnsi="宋体" w:eastAsia="宋体" w:cs="宋体"/>
          <w:b/>
          <w:sz w:val="28"/>
          <w:szCs w:val="28"/>
        </w:rPr>
      </w:pPr>
      <w:r>
        <w:rPr>
          <w:rFonts w:hint="eastAsia" w:ascii="宋体" w:hAnsi="宋体" w:eastAsia="宋体" w:cs="宋体"/>
          <w:b/>
          <w:sz w:val="28"/>
          <w:szCs w:val="28"/>
        </w:rPr>
        <w:t>联系人：</w:t>
      </w:r>
    </w:p>
    <w:p w14:paraId="726B2371">
      <w:pPr>
        <w:spacing w:line="500" w:lineRule="exact"/>
        <w:rPr>
          <w:rFonts w:hint="eastAsia" w:ascii="宋体" w:hAnsi="宋体" w:eastAsia="宋体" w:cs="宋体"/>
          <w:b/>
          <w:sz w:val="28"/>
          <w:szCs w:val="28"/>
        </w:rPr>
      </w:pPr>
    </w:p>
    <w:p w14:paraId="79FC73AF">
      <w:pPr>
        <w:spacing w:line="500" w:lineRule="exact"/>
        <w:rPr>
          <w:rFonts w:hint="eastAsia" w:ascii="宋体" w:hAnsi="宋体" w:eastAsia="宋体" w:cs="宋体"/>
          <w:b/>
          <w:sz w:val="28"/>
          <w:szCs w:val="28"/>
        </w:rPr>
      </w:pPr>
      <w:r>
        <w:rPr>
          <w:rFonts w:hint="eastAsia" w:ascii="宋体" w:hAnsi="宋体" w:eastAsia="宋体" w:cs="宋体"/>
          <w:b/>
          <w:sz w:val="28"/>
          <w:szCs w:val="28"/>
        </w:rPr>
        <w:t>电话：</w:t>
      </w:r>
    </w:p>
    <w:p w14:paraId="15DB68F9">
      <w:pPr>
        <w:spacing w:line="500" w:lineRule="exact"/>
        <w:ind w:firstLine="504"/>
        <w:rPr>
          <w:rFonts w:hint="eastAsia" w:ascii="宋体" w:hAnsi="宋体" w:eastAsia="宋体" w:cs="宋体"/>
          <w:b/>
          <w:sz w:val="28"/>
          <w:szCs w:val="28"/>
        </w:rPr>
      </w:pPr>
    </w:p>
    <w:p w14:paraId="0BD0C644">
      <w:pPr>
        <w:spacing w:line="500" w:lineRule="exact"/>
        <w:rPr>
          <w:rFonts w:hint="eastAsia" w:ascii="宋体" w:hAnsi="宋体" w:eastAsia="宋体" w:cs="宋体"/>
          <w:b/>
          <w:sz w:val="28"/>
          <w:szCs w:val="28"/>
        </w:rPr>
      </w:pPr>
      <w:r>
        <w:rPr>
          <w:rFonts w:hint="eastAsia" w:ascii="宋体" w:hAnsi="宋体" w:eastAsia="宋体" w:cs="宋体"/>
          <w:b/>
          <w:sz w:val="28"/>
          <w:szCs w:val="28"/>
        </w:rPr>
        <w:t>时间：</w:t>
      </w:r>
    </w:p>
    <w:p w14:paraId="41B40E5A">
      <w:pPr>
        <w:spacing w:line="500" w:lineRule="exact"/>
        <w:jc w:val="center"/>
        <w:rPr>
          <w:rFonts w:hint="eastAsia" w:ascii="宋体" w:hAnsi="宋体" w:eastAsia="宋体" w:cs="宋体"/>
          <w:sz w:val="28"/>
          <w:szCs w:val="28"/>
        </w:rPr>
      </w:pPr>
      <w:r>
        <w:rPr>
          <w:rFonts w:hint="eastAsia" w:ascii="宋体" w:hAnsi="宋体" w:eastAsia="宋体" w:cs="宋体"/>
          <w:b/>
          <w:bCs/>
          <w:sz w:val="28"/>
          <w:szCs w:val="28"/>
        </w:rPr>
        <w:br w:type="page"/>
      </w:r>
      <w:r>
        <w:rPr>
          <w:rFonts w:hint="eastAsia" w:ascii="宋体" w:hAnsi="宋体" w:eastAsia="宋体" w:cs="宋体"/>
          <w:sz w:val="28"/>
          <w:szCs w:val="28"/>
        </w:rPr>
        <w:t>目录</w:t>
      </w:r>
    </w:p>
    <w:p w14:paraId="76A69934">
      <w:pPr>
        <w:spacing w:line="500" w:lineRule="exact"/>
        <w:jc w:val="left"/>
        <w:rPr>
          <w:rFonts w:hint="eastAsia" w:ascii="宋体" w:hAnsi="宋体" w:eastAsia="宋体" w:cs="宋体"/>
          <w:sz w:val="28"/>
          <w:szCs w:val="28"/>
        </w:rPr>
      </w:pPr>
      <w:r>
        <w:rPr>
          <w:rFonts w:hint="eastAsia" w:ascii="宋体" w:hAnsi="宋体" w:eastAsia="宋体" w:cs="宋体"/>
          <w:sz w:val="28"/>
          <w:szCs w:val="28"/>
        </w:rPr>
        <w:t>一、投标函</w:t>
      </w:r>
    </w:p>
    <w:p w14:paraId="70DE1713">
      <w:pPr>
        <w:spacing w:line="500" w:lineRule="exact"/>
        <w:jc w:val="left"/>
        <w:rPr>
          <w:rFonts w:hint="eastAsia" w:ascii="宋体" w:hAnsi="宋体" w:eastAsia="宋体" w:cs="宋体"/>
          <w:sz w:val="28"/>
          <w:szCs w:val="28"/>
        </w:rPr>
      </w:pPr>
      <w:r>
        <w:rPr>
          <w:rFonts w:hint="eastAsia" w:ascii="宋体" w:hAnsi="宋体" w:eastAsia="宋体" w:cs="宋体"/>
          <w:sz w:val="28"/>
          <w:szCs w:val="28"/>
        </w:rPr>
        <w:t>一、投标函</w:t>
      </w:r>
    </w:p>
    <w:p w14:paraId="0611E827">
      <w:pPr>
        <w:spacing w:line="500" w:lineRule="exact"/>
        <w:jc w:val="left"/>
        <w:rPr>
          <w:rFonts w:hint="eastAsia" w:ascii="宋体" w:hAnsi="宋体" w:eastAsia="宋体" w:cs="宋体"/>
          <w:sz w:val="28"/>
          <w:szCs w:val="28"/>
        </w:rPr>
      </w:pPr>
      <w:r>
        <w:rPr>
          <w:rFonts w:hint="eastAsia" w:ascii="宋体" w:hAnsi="宋体" w:eastAsia="宋体" w:cs="宋体"/>
          <w:sz w:val="28"/>
          <w:szCs w:val="28"/>
        </w:rPr>
        <w:t>二、报价明细表</w:t>
      </w:r>
    </w:p>
    <w:p w14:paraId="67B3F65E">
      <w:pPr>
        <w:spacing w:line="500" w:lineRule="exact"/>
        <w:jc w:val="left"/>
        <w:rPr>
          <w:rFonts w:hint="eastAsia" w:ascii="宋体" w:hAnsi="宋体" w:eastAsia="宋体" w:cs="宋体"/>
          <w:sz w:val="28"/>
          <w:szCs w:val="28"/>
        </w:rPr>
      </w:pPr>
      <w:r>
        <w:rPr>
          <w:rFonts w:hint="eastAsia" w:ascii="宋体" w:hAnsi="宋体" w:eastAsia="宋体" w:cs="宋体"/>
          <w:sz w:val="28"/>
          <w:szCs w:val="28"/>
        </w:rPr>
        <w:t>三、身份证明书及授权委托书</w:t>
      </w:r>
    </w:p>
    <w:p w14:paraId="6A9CC62C">
      <w:pPr>
        <w:spacing w:line="500" w:lineRule="exact"/>
        <w:jc w:val="left"/>
        <w:rPr>
          <w:rFonts w:hint="eastAsia" w:ascii="宋体" w:hAnsi="宋体" w:eastAsia="宋体" w:cs="宋体"/>
          <w:sz w:val="28"/>
          <w:szCs w:val="28"/>
        </w:rPr>
      </w:pPr>
      <w:r>
        <w:rPr>
          <w:rFonts w:hint="eastAsia" w:ascii="宋体" w:hAnsi="宋体" w:eastAsia="宋体" w:cs="宋体"/>
          <w:sz w:val="28"/>
          <w:szCs w:val="28"/>
        </w:rPr>
        <w:t>四、投标人基本情况表</w:t>
      </w:r>
    </w:p>
    <w:p w14:paraId="6C38CFEE">
      <w:pPr>
        <w:spacing w:line="500" w:lineRule="exact"/>
        <w:jc w:val="left"/>
        <w:rPr>
          <w:rFonts w:hint="eastAsia" w:ascii="宋体" w:hAnsi="宋体" w:eastAsia="宋体" w:cs="宋体"/>
          <w:sz w:val="28"/>
          <w:szCs w:val="28"/>
        </w:rPr>
      </w:pPr>
      <w:r>
        <w:rPr>
          <w:rFonts w:hint="eastAsia" w:ascii="宋体" w:hAnsi="宋体" w:eastAsia="宋体" w:cs="宋体"/>
          <w:sz w:val="28"/>
          <w:szCs w:val="28"/>
        </w:rPr>
        <w:t>五、类似业绩</w:t>
      </w:r>
    </w:p>
    <w:p w14:paraId="133B0343">
      <w:pPr>
        <w:spacing w:line="500" w:lineRule="exact"/>
        <w:jc w:val="left"/>
        <w:rPr>
          <w:rFonts w:hint="eastAsia" w:ascii="宋体" w:hAnsi="宋体" w:eastAsia="宋体" w:cs="宋体"/>
          <w:sz w:val="28"/>
          <w:szCs w:val="28"/>
        </w:rPr>
      </w:pPr>
      <w:r>
        <w:rPr>
          <w:rFonts w:hint="eastAsia" w:ascii="宋体" w:hAnsi="宋体" w:eastAsia="宋体" w:cs="宋体"/>
          <w:sz w:val="28"/>
          <w:szCs w:val="28"/>
        </w:rPr>
        <w:t>六、商务、采购需求偏离表</w:t>
      </w:r>
    </w:p>
    <w:p w14:paraId="0843BDF3">
      <w:pPr>
        <w:spacing w:line="500" w:lineRule="exact"/>
        <w:jc w:val="left"/>
        <w:rPr>
          <w:rFonts w:hint="eastAsia" w:ascii="宋体" w:hAnsi="宋体" w:eastAsia="宋体" w:cs="宋体"/>
          <w:sz w:val="28"/>
          <w:szCs w:val="28"/>
        </w:rPr>
      </w:pPr>
      <w:r>
        <w:rPr>
          <w:rFonts w:hint="eastAsia" w:ascii="宋体" w:hAnsi="宋体" w:eastAsia="宋体" w:cs="宋体"/>
          <w:sz w:val="28"/>
          <w:szCs w:val="28"/>
        </w:rPr>
        <w:t>七、供货方案</w:t>
      </w:r>
    </w:p>
    <w:p w14:paraId="3D5663A5">
      <w:pPr>
        <w:spacing w:line="500" w:lineRule="exact"/>
        <w:jc w:val="left"/>
        <w:rPr>
          <w:rFonts w:hint="eastAsia" w:ascii="宋体" w:hAnsi="宋体" w:eastAsia="宋体" w:cs="宋体"/>
          <w:sz w:val="28"/>
          <w:szCs w:val="28"/>
        </w:rPr>
      </w:pPr>
      <w:r>
        <w:rPr>
          <w:rFonts w:hint="eastAsia" w:ascii="宋体" w:hAnsi="宋体" w:eastAsia="宋体" w:cs="宋体"/>
          <w:sz w:val="28"/>
          <w:szCs w:val="28"/>
        </w:rPr>
        <w:t>八、政府采购政策</w:t>
      </w:r>
    </w:p>
    <w:p w14:paraId="1BFC8F5F">
      <w:pPr>
        <w:spacing w:line="500" w:lineRule="exact"/>
        <w:jc w:val="left"/>
        <w:rPr>
          <w:rFonts w:hint="eastAsia" w:ascii="宋体" w:hAnsi="宋体" w:eastAsia="宋体" w:cs="宋体"/>
          <w:sz w:val="28"/>
          <w:szCs w:val="28"/>
        </w:rPr>
      </w:pPr>
      <w:r>
        <w:rPr>
          <w:rFonts w:hint="eastAsia" w:ascii="宋体" w:hAnsi="宋体" w:eastAsia="宋体" w:cs="宋体"/>
          <w:sz w:val="28"/>
          <w:szCs w:val="28"/>
        </w:rPr>
        <w:t>九、投标人认为需要提供的其他资料</w:t>
      </w:r>
    </w:p>
    <w:p w14:paraId="20FEDDCF">
      <w:pPr>
        <w:spacing w:line="500" w:lineRule="exact"/>
        <w:rPr>
          <w:rFonts w:hint="eastAsia" w:ascii="宋体" w:hAnsi="宋体" w:eastAsia="宋体" w:cs="宋体"/>
          <w:b/>
          <w:sz w:val="28"/>
          <w:szCs w:val="28"/>
        </w:rPr>
      </w:pPr>
    </w:p>
    <w:p w14:paraId="3B453AAA">
      <w:pPr>
        <w:spacing w:line="500" w:lineRule="exact"/>
        <w:rPr>
          <w:rFonts w:hint="eastAsia" w:ascii="宋体" w:hAnsi="宋体" w:eastAsia="宋体" w:cs="宋体"/>
          <w:b/>
          <w:sz w:val="28"/>
          <w:szCs w:val="28"/>
        </w:rPr>
      </w:pPr>
      <w:r>
        <w:rPr>
          <w:rFonts w:hint="eastAsia" w:ascii="宋体" w:hAnsi="宋体" w:eastAsia="宋体" w:cs="宋体"/>
          <w:b/>
          <w:sz w:val="28"/>
          <w:szCs w:val="28"/>
        </w:rPr>
        <w:t>备注：为了便于查找，请按上述顺序编排投标文件内容，并在目录标明每项内容的起始页码。</w:t>
      </w:r>
    </w:p>
    <w:p w14:paraId="07B1D7A9">
      <w:pPr>
        <w:spacing w:line="500" w:lineRule="exact"/>
        <w:jc w:val="center"/>
        <w:rPr>
          <w:rFonts w:hint="eastAsia" w:ascii="宋体" w:hAnsi="宋体" w:eastAsia="宋体" w:cs="宋体"/>
          <w:b/>
          <w:sz w:val="28"/>
          <w:szCs w:val="28"/>
        </w:rPr>
      </w:pPr>
    </w:p>
    <w:p w14:paraId="3F397CF0">
      <w:pPr>
        <w:spacing w:line="500" w:lineRule="exact"/>
        <w:jc w:val="center"/>
        <w:rPr>
          <w:rFonts w:hint="eastAsia" w:ascii="宋体" w:hAnsi="宋体" w:eastAsia="宋体" w:cs="宋体"/>
          <w:b/>
          <w:sz w:val="28"/>
          <w:szCs w:val="28"/>
        </w:rPr>
      </w:pPr>
    </w:p>
    <w:p w14:paraId="4609F3CF">
      <w:pPr>
        <w:spacing w:line="500" w:lineRule="exact"/>
        <w:jc w:val="center"/>
        <w:rPr>
          <w:rFonts w:hint="eastAsia" w:ascii="宋体" w:hAnsi="宋体" w:eastAsia="宋体" w:cs="宋体"/>
          <w:b/>
          <w:sz w:val="28"/>
          <w:szCs w:val="28"/>
        </w:rPr>
      </w:pPr>
    </w:p>
    <w:p w14:paraId="58A60811">
      <w:pPr>
        <w:spacing w:line="500" w:lineRule="exact"/>
        <w:jc w:val="center"/>
        <w:rPr>
          <w:rFonts w:hint="eastAsia" w:ascii="宋体" w:hAnsi="宋体" w:eastAsia="宋体" w:cs="宋体"/>
          <w:b/>
          <w:sz w:val="28"/>
          <w:szCs w:val="28"/>
        </w:rPr>
      </w:pPr>
    </w:p>
    <w:p w14:paraId="6BA06AE2">
      <w:pPr>
        <w:spacing w:line="500" w:lineRule="exact"/>
        <w:jc w:val="center"/>
        <w:rPr>
          <w:rFonts w:hint="eastAsia" w:ascii="宋体" w:hAnsi="宋体" w:eastAsia="宋体" w:cs="宋体"/>
          <w:b/>
          <w:sz w:val="28"/>
          <w:szCs w:val="28"/>
        </w:rPr>
      </w:pPr>
    </w:p>
    <w:p w14:paraId="6C2FC69D">
      <w:pPr>
        <w:numPr>
          <w:ilvl w:val="0"/>
          <w:numId w:val="6"/>
        </w:numPr>
        <w:spacing w:line="480" w:lineRule="exact"/>
        <w:ind w:left="0"/>
        <w:jc w:val="center"/>
        <w:outlineLvl w:val="1"/>
        <w:rPr>
          <w:rFonts w:hint="eastAsia" w:ascii="宋体" w:hAnsi="宋体" w:eastAsia="宋体" w:cs="宋体"/>
          <w:b/>
          <w:bCs/>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rPr>
        <w:t>投标函</w:t>
      </w:r>
    </w:p>
    <w:p w14:paraId="29407ABE">
      <w:pPr>
        <w:spacing w:line="480" w:lineRule="exact"/>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（采购人名称）</w:t>
      </w:r>
    </w:p>
    <w:p w14:paraId="0E99B776">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在充分研究</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（项目名称）招标文件的全部内容后,我方郑重承诺如下：</w:t>
      </w:r>
    </w:p>
    <w:p w14:paraId="3E8B4BB1">
      <w:pPr>
        <w:spacing w:line="480" w:lineRule="exact"/>
        <w:rPr>
          <w:rFonts w:hint="eastAsia" w:ascii="宋体" w:hAnsi="宋体" w:eastAsia="宋体" w:cs="宋体"/>
          <w:sz w:val="28"/>
          <w:szCs w:val="28"/>
        </w:rPr>
      </w:pPr>
      <w:r>
        <w:rPr>
          <w:rFonts w:hint="eastAsia" w:ascii="宋体" w:hAnsi="宋体" w:eastAsia="宋体" w:cs="宋体"/>
          <w:sz w:val="28"/>
          <w:szCs w:val="28"/>
        </w:rPr>
        <w:t>1.我方</w:t>
      </w:r>
      <w:r>
        <w:rPr>
          <w:rFonts w:hint="eastAsia" w:ascii="宋体" w:hAnsi="宋体" w:eastAsia="宋体" w:cs="宋体"/>
          <w:b/>
          <w:bCs/>
          <w:kern w:val="2"/>
          <w:sz w:val="28"/>
          <w:szCs w:val="28"/>
        </w:rPr>
        <w:t>报价</w:t>
      </w:r>
      <w:r>
        <w:rPr>
          <w:rFonts w:hint="eastAsia" w:ascii="宋体" w:hAnsi="宋体" w:eastAsia="宋体" w:cs="宋体"/>
          <w:b/>
          <w:bCs/>
          <w:kern w:val="2"/>
          <w:sz w:val="28"/>
          <w:szCs w:val="28"/>
          <w:u w:val="single"/>
        </w:rPr>
        <w:t xml:space="preserve">      </w:t>
      </w:r>
      <w:r>
        <w:rPr>
          <w:rFonts w:hint="eastAsia" w:ascii="宋体" w:hAnsi="宋体" w:eastAsia="宋体" w:cs="宋体"/>
          <w:b/>
          <w:bCs/>
          <w:kern w:val="2"/>
          <w:sz w:val="28"/>
          <w:szCs w:val="28"/>
        </w:rPr>
        <w:t xml:space="preserve"> 元，大写：</w:t>
      </w:r>
      <w:r>
        <w:rPr>
          <w:rFonts w:hint="eastAsia" w:ascii="宋体" w:hAnsi="宋体" w:eastAsia="宋体" w:cs="宋体"/>
          <w:b/>
          <w:bCs/>
          <w:kern w:val="2"/>
          <w:sz w:val="28"/>
          <w:szCs w:val="28"/>
          <w:u w:val="single"/>
        </w:rPr>
        <w:t xml:space="preserve">        </w:t>
      </w:r>
      <w:r>
        <w:rPr>
          <w:rFonts w:hint="eastAsia" w:ascii="宋体" w:hAnsi="宋体" w:eastAsia="宋体" w:cs="宋体"/>
          <w:sz w:val="28"/>
          <w:szCs w:val="28"/>
        </w:rPr>
        <w:t>（</w:t>
      </w:r>
      <w:r>
        <w:rPr>
          <w:rFonts w:hint="eastAsia" w:ascii="宋体" w:hAnsi="宋体" w:eastAsia="宋体" w:cs="宋体"/>
          <w:kern w:val="2"/>
          <w:sz w:val="28"/>
          <w:szCs w:val="28"/>
        </w:rPr>
        <w:t>本项目报价中应包括完成采购所需的费用（包含但不限于税费、运输费、保险费及所配套的土建、吊装就位，培训、安装、调试等所有相关费用）</w:t>
      </w:r>
      <w:r>
        <w:rPr>
          <w:rFonts w:hint="eastAsia" w:ascii="宋体" w:hAnsi="宋体" w:eastAsia="宋体" w:cs="宋体"/>
          <w:sz w:val="28"/>
          <w:szCs w:val="28"/>
        </w:rPr>
        <w:t>。</w:t>
      </w:r>
    </w:p>
    <w:p w14:paraId="4EF6F177">
      <w:pPr>
        <w:spacing w:line="480" w:lineRule="exact"/>
        <w:rPr>
          <w:rFonts w:hint="eastAsia" w:ascii="宋体" w:hAnsi="宋体" w:eastAsia="宋体" w:cs="宋体"/>
          <w:sz w:val="28"/>
          <w:szCs w:val="28"/>
        </w:rPr>
      </w:pPr>
      <w:r>
        <w:rPr>
          <w:rFonts w:hint="eastAsia" w:ascii="宋体" w:hAnsi="宋体" w:eastAsia="宋体" w:cs="宋体"/>
          <w:sz w:val="28"/>
          <w:szCs w:val="28"/>
        </w:rPr>
        <w:t>2.如果我方被确定为中标人，我方将按规定履行合同责任义务。保证在合同约定的供货期内提供优质服务，并确保我方提供质量标准以及相关技术服务满足招标文件的要求，供货期：</w:t>
      </w:r>
      <w:r>
        <w:rPr>
          <w:rFonts w:hint="eastAsia" w:ascii="宋体" w:hAnsi="宋体" w:eastAsia="宋体" w:cs="宋体"/>
          <w:sz w:val="28"/>
          <w:szCs w:val="28"/>
          <w:u w:val="single"/>
        </w:rPr>
        <w:t xml:space="preserve">    </w:t>
      </w:r>
      <w:r>
        <w:rPr>
          <w:rFonts w:hint="eastAsia" w:ascii="宋体" w:hAnsi="宋体" w:eastAsia="宋体" w:cs="宋体"/>
          <w:sz w:val="28"/>
          <w:szCs w:val="28"/>
        </w:rPr>
        <w:t>、供货地点：</w:t>
      </w:r>
      <w:r>
        <w:rPr>
          <w:rFonts w:hint="eastAsia" w:ascii="宋体" w:hAnsi="宋体" w:eastAsia="宋体" w:cs="宋体"/>
          <w:sz w:val="28"/>
          <w:szCs w:val="28"/>
          <w:u w:val="single"/>
        </w:rPr>
        <w:t xml:space="preserve">       </w:t>
      </w:r>
      <w:r>
        <w:rPr>
          <w:rFonts w:hint="eastAsia" w:ascii="宋体" w:hAnsi="宋体" w:eastAsia="宋体" w:cs="宋体"/>
          <w:sz w:val="28"/>
          <w:szCs w:val="28"/>
        </w:rPr>
        <w:t>、投标有效期：</w:t>
      </w:r>
      <w:r>
        <w:rPr>
          <w:rFonts w:hint="eastAsia" w:ascii="宋体" w:hAnsi="宋体" w:eastAsia="宋体" w:cs="宋体"/>
          <w:sz w:val="28"/>
          <w:szCs w:val="28"/>
          <w:u w:val="single"/>
        </w:rPr>
        <w:t xml:space="preserve">            </w:t>
      </w:r>
      <w:r>
        <w:rPr>
          <w:rFonts w:hint="eastAsia" w:ascii="宋体" w:hAnsi="宋体" w:eastAsia="宋体" w:cs="宋体"/>
          <w:sz w:val="28"/>
          <w:szCs w:val="28"/>
        </w:rPr>
        <w:t>，质保期：</w:t>
      </w:r>
      <w:r>
        <w:rPr>
          <w:rFonts w:hint="eastAsia" w:ascii="宋体" w:hAnsi="宋体" w:eastAsia="宋体" w:cs="宋体"/>
          <w:sz w:val="28"/>
          <w:szCs w:val="28"/>
          <w:u w:val="single"/>
        </w:rPr>
        <w:t xml:space="preserve">            </w:t>
      </w:r>
      <w:r>
        <w:rPr>
          <w:rFonts w:hint="eastAsia" w:ascii="宋体" w:hAnsi="宋体" w:eastAsia="宋体" w:cs="宋体"/>
          <w:sz w:val="28"/>
          <w:szCs w:val="28"/>
        </w:rPr>
        <w:t>，质量标准：</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58435165">
      <w:pPr>
        <w:spacing w:line="480" w:lineRule="exact"/>
        <w:rPr>
          <w:rFonts w:hint="eastAsia" w:ascii="宋体" w:hAnsi="宋体" w:eastAsia="宋体" w:cs="宋体"/>
          <w:sz w:val="28"/>
          <w:szCs w:val="28"/>
        </w:rPr>
      </w:pPr>
      <w:r>
        <w:rPr>
          <w:rFonts w:hint="eastAsia" w:ascii="宋体" w:hAnsi="宋体" w:eastAsia="宋体" w:cs="宋体"/>
          <w:sz w:val="28"/>
          <w:szCs w:val="28"/>
        </w:rPr>
        <w:t>3.本投标文件在招标文件规定的投标有效期内对我方具有约束力。</w:t>
      </w:r>
    </w:p>
    <w:p w14:paraId="48E6BDE2">
      <w:pPr>
        <w:spacing w:line="480" w:lineRule="exact"/>
        <w:rPr>
          <w:rFonts w:hint="eastAsia" w:ascii="宋体" w:hAnsi="宋体" w:eastAsia="宋体" w:cs="宋体"/>
          <w:sz w:val="28"/>
          <w:szCs w:val="28"/>
        </w:rPr>
      </w:pPr>
      <w:r>
        <w:rPr>
          <w:rFonts w:hint="eastAsia" w:ascii="宋体" w:hAnsi="宋体" w:eastAsia="宋体" w:cs="宋体"/>
          <w:sz w:val="28"/>
          <w:szCs w:val="28"/>
        </w:rPr>
        <w:t>4.我方已详细审查全部招标文件并完全理解并同意放弃对这方面有不明及误解的权利。</w:t>
      </w:r>
    </w:p>
    <w:p w14:paraId="68BA8B89">
      <w:pPr>
        <w:spacing w:line="480" w:lineRule="exact"/>
        <w:rPr>
          <w:rFonts w:hint="eastAsia" w:ascii="宋体" w:hAnsi="宋体" w:eastAsia="宋体" w:cs="宋体"/>
          <w:sz w:val="28"/>
          <w:szCs w:val="28"/>
        </w:rPr>
      </w:pPr>
      <w:r>
        <w:rPr>
          <w:rFonts w:hint="eastAsia" w:ascii="宋体" w:hAnsi="宋体" w:eastAsia="宋体" w:cs="宋体"/>
          <w:sz w:val="28"/>
          <w:szCs w:val="28"/>
        </w:rPr>
        <w:t>5.我方愿意提供贵方可能要求的与投标有关的一切数据或资料，完全理解贵方不一定接受最低报价的投标或收到的任何投标。</w:t>
      </w:r>
    </w:p>
    <w:p w14:paraId="13B06134">
      <w:pPr>
        <w:spacing w:line="480" w:lineRule="exact"/>
        <w:rPr>
          <w:rFonts w:hint="eastAsia" w:ascii="宋体" w:hAnsi="宋体" w:eastAsia="宋体" w:cs="宋体"/>
          <w:sz w:val="28"/>
          <w:szCs w:val="28"/>
        </w:rPr>
      </w:pPr>
      <w:r>
        <w:rPr>
          <w:rFonts w:hint="eastAsia" w:ascii="宋体" w:hAnsi="宋体" w:eastAsia="宋体" w:cs="宋体"/>
          <w:sz w:val="28"/>
          <w:szCs w:val="28"/>
        </w:rPr>
        <w:t>6.我方派</w:t>
      </w:r>
      <w:r>
        <w:rPr>
          <w:rFonts w:hint="eastAsia" w:ascii="宋体" w:hAnsi="宋体" w:eastAsia="宋体" w:cs="宋体"/>
          <w:bCs/>
          <w:sz w:val="28"/>
          <w:szCs w:val="28"/>
        </w:rPr>
        <w:t>授权人或被授权人</w:t>
      </w:r>
      <w:r>
        <w:rPr>
          <w:rFonts w:hint="eastAsia" w:ascii="宋体" w:hAnsi="宋体" w:eastAsia="宋体" w:cs="宋体"/>
          <w:sz w:val="28"/>
          <w:szCs w:val="28"/>
        </w:rPr>
        <w:t>作为我方代表，负责按时参加招标会并签署与招标有关的相关文件等。</w:t>
      </w:r>
    </w:p>
    <w:p w14:paraId="019315B3">
      <w:pPr>
        <w:pStyle w:val="13"/>
        <w:spacing w:after="0" w:line="480" w:lineRule="exact"/>
        <w:ind w:left="0" w:leftChars="0"/>
        <w:jc w:val="right"/>
        <w:rPr>
          <w:rFonts w:hint="eastAsia" w:ascii="宋体" w:hAnsi="宋体" w:eastAsia="宋体" w:cs="宋体"/>
          <w:bCs/>
          <w:sz w:val="28"/>
          <w:szCs w:val="28"/>
        </w:rPr>
      </w:pPr>
      <w:r>
        <w:rPr>
          <w:rFonts w:hint="eastAsia" w:ascii="宋体" w:hAnsi="宋体" w:eastAsia="宋体" w:cs="宋体"/>
          <w:bCs/>
          <w:sz w:val="28"/>
          <w:szCs w:val="28"/>
        </w:rPr>
        <w:t xml:space="preserve">          投标人名称（盖章）：</w:t>
      </w:r>
    </w:p>
    <w:p w14:paraId="642FB88E">
      <w:pPr>
        <w:pStyle w:val="13"/>
        <w:spacing w:after="0" w:line="480" w:lineRule="exact"/>
        <w:ind w:left="0" w:leftChars="0"/>
        <w:jc w:val="right"/>
        <w:rPr>
          <w:rFonts w:hint="eastAsia" w:ascii="宋体" w:hAnsi="宋体" w:eastAsia="宋体" w:cs="宋体"/>
          <w:bCs/>
          <w:sz w:val="28"/>
          <w:szCs w:val="28"/>
        </w:rPr>
      </w:pPr>
      <w:r>
        <w:rPr>
          <w:rFonts w:hint="eastAsia" w:ascii="宋体" w:hAnsi="宋体" w:eastAsia="宋体" w:cs="宋体"/>
          <w:bCs/>
          <w:sz w:val="28"/>
          <w:szCs w:val="28"/>
        </w:rPr>
        <w:t xml:space="preserve">                       授权人或被授权人（签字或盖章）：</w:t>
      </w:r>
    </w:p>
    <w:p w14:paraId="02D90B90">
      <w:pPr>
        <w:pStyle w:val="13"/>
        <w:spacing w:after="0" w:line="480" w:lineRule="exact"/>
        <w:ind w:left="0" w:leftChars="0"/>
        <w:jc w:val="right"/>
        <w:rPr>
          <w:rFonts w:hint="eastAsia" w:ascii="宋体" w:hAnsi="宋体" w:eastAsia="宋体" w:cs="宋体"/>
          <w:bCs/>
          <w:sz w:val="28"/>
          <w:szCs w:val="28"/>
        </w:rPr>
      </w:pPr>
      <w:r>
        <w:rPr>
          <w:rFonts w:hint="eastAsia" w:ascii="宋体" w:hAnsi="宋体" w:eastAsia="宋体" w:cs="宋体"/>
          <w:bCs/>
          <w:sz w:val="28"/>
          <w:szCs w:val="28"/>
        </w:rPr>
        <w:t>地址：</w:t>
      </w:r>
    </w:p>
    <w:p w14:paraId="2296AE69">
      <w:pPr>
        <w:pStyle w:val="77"/>
        <w:spacing w:line="480" w:lineRule="exact"/>
        <w:ind w:firstLine="0" w:firstLineChars="0"/>
        <w:jc w:val="right"/>
        <w:rPr>
          <w:rFonts w:hint="eastAsia" w:ascii="宋体" w:hAnsi="宋体" w:eastAsia="宋体" w:cs="宋体"/>
          <w:sz w:val="28"/>
          <w:szCs w:val="28"/>
        </w:rPr>
      </w:pPr>
      <w:r>
        <w:rPr>
          <w:rFonts w:hint="eastAsia" w:ascii="宋体" w:hAnsi="宋体" w:eastAsia="宋体" w:cs="宋体"/>
          <w:bCs/>
          <w:sz w:val="28"/>
          <w:szCs w:val="28"/>
        </w:rPr>
        <w:t>电话：</w:t>
      </w:r>
    </w:p>
    <w:p w14:paraId="2E05BD88">
      <w:pPr>
        <w:wordWrap w:val="0"/>
        <w:spacing w:line="480" w:lineRule="exact"/>
        <w:jc w:val="right"/>
        <w:rPr>
          <w:rFonts w:hint="eastAsia" w:ascii="宋体" w:hAnsi="宋体" w:eastAsia="宋体" w:cs="宋体"/>
          <w:sz w:val="28"/>
          <w:szCs w:val="28"/>
        </w:rPr>
      </w:pPr>
      <w:r>
        <w:rPr>
          <w:rFonts w:hint="eastAsia" w:ascii="宋体" w:hAnsi="宋体" w:eastAsia="宋体" w:cs="宋体"/>
          <w:sz w:val="28"/>
          <w:szCs w:val="28"/>
        </w:rPr>
        <w:t xml:space="preserve">     日期：</w:t>
      </w:r>
    </w:p>
    <w:p w14:paraId="59FA1756">
      <w:pPr>
        <w:rPr>
          <w:rFonts w:hint="eastAsia" w:ascii="宋体" w:hAnsi="宋体" w:eastAsia="宋体" w:cs="宋体"/>
          <w:sz w:val="28"/>
          <w:szCs w:val="28"/>
        </w:rPr>
      </w:pPr>
      <w:r>
        <w:rPr>
          <w:rFonts w:hint="eastAsia" w:ascii="宋体" w:hAnsi="宋体" w:eastAsia="宋体" w:cs="宋体"/>
          <w:sz w:val="28"/>
          <w:szCs w:val="28"/>
        </w:rPr>
        <w:br w:type="page"/>
      </w:r>
    </w:p>
    <w:p w14:paraId="5DFE1B04">
      <w:pPr>
        <w:spacing w:line="500" w:lineRule="exact"/>
        <w:jc w:val="center"/>
        <w:outlineLvl w:val="1"/>
        <w:rPr>
          <w:rFonts w:hint="eastAsia" w:ascii="宋体" w:hAnsi="宋体" w:eastAsia="宋体" w:cs="宋体"/>
          <w:sz w:val="28"/>
          <w:szCs w:val="28"/>
        </w:rPr>
      </w:pPr>
      <w:r>
        <w:rPr>
          <w:rFonts w:hint="eastAsia" w:ascii="宋体" w:hAnsi="宋体" w:eastAsia="宋体" w:cs="宋体"/>
          <w:b/>
          <w:bCs/>
          <w:sz w:val="28"/>
          <w:szCs w:val="28"/>
        </w:rPr>
        <w:t>二、报价明细表</w:t>
      </w:r>
    </w:p>
    <w:p w14:paraId="3099842F">
      <w:pPr>
        <w:pStyle w:val="6"/>
        <w:tabs>
          <w:tab w:val="left" w:pos="7020"/>
        </w:tabs>
        <w:spacing w:line="500" w:lineRule="exact"/>
        <w:ind w:firstLine="0" w:firstLineChars="0"/>
        <w:rPr>
          <w:rFonts w:hint="eastAsia" w:ascii="宋体" w:hAnsi="宋体" w:eastAsia="宋体" w:cs="宋体"/>
          <w:sz w:val="28"/>
          <w:szCs w:val="28"/>
        </w:rPr>
      </w:pPr>
      <w:r>
        <w:rPr>
          <w:rFonts w:hint="eastAsia" w:ascii="宋体" w:hAnsi="宋体" w:eastAsia="宋体" w:cs="宋体"/>
          <w:sz w:val="28"/>
          <w:szCs w:val="28"/>
        </w:rPr>
        <w:t>项目名称：</w:t>
      </w:r>
    </w:p>
    <w:p w14:paraId="0F0C582B">
      <w:pPr>
        <w:pStyle w:val="6"/>
        <w:tabs>
          <w:tab w:val="left" w:pos="7020"/>
        </w:tabs>
        <w:spacing w:line="500" w:lineRule="exact"/>
        <w:ind w:firstLine="0" w:firstLineChars="0"/>
        <w:rPr>
          <w:rFonts w:hint="eastAsia" w:ascii="宋体" w:hAnsi="宋体" w:eastAsia="宋体" w:cs="宋体"/>
          <w:sz w:val="28"/>
          <w:szCs w:val="28"/>
        </w:rPr>
      </w:pPr>
      <w:r>
        <w:rPr>
          <w:rFonts w:hint="eastAsia" w:ascii="宋体" w:hAnsi="宋体" w:eastAsia="宋体" w:cs="宋体"/>
          <w:sz w:val="28"/>
          <w:szCs w:val="28"/>
        </w:rPr>
        <w:t>项目编号：</w:t>
      </w:r>
    </w:p>
    <w:tbl>
      <w:tblPr>
        <w:tblStyle w:val="23"/>
        <w:tblpPr w:leftFromText="180" w:rightFromText="180" w:vertAnchor="text" w:horzAnchor="page" w:tblpX="1831" w:tblpY="755"/>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910"/>
        <w:gridCol w:w="1874"/>
        <w:gridCol w:w="1007"/>
        <w:gridCol w:w="1137"/>
        <w:gridCol w:w="1059"/>
        <w:gridCol w:w="1064"/>
      </w:tblGrid>
      <w:tr w14:paraId="6B4E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91" w:type="pct"/>
            <w:tcBorders>
              <w:top w:val="single" w:color="auto" w:sz="4" w:space="0"/>
              <w:left w:val="single" w:color="auto" w:sz="4" w:space="0"/>
              <w:bottom w:val="single" w:color="auto" w:sz="4" w:space="0"/>
              <w:right w:val="single" w:color="auto" w:sz="4" w:space="0"/>
            </w:tcBorders>
            <w:vAlign w:val="center"/>
          </w:tcPr>
          <w:p w14:paraId="0B1968B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序号</w:t>
            </w:r>
          </w:p>
        </w:tc>
        <w:tc>
          <w:tcPr>
            <w:tcW w:w="1116" w:type="pct"/>
            <w:tcBorders>
              <w:top w:val="single" w:color="auto" w:sz="4" w:space="0"/>
              <w:left w:val="single" w:color="auto" w:sz="4" w:space="0"/>
              <w:bottom w:val="single" w:color="auto" w:sz="4" w:space="0"/>
              <w:right w:val="single" w:color="auto" w:sz="4" w:space="0"/>
            </w:tcBorders>
            <w:vAlign w:val="center"/>
          </w:tcPr>
          <w:p w14:paraId="2B707769">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货物名称</w:t>
            </w:r>
          </w:p>
        </w:tc>
        <w:tc>
          <w:tcPr>
            <w:tcW w:w="1096" w:type="pct"/>
            <w:tcBorders>
              <w:top w:val="single" w:color="auto" w:sz="4" w:space="0"/>
              <w:left w:val="single" w:color="auto" w:sz="4" w:space="0"/>
              <w:bottom w:val="single" w:color="auto" w:sz="4" w:space="0"/>
              <w:right w:val="single" w:color="auto" w:sz="4" w:space="0"/>
            </w:tcBorders>
            <w:vAlign w:val="center"/>
          </w:tcPr>
          <w:p w14:paraId="43723F7D">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规格</w:t>
            </w:r>
          </w:p>
        </w:tc>
        <w:tc>
          <w:tcPr>
            <w:tcW w:w="589" w:type="pct"/>
            <w:tcBorders>
              <w:top w:val="single" w:color="auto" w:sz="4" w:space="0"/>
              <w:left w:val="single" w:color="auto" w:sz="4" w:space="0"/>
              <w:bottom w:val="single" w:color="auto" w:sz="4" w:space="0"/>
              <w:right w:val="single" w:color="auto" w:sz="4" w:space="0"/>
            </w:tcBorders>
            <w:vAlign w:val="center"/>
          </w:tcPr>
          <w:p w14:paraId="2A3ED688">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品牌</w:t>
            </w:r>
          </w:p>
        </w:tc>
        <w:tc>
          <w:tcPr>
            <w:tcW w:w="665" w:type="pct"/>
            <w:tcBorders>
              <w:top w:val="single" w:color="auto" w:sz="4" w:space="0"/>
              <w:left w:val="single" w:color="auto" w:sz="4" w:space="0"/>
              <w:bottom w:val="single" w:color="auto" w:sz="4" w:space="0"/>
              <w:right w:val="single" w:color="auto" w:sz="4" w:space="0"/>
            </w:tcBorders>
            <w:vAlign w:val="center"/>
          </w:tcPr>
          <w:p w14:paraId="419CB396">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数量</w:t>
            </w:r>
          </w:p>
        </w:tc>
        <w:tc>
          <w:tcPr>
            <w:tcW w:w="619" w:type="pct"/>
            <w:tcBorders>
              <w:top w:val="single" w:color="auto" w:sz="4" w:space="0"/>
              <w:left w:val="single" w:color="auto" w:sz="4" w:space="0"/>
              <w:bottom w:val="single" w:color="auto" w:sz="4" w:space="0"/>
              <w:right w:val="single" w:color="auto" w:sz="4" w:space="0"/>
            </w:tcBorders>
            <w:vAlign w:val="center"/>
          </w:tcPr>
          <w:p w14:paraId="2B7D4277">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单价（元）</w:t>
            </w:r>
          </w:p>
        </w:tc>
        <w:tc>
          <w:tcPr>
            <w:tcW w:w="619" w:type="pct"/>
            <w:tcBorders>
              <w:top w:val="single" w:color="auto" w:sz="4" w:space="0"/>
              <w:left w:val="single" w:color="auto" w:sz="4" w:space="0"/>
              <w:bottom w:val="single" w:color="auto" w:sz="4" w:space="0"/>
              <w:right w:val="single" w:color="auto" w:sz="4" w:space="0"/>
            </w:tcBorders>
            <w:vAlign w:val="center"/>
          </w:tcPr>
          <w:p w14:paraId="3253C358">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总价（元）</w:t>
            </w:r>
          </w:p>
        </w:tc>
      </w:tr>
      <w:tr w14:paraId="7626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91" w:type="pct"/>
            <w:tcBorders>
              <w:top w:val="single" w:color="auto" w:sz="4" w:space="0"/>
              <w:left w:val="single" w:color="auto" w:sz="4" w:space="0"/>
              <w:bottom w:val="single" w:color="auto" w:sz="4" w:space="0"/>
              <w:right w:val="single" w:color="auto" w:sz="4" w:space="0"/>
            </w:tcBorders>
            <w:vAlign w:val="center"/>
          </w:tcPr>
          <w:p w14:paraId="3DF07D26">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1</w:t>
            </w:r>
          </w:p>
        </w:tc>
        <w:tc>
          <w:tcPr>
            <w:tcW w:w="1116" w:type="pct"/>
            <w:tcBorders>
              <w:top w:val="single" w:color="auto" w:sz="4" w:space="0"/>
              <w:left w:val="single" w:color="auto" w:sz="4" w:space="0"/>
              <w:bottom w:val="single" w:color="auto" w:sz="4" w:space="0"/>
              <w:right w:val="single" w:color="auto" w:sz="4" w:space="0"/>
            </w:tcBorders>
            <w:vAlign w:val="center"/>
          </w:tcPr>
          <w:p w14:paraId="77848068">
            <w:pPr>
              <w:keepNext w:val="0"/>
              <w:keepLines w:val="0"/>
              <w:widowControl/>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1096" w:type="pct"/>
            <w:tcBorders>
              <w:top w:val="single" w:color="auto" w:sz="4" w:space="0"/>
              <w:left w:val="single" w:color="auto" w:sz="4" w:space="0"/>
              <w:bottom w:val="single" w:color="auto" w:sz="4" w:space="0"/>
              <w:right w:val="single" w:color="auto" w:sz="4" w:space="0"/>
            </w:tcBorders>
            <w:vAlign w:val="center"/>
          </w:tcPr>
          <w:p w14:paraId="23847D70">
            <w:pPr>
              <w:keepNext w:val="0"/>
              <w:keepLines w:val="0"/>
              <w:widowControl/>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589" w:type="pct"/>
            <w:tcBorders>
              <w:top w:val="single" w:color="auto" w:sz="4" w:space="0"/>
              <w:left w:val="single" w:color="auto" w:sz="4" w:space="0"/>
              <w:bottom w:val="single" w:color="auto" w:sz="4" w:space="0"/>
              <w:right w:val="single" w:color="auto" w:sz="4" w:space="0"/>
            </w:tcBorders>
            <w:vAlign w:val="center"/>
          </w:tcPr>
          <w:p w14:paraId="02668329">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665" w:type="pct"/>
            <w:tcBorders>
              <w:top w:val="single" w:color="auto" w:sz="4" w:space="0"/>
              <w:left w:val="single" w:color="auto" w:sz="4" w:space="0"/>
              <w:bottom w:val="single" w:color="auto" w:sz="4" w:space="0"/>
              <w:right w:val="single" w:color="auto" w:sz="4" w:space="0"/>
            </w:tcBorders>
            <w:vAlign w:val="center"/>
          </w:tcPr>
          <w:p w14:paraId="56053A6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619" w:type="pct"/>
            <w:tcBorders>
              <w:top w:val="single" w:color="auto" w:sz="4" w:space="0"/>
              <w:left w:val="single" w:color="auto" w:sz="4" w:space="0"/>
              <w:bottom w:val="single" w:color="auto" w:sz="4" w:space="0"/>
              <w:right w:val="single" w:color="auto" w:sz="4" w:space="0"/>
            </w:tcBorders>
            <w:vAlign w:val="center"/>
          </w:tcPr>
          <w:p w14:paraId="1A1A93C3">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619" w:type="pct"/>
            <w:tcBorders>
              <w:top w:val="single" w:color="auto" w:sz="4" w:space="0"/>
              <w:left w:val="single" w:color="auto" w:sz="4" w:space="0"/>
              <w:bottom w:val="single" w:color="auto" w:sz="4" w:space="0"/>
              <w:right w:val="single" w:color="auto" w:sz="4" w:space="0"/>
            </w:tcBorders>
            <w:vAlign w:val="center"/>
          </w:tcPr>
          <w:p w14:paraId="6A95B38B">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5952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91" w:type="pct"/>
            <w:tcBorders>
              <w:top w:val="single" w:color="auto" w:sz="4" w:space="0"/>
              <w:left w:val="single" w:color="auto" w:sz="4" w:space="0"/>
              <w:bottom w:val="single" w:color="auto" w:sz="4" w:space="0"/>
              <w:right w:val="single" w:color="auto" w:sz="4" w:space="0"/>
            </w:tcBorders>
            <w:vAlign w:val="center"/>
          </w:tcPr>
          <w:p w14:paraId="5F79815C">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2</w:t>
            </w:r>
          </w:p>
        </w:tc>
        <w:tc>
          <w:tcPr>
            <w:tcW w:w="1116" w:type="pct"/>
            <w:tcBorders>
              <w:top w:val="single" w:color="auto" w:sz="4" w:space="0"/>
              <w:left w:val="single" w:color="auto" w:sz="4" w:space="0"/>
              <w:bottom w:val="single" w:color="auto" w:sz="4" w:space="0"/>
              <w:right w:val="single" w:color="auto" w:sz="4" w:space="0"/>
            </w:tcBorders>
            <w:vAlign w:val="center"/>
          </w:tcPr>
          <w:p w14:paraId="74FF5B09">
            <w:pPr>
              <w:keepNext w:val="0"/>
              <w:keepLines w:val="0"/>
              <w:widowControl/>
              <w:suppressLineNumbers w:val="0"/>
              <w:spacing w:before="0" w:beforeAutospacing="0" w:after="0" w:afterAutospacing="0" w:line="500" w:lineRule="exact"/>
              <w:ind w:left="0" w:right="0"/>
              <w:textAlignment w:val="center"/>
              <w:rPr>
                <w:rFonts w:hint="eastAsia" w:ascii="宋体" w:hAnsi="宋体" w:eastAsia="宋体" w:cs="宋体"/>
                <w:sz w:val="28"/>
                <w:szCs w:val="28"/>
              </w:rPr>
            </w:pPr>
          </w:p>
        </w:tc>
        <w:tc>
          <w:tcPr>
            <w:tcW w:w="1096" w:type="pct"/>
            <w:tcBorders>
              <w:top w:val="single" w:color="auto" w:sz="4" w:space="0"/>
              <w:left w:val="single" w:color="auto" w:sz="4" w:space="0"/>
              <w:bottom w:val="single" w:color="auto" w:sz="4" w:space="0"/>
              <w:right w:val="single" w:color="auto" w:sz="4" w:space="0"/>
            </w:tcBorders>
            <w:vAlign w:val="center"/>
          </w:tcPr>
          <w:p w14:paraId="568EE009">
            <w:pPr>
              <w:keepNext w:val="0"/>
              <w:keepLines w:val="0"/>
              <w:widowControl/>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589" w:type="pct"/>
            <w:tcBorders>
              <w:top w:val="single" w:color="auto" w:sz="4" w:space="0"/>
              <w:left w:val="single" w:color="auto" w:sz="4" w:space="0"/>
              <w:bottom w:val="single" w:color="auto" w:sz="4" w:space="0"/>
              <w:right w:val="single" w:color="auto" w:sz="4" w:space="0"/>
            </w:tcBorders>
            <w:vAlign w:val="center"/>
          </w:tcPr>
          <w:p w14:paraId="62D46507">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665" w:type="pct"/>
            <w:tcBorders>
              <w:top w:val="single" w:color="auto" w:sz="4" w:space="0"/>
              <w:left w:val="single" w:color="auto" w:sz="4" w:space="0"/>
              <w:bottom w:val="single" w:color="auto" w:sz="4" w:space="0"/>
              <w:right w:val="single" w:color="auto" w:sz="4" w:space="0"/>
            </w:tcBorders>
            <w:vAlign w:val="center"/>
          </w:tcPr>
          <w:p w14:paraId="388D584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619" w:type="pct"/>
            <w:tcBorders>
              <w:top w:val="single" w:color="auto" w:sz="4" w:space="0"/>
              <w:left w:val="single" w:color="auto" w:sz="4" w:space="0"/>
              <w:bottom w:val="single" w:color="auto" w:sz="4" w:space="0"/>
              <w:right w:val="single" w:color="auto" w:sz="4" w:space="0"/>
            </w:tcBorders>
            <w:vAlign w:val="center"/>
          </w:tcPr>
          <w:p w14:paraId="3EE7D19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619" w:type="pct"/>
            <w:tcBorders>
              <w:top w:val="single" w:color="auto" w:sz="4" w:space="0"/>
              <w:left w:val="single" w:color="auto" w:sz="4" w:space="0"/>
              <w:bottom w:val="single" w:color="auto" w:sz="4" w:space="0"/>
              <w:right w:val="single" w:color="auto" w:sz="4" w:space="0"/>
            </w:tcBorders>
            <w:vAlign w:val="center"/>
          </w:tcPr>
          <w:p w14:paraId="5805930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0E3F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91" w:type="pct"/>
            <w:tcBorders>
              <w:top w:val="single" w:color="auto" w:sz="4" w:space="0"/>
              <w:left w:val="single" w:color="auto" w:sz="4" w:space="0"/>
              <w:bottom w:val="single" w:color="auto" w:sz="4" w:space="0"/>
              <w:right w:val="single" w:color="auto" w:sz="4" w:space="0"/>
            </w:tcBorders>
            <w:vAlign w:val="center"/>
          </w:tcPr>
          <w:p w14:paraId="6B350F7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16" w:type="pct"/>
            <w:tcBorders>
              <w:top w:val="single" w:color="auto" w:sz="4" w:space="0"/>
              <w:left w:val="single" w:color="auto" w:sz="4" w:space="0"/>
              <w:bottom w:val="single" w:color="auto" w:sz="4" w:space="0"/>
              <w:right w:val="single" w:color="auto" w:sz="4" w:space="0"/>
            </w:tcBorders>
            <w:vAlign w:val="center"/>
          </w:tcPr>
          <w:p w14:paraId="2CDB6613">
            <w:pPr>
              <w:keepNext w:val="0"/>
              <w:keepLines w:val="0"/>
              <w:widowControl/>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w:t>
            </w:r>
          </w:p>
        </w:tc>
        <w:tc>
          <w:tcPr>
            <w:tcW w:w="1096" w:type="pct"/>
            <w:tcBorders>
              <w:top w:val="single" w:color="auto" w:sz="4" w:space="0"/>
              <w:left w:val="single" w:color="auto" w:sz="4" w:space="0"/>
              <w:bottom w:val="single" w:color="auto" w:sz="4" w:space="0"/>
              <w:right w:val="single" w:color="auto" w:sz="4" w:space="0"/>
            </w:tcBorders>
            <w:vAlign w:val="center"/>
          </w:tcPr>
          <w:p w14:paraId="46DE0B6D">
            <w:pPr>
              <w:keepNext w:val="0"/>
              <w:keepLines w:val="0"/>
              <w:widowControl/>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589" w:type="pct"/>
            <w:tcBorders>
              <w:top w:val="single" w:color="auto" w:sz="4" w:space="0"/>
              <w:left w:val="single" w:color="auto" w:sz="4" w:space="0"/>
              <w:bottom w:val="single" w:color="auto" w:sz="4" w:space="0"/>
              <w:right w:val="single" w:color="auto" w:sz="4" w:space="0"/>
            </w:tcBorders>
            <w:vAlign w:val="center"/>
          </w:tcPr>
          <w:p w14:paraId="58CD1F1C">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665" w:type="pct"/>
            <w:tcBorders>
              <w:top w:val="single" w:color="auto" w:sz="4" w:space="0"/>
              <w:left w:val="single" w:color="auto" w:sz="4" w:space="0"/>
              <w:bottom w:val="single" w:color="auto" w:sz="4" w:space="0"/>
              <w:right w:val="single" w:color="auto" w:sz="4" w:space="0"/>
            </w:tcBorders>
            <w:vAlign w:val="center"/>
          </w:tcPr>
          <w:p w14:paraId="154222DE">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619" w:type="pct"/>
            <w:tcBorders>
              <w:top w:val="single" w:color="auto" w:sz="4" w:space="0"/>
              <w:left w:val="single" w:color="auto" w:sz="4" w:space="0"/>
              <w:bottom w:val="single" w:color="auto" w:sz="4" w:space="0"/>
              <w:right w:val="single" w:color="auto" w:sz="4" w:space="0"/>
            </w:tcBorders>
            <w:vAlign w:val="center"/>
          </w:tcPr>
          <w:p w14:paraId="7A675F3C">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619" w:type="pct"/>
            <w:tcBorders>
              <w:top w:val="single" w:color="auto" w:sz="4" w:space="0"/>
              <w:left w:val="single" w:color="auto" w:sz="4" w:space="0"/>
              <w:bottom w:val="single" w:color="auto" w:sz="4" w:space="0"/>
              <w:right w:val="single" w:color="auto" w:sz="4" w:space="0"/>
            </w:tcBorders>
            <w:vAlign w:val="center"/>
          </w:tcPr>
          <w:p w14:paraId="1969924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291D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08" w:type="pct"/>
            <w:gridSpan w:val="2"/>
            <w:tcBorders>
              <w:top w:val="single" w:color="auto" w:sz="4" w:space="0"/>
              <w:left w:val="single" w:color="auto" w:sz="4" w:space="0"/>
              <w:bottom w:val="single" w:color="auto" w:sz="4" w:space="0"/>
              <w:right w:val="single" w:color="auto" w:sz="4" w:space="0"/>
            </w:tcBorders>
            <w:vAlign w:val="center"/>
          </w:tcPr>
          <w:p w14:paraId="3D05D49C">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bCs/>
                <w:sz w:val="28"/>
                <w:szCs w:val="28"/>
              </w:rPr>
              <w:t>总价</w:t>
            </w:r>
            <w:r>
              <w:rPr>
                <w:rFonts w:hint="eastAsia" w:ascii="宋体" w:hAnsi="宋体" w:eastAsia="宋体" w:cs="宋体"/>
                <w:sz w:val="28"/>
                <w:szCs w:val="28"/>
              </w:rPr>
              <w:t>（元）</w:t>
            </w:r>
          </w:p>
        </w:tc>
        <w:tc>
          <w:tcPr>
            <w:tcW w:w="3591" w:type="pct"/>
            <w:gridSpan w:val="5"/>
            <w:tcBorders>
              <w:top w:val="single" w:color="auto" w:sz="4" w:space="0"/>
              <w:left w:val="single" w:color="auto" w:sz="4" w:space="0"/>
              <w:bottom w:val="single" w:color="auto" w:sz="4" w:space="0"/>
              <w:right w:val="single" w:color="auto" w:sz="4" w:space="0"/>
            </w:tcBorders>
            <w:vAlign w:val="center"/>
          </w:tcPr>
          <w:p w14:paraId="1167D4E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bl>
    <w:p w14:paraId="3082F575">
      <w:pPr>
        <w:pStyle w:val="13"/>
        <w:spacing w:after="0" w:line="500" w:lineRule="exact"/>
        <w:ind w:left="0" w:leftChars="0"/>
        <w:jc w:val="both"/>
        <w:rPr>
          <w:rFonts w:hint="eastAsia" w:ascii="宋体" w:hAnsi="宋体" w:eastAsia="宋体" w:cs="宋体"/>
          <w:bCs/>
          <w:sz w:val="28"/>
          <w:szCs w:val="28"/>
        </w:rPr>
      </w:pPr>
    </w:p>
    <w:p w14:paraId="13F5D5A7">
      <w:pPr>
        <w:pStyle w:val="13"/>
        <w:spacing w:after="0" w:line="500" w:lineRule="exact"/>
        <w:ind w:left="0" w:leftChars="0"/>
        <w:jc w:val="center"/>
        <w:rPr>
          <w:rFonts w:hint="eastAsia" w:ascii="宋体" w:hAnsi="宋体" w:eastAsia="宋体" w:cs="宋体"/>
          <w:bCs/>
          <w:sz w:val="28"/>
          <w:szCs w:val="28"/>
        </w:rPr>
      </w:pPr>
    </w:p>
    <w:p w14:paraId="14ADF23F">
      <w:pPr>
        <w:pStyle w:val="13"/>
        <w:spacing w:after="0" w:line="500" w:lineRule="exact"/>
        <w:ind w:left="0" w:leftChars="0"/>
        <w:jc w:val="center"/>
        <w:rPr>
          <w:rFonts w:hint="eastAsia" w:ascii="宋体" w:hAnsi="宋体" w:eastAsia="宋体" w:cs="宋体"/>
          <w:bCs/>
          <w:sz w:val="28"/>
          <w:szCs w:val="28"/>
        </w:rPr>
      </w:pPr>
      <w:r>
        <w:rPr>
          <w:rFonts w:hint="eastAsia" w:ascii="宋体" w:hAnsi="宋体" w:eastAsia="宋体" w:cs="宋体"/>
          <w:bCs/>
          <w:sz w:val="28"/>
          <w:szCs w:val="28"/>
        </w:rPr>
        <w:t xml:space="preserve">                                   投标人名称（盖章）：</w:t>
      </w:r>
    </w:p>
    <w:p w14:paraId="2FC47D7A">
      <w:pPr>
        <w:pStyle w:val="13"/>
        <w:spacing w:after="0" w:line="500" w:lineRule="exact"/>
        <w:ind w:left="0" w:leftChars="0"/>
        <w:jc w:val="right"/>
        <w:rPr>
          <w:rFonts w:hint="eastAsia" w:ascii="宋体" w:hAnsi="宋体" w:eastAsia="宋体" w:cs="宋体"/>
          <w:bCs/>
          <w:sz w:val="28"/>
          <w:szCs w:val="28"/>
        </w:rPr>
      </w:pPr>
      <w:r>
        <w:rPr>
          <w:rFonts w:hint="eastAsia" w:ascii="宋体" w:hAnsi="宋体" w:eastAsia="宋体" w:cs="宋体"/>
          <w:bCs/>
          <w:sz w:val="28"/>
          <w:szCs w:val="28"/>
        </w:rPr>
        <w:t xml:space="preserve">                       授权人（签字或盖章）：</w:t>
      </w:r>
    </w:p>
    <w:p w14:paraId="7885860E">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 xml:space="preserve">                      日期：</w:t>
      </w:r>
    </w:p>
    <w:p w14:paraId="1D3451AF">
      <w:pPr>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w:t>
      </w:r>
    </w:p>
    <w:p w14:paraId="603128BF">
      <w:pPr>
        <w:spacing w:line="500" w:lineRule="exact"/>
        <w:jc w:val="center"/>
        <w:outlineLvl w:val="1"/>
        <w:rPr>
          <w:rFonts w:hint="eastAsia" w:ascii="宋体" w:hAnsi="宋体" w:eastAsia="宋体" w:cs="宋体"/>
          <w:b/>
          <w:bCs/>
          <w:sz w:val="28"/>
          <w:szCs w:val="28"/>
        </w:rPr>
      </w:pPr>
      <w:r>
        <w:rPr>
          <w:rFonts w:hint="eastAsia" w:ascii="宋体" w:hAnsi="宋体" w:eastAsia="宋体" w:cs="宋体"/>
          <w:sz w:val="28"/>
          <w:szCs w:val="28"/>
        </w:rPr>
        <w:br w:type="page"/>
      </w:r>
      <w:r>
        <w:rPr>
          <w:rFonts w:hint="eastAsia" w:ascii="宋体" w:hAnsi="宋体" w:eastAsia="宋体" w:cs="宋体"/>
          <w:b/>
          <w:bCs/>
          <w:sz w:val="28"/>
          <w:szCs w:val="28"/>
        </w:rPr>
        <w:t>三、身份证明书及授权委托书</w:t>
      </w:r>
    </w:p>
    <w:p w14:paraId="593D1376">
      <w:pPr>
        <w:spacing w:line="500" w:lineRule="exact"/>
        <w:jc w:val="center"/>
        <w:rPr>
          <w:rFonts w:hint="eastAsia" w:ascii="宋体" w:hAnsi="宋体" w:eastAsia="宋体" w:cs="宋体"/>
          <w:b/>
          <w:bCs/>
          <w:sz w:val="28"/>
          <w:szCs w:val="28"/>
        </w:rPr>
      </w:pPr>
    </w:p>
    <w:p w14:paraId="11C5FD00">
      <w:pP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法定代表人身份证明书（投标人为法人）</w:t>
      </w:r>
    </w:p>
    <w:p w14:paraId="0D4D9DCF">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投标人名称：</w:t>
      </w:r>
      <w:r>
        <w:rPr>
          <w:rFonts w:hint="eastAsia" w:ascii="宋体" w:hAnsi="宋体" w:eastAsia="宋体" w:cs="宋体"/>
          <w:sz w:val="28"/>
          <w:szCs w:val="28"/>
          <w:u w:val="single"/>
        </w:rPr>
        <w:t xml:space="preserve">                                       </w:t>
      </w:r>
      <w:r>
        <w:rPr>
          <w:rFonts w:hint="eastAsia" w:ascii="宋体" w:hAnsi="宋体" w:eastAsia="宋体" w:cs="宋体"/>
          <w:color w:val="FFFFFF"/>
          <w:sz w:val="28"/>
          <w:szCs w:val="28"/>
        </w:rPr>
        <w:t>；</w:t>
      </w:r>
    </w:p>
    <w:p w14:paraId="0484A505">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r>
        <w:rPr>
          <w:rFonts w:hint="eastAsia" w:ascii="宋体" w:hAnsi="宋体" w:eastAsia="宋体" w:cs="宋体"/>
          <w:color w:val="FFFFFF"/>
          <w:sz w:val="28"/>
          <w:szCs w:val="28"/>
        </w:rPr>
        <w:t>；；</w:t>
      </w:r>
      <w:r>
        <w:rPr>
          <w:rFonts w:hint="eastAsia" w:ascii="宋体" w:hAnsi="宋体" w:eastAsia="宋体" w:cs="宋体"/>
          <w:color w:val="FFFFFF"/>
          <w:sz w:val="28"/>
          <w:szCs w:val="28"/>
          <w:u w:val="single"/>
        </w:rPr>
        <w:t xml:space="preserve"> </w:t>
      </w:r>
      <w:r>
        <w:rPr>
          <w:rFonts w:hint="eastAsia" w:ascii="宋体" w:hAnsi="宋体" w:eastAsia="宋体" w:cs="宋体"/>
          <w:sz w:val="28"/>
          <w:szCs w:val="28"/>
          <w:u w:val="single"/>
        </w:rPr>
        <w:t xml:space="preserve">                                           </w:t>
      </w:r>
    </w:p>
    <w:p w14:paraId="6C5D68D5">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eastAsia="宋体" w:cs="宋体"/>
          <w:sz w:val="28"/>
          <w:szCs w:val="28"/>
          <w:u w:val="single"/>
        </w:rPr>
        <w:t xml:space="preserve">         </w:t>
      </w:r>
      <w:r>
        <w:rPr>
          <w:rFonts w:hint="eastAsia" w:ascii="宋体" w:hAnsi="宋体" w:eastAsia="宋体" w:cs="宋体"/>
          <w:color w:val="FFFFFF"/>
          <w:sz w:val="28"/>
          <w:szCs w:val="28"/>
        </w:rPr>
        <w:t>；</w:t>
      </w:r>
      <w:r>
        <w:rPr>
          <w:rFonts w:hint="eastAsia" w:ascii="宋体" w:hAnsi="宋体" w:eastAsia="宋体" w:cs="宋体"/>
          <w:color w:val="FFFFFF"/>
          <w:sz w:val="28"/>
          <w:szCs w:val="28"/>
          <w:u w:val="single"/>
        </w:rPr>
        <w:t xml:space="preserve">  </w:t>
      </w:r>
      <w:r>
        <w:rPr>
          <w:rFonts w:hint="eastAsia" w:ascii="宋体" w:hAnsi="宋体" w:eastAsia="宋体" w:cs="宋体"/>
          <w:sz w:val="28"/>
          <w:szCs w:val="28"/>
          <w:u w:val="single"/>
        </w:rPr>
        <w:t xml:space="preserve">    </w:t>
      </w:r>
    </w:p>
    <w:p w14:paraId="58572945">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r>
        <w:rPr>
          <w:rFonts w:hint="eastAsia" w:ascii="宋体" w:hAnsi="宋体" w:eastAsia="宋体" w:cs="宋体"/>
          <w:color w:val="FFFFFF"/>
          <w:sz w:val="28"/>
          <w:szCs w:val="28"/>
        </w:rPr>
        <w:t>；</w:t>
      </w:r>
      <w:r>
        <w:rPr>
          <w:rFonts w:hint="eastAsia" w:ascii="宋体" w:hAnsi="宋体" w:eastAsia="宋体" w:cs="宋体"/>
          <w:color w:val="FFFFFF"/>
          <w:sz w:val="28"/>
          <w:szCs w:val="28"/>
          <w:u w:val="single"/>
        </w:rPr>
        <w:t xml:space="preserve">  </w:t>
      </w:r>
      <w:r>
        <w:rPr>
          <w:rFonts w:hint="eastAsia" w:ascii="宋体" w:hAnsi="宋体" w:eastAsia="宋体" w:cs="宋体"/>
          <w:sz w:val="28"/>
          <w:szCs w:val="28"/>
          <w:u w:val="single"/>
        </w:rPr>
        <w:t xml:space="preserve">                                        </w:t>
      </w:r>
    </w:p>
    <w:p w14:paraId="076B35F2">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的法定代表人，为具有参加</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（项目名称）的投标、签署上述投标文件、进行合同谈判、签署合同和处理与之有关的一切事务权利的投标人。</w:t>
      </w:r>
    </w:p>
    <w:p w14:paraId="669E87FE">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14:paraId="43556555">
      <w:p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附：法定代表人身份证正反面。</w:t>
      </w:r>
    </w:p>
    <w:p w14:paraId="0E239201">
      <w:pPr>
        <w:spacing w:line="500" w:lineRule="exact"/>
        <w:ind w:firstLine="560" w:firstLineChars="200"/>
        <w:jc w:val="right"/>
        <w:rPr>
          <w:rFonts w:hint="eastAsia" w:ascii="宋体" w:hAnsi="宋体" w:eastAsia="宋体" w:cs="宋体"/>
          <w:sz w:val="28"/>
          <w:szCs w:val="28"/>
          <w:u w:val="single"/>
        </w:rPr>
      </w:pPr>
      <w:r>
        <w:rPr>
          <w:rFonts w:hint="eastAsia" w:ascii="宋体" w:hAnsi="宋体" w:eastAsia="宋体" w:cs="宋体"/>
          <w:sz w:val="28"/>
          <w:szCs w:val="28"/>
        </w:rPr>
        <w:t xml:space="preserve">               投标人名称（盖章）：</w:t>
      </w:r>
      <w:r>
        <w:rPr>
          <w:rFonts w:hint="eastAsia" w:ascii="宋体" w:hAnsi="宋体" w:eastAsia="宋体" w:cs="宋体"/>
          <w:sz w:val="28"/>
          <w:szCs w:val="28"/>
          <w:u w:val="single"/>
        </w:rPr>
        <w:t xml:space="preserve"> </w:t>
      </w:r>
    </w:p>
    <w:p w14:paraId="311FD17B">
      <w:pPr>
        <w:spacing w:line="500" w:lineRule="exact"/>
        <w:ind w:firstLine="560" w:firstLineChars="200"/>
        <w:jc w:val="right"/>
        <w:rPr>
          <w:rFonts w:hint="eastAsia" w:ascii="宋体" w:hAnsi="宋体" w:eastAsia="宋体" w:cs="宋体"/>
          <w:sz w:val="28"/>
          <w:szCs w:val="28"/>
        </w:rPr>
      </w:pPr>
      <w:r>
        <w:rPr>
          <w:rFonts w:hint="eastAsia" w:ascii="宋体" w:hAnsi="宋体" w:eastAsia="宋体" w:cs="宋体"/>
          <w:sz w:val="28"/>
          <w:szCs w:val="28"/>
        </w:rPr>
        <w:t>法定代表人（签字或盖章）:</w:t>
      </w:r>
      <w:r>
        <w:rPr>
          <w:rFonts w:hint="eastAsia" w:ascii="宋体" w:hAnsi="宋体" w:eastAsia="宋体" w:cs="宋体"/>
          <w:sz w:val="28"/>
          <w:szCs w:val="28"/>
          <w:u w:val="single"/>
        </w:rPr>
        <w:t xml:space="preserve">                </w:t>
      </w:r>
    </w:p>
    <w:p w14:paraId="64432E0B">
      <w:pPr>
        <w:spacing w:line="500" w:lineRule="exact"/>
        <w:ind w:firstLine="560" w:firstLineChars="200"/>
        <w:jc w:val="right"/>
        <w:rPr>
          <w:rFonts w:hint="eastAsia" w:ascii="宋体" w:hAnsi="宋体" w:eastAsia="宋体" w:cs="宋体"/>
          <w:sz w:val="28"/>
          <w:szCs w:val="28"/>
        </w:rPr>
      </w:pPr>
      <w:r>
        <w:rPr>
          <w:rFonts w:hint="eastAsia" w:ascii="宋体" w:hAnsi="宋体" w:eastAsia="宋体" w:cs="宋体"/>
          <w:sz w:val="28"/>
          <w:szCs w:val="28"/>
        </w:rPr>
        <w:t xml:space="preserve">                   日   期：</w:t>
      </w:r>
    </w:p>
    <w:p w14:paraId="25F68FAA">
      <w:pPr>
        <w:rPr>
          <w:rFonts w:hint="eastAsia" w:ascii="宋体" w:hAnsi="宋体" w:eastAsia="宋体" w:cs="宋体"/>
          <w:sz w:val="28"/>
          <w:szCs w:val="28"/>
        </w:rPr>
      </w:pPr>
      <w:r>
        <w:rPr>
          <w:rFonts w:hint="eastAsia" w:ascii="宋体" w:hAnsi="宋体" w:eastAsia="宋体" w:cs="宋体"/>
          <w:sz w:val="28"/>
          <w:szCs w:val="28"/>
        </w:rPr>
        <w:br w:type="page"/>
      </w:r>
    </w:p>
    <w:p w14:paraId="55C8FB0B">
      <w:pPr>
        <w:snapToGrid w:val="0"/>
        <w:spacing w:line="500" w:lineRule="exact"/>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身份证明书（投标人为自然人或其他组织）</w:t>
      </w:r>
    </w:p>
    <w:p w14:paraId="38282275">
      <w:pPr>
        <w:keepNext/>
        <w:keepLines/>
        <w:rPr>
          <w:rFonts w:hint="eastAsia" w:ascii="宋体" w:hAnsi="宋体" w:eastAsia="宋体" w:cs="宋体"/>
          <w:sz w:val="28"/>
          <w:szCs w:val="28"/>
        </w:rPr>
      </w:pPr>
    </w:p>
    <w:p w14:paraId="0700BC18">
      <w:pPr>
        <w:snapToGrid w:val="0"/>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eastAsia="宋体" w:cs="宋体"/>
          <w:sz w:val="28"/>
          <w:szCs w:val="28"/>
          <w:u w:val="single"/>
        </w:rPr>
        <w:t xml:space="preserve">      </w:t>
      </w:r>
      <w:r>
        <w:rPr>
          <w:rFonts w:hint="eastAsia" w:ascii="宋体" w:hAnsi="宋体" w:eastAsia="宋体" w:cs="宋体"/>
          <w:color w:val="FFFFFF"/>
          <w:sz w:val="28"/>
          <w:szCs w:val="28"/>
          <w:u w:val="single"/>
        </w:rPr>
        <w:t xml:space="preserve">。 </w:t>
      </w:r>
      <w:r>
        <w:rPr>
          <w:rFonts w:hint="eastAsia" w:ascii="宋体" w:hAnsi="宋体" w:eastAsia="宋体" w:cs="宋体"/>
          <w:sz w:val="28"/>
          <w:szCs w:val="28"/>
          <w:u w:val="single"/>
        </w:rPr>
        <w:t xml:space="preserve">      </w:t>
      </w:r>
    </w:p>
    <w:p w14:paraId="41E94B3C">
      <w:pPr>
        <w:snapToGrid w:val="0"/>
        <w:spacing w:line="500" w:lineRule="exact"/>
        <w:ind w:firstLine="560" w:firstLineChars="200"/>
        <w:rPr>
          <w:rFonts w:hint="eastAsia" w:ascii="宋体" w:hAnsi="宋体" w:eastAsia="宋体" w:cs="宋体"/>
          <w:color w:val="FFFFFF"/>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r>
        <w:rPr>
          <w:rFonts w:hint="eastAsia" w:ascii="宋体" w:hAnsi="宋体" w:eastAsia="宋体" w:cs="宋体"/>
          <w:color w:val="FFFFFF"/>
          <w:sz w:val="28"/>
          <w:szCs w:val="28"/>
          <w:u w:val="single"/>
        </w:rPr>
        <w:t>。</w:t>
      </w:r>
    </w:p>
    <w:p w14:paraId="7B548154">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r>
        <w:rPr>
          <w:rFonts w:hint="eastAsia" w:ascii="宋体" w:hAnsi="宋体" w:eastAsia="宋体" w:cs="宋体"/>
          <w:color w:val="FFFFFF"/>
          <w:sz w:val="28"/>
          <w:szCs w:val="28"/>
          <w:u w:val="single"/>
        </w:rPr>
        <w:t xml:space="preserve">。            </w:t>
      </w:r>
      <w:r>
        <w:rPr>
          <w:rFonts w:hint="eastAsia" w:ascii="宋体" w:hAnsi="宋体" w:eastAsia="宋体" w:cs="宋体"/>
          <w:sz w:val="28"/>
          <w:szCs w:val="28"/>
          <w:u w:val="single"/>
        </w:rPr>
        <w:t xml:space="preserve">                               </w:t>
      </w:r>
    </w:p>
    <w:p w14:paraId="7D041D3E">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为具有参加</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（项目名称）的投标、签署上述投标文件、进行合同谈判、签署合同和处理与之有关的一切事务权利的投标人。 </w:t>
      </w:r>
    </w:p>
    <w:p w14:paraId="0C965DAF">
      <w:pPr>
        <w:snapToGrid w:val="0"/>
        <w:spacing w:line="500" w:lineRule="exact"/>
        <w:ind w:firstLine="560" w:firstLineChars="200"/>
        <w:rPr>
          <w:rFonts w:hint="eastAsia" w:ascii="宋体" w:hAnsi="宋体" w:eastAsia="宋体" w:cs="宋体"/>
          <w:sz w:val="28"/>
          <w:szCs w:val="28"/>
        </w:rPr>
      </w:pPr>
    </w:p>
    <w:p w14:paraId="24EF0959">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14:paraId="21D8A57C">
      <w:pPr>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 xml:space="preserve">               </w:t>
      </w:r>
    </w:p>
    <w:p w14:paraId="1A2B88C8">
      <w:pPr>
        <w:snapToGrid w:val="0"/>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附：身份证正反面复印件。</w:t>
      </w:r>
    </w:p>
    <w:p w14:paraId="30F5A3A4">
      <w:pPr>
        <w:spacing w:line="500" w:lineRule="exact"/>
        <w:ind w:firstLine="560" w:firstLineChars="200"/>
        <w:jc w:val="center"/>
        <w:rPr>
          <w:rFonts w:hint="eastAsia" w:ascii="宋体" w:hAnsi="宋体" w:eastAsia="宋体" w:cs="宋体"/>
          <w:sz w:val="28"/>
          <w:szCs w:val="28"/>
        </w:rPr>
      </w:pPr>
    </w:p>
    <w:p w14:paraId="37E13268">
      <w:pPr>
        <w:spacing w:line="500" w:lineRule="exact"/>
        <w:ind w:firstLine="560" w:firstLineChars="200"/>
        <w:jc w:val="center"/>
        <w:rPr>
          <w:rFonts w:hint="eastAsia" w:ascii="宋体" w:hAnsi="宋体" w:eastAsia="宋体" w:cs="宋体"/>
          <w:sz w:val="28"/>
          <w:szCs w:val="28"/>
        </w:rPr>
      </w:pPr>
    </w:p>
    <w:p w14:paraId="600A2203">
      <w:pPr>
        <w:spacing w:line="500" w:lineRule="exact"/>
        <w:ind w:firstLine="560" w:firstLineChars="200"/>
        <w:jc w:val="center"/>
        <w:rPr>
          <w:rFonts w:hint="eastAsia" w:ascii="宋体" w:hAnsi="宋体" w:eastAsia="宋体" w:cs="宋体"/>
          <w:sz w:val="28"/>
          <w:szCs w:val="28"/>
        </w:rPr>
      </w:pPr>
    </w:p>
    <w:p w14:paraId="4B630907">
      <w:pPr>
        <w:spacing w:line="500" w:lineRule="exact"/>
        <w:ind w:firstLine="560" w:firstLineChars="200"/>
        <w:jc w:val="center"/>
        <w:rPr>
          <w:rFonts w:hint="eastAsia" w:ascii="宋体" w:hAnsi="宋体" w:eastAsia="宋体" w:cs="宋体"/>
          <w:sz w:val="28"/>
          <w:szCs w:val="28"/>
        </w:rPr>
      </w:pPr>
    </w:p>
    <w:p w14:paraId="6734AE70">
      <w:pPr>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sz w:val="28"/>
          <w:szCs w:val="28"/>
        </w:rPr>
        <w:t>投标人（签字或盖名章）：</w:t>
      </w:r>
      <w:r>
        <w:rPr>
          <w:rFonts w:hint="eastAsia" w:ascii="宋体" w:hAnsi="宋体" w:eastAsia="宋体" w:cs="宋体"/>
          <w:sz w:val="28"/>
          <w:szCs w:val="28"/>
          <w:u w:val="single"/>
        </w:rPr>
        <w:t xml:space="preserve">                  </w:t>
      </w:r>
    </w:p>
    <w:p w14:paraId="4D5E1E3C">
      <w:pPr>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 xml:space="preserve">                        日   期：  </w:t>
      </w:r>
      <w:r>
        <w:rPr>
          <w:rFonts w:hint="eastAsia" w:ascii="宋体" w:hAnsi="宋体" w:eastAsia="宋体" w:cs="宋体"/>
          <w:bCs/>
          <w:sz w:val="28"/>
          <w:szCs w:val="28"/>
        </w:rPr>
        <w:t>年   月   日</w:t>
      </w:r>
    </w:p>
    <w:p w14:paraId="76CB6BBD">
      <w:pPr>
        <w:spacing w:line="500" w:lineRule="exact"/>
        <w:ind w:firstLine="560" w:firstLineChars="200"/>
        <w:jc w:val="right"/>
        <w:rPr>
          <w:rFonts w:hint="eastAsia" w:ascii="宋体" w:hAnsi="宋体" w:eastAsia="宋体" w:cs="宋体"/>
          <w:sz w:val="28"/>
          <w:szCs w:val="28"/>
        </w:rPr>
      </w:pPr>
      <w:r>
        <w:rPr>
          <w:rFonts w:hint="eastAsia" w:ascii="宋体" w:hAnsi="宋体" w:eastAsia="宋体" w:cs="宋体"/>
          <w:sz w:val="28"/>
          <w:szCs w:val="28"/>
        </w:rPr>
        <w:t xml:space="preserve">   </w:t>
      </w:r>
    </w:p>
    <w:p w14:paraId="369E3126">
      <w:pPr>
        <w:pStyle w:val="9"/>
        <w:spacing w:after="0" w:line="500" w:lineRule="exact"/>
        <w:ind w:firstLine="560" w:firstLineChars="200"/>
        <w:rPr>
          <w:rFonts w:hint="eastAsia" w:ascii="宋体" w:hAnsi="宋体" w:eastAsia="宋体" w:cs="宋体"/>
          <w:kern w:val="0"/>
          <w:sz w:val="28"/>
          <w:szCs w:val="28"/>
        </w:rPr>
      </w:pPr>
    </w:p>
    <w:p w14:paraId="5CD20CEB">
      <w:pPr>
        <w:spacing w:line="500" w:lineRule="exact"/>
        <w:jc w:val="center"/>
        <w:rPr>
          <w:rFonts w:hint="eastAsia" w:ascii="宋体" w:hAnsi="宋体" w:eastAsia="宋体" w:cs="宋体"/>
          <w:b/>
          <w:bCs/>
          <w:sz w:val="28"/>
          <w:szCs w:val="28"/>
        </w:rPr>
      </w:pPr>
    </w:p>
    <w:p w14:paraId="60A74B03">
      <w:pP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rPr>
        <w:t>法定代表人授权委托书（投标人为法人）</w:t>
      </w:r>
    </w:p>
    <w:p w14:paraId="2D035CAE">
      <w:pPr>
        <w:spacing w:line="500" w:lineRule="exact"/>
        <w:jc w:val="center"/>
        <w:rPr>
          <w:rFonts w:hint="eastAsia" w:ascii="宋体" w:hAnsi="宋体" w:eastAsia="宋体" w:cs="宋体"/>
          <w:b/>
          <w:bCs/>
          <w:sz w:val="28"/>
          <w:szCs w:val="28"/>
        </w:rPr>
      </w:pPr>
    </w:p>
    <w:p w14:paraId="125A1B0E">
      <w:pPr>
        <w:pStyle w:val="22"/>
        <w:spacing w:line="500" w:lineRule="exact"/>
        <w:rPr>
          <w:rFonts w:hint="eastAsia" w:ascii="宋体" w:hAnsi="宋体" w:eastAsia="宋体" w:cs="宋体"/>
          <w:b/>
          <w:bCs/>
          <w:sz w:val="28"/>
          <w:szCs w:val="28"/>
        </w:rPr>
      </w:pPr>
    </w:p>
    <w:p w14:paraId="162C6A8D">
      <w:pPr>
        <w:spacing w:line="500" w:lineRule="exact"/>
        <w:ind w:firstLine="435"/>
        <w:rPr>
          <w:rFonts w:hint="eastAsia" w:ascii="宋体" w:hAnsi="宋体" w:eastAsia="宋体" w:cs="宋体"/>
          <w:sz w:val="28"/>
          <w:szCs w:val="28"/>
        </w:rPr>
      </w:pPr>
      <w:r>
        <w:rPr>
          <w:rFonts w:hint="eastAsia" w:ascii="宋体" w:hAnsi="宋体" w:eastAsia="宋体" w:cs="宋体"/>
          <w:sz w:val="28"/>
          <w:szCs w:val="28"/>
        </w:rPr>
        <w:t xml:space="preserve"> 本授权书声明：注册于</w:t>
      </w:r>
      <w:r>
        <w:rPr>
          <w:rFonts w:hint="eastAsia" w:ascii="宋体" w:hAnsi="宋体" w:eastAsia="宋体" w:cs="宋体"/>
          <w:sz w:val="28"/>
          <w:szCs w:val="28"/>
          <w:u w:val="single"/>
        </w:rPr>
        <w:t xml:space="preserve">      （地区的名称）</w:t>
      </w:r>
      <w:r>
        <w:rPr>
          <w:rFonts w:hint="eastAsia" w:ascii="宋体" w:hAnsi="宋体" w:eastAsia="宋体" w:cs="宋体"/>
          <w:sz w:val="28"/>
          <w:szCs w:val="28"/>
        </w:rPr>
        <w:t>的</w:t>
      </w:r>
      <w:r>
        <w:rPr>
          <w:rFonts w:hint="eastAsia" w:ascii="宋体" w:hAnsi="宋体" w:eastAsia="宋体" w:cs="宋体"/>
          <w:sz w:val="28"/>
          <w:szCs w:val="28"/>
          <w:u w:val="single"/>
        </w:rPr>
        <w:t xml:space="preserve">     （公司名称），</w:t>
      </w:r>
      <w:r>
        <w:rPr>
          <w:rFonts w:hint="eastAsia" w:ascii="宋体" w:hAnsi="宋体" w:eastAsia="宋体" w:cs="宋体"/>
          <w:sz w:val="28"/>
          <w:szCs w:val="28"/>
        </w:rPr>
        <w:t xml:space="preserve">法人代表人 </w:t>
      </w:r>
      <w:r>
        <w:rPr>
          <w:rFonts w:hint="eastAsia" w:ascii="宋体" w:hAnsi="宋体" w:eastAsia="宋体" w:cs="宋体"/>
          <w:sz w:val="28"/>
          <w:szCs w:val="28"/>
          <w:u w:val="single"/>
        </w:rPr>
        <w:t xml:space="preserve">      （姓名、职务、身份证号码），</w:t>
      </w:r>
      <w:r>
        <w:rPr>
          <w:rFonts w:hint="eastAsia" w:ascii="宋体" w:hAnsi="宋体" w:eastAsia="宋体" w:cs="宋体"/>
          <w:sz w:val="28"/>
          <w:szCs w:val="28"/>
        </w:rPr>
        <w:t>代表本公司授权</w:t>
      </w:r>
      <w:r>
        <w:rPr>
          <w:rFonts w:hint="eastAsia" w:ascii="宋体" w:hAnsi="宋体" w:eastAsia="宋体" w:cs="宋体"/>
          <w:sz w:val="28"/>
          <w:szCs w:val="28"/>
          <w:u w:val="single"/>
        </w:rPr>
        <w:t xml:space="preserve">      （被授权人的姓名、职务、身份证号码）</w:t>
      </w:r>
      <w:r>
        <w:rPr>
          <w:rFonts w:hint="eastAsia" w:ascii="宋体" w:hAnsi="宋体" w:eastAsia="宋体" w:cs="宋体"/>
          <w:sz w:val="28"/>
          <w:szCs w:val="28"/>
        </w:rPr>
        <w:t>为本公司的合法代理人，就</w:t>
      </w:r>
      <w:r>
        <w:rPr>
          <w:rFonts w:hint="eastAsia" w:ascii="宋体" w:hAnsi="宋体" w:eastAsia="宋体" w:cs="宋体"/>
          <w:sz w:val="28"/>
          <w:szCs w:val="28"/>
          <w:u w:val="single"/>
        </w:rPr>
        <w:t>（     项目名称、编号）</w:t>
      </w:r>
      <w:r>
        <w:rPr>
          <w:rFonts w:hint="eastAsia" w:ascii="宋体" w:hAnsi="宋体" w:eastAsia="宋体" w:cs="宋体"/>
          <w:sz w:val="28"/>
          <w:szCs w:val="28"/>
        </w:rPr>
        <w:t>的投标，以本公司的名义处理一切与之有关的事务。</w:t>
      </w:r>
    </w:p>
    <w:p w14:paraId="1EAB7A79">
      <w:pPr>
        <w:spacing w:line="500" w:lineRule="exact"/>
        <w:ind w:firstLine="435"/>
        <w:rPr>
          <w:rFonts w:hint="eastAsia" w:ascii="宋体" w:hAnsi="宋体" w:eastAsia="宋体" w:cs="宋体"/>
          <w:sz w:val="28"/>
          <w:szCs w:val="28"/>
        </w:rPr>
      </w:pPr>
      <w:r>
        <w:rPr>
          <w:rFonts w:hint="eastAsia" w:ascii="宋体" w:hAnsi="宋体" w:eastAsia="宋体" w:cs="宋体"/>
          <w:sz w:val="28"/>
          <w:szCs w:val="28"/>
        </w:rPr>
        <w:t>本授权书于</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日生效，被授权人无权转让本授权，特此声明。</w:t>
      </w:r>
    </w:p>
    <w:p w14:paraId="46A2FC9B">
      <w:p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附：法定代表人及被授权人身份证正反面。</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550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4261" w:type="dxa"/>
            <w:tcBorders>
              <w:top w:val="single" w:color="auto" w:sz="4" w:space="0"/>
              <w:left w:val="single" w:color="auto" w:sz="4" w:space="0"/>
              <w:bottom w:val="single" w:color="auto" w:sz="4" w:space="0"/>
              <w:right w:val="single" w:color="auto" w:sz="4" w:space="0"/>
            </w:tcBorders>
          </w:tcPr>
          <w:p w14:paraId="7F6BB6A6">
            <w:pPr>
              <w:pStyle w:val="13"/>
              <w:keepNext w:val="0"/>
              <w:keepLines w:val="0"/>
              <w:suppressLineNumbers w:val="0"/>
              <w:spacing w:before="0" w:beforeAutospacing="0" w:after="0" w:afterAutospacing="0" w:line="500" w:lineRule="exact"/>
              <w:ind w:left="0" w:leftChars="0" w:right="0"/>
              <w:jc w:val="center"/>
              <w:rPr>
                <w:rFonts w:hint="eastAsia" w:ascii="宋体" w:hAnsi="宋体" w:eastAsia="宋体" w:cs="宋体"/>
                <w:sz w:val="28"/>
                <w:szCs w:val="28"/>
              </w:rPr>
            </w:pPr>
            <w:r>
              <w:rPr>
                <w:rFonts w:hint="eastAsia" w:ascii="宋体" w:hAnsi="宋体" w:eastAsia="宋体" w:cs="宋体"/>
                <w:sz w:val="28"/>
                <w:szCs w:val="28"/>
              </w:rPr>
              <w:t>法定代表人身份证正面</w:t>
            </w:r>
          </w:p>
        </w:tc>
        <w:tc>
          <w:tcPr>
            <w:tcW w:w="4261" w:type="dxa"/>
            <w:tcBorders>
              <w:top w:val="single" w:color="auto" w:sz="4" w:space="0"/>
              <w:left w:val="single" w:color="auto" w:sz="4" w:space="0"/>
              <w:bottom w:val="single" w:color="auto" w:sz="4" w:space="0"/>
              <w:right w:val="single" w:color="auto" w:sz="4" w:space="0"/>
            </w:tcBorders>
          </w:tcPr>
          <w:p w14:paraId="4E2E6681">
            <w:pPr>
              <w:pStyle w:val="13"/>
              <w:keepNext w:val="0"/>
              <w:keepLines w:val="0"/>
              <w:suppressLineNumbers w:val="0"/>
              <w:spacing w:before="0" w:beforeAutospacing="0" w:after="0" w:afterAutospacing="0" w:line="500" w:lineRule="exact"/>
              <w:ind w:left="0" w:leftChars="0" w:right="0"/>
              <w:jc w:val="center"/>
              <w:rPr>
                <w:rFonts w:hint="eastAsia" w:ascii="宋体" w:hAnsi="宋体" w:eastAsia="宋体" w:cs="宋体"/>
                <w:sz w:val="28"/>
                <w:szCs w:val="28"/>
              </w:rPr>
            </w:pPr>
            <w:r>
              <w:rPr>
                <w:rFonts w:hint="eastAsia" w:ascii="宋体" w:hAnsi="宋体" w:eastAsia="宋体" w:cs="宋体"/>
                <w:sz w:val="28"/>
                <w:szCs w:val="28"/>
              </w:rPr>
              <w:t>被授权人身份证正面</w:t>
            </w:r>
          </w:p>
        </w:tc>
      </w:tr>
      <w:tr w14:paraId="7676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4261" w:type="dxa"/>
            <w:tcBorders>
              <w:top w:val="single" w:color="auto" w:sz="4" w:space="0"/>
              <w:left w:val="single" w:color="auto" w:sz="4" w:space="0"/>
              <w:bottom w:val="single" w:color="auto" w:sz="4" w:space="0"/>
              <w:right w:val="single" w:color="auto" w:sz="4" w:space="0"/>
            </w:tcBorders>
          </w:tcPr>
          <w:p w14:paraId="68A642E2">
            <w:pPr>
              <w:pStyle w:val="13"/>
              <w:keepNext w:val="0"/>
              <w:keepLines w:val="0"/>
              <w:suppressLineNumbers w:val="0"/>
              <w:spacing w:before="0" w:beforeAutospacing="0" w:after="0" w:afterAutospacing="0" w:line="500" w:lineRule="exact"/>
              <w:ind w:left="0" w:leftChars="0" w:right="0"/>
              <w:jc w:val="center"/>
              <w:rPr>
                <w:rFonts w:hint="eastAsia" w:ascii="宋体" w:hAnsi="宋体" w:eastAsia="宋体" w:cs="宋体"/>
                <w:sz w:val="28"/>
                <w:szCs w:val="28"/>
              </w:rPr>
            </w:pPr>
            <w:r>
              <w:rPr>
                <w:rFonts w:hint="eastAsia" w:ascii="宋体" w:hAnsi="宋体" w:eastAsia="宋体" w:cs="宋体"/>
                <w:sz w:val="28"/>
                <w:szCs w:val="28"/>
              </w:rPr>
              <w:t>法定代表人身份证反面</w:t>
            </w:r>
          </w:p>
        </w:tc>
        <w:tc>
          <w:tcPr>
            <w:tcW w:w="4261" w:type="dxa"/>
            <w:tcBorders>
              <w:top w:val="single" w:color="auto" w:sz="4" w:space="0"/>
              <w:left w:val="single" w:color="auto" w:sz="4" w:space="0"/>
              <w:bottom w:val="single" w:color="auto" w:sz="4" w:space="0"/>
              <w:right w:val="single" w:color="auto" w:sz="4" w:space="0"/>
            </w:tcBorders>
          </w:tcPr>
          <w:p w14:paraId="6E7DA0EF">
            <w:pPr>
              <w:pStyle w:val="13"/>
              <w:keepNext w:val="0"/>
              <w:keepLines w:val="0"/>
              <w:suppressLineNumbers w:val="0"/>
              <w:spacing w:before="0" w:beforeAutospacing="0" w:after="0" w:afterAutospacing="0" w:line="500" w:lineRule="exact"/>
              <w:ind w:left="0" w:leftChars="0" w:right="0"/>
              <w:jc w:val="center"/>
              <w:rPr>
                <w:rFonts w:hint="eastAsia" w:ascii="宋体" w:hAnsi="宋体" w:eastAsia="宋体" w:cs="宋体"/>
                <w:sz w:val="28"/>
                <w:szCs w:val="28"/>
              </w:rPr>
            </w:pPr>
            <w:r>
              <w:rPr>
                <w:rFonts w:hint="eastAsia" w:ascii="宋体" w:hAnsi="宋体" w:eastAsia="宋体" w:cs="宋体"/>
                <w:sz w:val="28"/>
                <w:szCs w:val="28"/>
              </w:rPr>
              <w:t>被授权人身份证反面</w:t>
            </w:r>
          </w:p>
        </w:tc>
      </w:tr>
    </w:tbl>
    <w:p w14:paraId="10725A33">
      <w:pPr>
        <w:spacing w:line="500" w:lineRule="exact"/>
        <w:ind w:firstLine="435"/>
        <w:rPr>
          <w:rFonts w:hint="eastAsia" w:ascii="宋体" w:hAnsi="宋体" w:eastAsia="宋体" w:cs="宋体"/>
          <w:sz w:val="28"/>
          <w:szCs w:val="28"/>
        </w:rPr>
      </w:pPr>
      <w:r>
        <w:rPr>
          <w:rFonts w:hint="eastAsia" w:ascii="宋体" w:hAnsi="宋体" w:eastAsia="宋体" w:cs="宋体"/>
          <w:sz w:val="28"/>
          <w:szCs w:val="28"/>
        </w:rPr>
        <w:t>注：国徽面为正面，人像面为反面。</w:t>
      </w:r>
    </w:p>
    <w:p w14:paraId="77CDD2EE">
      <w:pPr>
        <w:spacing w:line="500" w:lineRule="exact"/>
        <w:ind w:firstLine="435"/>
        <w:rPr>
          <w:rFonts w:hint="eastAsia" w:ascii="宋体" w:hAnsi="宋体" w:eastAsia="宋体" w:cs="宋体"/>
          <w:sz w:val="28"/>
          <w:szCs w:val="28"/>
        </w:rPr>
      </w:pPr>
    </w:p>
    <w:p w14:paraId="67C12475">
      <w:pPr>
        <w:spacing w:line="500" w:lineRule="exact"/>
        <w:ind w:firstLine="435"/>
        <w:jc w:val="right"/>
        <w:rPr>
          <w:rFonts w:hint="eastAsia" w:ascii="宋体" w:hAnsi="宋体" w:eastAsia="宋体" w:cs="宋体"/>
          <w:sz w:val="28"/>
          <w:szCs w:val="28"/>
          <w:u w:val="single"/>
        </w:rPr>
      </w:pPr>
      <w:r>
        <w:rPr>
          <w:rFonts w:hint="eastAsia" w:ascii="宋体" w:hAnsi="宋体" w:eastAsia="宋体" w:cs="宋体"/>
          <w:sz w:val="28"/>
          <w:szCs w:val="28"/>
        </w:rPr>
        <w:t>投标人名称（盖章）：</w:t>
      </w:r>
    </w:p>
    <w:p w14:paraId="0248B00B">
      <w:pPr>
        <w:spacing w:line="500" w:lineRule="exact"/>
        <w:ind w:firstLine="435"/>
        <w:jc w:val="right"/>
        <w:rPr>
          <w:rFonts w:hint="eastAsia" w:ascii="宋体" w:hAnsi="宋体" w:eastAsia="宋体" w:cs="宋体"/>
          <w:sz w:val="28"/>
          <w:szCs w:val="28"/>
        </w:rPr>
      </w:pPr>
      <w:r>
        <w:rPr>
          <w:rFonts w:hint="eastAsia" w:ascii="宋体" w:hAnsi="宋体" w:eastAsia="宋体" w:cs="宋体"/>
          <w:sz w:val="28"/>
          <w:szCs w:val="28"/>
        </w:rPr>
        <w:t>法定代表人（签字或盖章）：</w:t>
      </w:r>
    </w:p>
    <w:p w14:paraId="11CD32CE">
      <w:pPr>
        <w:spacing w:line="500" w:lineRule="exact"/>
        <w:ind w:firstLine="435"/>
        <w:jc w:val="right"/>
        <w:rPr>
          <w:rFonts w:hint="eastAsia" w:ascii="宋体" w:hAnsi="宋体" w:eastAsia="宋体" w:cs="宋体"/>
          <w:sz w:val="28"/>
          <w:szCs w:val="28"/>
        </w:rPr>
      </w:pPr>
      <w:r>
        <w:rPr>
          <w:rFonts w:hint="eastAsia" w:ascii="宋体" w:hAnsi="宋体" w:eastAsia="宋体" w:cs="宋体"/>
          <w:sz w:val="28"/>
          <w:szCs w:val="28"/>
        </w:rPr>
        <w:t>授权日期：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147A6F4C">
      <w:pPr>
        <w:rPr>
          <w:rFonts w:hint="eastAsia" w:ascii="宋体" w:hAnsi="宋体" w:eastAsia="宋体" w:cs="宋体"/>
          <w:sz w:val="28"/>
          <w:szCs w:val="28"/>
        </w:rPr>
      </w:pPr>
      <w:r>
        <w:rPr>
          <w:rFonts w:hint="eastAsia" w:ascii="宋体" w:hAnsi="宋体" w:eastAsia="宋体" w:cs="宋体"/>
          <w:sz w:val="28"/>
          <w:szCs w:val="28"/>
        </w:rPr>
        <w:br w:type="page"/>
      </w:r>
    </w:p>
    <w:p w14:paraId="4091F343">
      <w:pPr>
        <w:spacing w:line="500" w:lineRule="exact"/>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授权委托书（投标人为自然人或其他组织）</w:t>
      </w:r>
    </w:p>
    <w:p w14:paraId="59336B08">
      <w:pPr>
        <w:spacing w:line="500" w:lineRule="exact"/>
        <w:ind w:firstLine="560" w:firstLineChars="200"/>
        <w:rPr>
          <w:rFonts w:hint="eastAsia" w:ascii="宋体" w:hAnsi="宋体" w:eastAsia="宋体" w:cs="宋体"/>
          <w:sz w:val="28"/>
          <w:szCs w:val="28"/>
        </w:rPr>
      </w:pPr>
    </w:p>
    <w:p w14:paraId="7CAE311D">
      <w:pPr>
        <w:spacing w:line="500" w:lineRule="exact"/>
        <w:rPr>
          <w:rFonts w:hint="eastAsia" w:ascii="宋体" w:hAnsi="宋体" w:eastAsia="宋体" w:cs="宋体"/>
          <w:sz w:val="28"/>
          <w:szCs w:val="28"/>
        </w:rPr>
      </w:pPr>
      <w:r>
        <w:rPr>
          <w:rFonts w:hint="eastAsia" w:ascii="宋体" w:hAnsi="宋体" w:eastAsia="宋体" w:cs="宋体"/>
          <w:sz w:val="28"/>
          <w:szCs w:val="28"/>
        </w:rPr>
        <w:t>__________________（</w:t>
      </w:r>
      <w:r>
        <w:rPr>
          <w:rFonts w:hint="eastAsia" w:ascii="宋体" w:hAnsi="宋体" w:eastAsia="宋体" w:cs="宋体"/>
          <w:bCs/>
          <w:sz w:val="28"/>
          <w:szCs w:val="28"/>
        </w:rPr>
        <w:t>采购人</w:t>
      </w:r>
      <w:r>
        <w:rPr>
          <w:rFonts w:hint="eastAsia" w:ascii="宋体" w:hAnsi="宋体" w:eastAsia="宋体" w:cs="宋体"/>
          <w:sz w:val="28"/>
          <w:szCs w:val="28"/>
        </w:rPr>
        <w:t>）：</w:t>
      </w:r>
    </w:p>
    <w:p w14:paraId="0E8B655C">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本授权声明：</w:t>
      </w:r>
      <w:r>
        <w:rPr>
          <w:rFonts w:hint="eastAsia" w:ascii="宋体" w:hAnsi="宋体" w:eastAsia="宋体" w:cs="宋体"/>
          <w:sz w:val="28"/>
          <w:szCs w:val="28"/>
          <w:u w:val="single"/>
        </w:rPr>
        <w:t xml:space="preserve">            </w:t>
      </w:r>
      <w:r>
        <w:rPr>
          <w:rFonts w:hint="eastAsia" w:ascii="宋体" w:hAnsi="宋体" w:eastAsia="宋体" w:cs="宋体"/>
          <w:sz w:val="28"/>
          <w:szCs w:val="28"/>
        </w:rPr>
        <w:t>（投标人名称）授权</w:t>
      </w:r>
      <w:r>
        <w:rPr>
          <w:rFonts w:hint="eastAsia" w:ascii="宋体" w:hAnsi="宋体" w:eastAsia="宋体" w:cs="宋体"/>
          <w:sz w:val="28"/>
          <w:szCs w:val="28"/>
          <w:u w:val="single"/>
        </w:rPr>
        <w:t xml:space="preserve">                  </w:t>
      </w:r>
      <w:r>
        <w:rPr>
          <w:rFonts w:hint="eastAsia" w:ascii="宋体" w:hAnsi="宋体" w:eastAsia="宋体" w:cs="宋体"/>
          <w:sz w:val="28"/>
          <w:szCs w:val="28"/>
        </w:rPr>
        <w:t>（被授权人姓名、职务）</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为我方 “ </w:t>
      </w:r>
      <w:r>
        <w:rPr>
          <w:rFonts w:hint="eastAsia" w:ascii="宋体" w:hAnsi="宋体" w:eastAsia="宋体" w:cs="宋体"/>
          <w:sz w:val="28"/>
          <w:szCs w:val="28"/>
          <w:u w:val="single"/>
        </w:rPr>
        <w:t xml:space="preserve">             </w:t>
      </w:r>
      <w:r>
        <w:rPr>
          <w:rFonts w:hint="eastAsia" w:ascii="宋体" w:hAnsi="宋体" w:eastAsia="宋体" w:cs="宋体"/>
          <w:bCs/>
          <w:sz w:val="28"/>
          <w:szCs w:val="28"/>
        </w:rPr>
        <w:t>（项目名称、项目编号）</w:t>
      </w:r>
      <w:r>
        <w:rPr>
          <w:rFonts w:hint="eastAsia" w:ascii="宋体" w:hAnsi="宋体" w:eastAsia="宋体" w:cs="宋体"/>
          <w:sz w:val="28"/>
          <w:szCs w:val="28"/>
        </w:rPr>
        <w:t>” 项目投标活动的合法代表，以我方名义全权处理该项目有关投标、签订合同以及执行合同等一切事宜。</w:t>
      </w:r>
    </w:p>
    <w:p w14:paraId="27F5F3DE">
      <w:pPr>
        <w:spacing w:line="500" w:lineRule="exact"/>
        <w:ind w:firstLine="560" w:firstLineChars="200"/>
        <w:rPr>
          <w:rFonts w:hint="eastAsia" w:ascii="宋体" w:hAnsi="宋体" w:eastAsia="宋体" w:cs="宋体"/>
          <w:sz w:val="28"/>
          <w:szCs w:val="28"/>
        </w:rPr>
      </w:pPr>
      <w:r>
        <w:rPr>
          <w:rFonts w:hint="eastAsia" w:ascii="宋体" w:hAnsi="宋体" w:eastAsia="宋体" w:cs="宋体"/>
          <w:bCs/>
          <w:sz w:val="28"/>
          <w:szCs w:val="28"/>
        </w:rPr>
        <w:t>被授权人</w:t>
      </w:r>
      <w:r>
        <w:rPr>
          <w:rFonts w:hint="eastAsia" w:ascii="宋体" w:hAnsi="宋体" w:eastAsia="宋体" w:cs="宋体"/>
          <w:sz w:val="28"/>
          <w:szCs w:val="28"/>
        </w:rPr>
        <w:t>无权转让本授权，特此声明。</w:t>
      </w:r>
    </w:p>
    <w:p w14:paraId="47DBBD76">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附：授权人及被授权人身份证正反面复印件</w:t>
      </w:r>
    </w:p>
    <w:p w14:paraId="24D1F24E">
      <w:pPr>
        <w:pStyle w:val="22"/>
        <w:spacing w:line="500" w:lineRule="exact"/>
        <w:ind w:firstLine="560" w:firstLineChars="200"/>
        <w:rPr>
          <w:rFonts w:hint="eastAsia" w:ascii="宋体" w:hAnsi="宋体" w:eastAsia="宋体" w:cs="宋体"/>
          <w:sz w:val="28"/>
          <w:szCs w:val="28"/>
        </w:rPr>
      </w:pPr>
    </w:p>
    <w:p w14:paraId="3AC71D55">
      <w:pPr>
        <w:spacing w:line="500" w:lineRule="exact"/>
        <w:ind w:firstLine="560" w:firstLineChars="200"/>
        <w:rPr>
          <w:rFonts w:hint="eastAsia" w:ascii="宋体" w:hAnsi="宋体" w:eastAsia="宋体" w:cs="宋体"/>
          <w:sz w:val="28"/>
          <w:szCs w:val="28"/>
        </w:rPr>
      </w:pPr>
    </w:p>
    <w:p w14:paraId="0A5751D5">
      <w:pPr>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 xml:space="preserve">     授权人（签字或盖名章）：</w:t>
      </w:r>
    </w:p>
    <w:p w14:paraId="10EAF93B">
      <w:pPr>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 xml:space="preserve"> 被授权人（签字）：   </w:t>
      </w:r>
    </w:p>
    <w:p w14:paraId="1734068D">
      <w:pPr>
        <w:pStyle w:val="9"/>
        <w:spacing w:line="360" w:lineRule="auto"/>
        <w:rPr>
          <w:rFonts w:hint="eastAsia" w:ascii="宋体" w:hAnsi="宋体" w:eastAsia="宋体" w:cs="宋体"/>
          <w:sz w:val="24"/>
        </w:rPr>
      </w:pPr>
      <w:r>
        <w:rPr>
          <w:rFonts w:hint="eastAsia" w:ascii="宋体" w:hAnsi="宋体" w:eastAsia="宋体" w:cs="宋体"/>
          <w:sz w:val="28"/>
          <w:szCs w:val="28"/>
        </w:rPr>
        <w:t xml:space="preserve">                                  日    期：   年   月   日</w:t>
      </w:r>
    </w:p>
    <w:p w14:paraId="5C1B23CB">
      <w:pPr>
        <w:spacing w:line="500" w:lineRule="exact"/>
        <w:ind w:firstLine="435"/>
        <w:jc w:val="right"/>
        <w:rPr>
          <w:rFonts w:hint="eastAsia" w:ascii="宋体" w:hAnsi="宋体" w:eastAsia="宋体" w:cs="宋体"/>
          <w:sz w:val="28"/>
          <w:szCs w:val="28"/>
        </w:rPr>
      </w:pPr>
    </w:p>
    <w:p w14:paraId="3FB36EE2">
      <w:pPr>
        <w:spacing w:line="500" w:lineRule="exact"/>
        <w:rPr>
          <w:rFonts w:hint="eastAsia" w:ascii="宋体" w:hAnsi="宋体" w:eastAsia="宋体" w:cs="宋体"/>
          <w:b/>
          <w:sz w:val="28"/>
          <w:szCs w:val="28"/>
        </w:rPr>
      </w:pPr>
    </w:p>
    <w:p w14:paraId="3414F332">
      <w:pPr>
        <w:spacing w:line="500" w:lineRule="exact"/>
        <w:ind w:firstLine="4760" w:firstLineChars="1700"/>
        <w:jc w:val="right"/>
        <w:rPr>
          <w:rFonts w:hint="eastAsia" w:ascii="宋体" w:hAnsi="宋体" w:eastAsia="宋体" w:cs="宋体"/>
          <w:sz w:val="28"/>
          <w:szCs w:val="28"/>
        </w:rPr>
      </w:pPr>
    </w:p>
    <w:p w14:paraId="78D0F6E7">
      <w:pPr>
        <w:pStyle w:val="77"/>
        <w:spacing w:line="500" w:lineRule="exact"/>
        <w:ind w:firstLine="0" w:firstLineChars="0"/>
        <w:jc w:val="center"/>
        <w:outlineLvl w:val="1"/>
        <w:rPr>
          <w:rFonts w:hint="eastAsia" w:ascii="宋体" w:hAnsi="宋体" w:eastAsia="宋体" w:cs="宋体"/>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rPr>
        <w:t>四、投标人基本情况表</w:t>
      </w:r>
    </w:p>
    <w:tbl>
      <w:tblPr>
        <w:tblStyle w:val="23"/>
        <w:tblW w:w="0" w:type="auto"/>
        <w:jc w:val="center"/>
        <w:tblLayout w:type="fixed"/>
        <w:tblCellMar>
          <w:top w:w="0" w:type="dxa"/>
          <w:left w:w="108" w:type="dxa"/>
          <w:bottom w:w="0" w:type="dxa"/>
          <w:right w:w="108" w:type="dxa"/>
        </w:tblCellMar>
      </w:tblPr>
      <w:tblGrid>
        <w:gridCol w:w="1807"/>
        <w:gridCol w:w="1415"/>
        <w:gridCol w:w="1854"/>
        <w:gridCol w:w="1437"/>
        <w:gridCol w:w="2006"/>
      </w:tblGrid>
      <w:tr w14:paraId="4BC9C40B">
        <w:tblPrEx>
          <w:tblCellMar>
            <w:top w:w="0" w:type="dxa"/>
            <w:left w:w="108" w:type="dxa"/>
            <w:bottom w:w="0" w:type="dxa"/>
            <w:right w:w="108" w:type="dxa"/>
          </w:tblCellMar>
        </w:tblPrEx>
        <w:trPr>
          <w:trHeight w:val="10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19407A88">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投标人名称</w:t>
            </w:r>
          </w:p>
        </w:tc>
        <w:tc>
          <w:tcPr>
            <w:tcW w:w="6712" w:type="dxa"/>
            <w:gridSpan w:val="4"/>
            <w:tcBorders>
              <w:top w:val="single" w:color="auto" w:sz="4" w:space="0"/>
              <w:left w:val="nil"/>
              <w:bottom w:val="single" w:color="auto" w:sz="4" w:space="0"/>
              <w:right w:val="single" w:color="auto" w:sz="4" w:space="0"/>
            </w:tcBorders>
            <w:vAlign w:val="center"/>
          </w:tcPr>
          <w:p w14:paraId="6DFC22B9">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07B8E2E6">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7FEEC74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注册地址</w:t>
            </w:r>
          </w:p>
        </w:tc>
        <w:tc>
          <w:tcPr>
            <w:tcW w:w="3269" w:type="dxa"/>
            <w:gridSpan w:val="2"/>
            <w:tcBorders>
              <w:top w:val="single" w:color="auto" w:sz="4" w:space="0"/>
              <w:left w:val="nil"/>
              <w:bottom w:val="single" w:color="auto" w:sz="4" w:space="0"/>
              <w:right w:val="single" w:color="000000" w:sz="4" w:space="0"/>
            </w:tcBorders>
            <w:vAlign w:val="center"/>
          </w:tcPr>
          <w:p w14:paraId="3C937EA6">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437" w:type="dxa"/>
            <w:tcBorders>
              <w:top w:val="nil"/>
              <w:left w:val="nil"/>
              <w:bottom w:val="single" w:color="auto" w:sz="4" w:space="0"/>
              <w:right w:val="single" w:color="auto" w:sz="4" w:space="0"/>
            </w:tcBorders>
            <w:vAlign w:val="center"/>
          </w:tcPr>
          <w:p w14:paraId="5DE55286">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邮政编码</w:t>
            </w:r>
          </w:p>
        </w:tc>
        <w:tc>
          <w:tcPr>
            <w:tcW w:w="2006" w:type="dxa"/>
            <w:tcBorders>
              <w:top w:val="nil"/>
              <w:left w:val="nil"/>
              <w:bottom w:val="single" w:color="auto" w:sz="4" w:space="0"/>
              <w:right w:val="single" w:color="auto" w:sz="4" w:space="0"/>
            </w:tcBorders>
            <w:vAlign w:val="center"/>
          </w:tcPr>
          <w:p w14:paraId="16805923">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10B6F2A4">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56FA18C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成立时间</w:t>
            </w:r>
          </w:p>
        </w:tc>
        <w:tc>
          <w:tcPr>
            <w:tcW w:w="3269" w:type="dxa"/>
            <w:gridSpan w:val="2"/>
            <w:tcBorders>
              <w:top w:val="single" w:color="auto" w:sz="4" w:space="0"/>
              <w:left w:val="nil"/>
              <w:bottom w:val="single" w:color="auto" w:sz="4" w:space="0"/>
              <w:right w:val="single" w:color="000000" w:sz="4" w:space="0"/>
            </w:tcBorders>
            <w:vAlign w:val="center"/>
          </w:tcPr>
          <w:p w14:paraId="1719CA1A">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437" w:type="dxa"/>
            <w:tcBorders>
              <w:top w:val="nil"/>
              <w:left w:val="nil"/>
              <w:bottom w:val="single" w:color="auto" w:sz="4" w:space="0"/>
              <w:right w:val="single" w:color="auto" w:sz="4" w:space="0"/>
            </w:tcBorders>
            <w:vAlign w:val="center"/>
          </w:tcPr>
          <w:p w14:paraId="2BBE914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企业性质</w:t>
            </w:r>
          </w:p>
        </w:tc>
        <w:tc>
          <w:tcPr>
            <w:tcW w:w="2006" w:type="dxa"/>
            <w:tcBorders>
              <w:top w:val="nil"/>
              <w:left w:val="nil"/>
              <w:bottom w:val="single" w:color="auto" w:sz="4" w:space="0"/>
              <w:right w:val="single" w:color="auto" w:sz="4" w:space="0"/>
            </w:tcBorders>
            <w:vAlign w:val="center"/>
          </w:tcPr>
          <w:p w14:paraId="52D926C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76A1925C">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4561351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社会统一信用代码</w:t>
            </w:r>
          </w:p>
        </w:tc>
        <w:tc>
          <w:tcPr>
            <w:tcW w:w="3269" w:type="dxa"/>
            <w:gridSpan w:val="2"/>
            <w:tcBorders>
              <w:top w:val="single" w:color="auto" w:sz="4" w:space="0"/>
              <w:left w:val="nil"/>
              <w:bottom w:val="single" w:color="auto" w:sz="4" w:space="0"/>
              <w:right w:val="single" w:color="000000" w:sz="4" w:space="0"/>
            </w:tcBorders>
            <w:vAlign w:val="center"/>
          </w:tcPr>
          <w:p w14:paraId="2A91B1BE">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437" w:type="dxa"/>
            <w:tcBorders>
              <w:top w:val="nil"/>
              <w:left w:val="nil"/>
              <w:bottom w:val="single" w:color="auto" w:sz="4" w:space="0"/>
              <w:right w:val="single" w:color="auto" w:sz="4" w:space="0"/>
            </w:tcBorders>
            <w:vAlign w:val="center"/>
          </w:tcPr>
          <w:p w14:paraId="5ECCBD2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注册资金</w:t>
            </w:r>
          </w:p>
        </w:tc>
        <w:tc>
          <w:tcPr>
            <w:tcW w:w="2006" w:type="dxa"/>
            <w:tcBorders>
              <w:top w:val="nil"/>
              <w:left w:val="nil"/>
              <w:bottom w:val="single" w:color="auto" w:sz="4" w:space="0"/>
              <w:right w:val="single" w:color="auto" w:sz="4" w:space="0"/>
            </w:tcBorders>
            <w:vAlign w:val="center"/>
          </w:tcPr>
          <w:p w14:paraId="4BE72F5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432C2197">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1B11942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授权人</w:t>
            </w:r>
          </w:p>
        </w:tc>
        <w:tc>
          <w:tcPr>
            <w:tcW w:w="1415" w:type="dxa"/>
            <w:tcBorders>
              <w:top w:val="nil"/>
              <w:left w:val="nil"/>
              <w:bottom w:val="single" w:color="auto" w:sz="4" w:space="0"/>
              <w:right w:val="single" w:color="auto" w:sz="4" w:space="0"/>
            </w:tcBorders>
            <w:vAlign w:val="center"/>
          </w:tcPr>
          <w:p w14:paraId="2B4A6933">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姓名</w:t>
            </w:r>
          </w:p>
        </w:tc>
        <w:tc>
          <w:tcPr>
            <w:tcW w:w="1854" w:type="dxa"/>
            <w:tcBorders>
              <w:top w:val="nil"/>
              <w:left w:val="nil"/>
              <w:bottom w:val="single" w:color="auto" w:sz="4" w:space="0"/>
              <w:right w:val="single" w:color="auto" w:sz="4" w:space="0"/>
            </w:tcBorders>
            <w:vAlign w:val="center"/>
          </w:tcPr>
          <w:p w14:paraId="3E77FC3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437" w:type="dxa"/>
            <w:tcBorders>
              <w:top w:val="nil"/>
              <w:left w:val="nil"/>
              <w:bottom w:val="single" w:color="auto" w:sz="4" w:space="0"/>
              <w:right w:val="single" w:color="auto" w:sz="4" w:space="0"/>
            </w:tcBorders>
            <w:vAlign w:val="center"/>
          </w:tcPr>
          <w:p w14:paraId="14F8EFCC">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电话</w:t>
            </w:r>
          </w:p>
        </w:tc>
        <w:tc>
          <w:tcPr>
            <w:tcW w:w="2006" w:type="dxa"/>
            <w:tcBorders>
              <w:top w:val="nil"/>
              <w:left w:val="nil"/>
              <w:bottom w:val="single" w:color="auto" w:sz="4" w:space="0"/>
              <w:right w:val="single" w:color="auto" w:sz="4" w:space="0"/>
            </w:tcBorders>
            <w:vAlign w:val="center"/>
          </w:tcPr>
          <w:p w14:paraId="30600394">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329482ED">
        <w:tblPrEx>
          <w:tblCellMar>
            <w:top w:w="0" w:type="dxa"/>
            <w:left w:w="108" w:type="dxa"/>
            <w:bottom w:w="0" w:type="dxa"/>
            <w:right w:w="108" w:type="dxa"/>
          </w:tblCellMar>
        </w:tblPrEx>
        <w:trPr>
          <w:trHeight w:val="930" w:hRule="atLeast"/>
          <w:jc w:val="center"/>
        </w:trPr>
        <w:tc>
          <w:tcPr>
            <w:tcW w:w="1807" w:type="dxa"/>
            <w:vMerge w:val="restart"/>
            <w:tcBorders>
              <w:top w:val="nil"/>
              <w:left w:val="single" w:color="auto" w:sz="4" w:space="0"/>
              <w:bottom w:val="single" w:color="auto" w:sz="4" w:space="0"/>
              <w:right w:val="single" w:color="auto" w:sz="4" w:space="0"/>
            </w:tcBorders>
            <w:vAlign w:val="center"/>
          </w:tcPr>
          <w:p w14:paraId="472708EB">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联系方式</w:t>
            </w:r>
          </w:p>
        </w:tc>
        <w:tc>
          <w:tcPr>
            <w:tcW w:w="1415" w:type="dxa"/>
            <w:tcBorders>
              <w:top w:val="nil"/>
              <w:left w:val="nil"/>
              <w:bottom w:val="single" w:color="auto" w:sz="4" w:space="0"/>
              <w:right w:val="single" w:color="auto" w:sz="4" w:space="0"/>
            </w:tcBorders>
            <w:vAlign w:val="center"/>
          </w:tcPr>
          <w:p w14:paraId="61A2480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联系人</w:t>
            </w:r>
          </w:p>
        </w:tc>
        <w:tc>
          <w:tcPr>
            <w:tcW w:w="1854" w:type="dxa"/>
            <w:tcBorders>
              <w:top w:val="single" w:color="auto" w:sz="4" w:space="0"/>
              <w:left w:val="nil"/>
              <w:bottom w:val="single" w:color="auto" w:sz="4" w:space="0"/>
              <w:right w:val="single" w:color="000000" w:sz="4" w:space="0"/>
            </w:tcBorders>
            <w:vAlign w:val="center"/>
          </w:tcPr>
          <w:p w14:paraId="125240BA">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437" w:type="dxa"/>
            <w:tcBorders>
              <w:top w:val="nil"/>
              <w:left w:val="nil"/>
              <w:bottom w:val="single" w:color="auto" w:sz="4" w:space="0"/>
              <w:right w:val="single" w:color="auto" w:sz="4" w:space="0"/>
            </w:tcBorders>
            <w:vAlign w:val="center"/>
          </w:tcPr>
          <w:p w14:paraId="52B9B2D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电话</w:t>
            </w:r>
          </w:p>
        </w:tc>
        <w:tc>
          <w:tcPr>
            <w:tcW w:w="2006" w:type="dxa"/>
            <w:tcBorders>
              <w:top w:val="nil"/>
              <w:left w:val="nil"/>
              <w:bottom w:val="single" w:color="auto" w:sz="4" w:space="0"/>
              <w:right w:val="single" w:color="auto" w:sz="4" w:space="0"/>
            </w:tcBorders>
            <w:vAlign w:val="center"/>
          </w:tcPr>
          <w:p w14:paraId="7F4787D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16E66F4D">
        <w:tblPrEx>
          <w:tblCellMar>
            <w:top w:w="0" w:type="dxa"/>
            <w:left w:w="108" w:type="dxa"/>
            <w:bottom w:w="0" w:type="dxa"/>
            <w:right w:w="108" w:type="dxa"/>
          </w:tblCellMar>
        </w:tblPrEx>
        <w:trPr>
          <w:trHeight w:val="930"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56FE64E9">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415" w:type="dxa"/>
            <w:tcBorders>
              <w:top w:val="nil"/>
              <w:left w:val="nil"/>
              <w:bottom w:val="single" w:color="auto" w:sz="4" w:space="0"/>
              <w:right w:val="single" w:color="auto" w:sz="4" w:space="0"/>
            </w:tcBorders>
            <w:vAlign w:val="center"/>
          </w:tcPr>
          <w:p w14:paraId="2F8F4A7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邮箱</w:t>
            </w:r>
          </w:p>
        </w:tc>
        <w:tc>
          <w:tcPr>
            <w:tcW w:w="1854" w:type="dxa"/>
            <w:tcBorders>
              <w:top w:val="single" w:color="auto" w:sz="4" w:space="0"/>
              <w:left w:val="nil"/>
              <w:bottom w:val="single" w:color="auto" w:sz="4" w:space="0"/>
              <w:right w:val="single" w:color="000000" w:sz="4" w:space="0"/>
            </w:tcBorders>
            <w:vAlign w:val="center"/>
          </w:tcPr>
          <w:p w14:paraId="7B90DB0B">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437" w:type="dxa"/>
            <w:tcBorders>
              <w:top w:val="nil"/>
              <w:left w:val="nil"/>
              <w:bottom w:val="single" w:color="auto" w:sz="4" w:space="0"/>
              <w:right w:val="single" w:color="auto" w:sz="4" w:space="0"/>
            </w:tcBorders>
            <w:vAlign w:val="center"/>
          </w:tcPr>
          <w:p w14:paraId="47FCED44">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网址</w:t>
            </w:r>
          </w:p>
        </w:tc>
        <w:tc>
          <w:tcPr>
            <w:tcW w:w="2006" w:type="dxa"/>
            <w:tcBorders>
              <w:top w:val="nil"/>
              <w:left w:val="nil"/>
              <w:bottom w:val="single" w:color="auto" w:sz="4" w:space="0"/>
              <w:right w:val="single" w:color="auto" w:sz="4" w:space="0"/>
            </w:tcBorders>
            <w:vAlign w:val="center"/>
          </w:tcPr>
          <w:p w14:paraId="1986015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0ED08438">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0F865853">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开户银行</w:t>
            </w:r>
          </w:p>
        </w:tc>
        <w:tc>
          <w:tcPr>
            <w:tcW w:w="3269" w:type="dxa"/>
            <w:gridSpan w:val="2"/>
            <w:tcBorders>
              <w:top w:val="single" w:color="auto" w:sz="4" w:space="0"/>
              <w:left w:val="nil"/>
              <w:bottom w:val="single" w:color="auto" w:sz="4" w:space="0"/>
              <w:right w:val="single" w:color="000000" w:sz="4" w:space="0"/>
            </w:tcBorders>
            <w:vAlign w:val="center"/>
          </w:tcPr>
          <w:p w14:paraId="354F8B8E">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437" w:type="dxa"/>
            <w:tcBorders>
              <w:top w:val="nil"/>
              <w:left w:val="nil"/>
              <w:bottom w:val="single" w:color="auto" w:sz="4" w:space="0"/>
              <w:right w:val="single" w:color="auto" w:sz="4" w:space="0"/>
            </w:tcBorders>
            <w:vAlign w:val="center"/>
          </w:tcPr>
          <w:p w14:paraId="42B428C8">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账号</w:t>
            </w:r>
          </w:p>
        </w:tc>
        <w:tc>
          <w:tcPr>
            <w:tcW w:w="2006" w:type="dxa"/>
            <w:tcBorders>
              <w:top w:val="nil"/>
              <w:left w:val="nil"/>
              <w:bottom w:val="single" w:color="auto" w:sz="4" w:space="0"/>
              <w:right w:val="single" w:color="auto" w:sz="4" w:space="0"/>
            </w:tcBorders>
            <w:vAlign w:val="center"/>
          </w:tcPr>
          <w:p w14:paraId="0EEBEEF6">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22F3C2D2">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6887B276">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经营范围</w:t>
            </w:r>
          </w:p>
        </w:tc>
        <w:tc>
          <w:tcPr>
            <w:tcW w:w="6712" w:type="dxa"/>
            <w:gridSpan w:val="4"/>
            <w:tcBorders>
              <w:top w:val="single" w:color="auto" w:sz="4" w:space="0"/>
              <w:left w:val="nil"/>
              <w:bottom w:val="single" w:color="auto" w:sz="4" w:space="0"/>
              <w:right w:val="single" w:color="000000" w:sz="4" w:space="0"/>
            </w:tcBorders>
            <w:vAlign w:val="center"/>
          </w:tcPr>
          <w:p w14:paraId="196A882C">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203F67CC">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26FEE3B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单位简介、优势及特长</w:t>
            </w:r>
          </w:p>
        </w:tc>
        <w:tc>
          <w:tcPr>
            <w:tcW w:w="6712" w:type="dxa"/>
            <w:gridSpan w:val="4"/>
            <w:tcBorders>
              <w:top w:val="single" w:color="auto" w:sz="4" w:space="0"/>
              <w:left w:val="nil"/>
              <w:bottom w:val="single" w:color="auto" w:sz="4" w:space="0"/>
              <w:right w:val="single" w:color="000000" w:sz="4" w:space="0"/>
            </w:tcBorders>
            <w:vAlign w:val="center"/>
          </w:tcPr>
          <w:p w14:paraId="1CDF9D6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bl>
    <w:p w14:paraId="104A1E0E">
      <w:pPr>
        <w:spacing w:line="500" w:lineRule="exact"/>
        <w:rPr>
          <w:rFonts w:hint="eastAsia" w:ascii="宋体" w:hAnsi="宋体" w:eastAsia="宋体" w:cs="宋体"/>
          <w:sz w:val="28"/>
          <w:szCs w:val="28"/>
        </w:rPr>
      </w:pPr>
      <w:r>
        <w:rPr>
          <w:rFonts w:hint="eastAsia" w:ascii="宋体" w:hAnsi="宋体" w:eastAsia="宋体" w:cs="宋体"/>
          <w:sz w:val="28"/>
          <w:szCs w:val="28"/>
          <w:lang w:val="en-US" w:eastAsia="zh-CN"/>
        </w:rPr>
        <w:t>备注：</w:t>
      </w:r>
      <w:r>
        <w:rPr>
          <w:rFonts w:hint="eastAsia" w:ascii="宋体" w:hAnsi="宋体" w:eastAsia="宋体" w:cs="宋体"/>
          <w:sz w:val="28"/>
          <w:szCs w:val="28"/>
        </w:rPr>
        <w:t>自然人或其他组织格式自拟。</w:t>
      </w:r>
      <w:r>
        <w:rPr>
          <w:rFonts w:hint="eastAsia" w:ascii="宋体" w:hAnsi="宋体" w:eastAsia="宋体" w:cs="宋体"/>
          <w:sz w:val="28"/>
          <w:szCs w:val="28"/>
        </w:rPr>
        <w:br w:type="page"/>
      </w:r>
    </w:p>
    <w:p w14:paraId="01D8E904">
      <w:pPr>
        <w:numPr>
          <w:ilvl w:val="0"/>
          <w:numId w:val="7"/>
        </w:numPr>
        <w:spacing w:line="500" w:lineRule="exact"/>
        <w:ind w:firstLine="140" w:firstLineChars="50"/>
        <w:jc w:val="center"/>
        <w:rPr>
          <w:rFonts w:hint="eastAsia" w:ascii="宋体" w:hAnsi="宋体" w:eastAsia="宋体" w:cs="宋体"/>
          <w:sz w:val="28"/>
          <w:szCs w:val="28"/>
        </w:rPr>
      </w:pPr>
      <w:r>
        <w:rPr>
          <w:rFonts w:hint="eastAsia" w:ascii="宋体" w:hAnsi="宋体" w:eastAsia="宋体" w:cs="宋体"/>
          <w:sz w:val="28"/>
          <w:szCs w:val="28"/>
        </w:rPr>
        <w:t>营业执照</w:t>
      </w:r>
    </w:p>
    <w:p w14:paraId="0E39FDD6">
      <w:pPr>
        <w:pStyle w:val="78"/>
        <w:spacing w:line="500" w:lineRule="exact"/>
        <w:textAlignment w:val="center"/>
        <w:rPr>
          <w:rFonts w:hint="eastAsia" w:ascii="宋体" w:hAnsi="宋体" w:eastAsia="宋体" w:cs="宋体"/>
          <w:sz w:val="28"/>
          <w:szCs w:val="28"/>
        </w:rPr>
      </w:pPr>
    </w:p>
    <w:p w14:paraId="278EAFFB">
      <w:pPr>
        <w:ind w:firstLine="560" w:firstLineChars="200"/>
        <w:rPr>
          <w:rFonts w:hint="eastAsia" w:ascii="宋体" w:hAnsi="宋体" w:eastAsia="宋体" w:cs="宋体"/>
          <w:sz w:val="28"/>
          <w:szCs w:val="28"/>
        </w:rPr>
      </w:pPr>
      <w:r>
        <w:rPr>
          <w:rFonts w:hint="eastAsia" w:ascii="宋体" w:hAnsi="宋体" w:eastAsia="宋体" w:cs="宋体"/>
          <w:sz w:val="28"/>
          <w:szCs w:val="28"/>
        </w:rPr>
        <w:t>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w:t>
      </w:r>
      <w:r>
        <w:rPr>
          <w:rFonts w:hint="eastAsia" w:ascii="宋体" w:hAnsi="宋体" w:eastAsia="宋体" w:cs="宋体"/>
          <w:sz w:val="28"/>
          <w:szCs w:val="28"/>
        </w:rPr>
        <w:br w:type="page"/>
      </w:r>
    </w:p>
    <w:p w14:paraId="60D5DD83">
      <w:pPr>
        <w:numPr>
          <w:ilvl w:val="0"/>
          <w:numId w:val="7"/>
        </w:numPr>
        <w:spacing w:line="500" w:lineRule="exact"/>
        <w:ind w:firstLine="140" w:firstLineChars="50"/>
        <w:jc w:val="center"/>
        <w:rPr>
          <w:rFonts w:hint="eastAsia" w:ascii="宋体" w:hAnsi="宋体" w:eastAsia="宋体" w:cs="宋体"/>
          <w:sz w:val="28"/>
          <w:szCs w:val="28"/>
        </w:rPr>
      </w:pPr>
      <w:r>
        <w:rPr>
          <w:rFonts w:hint="eastAsia" w:ascii="宋体" w:hAnsi="宋体" w:eastAsia="宋体" w:cs="宋体"/>
          <w:sz w:val="28"/>
          <w:szCs w:val="28"/>
        </w:rPr>
        <w:t>具有良好的商业信誉和健全的财务会计制度</w:t>
      </w:r>
    </w:p>
    <w:p w14:paraId="56908235">
      <w:pPr>
        <w:pStyle w:val="78"/>
        <w:spacing w:line="500" w:lineRule="exact"/>
        <w:textAlignment w:val="center"/>
        <w:rPr>
          <w:rFonts w:hint="eastAsia" w:ascii="宋体" w:hAnsi="宋体" w:eastAsia="宋体" w:cs="宋体"/>
          <w:sz w:val="28"/>
          <w:szCs w:val="28"/>
        </w:rPr>
      </w:pPr>
    </w:p>
    <w:p w14:paraId="1A57A215">
      <w:pPr>
        <w:pStyle w:val="78"/>
        <w:spacing w:line="500" w:lineRule="exact"/>
        <w:textAlignment w:val="center"/>
        <w:rPr>
          <w:rFonts w:hint="eastAsia" w:ascii="宋体" w:hAnsi="宋体" w:eastAsia="宋体" w:cs="宋体"/>
          <w:sz w:val="28"/>
          <w:szCs w:val="28"/>
        </w:rPr>
      </w:pPr>
      <w:r>
        <w:rPr>
          <w:rFonts w:hint="eastAsia" w:ascii="宋体" w:hAnsi="宋体" w:eastAsia="宋体" w:cs="宋体"/>
          <w:sz w:val="28"/>
          <w:szCs w:val="28"/>
        </w:rPr>
        <w:t>（投标人须</w:t>
      </w:r>
      <w:r>
        <w:rPr>
          <w:rFonts w:hint="eastAsia" w:ascii="宋体" w:hAnsi="宋体" w:eastAsia="宋体" w:cs="宋体"/>
          <w:b/>
          <w:bCs/>
          <w:sz w:val="28"/>
          <w:szCs w:val="28"/>
        </w:rPr>
        <w:t>同时满足</w:t>
      </w:r>
      <w:r>
        <w:rPr>
          <w:rFonts w:hint="eastAsia" w:ascii="宋体" w:hAnsi="宋体" w:eastAsia="宋体" w:cs="宋体"/>
          <w:sz w:val="28"/>
          <w:szCs w:val="28"/>
        </w:rPr>
        <w:t>（1）－（2）项）；</w:t>
      </w:r>
    </w:p>
    <w:p w14:paraId="59AABDB8">
      <w:pPr>
        <w:pStyle w:val="78"/>
        <w:spacing w:line="500" w:lineRule="exact"/>
        <w:textAlignment w:val="center"/>
        <w:rPr>
          <w:rFonts w:hint="eastAsia" w:ascii="宋体" w:hAnsi="宋体" w:eastAsia="宋体" w:cs="宋体"/>
          <w:sz w:val="28"/>
          <w:szCs w:val="28"/>
        </w:rPr>
      </w:pPr>
      <w:r>
        <w:rPr>
          <w:rFonts w:hint="eastAsia" w:ascii="宋体" w:hAnsi="宋体" w:eastAsia="宋体" w:cs="宋体"/>
          <w:sz w:val="28"/>
          <w:szCs w:val="28"/>
        </w:rPr>
        <w:t>（1）①投标人未被列入“信用中国”〈www.creditchina.gov.cn〉网站的“失信被执行人”和“重大税收违法失信主体”及“中国政府采购网”。〈www.ccgp.gov.cn〉网站的“政府采购严重违法失信行为记录名单”。②未被列入新疆税务局失信惩戒企业名单。第①-②项以采购人或采购代理机构在开标现场查询为准,</w:t>
      </w:r>
      <w:r>
        <w:rPr>
          <w:rFonts w:hint="eastAsia" w:ascii="宋体" w:hAnsi="宋体" w:eastAsia="宋体" w:cs="宋体"/>
          <w:b/>
          <w:bCs/>
          <w:sz w:val="28"/>
          <w:szCs w:val="28"/>
        </w:rPr>
        <w:t>非法人企业提供承诺函，格式自拟。</w:t>
      </w:r>
    </w:p>
    <w:p w14:paraId="102EB33A">
      <w:pPr>
        <w:pStyle w:val="78"/>
        <w:spacing w:line="500" w:lineRule="exact"/>
        <w:textAlignment w:val="center"/>
        <w:rPr>
          <w:rFonts w:hint="eastAsia" w:ascii="宋体" w:hAnsi="宋体" w:eastAsia="宋体" w:cs="宋体"/>
          <w:b/>
          <w:bCs/>
          <w:sz w:val="28"/>
          <w:szCs w:val="28"/>
        </w:rPr>
      </w:pPr>
      <w:r>
        <w:rPr>
          <w:rFonts w:hint="eastAsia" w:ascii="宋体" w:hAnsi="宋体" w:eastAsia="宋体" w:cs="宋体"/>
          <w:b/>
          <w:bCs/>
          <w:sz w:val="28"/>
          <w:szCs w:val="28"/>
        </w:rPr>
        <w:t>③</w:t>
      </w:r>
      <w:r>
        <w:rPr>
          <w:rFonts w:hint="eastAsia" w:ascii="宋体" w:hAnsi="宋体" w:eastAsia="宋体" w:cs="宋体"/>
          <w:sz w:val="28"/>
          <w:szCs w:val="28"/>
        </w:rPr>
        <w:t>近三年采购合同履约过程中及其他经营活动履约过程中因围标串标、偷税漏税、制售假冒伪劣商品等行为被有关行政部门处罚（处理）记录。</w:t>
      </w:r>
      <w:r>
        <w:rPr>
          <w:rFonts w:hint="eastAsia" w:ascii="宋体" w:hAnsi="宋体" w:eastAsia="宋体" w:cs="宋体"/>
          <w:b/>
          <w:bCs/>
          <w:sz w:val="28"/>
          <w:szCs w:val="28"/>
        </w:rPr>
        <w:t>第③项投标人提供承诺函，格式自拟。</w:t>
      </w:r>
    </w:p>
    <w:p w14:paraId="79C25629">
      <w:pPr>
        <w:spacing w:line="500" w:lineRule="exact"/>
        <w:rPr>
          <w:rFonts w:hint="eastAsia" w:ascii="宋体" w:hAnsi="宋体" w:eastAsia="宋体" w:cs="宋体"/>
          <w:sz w:val="28"/>
          <w:szCs w:val="28"/>
        </w:rPr>
      </w:pPr>
      <w:r>
        <w:rPr>
          <w:rFonts w:hint="eastAsia" w:ascii="宋体" w:hAnsi="宋体" w:eastAsia="宋体" w:cs="宋体"/>
          <w:sz w:val="28"/>
          <w:szCs w:val="28"/>
        </w:rPr>
        <w:t>（2）（投标人满足以下条件之一即可）①提供近6个月内</w:t>
      </w:r>
      <w:r>
        <w:rPr>
          <w:rFonts w:hint="eastAsia" w:ascii="宋体" w:hAnsi="宋体" w:eastAsia="宋体" w:cs="宋体"/>
          <w:sz w:val="28"/>
          <w:szCs w:val="28"/>
          <w:lang w:val="en-US" w:eastAsia="zh-CN"/>
        </w:rPr>
        <w:t>任意1个月</w:t>
      </w:r>
      <w:r>
        <w:rPr>
          <w:rFonts w:hint="eastAsia" w:ascii="宋体" w:hAnsi="宋体" w:eastAsia="宋体" w:cs="宋体"/>
          <w:sz w:val="28"/>
          <w:szCs w:val="28"/>
        </w:rPr>
        <w:t>银行出具的资信证明；或②提供2024年度或2025年度经第三方审计的财务审计报告或③承诺函，格式自拟。</w:t>
      </w:r>
    </w:p>
    <w:p w14:paraId="610C223F">
      <w:pPr>
        <w:rPr>
          <w:rFonts w:hint="eastAsia" w:ascii="宋体" w:hAnsi="宋体" w:eastAsia="宋体" w:cs="宋体"/>
          <w:sz w:val="28"/>
          <w:szCs w:val="28"/>
        </w:rPr>
      </w:pPr>
      <w:r>
        <w:rPr>
          <w:rFonts w:hint="eastAsia" w:ascii="宋体" w:hAnsi="宋体" w:eastAsia="宋体" w:cs="宋体"/>
          <w:sz w:val="28"/>
          <w:szCs w:val="28"/>
        </w:rPr>
        <w:br w:type="page"/>
      </w:r>
    </w:p>
    <w:p w14:paraId="56A2E5FD">
      <w:pPr>
        <w:numPr>
          <w:ilvl w:val="0"/>
          <w:numId w:val="7"/>
        </w:numPr>
        <w:spacing w:line="500" w:lineRule="exact"/>
        <w:ind w:firstLine="140" w:firstLineChars="50"/>
        <w:jc w:val="center"/>
        <w:rPr>
          <w:rFonts w:hint="eastAsia" w:ascii="宋体" w:hAnsi="宋体" w:eastAsia="宋体" w:cs="宋体"/>
          <w:sz w:val="28"/>
          <w:szCs w:val="28"/>
        </w:rPr>
      </w:pPr>
      <w:r>
        <w:rPr>
          <w:rFonts w:hint="eastAsia" w:ascii="宋体" w:hAnsi="宋体" w:eastAsia="宋体" w:cs="宋体"/>
          <w:sz w:val="28"/>
          <w:szCs w:val="28"/>
        </w:rPr>
        <w:t>具有履行合同所必需的设备和专业技术能力</w:t>
      </w:r>
    </w:p>
    <w:p w14:paraId="0AEEE093">
      <w:pPr>
        <w:pStyle w:val="78"/>
        <w:spacing w:line="500" w:lineRule="exact"/>
        <w:textAlignment w:val="center"/>
        <w:rPr>
          <w:rFonts w:hint="eastAsia" w:ascii="宋体" w:hAnsi="宋体" w:eastAsia="宋体" w:cs="宋体"/>
          <w:sz w:val="28"/>
          <w:szCs w:val="28"/>
        </w:rPr>
      </w:pPr>
    </w:p>
    <w:p w14:paraId="6A5BD376">
      <w:pPr>
        <w:widowControl/>
        <w:spacing w:line="500" w:lineRule="exact"/>
        <w:rPr>
          <w:rFonts w:hint="eastAsia" w:ascii="宋体" w:hAnsi="宋体" w:eastAsia="宋体" w:cs="宋体"/>
          <w:sz w:val="28"/>
          <w:szCs w:val="28"/>
        </w:rPr>
      </w:pPr>
      <w:r>
        <w:rPr>
          <w:rFonts w:hint="eastAsia" w:ascii="宋体" w:hAnsi="宋体" w:eastAsia="宋体" w:cs="宋体"/>
          <w:sz w:val="28"/>
          <w:szCs w:val="28"/>
        </w:rPr>
        <w:t>提供：（1）承诺函，格式自拟。</w:t>
      </w:r>
    </w:p>
    <w:p w14:paraId="5BCD14C6">
      <w:pPr>
        <w:rPr>
          <w:rFonts w:hint="eastAsia" w:ascii="宋体" w:hAnsi="宋体" w:eastAsia="宋体" w:cs="宋体"/>
          <w:sz w:val="28"/>
          <w:szCs w:val="28"/>
        </w:rPr>
      </w:pPr>
    </w:p>
    <w:p w14:paraId="7C4FA830">
      <w:pPr>
        <w:rPr>
          <w:rFonts w:hint="eastAsia" w:ascii="宋体" w:hAnsi="宋体" w:eastAsia="宋体" w:cs="宋体"/>
          <w:sz w:val="28"/>
          <w:szCs w:val="28"/>
        </w:rPr>
      </w:pPr>
    </w:p>
    <w:p w14:paraId="579F42C1">
      <w:pPr>
        <w:rPr>
          <w:rFonts w:hint="eastAsia" w:ascii="宋体" w:hAnsi="宋体" w:eastAsia="宋体" w:cs="宋体"/>
          <w:sz w:val="28"/>
          <w:szCs w:val="28"/>
        </w:rPr>
      </w:pPr>
    </w:p>
    <w:p w14:paraId="24B8F501">
      <w:pPr>
        <w:numPr>
          <w:ilvl w:val="0"/>
          <w:numId w:val="7"/>
        </w:numPr>
        <w:spacing w:line="500" w:lineRule="exact"/>
        <w:ind w:firstLine="140" w:firstLineChars="50"/>
        <w:jc w:val="center"/>
        <w:rPr>
          <w:rFonts w:hint="eastAsia" w:ascii="宋体" w:hAnsi="宋体" w:eastAsia="宋体" w:cs="宋体"/>
          <w:sz w:val="28"/>
          <w:szCs w:val="28"/>
        </w:rPr>
      </w:pPr>
      <w:r>
        <w:rPr>
          <w:rFonts w:hint="eastAsia" w:ascii="宋体" w:hAnsi="宋体" w:eastAsia="宋体" w:cs="宋体"/>
          <w:sz w:val="28"/>
          <w:szCs w:val="28"/>
        </w:rPr>
        <w:t>有依法缴纳税收和社会保障资金的良好记录</w:t>
      </w:r>
    </w:p>
    <w:p w14:paraId="543FCB55">
      <w:pPr>
        <w:pStyle w:val="78"/>
        <w:spacing w:line="500" w:lineRule="exact"/>
        <w:textAlignment w:val="center"/>
        <w:rPr>
          <w:rFonts w:hint="eastAsia" w:ascii="宋体" w:hAnsi="宋体" w:eastAsia="宋体" w:cs="宋体"/>
          <w:sz w:val="28"/>
          <w:szCs w:val="28"/>
        </w:rPr>
      </w:pPr>
    </w:p>
    <w:p w14:paraId="37D8238F">
      <w:pPr>
        <w:pStyle w:val="78"/>
        <w:spacing w:line="500" w:lineRule="exact"/>
        <w:textAlignment w:val="center"/>
        <w:rPr>
          <w:rFonts w:hint="eastAsia" w:ascii="宋体" w:hAnsi="宋体" w:eastAsia="宋体" w:cs="宋体"/>
          <w:sz w:val="28"/>
          <w:szCs w:val="28"/>
        </w:rPr>
      </w:pPr>
      <w:r>
        <w:rPr>
          <w:rFonts w:hint="eastAsia" w:ascii="宋体" w:hAnsi="宋体" w:eastAsia="宋体" w:cs="宋体"/>
          <w:sz w:val="28"/>
          <w:szCs w:val="28"/>
        </w:rPr>
        <w:t>提供：（1）近6个月内任意1个月已依法缴纳税收的凭据，自然人提供承诺函，格式自拟；</w:t>
      </w:r>
    </w:p>
    <w:p w14:paraId="1940DE9B">
      <w:pPr>
        <w:spacing w:line="500" w:lineRule="exact"/>
        <w:jc w:val="left"/>
        <w:rPr>
          <w:rFonts w:hint="eastAsia" w:ascii="宋体" w:hAnsi="宋体" w:eastAsia="宋体" w:cs="宋体"/>
          <w:sz w:val="28"/>
          <w:szCs w:val="28"/>
        </w:rPr>
      </w:pPr>
      <w:r>
        <w:rPr>
          <w:rFonts w:hint="eastAsia" w:ascii="宋体" w:hAnsi="宋体" w:eastAsia="宋体" w:cs="宋体"/>
          <w:sz w:val="28"/>
          <w:szCs w:val="28"/>
        </w:rPr>
        <w:t>（2）近6个月内任意1个月已依法缴纳社会保险的凭据，依法免税的投标人，应提供相应证明文件，自然人提供承诺函，格式自拟。</w:t>
      </w:r>
    </w:p>
    <w:p w14:paraId="0E59230D">
      <w:pPr>
        <w:rPr>
          <w:rFonts w:hint="eastAsia" w:ascii="宋体" w:hAnsi="宋体" w:eastAsia="宋体" w:cs="宋体"/>
          <w:sz w:val="28"/>
          <w:szCs w:val="28"/>
        </w:rPr>
      </w:pPr>
    </w:p>
    <w:p w14:paraId="094B88DF">
      <w:pPr>
        <w:rPr>
          <w:rFonts w:hint="eastAsia" w:ascii="宋体" w:hAnsi="宋体" w:eastAsia="宋体" w:cs="宋体"/>
          <w:sz w:val="28"/>
          <w:szCs w:val="28"/>
        </w:rPr>
      </w:pPr>
    </w:p>
    <w:p w14:paraId="301C3615">
      <w:pPr>
        <w:rPr>
          <w:rFonts w:hint="eastAsia" w:ascii="宋体" w:hAnsi="宋体" w:eastAsia="宋体" w:cs="宋体"/>
          <w:sz w:val="28"/>
          <w:szCs w:val="28"/>
        </w:rPr>
      </w:pPr>
    </w:p>
    <w:p w14:paraId="43C5FC47">
      <w:pPr>
        <w:numPr>
          <w:ilvl w:val="0"/>
          <w:numId w:val="7"/>
        </w:numPr>
        <w:spacing w:line="500" w:lineRule="exact"/>
        <w:ind w:firstLine="140" w:firstLineChars="50"/>
        <w:jc w:val="center"/>
        <w:rPr>
          <w:rFonts w:hint="eastAsia" w:ascii="宋体" w:hAnsi="宋体" w:eastAsia="宋体" w:cs="宋体"/>
          <w:sz w:val="28"/>
          <w:szCs w:val="28"/>
        </w:rPr>
      </w:pPr>
      <w:r>
        <w:rPr>
          <w:rFonts w:hint="eastAsia" w:ascii="宋体" w:hAnsi="宋体" w:eastAsia="宋体" w:cs="宋体"/>
          <w:sz w:val="28"/>
          <w:szCs w:val="28"/>
        </w:rPr>
        <w:t>参加采购活动前三年内，在经营活动中没有重大违法记录</w:t>
      </w:r>
    </w:p>
    <w:p w14:paraId="1C6AAE79">
      <w:pPr>
        <w:spacing w:line="500" w:lineRule="exact"/>
        <w:rPr>
          <w:rFonts w:hint="eastAsia" w:ascii="宋体" w:hAnsi="宋体" w:eastAsia="宋体" w:cs="宋体"/>
          <w:sz w:val="28"/>
          <w:szCs w:val="28"/>
        </w:rPr>
      </w:pPr>
    </w:p>
    <w:p w14:paraId="47639A18">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提供：承诺函，格式自拟。 </w:t>
      </w:r>
    </w:p>
    <w:p w14:paraId="1D4FD4A9">
      <w:pPr>
        <w:rPr>
          <w:rFonts w:hint="eastAsia" w:ascii="宋体" w:hAnsi="宋体" w:eastAsia="宋体" w:cs="宋体"/>
          <w:sz w:val="28"/>
          <w:szCs w:val="28"/>
        </w:rPr>
      </w:pPr>
    </w:p>
    <w:p w14:paraId="3EFC0EE6">
      <w:pPr>
        <w:rPr>
          <w:rFonts w:hint="eastAsia" w:ascii="宋体" w:hAnsi="宋体" w:eastAsia="宋体" w:cs="宋体"/>
          <w:sz w:val="28"/>
          <w:szCs w:val="28"/>
        </w:rPr>
      </w:pPr>
    </w:p>
    <w:p w14:paraId="637BCF42">
      <w:pPr>
        <w:rPr>
          <w:rFonts w:hint="eastAsia" w:ascii="宋体" w:hAnsi="宋体" w:eastAsia="宋体" w:cs="宋体"/>
          <w:sz w:val="28"/>
          <w:szCs w:val="28"/>
        </w:rPr>
      </w:pPr>
    </w:p>
    <w:p w14:paraId="49A79D61">
      <w:pPr>
        <w:rPr>
          <w:rFonts w:hint="eastAsia" w:ascii="宋体" w:hAnsi="宋体" w:eastAsia="宋体" w:cs="宋体"/>
          <w:sz w:val="28"/>
          <w:szCs w:val="28"/>
        </w:rPr>
      </w:pPr>
    </w:p>
    <w:p w14:paraId="34809568">
      <w:pPr>
        <w:jc w:val="center"/>
        <w:rPr>
          <w:rFonts w:hint="eastAsia" w:ascii="宋体" w:hAnsi="宋体" w:eastAsia="宋体" w:cs="宋体"/>
          <w:sz w:val="28"/>
          <w:szCs w:val="28"/>
        </w:rPr>
      </w:pPr>
      <w:r>
        <w:rPr>
          <w:rFonts w:hint="eastAsia" w:ascii="宋体" w:hAnsi="宋体" w:eastAsia="宋体" w:cs="宋体"/>
          <w:sz w:val="28"/>
          <w:szCs w:val="28"/>
        </w:rPr>
        <w:t>（六）资格要求的其他资料</w:t>
      </w:r>
    </w:p>
    <w:p w14:paraId="38A1D31C">
      <w:pPr>
        <w:rPr>
          <w:rFonts w:hint="eastAsia" w:ascii="宋体" w:hAnsi="宋体" w:eastAsia="宋体" w:cs="宋体"/>
          <w:b/>
          <w:bCs/>
          <w:sz w:val="28"/>
          <w:szCs w:val="28"/>
        </w:rPr>
      </w:pPr>
      <w:r>
        <w:rPr>
          <w:rFonts w:hint="eastAsia" w:ascii="宋体" w:hAnsi="宋体" w:eastAsia="宋体" w:cs="宋体"/>
          <w:b/>
          <w:bCs/>
          <w:sz w:val="28"/>
          <w:szCs w:val="28"/>
        </w:rPr>
        <w:br w:type="page"/>
      </w:r>
    </w:p>
    <w:p w14:paraId="3164EE08">
      <w:pPr>
        <w:spacing w:line="500" w:lineRule="exact"/>
        <w:jc w:val="center"/>
        <w:outlineLvl w:val="1"/>
        <w:rPr>
          <w:rFonts w:hint="eastAsia" w:ascii="宋体" w:hAnsi="宋体" w:eastAsia="宋体" w:cs="宋体"/>
          <w:sz w:val="28"/>
          <w:szCs w:val="28"/>
        </w:rPr>
      </w:pPr>
      <w:r>
        <w:rPr>
          <w:rFonts w:hint="eastAsia" w:ascii="宋体" w:hAnsi="宋体" w:eastAsia="宋体" w:cs="宋体"/>
          <w:b/>
          <w:bCs/>
          <w:sz w:val="28"/>
          <w:szCs w:val="28"/>
        </w:rPr>
        <w:t>五、类似业绩</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06"/>
        <w:gridCol w:w="959"/>
        <w:gridCol w:w="1112"/>
        <w:gridCol w:w="1150"/>
        <w:gridCol w:w="1161"/>
        <w:gridCol w:w="1179"/>
        <w:gridCol w:w="1157"/>
        <w:gridCol w:w="1078"/>
        <w:gridCol w:w="8"/>
      </w:tblGrid>
      <w:tr w14:paraId="1FC515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14:paraId="4D8F6F1B">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959" w:type="dxa"/>
            <w:vAlign w:val="center"/>
          </w:tcPr>
          <w:p w14:paraId="395DDA1F">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8"/>
                <w:szCs w:val="28"/>
              </w:rPr>
            </w:pPr>
            <w:r>
              <w:rPr>
                <w:rFonts w:hint="eastAsia" w:ascii="宋体" w:hAnsi="宋体" w:eastAsia="宋体" w:cs="宋体"/>
                <w:b/>
                <w:sz w:val="28"/>
                <w:szCs w:val="28"/>
              </w:rPr>
              <w:t>采购人</w:t>
            </w:r>
          </w:p>
        </w:tc>
        <w:tc>
          <w:tcPr>
            <w:tcW w:w="1112" w:type="dxa"/>
            <w:vAlign w:val="center"/>
          </w:tcPr>
          <w:p w14:paraId="340D65A6">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8"/>
                <w:szCs w:val="28"/>
              </w:rPr>
            </w:pPr>
            <w:r>
              <w:rPr>
                <w:rFonts w:hint="eastAsia" w:ascii="宋体" w:hAnsi="宋体" w:eastAsia="宋体" w:cs="宋体"/>
                <w:b/>
                <w:sz w:val="28"/>
                <w:szCs w:val="28"/>
              </w:rPr>
              <w:t>联系人</w:t>
            </w:r>
          </w:p>
        </w:tc>
        <w:tc>
          <w:tcPr>
            <w:tcW w:w="1150" w:type="dxa"/>
            <w:vAlign w:val="center"/>
          </w:tcPr>
          <w:p w14:paraId="67A631AE">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8"/>
                <w:szCs w:val="28"/>
              </w:rPr>
            </w:pPr>
            <w:r>
              <w:rPr>
                <w:rFonts w:hint="eastAsia" w:ascii="宋体" w:hAnsi="宋体" w:eastAsia="宋体" w:cs="宋体"/>
                <w:b/>
                <w:sz w:val="28"/>
                <w:szCs w:val="28"/>
              </w:rPr>
              <w:t>联系电话</w:t>
            </w:r>
          </w:p>
        </w:tc>
        <w:tc>
          <w:tcPr>
            <w:tcW w:w="1161" w:type="dxa"/>
            <w:vAlign w:val="center"/>
          </w:tcPr>
          <w:p w14:paraId="449C44FE">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8"/>
                <w:szCs w:val="28"/>
              </w:rPr>
            </w:pPr>
            <w:r>
              <w:rPr>
                <w:rFonts w:hint="eastAsia" w:ascii="宋体" w:hAnsi="宋体" w:eastAsia="宋体" w:cs="宋体"/>
                <w:b/>
                <w:sz w:val="28"/>
                <w:szCs w:val="28"/>
              </w:rPr>
              <w:t>项目名称</w:t>
            </w:r>
          </w:p>
        </w:tc>
        <w:tc>
          <w:tcPr>
            <w:tcW w:w="1179" w:type="dxa"/>
            <w:vAlign w:val="center"/>
          </w:tcPr>
          <w:p w14:paraId="428B2678">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8"/>
                <w:szCs w:val="28"/>
              </w:rPr>
            </w:pPr>
            <w:r>
              <w:rPr>
                <w:rFonts w:hint="eastAsia" w:ascii="宋体" w:hAnsi="宋体" w:eastAsia="宋体" w:cs="宋体"/>
                <w:b/>
                <w:sz w:val="28"/>
                <w:szCs w:val="28"/>
              </w:rPr>
              <w:t>完成时间</w:t>
            </w:r>
          </w:p>
        </w:tc>
        <w:tc>
          <w:tcPr>
            <w:tcW w:w="1157" w:type="dxa"/>
            <w:vAlign w:val="center"/>
          </w:tcPr>
          <w:p w14:paraId="14827D81">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8"/>
                <w:szCs w:val="28"/>
              </w:rPr>
            </w:pPr>
            <w:r>
              <w:rPr>
                <w:rFonts w:hint="eastAsia" w:ascii="宋体" w:hAnsi="宋体" w:eastAsia="宋体" w:cs="宋体"/>
                <w:b/>
                <w:sz w:val="28"/>
                <w:szCs w:val="28"/>
              </w:rPr>
              <w:t>合同金额</w:t>
            </w:r>
          </w:p>
        </w:tc>
        <w:tc>
          <w:tcPr>
            <w:tcW w:w="1085" w:type="dxa"/>
            <w:gridSpan w:val="2"/>
            <w:tcBorders>
              <w:right w:val="single" w:color="auto" w:sz="4" w:space="0"/>
            </w:tcBorders>
            <w:vAlign w:val="center"/>
          </w:tcPr>
          <w:p w14:paraId="379E7B0C">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8"/>
                <w:szCs w:val="28"/>
              </w:rPr>
            </w:pPr>
            <w:r>
              <w:rPr>
                <w:rFonts w:hint="eastAsia" w:ascii="宋体" w:hAnsi="宋体" w:eastAsia="宋体" w:cs="宋体"/>
                <w:b/>
                <w:sz w:val="28"/>
                <w:szCs w:val="28"/>
              </w:rPr>
              <w:t>项目描述</w:t>
            </w:r>
          </w:p>
        </w:tc>
      </w:tr>
      <w:tr w14:paraId="4C9216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0DBAC01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959" w:type="dxa"/>
            <w:vAlign w:val="center"/>
          </w:tcPr>
          <w:p w14:paraId="57BDD0D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12" w:type="dxa"/>
            <w:vAlign w:val="center"/>
          </w:tcPr>
          <w:p w14:paraId="33C593C4">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0" w:type="dxa"/>
            <w:vAlign w:val="center"/>
          </w:tcPr>
          <w:p w14:paraId="42F9AEB3">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1" w:type="dxa"/>
            <w:vAlign w:val="center"/>
          </w:tcPr>
          <w:p w14:paraId="4338105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79" w:type="dxa"/>
            <w:vAlign w:val="center"/>
          </w:tcPr>
          <w:p w14:paraId="458EAAF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7" w:type="dxa"/>
            <w:vAlign w:val="center"/>
          </w:tcPr>
          <w:p w14:paraId="6ADE793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085" w:type="dxa"/>
            <w:gridSpan w:val="2"/>
            <w:tcBorders>
              <w:right w:val="single" w:color="auto" w:sz="4" w:space="0"/>
            </w:tcBorders>
            <w:vAlign w:val="center"/>
          </w:tcPr>
          <w:p w14:paraId="3755FA0C">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168176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1C412DB7">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959" w:type="dxa"/>
            <w:vAlign w:val="center"/>
          </w:tcPr>
          <w:p w14:paraId="6AB1B6C4">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12" w:type="dxa"/>
            <w:vAlign w:val="center"/>
          </w:tcPr>
          <w:p w14:paraId="0B6291EE">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0" w:type="dxa"/>
            <w:vAlign w:val="center"/>
          </w:tcPr>
          <w:p w14:paraId="682F24D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1" w:type="dxa"/>
            <w:vAlign w:val="center"/>
          </w:tcPr>
          <w:p w14:paraId="27A13AAD">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79" w:type="dxa"/>
            <w:vAlign w:val="center"/>
          </w:tcPr>
          <w:p w14:paraId="4EEECF4D">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7" w:type="dxa"/>
            <w:vAlign w:val="center"/>
          </w:tcPr>
          <w:p w14:paraId="28A0B9F6">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085" w:type="dxa"/>
            <w:gridSpan w:val="2"/>
            <w:tcBorders>
              <w:right w:val="single" w:color="auto" w:sz="4" w:space="0"/>
            </w:tcBorders>
            <w:vAlign w:val="center"/>
          </w:tcPr>
          <w:p w14:paraId="29F0D8E8">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614946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2976C98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959" w:type="dxa"/>
            <w:vAlign w:val="center"/>
          </w:tcPr>
          <w:p w14:paraId="71571D57">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12" w:type="dxa"/>
            <w:vAlign w:val="center"/>
          </w:tcPr>
          <w:p w14:paraId="283CD708">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0" w:type="dxa"/>
            <w:vAlign w:val="center"/>
          </w:tcPr>
          <w:p w14:paraId="2ECAF75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1" w:type="dxa"/>
            <w:vAlign w:val="center"/>
          </w:tcPr>
          <w:p w14:paraId="12360B89">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79" w:type="dxa"/>
            <w:vAlign w:val="center"/>
          </w:tcPr>
          <w:p w14:paraId="423E9F89">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7" w:type="dxa"/>
            <w:vAlign w:val="center"/>
          </w:tcPr>
          <w:p w14:paraId="52B4BFC9">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085" w:type="dxa"/>
            <w:gridSpan w:val="2"/>
            <w:tcBorders>
              <w:right w:val="single" w:color="auto" w:sz="4" w:space="0"/>
            </w:tcBorders>
            <w:vAlign w:val="center"/>
          </w:tcPr>
          <w:p w14:paraId="36165337">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4DF572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5A689DBD">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959" w:type="dxa"/>
            <w:tcBorders>
              <w:right w:val="single" w:color="auto" w:sz="4" w:space="0"/>
            </w:tcBorders>
            <w:vAlign w:val="center"/>
          </w:tcPr>
          <w:p w14:paraId="3C069816">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12" w:type="dxa"/>
            <w:tcBorders>
              <w:left w:val="single" w:color="auto" w:sz="4" w:space="0"/>
            </w:tcBorders>
            <w:vAlign w:val="center"/>
          </w:tcPr>
          <w:p w14:paraId="05666573">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0" w:type="dxa"/>
            <w:tcBorders>
              <w:left w:val="single" w:color="auto" w:sz="4" w:space="0"/>
            </w:tcBorders>
            <w:vAlign w:val="center"/>
          </w:tcPr>
          <w:p w14:paraId="0C018DF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1" w:type="dxa"/>
            <w:tcBorders>
              <w:left w:val="single" w:color="auto" w:sz="4" w:space="0"/>
            </w:tcBorders>
            <w:vAlign w:val="center"/>
          </w:tcPr>
          <w:p w14:paraId="69762318">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79" w:type="dxa"/>
            <w:vAlign w:val="center"/>
          </w:tcPr>
          <w:p w14:paraId="26D987D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7" w:type="dxa"/>
            <w:vAlign w:val="center"/>
          </w:tcPr>
          <w:p w14:paraId="04B44D3C">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085" w:type="dxa"/>
            <w:gridSpan w:val="2"/>
            <w:tcBorders>
              <w:right w:val="single" w:color="auto" w:sz="4" w:space="0"/>
            </w:tcBorders>
            <w:vAlign w:val="center"/>
          </w:tcPr>
          <w:p w14:paraId="07C88B6D">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67CE3C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740E71EC">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p>
        </w:tc>
        <w:tc>
          <w:tcPr>
            <w:tcW w:w="959" w:type="dxa"/>
            <w:tcBorders>
              <w:left w:val="single" w:color="auto" w:sz="4" w:space="0"/>
              <w:right w:val="single" w:color="auto" w:sz="4" w:space="0"/>
            </w:tcBorders>
            <w:vAlign w:val="center"/>
          </w:tcPr>
          <w:p w14:paraId="1FDE4FB5">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p>
        </w:tc>
        <w:tc>
          <w:tcPr>
            <w:tcW w:w="1112" w:type="dxa"/>
            <w:tcBorders>
              <w:left w:val="single" w:color="auto" w:sz="4" w:space="0"/>
              <w:right w:val="single" w:color="auto" w:sz="4" w:space="0"/>
            </w:tcBorders>
            <w:vAlign w:val="center"/>
          </w:tcPr>
          <w:p w14:paraId="21AEE9BF">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p>
        </w:tc>
        <w:tc>
          <w:tcPr>
            <w:tcW w:w="1150" w:type="dxa"/>
            <w:tcBorders>
              <w:left w:val="single" w:color="auto" w:sz="4" w:space="0"/>
              <w:right w:val="single" w:color="auto" w:sz="4" w:space="0"/>
            </w:tcBorders>
            <w:vAlign w:val="center"/>
          </w:tcPr>
          <w:p w14:paraId="2337E0A7">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p>
        </w:tc>
        <w:tc>
          <w:tcPr>
            <w:tcW w:w="1161" w:type="dxa"/>
            <w:tcBorders>
              <w:left w:val="single" w:color="auto" w:sz="4" w:space="0"/>
              <w:right w:val="single" w:color="auto" w:sz="4" w:space="0"/>
            </w:tcBorders>
            <w:vAlign w:val="center"/>
          </w:tcPr>
          <w:p w14:paraId="57531ECE">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p>
        </w:tc>
        <w:tc>
          <w:tcPr>
            <w:tcW w:w="1179" w:type="dxa"/>
            <w:tcBorders>
              <w:left w:val="single" w:color="auto" w:sz="4" w:space="0"/>
              <w:right w:val="single" w:color="auto" w:sz="4" w:space="0"/>
            </w:tcBorders>
            <w:vAlign w:val="center"/>
          </w:tcPr>
          <w:p w14:paraId="61DD6C1B">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p>
        </w:tc>
        <w:tc>
          <w:tcPr>
            <w:tcW w:w="1157" w:type="dxa"/>
            <w:tcBorders>
              <w:left w:val="single" w:color="auto" w:sz="4" w:space="0"/>
              <w:right w:val="single" w:color="auto" w:sz="4" w:space="0"/>
            </w:tcBorders>
            <w:vAlign w:val="center"/>
          </w:tcPr>
          <w:p w14:paraId="7435925B">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p>
        </w:tc>
        <w:tc>
          <w:tcPr>
            <w:tcW w:w="1085" w:type="dxa"/>
            <w:gridSpan w:val="2"/>
            <w:tcBorders>
              <w:left w:val="single" w:color="auto" w:sz="4" w:space="0"/>
              <w:right w:val="single" w:color="auto" w:sz="4" w:space="0"/>
            </w:tcBorders>
            <w:vAlign w:val="center"/>
          </w:tcPr>
          <w:p w14:paraId="4247CDB6">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p>
        </w:tc>
      </w:tr>
      <w:tr w14:paraId="63B389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56E50F7D">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p>
        </w:tc>
        <w:tc>
          <w:tcPr>
            <w:tcW w:w="959" w:type="dxa"/>
            <w:vAlign w:val="center"/>
          </w:tcPr>
          <w:p w14:paraId="12F01424">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p>
        </w:tc>
        <w:tc>
          <w:tcPr>
            <w:tcW w:w="1112" w:type="dxa"/>
            <w:vAlign w:val="center"/>
          </w:tcPr>
          <w:p w14:paraId="03412C14">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p>
        </w:tc>
        <w:tc>
          <w:tcPr>
            <w:tcW w:w="1150" w:type="dxa"/>
            <w:vAlign w:val="center"/>
          </w:tcPr>
          <w:p w14:paraId="232BB764">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p>
        </w:tc>
        <w:tc>
          <w:tcPr>
            <w:tcW w:w="1161" w:type="dxa"/>
            <w:vAlign w:val="center"/>
          </w:tcPr>
          <w:p w14:paraId="39ADA690">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p>
        </w:tc>
        <w:tc>
          <w:tcPr>
            <w:tcW w:w="1179" w:type="dxa"/>
            <w:vAlign w:val="center"/>
          </w:tcPr>
          <w:p w14:paraId="0A313A46">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p>
        </w:tc>
        <w:tc>
          <w:tcPr>
            <w:tcW w:w="1157" w:type="dxa"/>
            <w:tcBorders>
              <w:right w:val="single" w:color="auto" w:sz="4" w:space="0"/>
            </w:tcBorders>
            <w:vAlign w:val="center"/>
          </w:tcPr>
          <w:p w14:paraId="0AC17094">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p>
        </w:tc>
        <w:tc>
          <w:tcPr>
            <w:tcW w:w="1078" w:type="dxa"/>
            <w:tcBorders>
              <w:left w:val="single" w:color="auto" w:sz="4" w:space="0"/>
              <w:right w:val="single" w:color="auto" w:sz="4" w:space="0"/>
            </w:tcBorders>
            <w:vAlign w:val="center"/>
          </w:tcPr>
          <w:p w14:paraId="31E760F8">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p>
        </w:tc>
      </w:tr>
      <w:tr w14:paraId="561F9C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6FD5F84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959" w:type="dxa"/>
            <w:vAlign w:val="center"/>
          </w:tcPr>
          <w:p w14:paraId="01694DE9">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12" w:type="dxa"/>
            <w:vAlign w:val="center"/>
          </w:tcPr>
          <w:p w14:paraId="4905D90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0" w:type="dxa"/>
            <w:vAlign w:val="center"/>
          </w:tcPr>
          <w:p w14:paraId="5E01B81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1" w:type="dxa"/>
            <w:vAlign w:val="center"/>
          </w:tcPr>
          <w:p w14:paraId="1069201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79" w:type="dxa"/>
            <w:vAlign w:val="center"/>
          </w:tcPr>
          <w:p w14:paraId="188FB70E">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7" w:type="dxa"/>
            <w:tcBorders>
              <w:right w:val="single" w:color="auto" w:sz="4" w:space="0"/>
            </w:tcBorders>
            <w:vAlign w:val="center"/>
          </w:tcPr>
          <w:p w14:paraId="35EA8AE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078" w:type="dxa"/>
            <w:tcBorders>
              <w:left w:val="single" w:color="auto" w:sz="4" w:space="0"/>
              <w:right w:val="single" w:color="auto" w:sz="4" w:space="0"/>
            </w:tcBorders>
            <w:vAlign w:val="center"/>
          </w:tcPr>
          <w:p w14:paraId="5AEF8EA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2DE969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464D7D0C">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959" w:type="dxa"/>
            <w:vAlign w:val="center"/>
          </w:tcPr>
          <w:p w14:paraId="6796312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12" w:type="dxa"/>
            <w:vAlign w:val="center"/>
          </w:tcPr>
          <w:p w14:paraId="43C46296">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0" w:type="dxa"/>
            <w:vAlign w:val="center"/>
          </w:tcPr>
          <w:p w14:paraId="17DAA41E">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1" w:type="dxa"/>
            <w:vAlign w:val="center"/>
          </w:tcPr>
          <w:p w14:paraId="6A9BACFD">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79" w:type="dxa"/>
            <w:vAlign w:val="center"/>
          </w:tcPr>
          <w:p w14:paraId="176EACA6">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7" w:type="dxa"/>
            <w:tcBorders>
              <w:right w:val="single" w:color="auto" w:sz="4" w:space="0"/>
            </w:tcBorders>
            <w:vAlign w:val="center"/>
          </w:tcPr>
          <w:p w14:paraId="027EE2AE">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078" w:type="dxa"/>
            <w:tcBorders>
              <w:left w:val="single" w:color="auto" w:sz="4" w:space="0"/>
              <w:right w:val="single" w:color="auto" w:sz="4" w:space="0"/>
            </w:tcBorders>
            <w:vAlign w:val="center"/>
          </w:tcPr>
          <w:p w14:paraId="6B36668B">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66048C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10" w:hRule="atLeast"/>
          <w:jc w:val="center"/>
        </w:trPr>
        <w:tc>
          <w:tcPr>
            <w:tcW w:w="606" w:type="dxa"/>
            <w:tcBorders>
              <w:bottom w:val="single" w:color="auto" w:sz="4" w:space="0"/>
            </w:tcBorders>
            <w:vAlign w:val="center"/>
          </w:tcPr>
          <w:p w14:paraId="4486DA8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959" w:type="dxa"/>
            <w:tcBorders>
              <w:bottom w:val="single" w:color="auto" w:sz="4" w:space="0"/>
            </w:tcBorders>
            <w:vAlign w:val="center"/>
          </w:tcPr>
          <w:p w14:paraId="412FA6C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12" w:type="dxa"/>
            <w:tcBorders>
              <w:bottom w:val="single" w:color="auto" w:sz="4" w:space="0"/>
            </w:tcBorders>
            <w:vAlign w:val="center"/>
          </w:tcPr>
          <w:p w14:paraId="36D32A4A">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0" w:type="dxa"/>
            <w:tcBorders>
              <w:bottom w:val="single" w:color="auto" w:sz="4" w:space="0"/>
            </w:tcBorders>
            <w:vAlign w:val="center"/>
          </w:tcPr>
          <w:p w14:paraId="2D99406D">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1" w:type="dxa"/>
            <w:tcBorders>
              <w:bottom w:val="single" w:color="auto" w:sz="4" w:space="0"/>
            </w:tcBorders>
            <w:vAlign w:val="center"/>
          </w:tcPr>
          <w:p w14:paraId="50536F6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79" w:type="dxa"/>
            <w:tcBorders>
              <w:bottom w:val="single" w:color="auto" w:sz="4" w:space="0"/>
            </w:tcBorders>
            <w:vAlign w:val="center"/>
          </w:tcPr>
          <w:p w14:paraId="18D03E8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7" w:type="dxa"/>
            <w:tcBorders>
              <w:bottom w:val="single" w:color="auto" w:sz="4" w:space="0"/>
              <w:right w:val="single" w:color="auto" w:sz="4" w:space="0"/>
            </w:tcBorders>
            <w:vAlign w:val="center"/>
          </w:tcPr>
          <w:p w14:paraId="266530C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078" w:type="dxa"/>
            <w:tcBorders>
              <w:left w:val="single" w:color="auto" w:sz="4" w:space="0"/>
              <w:bottom w:val="single" w:color="auto" w:sz="4" w:space="0"/>
              <w:right w:val="single" w:color="auto" w:sz="4" w:space="0"/>
            </w:tcBorders>
            <w:vAlign w:val="center"/>
          </w:tcPr>
          <w:p w14:paraId="200364E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05813B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4326B9F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959" w:type="dxa"/>
            <w:tcBorders>
              <w:top w:val="single" w:color="auto" w:sz="4" w:space="0"/>
              <w:bottom w:val="single" w:color="auto" w:sz="4" w:space="0"/>
            </w:tcBorders>
            <w:vAlign w:val="center"/>
          </w:tcPr>
          <w:p w14:paraId="72A262E9">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12" w:type="dxa"/>
            <w:tcBorders>
              <w:top w:val="single" w:color="auto" w:sz="4" w:space="0"/>
              <w:bottom w:val="single" w:color="auto" w:sz="4" w:space="0"/>
            </w:tcBorders>
            <w:vAlign w:val="center"/>
          </w:tcPr>
          <w:p w14:paraId="68FF03E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0" w:type="dxa"/>
            <w:tcBorders>
              <w:top w:val="single" w:color="auto" w:sz="4" w:space="0"/>
              <w:bottom w:val="single" w:color="auto" w:sz="4" w:space="0"/>
            </w:tcBorders>
            <w:vAlign w:val="center"/>
          </w:tcPr>
          <w:p w14:paraId="7BF3B5C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1" w:type="dxa"/>
            <w:tcBorders>
              <w:top w:val="single" w:color="auto" w:sz="4" w:space="0"/>
              <w:bottom w:val="single" w:color="auto" w:sz="4" w:space="0"/>
            </w:tcBorders>
            <w:vAlign w:val="center"/>
          </w:tcPr>
          <w:p w14:paraId="175140C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79" w:type="dxa"/>
            <w:tcBorders>
              <w:top w:val="single" w:color="auto" w:sz="4" w:space="0"/>
              <w:bottom w:val="single" w:color="auto" w:sz="4" w:space="0"/>
            </w:tcBorders>
            <w:vAlign w:val="center"/>
          </w:tcPr>
          <w:p w14:paraId="3F85789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7" w:type="dxa"/>
            <w:tcBorders>
              <w:top w:val="single" w:color="auto" w:sz="4" w:space="0"/>
              <w:bottom w:val="single" w:color="auto" w:sz="4" w:space="0"/>
              <w:right w:val="single" w:color="auto" w:sz="4" w:space="0"/>
            </w:tcBorders>
            <w:vAlign w:val="center"/>
          </w:tcPr>
          <w:p w14:paraId="3914C39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14:paraId="6CF61598">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20CC9D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6C6978A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959" w:type="dxa"/>
            <w:tcBorders>
              <w:top w:val="single" w:color="auto" w:sz="4" w:space="0"/>
              <w:bottom w:val="single" w:color="auto" w:sz="4" w:space="0"/>
            </w:tcBorders>
            <w:vAlign w:val="center"/>
          </w:tcPr>
          <w:p w14:paraId="6E3B29F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12" w:type="dxa"/>
            <w:tcBorders>
              <w:top w:val="single" w:color="auto" w:sz="4" w:space="0"/>
              <w:bottom w:val="single" w:color="auto" w:sz="4" w:space="0"/>
            </w:tcBorders>
            <w:vAlign w:val="center"/>
          </w:tcPr>
          <w:p w14:paraId="483FDA07">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0" w:type="dxa"/>
            <w:tcBorders>
              <w:top w:val="single" w:color="auto" w:sz="4" w:space="0"/>
              <w:bottom w:val="single" w:color="auto" w:sz="4" w:space="0"/>
            </w:tcBorders>
            <w:vAlign w:val="center"/>
          </w:tcPr>
          <w:p w14:paraId="2986F4F7">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1" w:type="dxa"/>
            <w:tcBorders>
              <w:top w:val="single" w:color="auto" w:sz="4" w:space="0"/>
              <w:bottom w:val="single" w:color="auto" w:sz="4" w:space="0"/>
            </w:tcBorders>
            <w:vAlign w:val="center"/>
          </w:tcPr>
          <w:p w14:paraId="083A7913">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79" w:type="dxa"/>
            <w:tcBorders>
              <w:top w:val="single" w:color="auto" w:sz="4" w:space="0"/>
              <w:bottom w:val="single" w:color="auto" w:sz="4" w:space="0"/>
            </w:tcBorders>
            <w:vAlign w:val="center"/>
          </w:tcPr>
          <w:p w14:paraId="5912E55E">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7" w:type="dxa"/>
            <w:tcBorders>
              <w:top w:val="single" w:color="auto" w:sz="4" w:space="0"/>
              <w:bottom w:val="single" w:color="auto" w:sz="4" w:space="0"/>
              <w:right w:val="single" w:color="auto" w:sz="4" w:space="0"/>
            </w:tcBorders>
            <w:vAlign w:val="center"/>
          </w:tcPr>
          <w:p w14:paraId="7C767243">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14:paraId="1C7E262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0ACA6C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50" w:hRule="atLeast"/>
          <w:jc w:val="center"/>
        </w:trPr>
        <w:tc>
          <w:tcPr>
            <w:tcW w:w="606" w:type="dxa"/>
            <w:tcBorders>
              <w:top w:val="single" w:color="auto" w:sz="4" w:space="0"/>
              <w:bottom w:val="single" w:color="auto" w:sz="4" w:space="0"/>
            </w:tcBorders>
            <w:vAlign w:val="center"/>
          </w:tcPr>
          <w:p w14:paraId="32D0A84D">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959" w:type="dxa"/>
            <w:tcBorders>
              <w:top w:val="single" w:color="auto" w:sz="4" w:space="0"/>
              <w:bottom w:val="single" w:color="auto" w:sz="4" w:space="0"/>
            </w:tcBorders>
            <w:vAlign w:val="center"/>
          </w:tcPr>
          <w:p w14:paraId="581FEA5C">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12" w:type="dxa"/>
            <w:tcBorders>
              <w:top w:val="single" w:color="auto" w:sz="4" w:space="0"/>
              <w:bottom w:val="single" w:color="auto" w:sz="4" w:space="0"/>
            </w:tcBorders>
            <w:vAlign w:val="center"/>
          </w:tcPr>
          <w:p w14:paraId="0023E8A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0" w:type="dxa"/>
            <w:tcBorders>
              <w:top w:val="single" w:color="auto" w:sz="4" w:space="0"/>
              <w:bottom w:val="single" w:color="auto" w:sz="4" w:space="0"/>
            </w:tcBorders>
            <w:vAlign w:val="center"/>
          </w:tcPr>
          <w:p w14:paraId="6BE6DCD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1" w:type="dxa"/>
            <w:tcBorders>
              <w:top w:val="single" w:color="auto" w:sz="4" w:space="0"/>
              <w:bottom w:val="single" w:color="auto" w:sz="4" w:space="0"/>
            </w:tcBorders>
            <w:vAlign w:val="center"/>
          </w:tcPr>
          <w:p w14:paraId="342BEAB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79" w:type="dxa"/>
            <w:tcBorders>
              <w:top w:val="single" w:color="auto" w:sz="4" w:space="0"/>
              <w:bottom w:val="single" w:color="auto" w:sz="4" w:space="0"/>
            </w:tcBorders>
            <w:vAlign w:val="center"/>
          </w:tcPr>
          <w:p w14:paraId="33BD5B84">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7" w:type="dxa"/>
            <w:tcBorders>
              <w:top w:val="single" w:color="auto" w:sz="4" w:space="0"/>
              <w:bottom w:val="single" w:color="auto" w:sz="4" w:space="0"/>
              <w:right w:val="single" w:color="auto" w:sz="4" w:space="0"/>
            </w:tcBorders>
            <w:vAlign w:val="center"/>
          </w:tcPr>
          <w:p w14:paraId="0806C82C">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14:paraId="7D369084">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3F678E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35" w:hRule="atLeast"/>
          <w:jc w:val="center"/>
        </w:trPr>
        <w:tc>
          <w:tcPr>
            <w:tcW w:w="606" w:type="dxa"/>
            <w:tcBorders>
              <w:top w:val="single" w:color="auto" w:sz="4" w:space="0"/>
            </w:tcBorders>
            <w:vAlign w:val="center"/>
          </w:tcPr>
          <w:p w14:paraId="286C1C18">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959" w:type="dxa"/>
            <w:tcBorders>
              <w:top w:val="single" w:color="auto" w:sz="4" w:space="0"/>
            </w:tcBorders>
            <w:vAlign w:val="center"/>
          </w:tcPr>
          <w:p w14:paraId="1A48DD83">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12" w:type="dxa"/>
            <w:tcBorders>
              <w:top w:val="single" w:color="auto" w:sz="4" w:space="0"/>
            </w:tcBorders>
            <w:vAlign w:val="center"/>
          </w:tcPr>
          <w:p w14:paraId="4F59D2B6">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0" w:type="dxa"/>
            <w:tcBorders>
              <w:top w:val="single" w:color="auto" w:sz="4" w:space="0"/>
            </w:tcBorders>
            <w:vAlign w:val="center"/>
          </w:tcPr>
          <w:p w14:paraId="34DCF0D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1" w:type="dxa"/>
            <w:tcBorders>
              <w:top w:val="single" w:color="auto" w:sz="4" w:space="0"/>
            </w:tcBorders>
            <w:vAlign w:val="center"/>
          </w:tcPr>
          <w:p w14:paraId="7A2BEEF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79" w:type="dxa"/>
            <w:tcBorders>
              <w:top w:val="single" w:color="auto" w:sz="4" w:space="0"/>
            </w:tcBorders>
            <w:vAlign w:val="center"/>
          </w:tcPr>
          <w:p w14:paraId="0AC0B09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57" w:type="dxa"/>
            <w:tcBorders>
              <w:top w:val="single" w:color="auto" w:sz="4" w:space="0"/>
              <w:right w:val="single" w:color="auto" w:sz="4" w:space="0"/>
            </w:tcBorders>
            <w:vAlign w:val="center"/>
          </w:tcPr>
          <w:p w14:paraId="70D5A196">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078" w:type="dxa"/>
            <w:tcBorders>
              <w:top w:val="single" w:color="auto" w:sz="4" w:space="0"/>
              <w:left w:val="single" w:color="auto" w:sz="4" w:space="0"/>
              <w:right w:val="single" w:color="auto" w:sz="4" w:space="0"/>
            </w:tcBorders>
            <w:vAlign w:val="center"/>
          </w:tcPr>
          <w:p w14:paraId="5ABAF4A8">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bl>
    <w:p w14:paraId="7A2F1795">
      <w:pPr>
        <w:spacing w:line="500" w:lineRule="exact"/>
        <w:rPr>
          <w:rFonts w:hint="eastAsia" w:ascii="宋体" w:hAnsi="宋体" w:eastAsia="宋体" w:cs="宋体"/>
          <w:sz w:val="28"/>
          <w:szCs w:val="28"/>
        </w:rPr>
      </w:pPr>
      <w:r>
        <w:rPr>
          <w:rFonts w:hint="eastAsia" w:ascii="宋体" w:hAnsi="宋体" w:eastAsia="宋体" w:cs="宋体"/>
          <w:sz w:val="28"/>
          <w:szCs w:val="28"/>
        </w:rPr>
        <w:t>备注：本表后按招标文件评标标准要求附投标人或产品制造商类似业绩，</w:t>
      </w:r>
      <w:r>
        <w:rPr>
          <w:rFonts w:hint="eastAsia" w:ascii="宋体" w:hAnsi="宋体" w:eastAsia="宋体" w:cs="宋体"/>
          <w:bCs/>
          <w:sz w:val="28"/>
          <w:szCs w:val="28"/>
        </w:rPr>
        <w:t>并提供相关证明材料</w:t>
      </w:r>
      <w:r>
        <w:rPr>
          <w:rFonts w:hint="eastAsia" w:ascii="宋体" w:hAnsi="宋体" w:eastAsia="宋体" w:cs="宋体"/>
          <w:sz w:val="28"/>
          <w:szCs w:val="28"/>
        </w:rPr>
        <w:t>。</w:t>
      </w:r>
    </w:p>
    <w:p w14:paraId="2A971D47">
      <w:pPr>
        <w:spacing w:line="500" w:lineRule="exact"/>
        <w:rPr>
          <w:rFonts w:hint="eastAsia" w:ascii="宋体" w:hAnsi="宋体" w:eastAsia="宋体" w:cs="宋体"/>
          <w:sz w:val="28"/>
          <w:szCs w:val="28"/>
        </w:rPr>
      </w:pPr>
    </w:p>
    <w:p w14:paraId="0E80BD49">
      <w:pPr>
        <w:spacing w:line="500" w:lineRule="exact"/>
        <w:rPr>
          <w:rFonts w:hint="eastAsia" w:ascii="宋体" w:hAnsi="宋体" w:eastAsia="宋体" w:cs="宋体"/>
          <w:sz w:val="28"/>
          <w:szCs w:val="28"/>
        </w:rPr>
      </w:pPr>
    </w:p>
    <w:p w14:paraId="02C30199">
      <w:pPr>
        <w:spacing w:line="500" w:lineRule="exact"/>
        <w:rPr>
          <w:rFonts w:hint="eastAsia" w:ascii="宋体" w:hAnsi="宋体" w:eastAsia="宋体" w:cs="宋体"/>
          <w:sz w:val="28"/>
          <w:szCs w:val="28"/>
        </w:rPr>
      </w:pPr>
    </w:p>
    <w:p w14:paraId="6CC62BFF">
      <w:pPr>
        <w:rPr>
          <w:rFonts w:hint="eastAsia" w:ascii="宋体" w:hAnsi="宋体" w:eastAsia="宋体" w:cs="宋体"/>
          <w:b/>
          <w:bCs/>
          <w:sz w:val="28"/>
          <w:szCs w:val="28"/>
        </w:rPr>
      </w:pPr>
      <w:r>
        <w:rPr>
          <w:rFonts w:hint="eastAsia" w:ascii="宋体" w:hAnsi="宋体" w:eastAsia="宋体" w:cs="宋体"/>
          <w:b/>
          <w:bCs/>
          <w:sz w:val="28"/>
          <w:szCs w:val="28"/>
        </w:rPr>
        <w:br w:type="page"/>
      </w:r>
    </w:p>
    <w:p w14:paraId="5D38086B">
      <w:pPr>
        <w:spacing w:line="500" w:lineRule="exact"/>
        <w:jc w:val="center"/>
        <w:outlineLvl w:val="1"/>
        <w:rPr>
          <w:rFonts w:hint="eastAsia" w:ascii="宋体" w:hAnsi="宋体" w:eastAsia="宋体" w:cs="宋体"/>
          <w:b/>
          <w:bCs/>
          <w:sz w:val="28"/>
          <w:szCs w:val="28"/>
        </w:rPr>
      </w:pPr>
      <w:r>
        <w:rPr>
          <w:rFonts w:hint="eastAsia" w:ascii="宋体" w:hAnsi="宋体" w:eastAsia="宋体" w:cs="宋体"/>
          <w:b/>
          <w:bCs/>
          <w:sz w:val="28"/>
          <w:szCs w:val="28"/>
        </w:rPr>
        <w:t>六、商务、采购需求偏离表</w:t>
      </w:r>
    </w:p>
    <w:p w14:paraId="4A47473F">
      <w:pPr>
        <w:pStyle w:val="12"/>
        <w:spacing w:line="500" w:lineRule="exact"/>
        <w:jc w:val="center"/>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b/>
          <w:bCs/>
          <w:sz w:val="28"/>
          <w:szCs w:val="28"/>
        </w:rPr>
        <w:t>商务条款偏离表</w:t>
      </w:r>
    </w:p>
    <w:tbl>
      <w:tblPr>
        <w:tblStyle w:val="23"/>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36F8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73" w:type="dxa"/>
            <w:shd w:val="clear" w:color="auto" w:fill="F3F3F3"/>
            <w:vAlign w:val="center"/>
          </w:tcPr>
          <w:p w14:paraId="5F427B17">
            <w:pPr>
              <w:keepNext w:val="0"/>
              <w:keepLines w:val="0"/>
              <w:suppressLineNumbers w:val="0"/>
              <w:spacing w:before="0" w:beforeAutospacing="0" w:after="0" w:afterAutospacing="0" w:line="500" w:lineRule="exact"/>
              <w:ind w:left="0" w:right="0"/>
              <w:jc w:val="center"/>
              <w:rPr>
                <w:rFonts w:hint="eastAsia" w:ascii="宋体" w:hAnsi="宋体" w:eastAsia="宋体" w:cs="宋体"/>
                <w:b/>
                <w:bCs/>
                <w:sz w:val="28"/>
                <w:szCs w:val="28"/>
              </w:rPr>
            </w:pPr>
            <w:r>
              <w:rPr>
                <w:rFonts w:hint="eastAsia" w:ascii="宋体" w:hAnsi="宋体" w:eastAsia="宋体" w:cs="宋体"/>
                <w:b/>
                <w:bCs/>
                <w:sz w:val="28"/>
                <w:szCs w:val="28"/>
              </w:rPr>
              <w:t>序号</w:t>
            </w:r>
          </w:p>
        </w:tc>
        <w:tc>
          <w:tcPr>
            <w:tcW w:w="5850" w:type="dxa"/>
            <w:shd w:val="clear" w:color="auto" w:fill="F3F3F3"/>
            <w:vAlign w:val="center"/>
          </w:tcPr>
          <w:p w14:paraId="1DEA6721">
            <w:pPr>
              <w:keepNext w:val="0"/>
              <w:keepLines w:val="0"/>
              <w:suppressLineNumbers w:val="0"/>
              <w:spacing w:before="0" w:beforeAutospacing="0" w:after="0" w:afterAutospacing="0" w:line="500" w:lineRule="exact"/>
              <w:ind w:left="0" w:right="0"/>
              <w:jc w:val="center"/>
              <w:rPr>
                <w:rFonts w:hint="eastAsia" w:ascii="宋体" w:hAnsi="宋体" w:eastAsia="宋体" w:cs="宋体"/>
                <w:b/>
                <w:bCs/>
                <w:sz w:val="28"/>
                <w:szCs w:val="28"/>
              </w:rPr>
            </w:pPr>
            <w:r>
              <w:rPr>
                <w:rFonts w:hint="eastAsia" w:ascii="宋体" w:hAnsi="宋体" w:eastAsia="宋体" w:cs="宋体"/>
                <w:b/>
                <w:bCs/>
                <w:sz w:val="28"/>
                <w:szCs w:val="28"/>
              </w:rPr>
              <w:t>主要商务条款</w:t>
            </w:r>
          </w:p>
        </w:tc>
        <w:tc>
          <w:tcPr>
            <w:tcW w:w="1008" w:type="dxa"/>
            <w:shd w:val="clear" w:color="auto" w:fill="F3F3F3"/>
            <w:vAlign w:val="center"/>
          </w:tcPr>
          <w:p w14:paraId="4DC5F18D">
            <w:pPr>
              <w:keepNext w:val="0"/>
              <w:keepLines w:val="0"/>
              <w:suppressLineNumbers w:val="0"/>
              <w:spacing w:before="0" w:beforeAutospacing="0" w:after="0" w:afterAutospacing="0" w:line="500" w:lineRule="exact"/>
              <w:ind w:left="0" w:right="0"/>
              <w:jc w:val="center"/>
              <w:rPr>
                <w:rFonts w:hint="eastAsia" w:ascii="宋体" w:hAnsi="宋体" w:eastAsia="宋体" w:cs="宋体"/>
                <w:b/>
                <w:bCs/>
                <w:sz w:val="28"/>
                <w:szCs w:val="28"/>
              </w:rPr>
            </w:pPr>
            <w:r>
              <w:rPr>
                <w:rFonts w:hint="eastAsia" w:ascii="宋体" w:hAnsi="宋体" w:eastAsia="宋体" w:cs="宋体"/>
                <w:b/>
                <w:bCs/>
                <w:sz w:val="28"/>
                <w:szCs w:val="28"/>
              </w:rPr>
              <w:t>是否</w:t>
            </w:r>
          </w:p>
          <w:p w14:paraId="7D9B6803">
            <w:pPr>
              <w:keepNext w:val="0"/>
              <w:keepLines w:val="0"/>
              <w:suppressLineNumbers w:val="0"/>
              <w:spacing w:before="0" w:beforeAutospacing="0" w:after="0" w:afterAutospacing="0" w:line="500" w:lineRule="exact"/>
              <w:ind w:left="0" w:right="0"/>
              <w:jc w:val="center"/>
              <w:rPr>
                <w:rFonts w:hint="eastAsia" w:ascii="宋体" w:hAnsi="宋体" w:eastAsia="宋体" w:cs="宋体"/>
                <w:b/>
                <w:bCs/>
                <w:sz w:val="28"/>
                <w:szCs w:val="28"/>
              </w:rPr>
            </w:pPr>
            <w:r>
              <w:rPr>
                <w:rFonts w:hint="eastAsia" w:ascii="宋体" w:hAnsi="宋体" w:eastAsia="宋体" w:cs="宋体"/>
                <w:b/>
                <w:bCs/>
                <w:sz w:val="28"/>
                <w:szCs w:val="28"/>
              </w:rPr>
              <w:t>响应</w:t>
            </w:r>
          </w:p>
        </w:tc>
        <w:tc>
          <w:tcPr>
            <w:tcW w:w="1164" w:type="dxa"/>
            <w:shd w:val="clear" w:color="auto" w:fill="F3F3F3"/>
            <w:vAlign w:val="center"/>
          </w:tcPr>
          <w:p w14:paraId="29E666F0">
            <w:pPr>
              <w:keepNext w:val="0"/>
              <w:keepLines w:val="0"/>
              <w:suppressLineNumbers w:val="0"/>
              <w:spacing w:before="0" w:beforeAutospacing="0" w:after="0" w:afterAutospacing="0" w:line="500" w:lineRule="exact"/>
              <w:ind w:left="0" w:right="0"/>
              <w:jc w:val="center"/>
              <w:rPr>
                <w:rFonts w:hint="eastAsia" w:ascii="宋体" w:hAnsi="宋体" w:eastAsia="宋体" w:cs="宋体"/>
                <w:b/>
                <w:bCs/>
                <w:sz w:val="28"/>
                <w:szCs w:val="28"/>
              </w:rPr>
            </w:pPr>
            <w:r>
              <w:rPr>
                <w:rFonts w:hint="eastAsia" w:ascii="宋体" w:hAnsi="宋体" w:eastAsia="宋体" w:cs="宋体"/>
                <w:b/>
                <w:bCs/>
                <w:sz w:val="28"/>
                <w:szCs w:val="28"/>
              </w:rPr>
              <w:t>偏离说明</w:t>
            </w:r>
          </w:p>
        </w:tc>
      </w:tr>
      <w:tr w14:paraId="2ABA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FCB921A">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1</w:t>
            </w:r>
          </w:p>
        </w:tc>
        <w:tc>
          <w:tcPr>
            <w:tcW w:w="5850" w:type="dxa"/>
            <w:vAlign w:val="center"/>
          </w:tcPr>
          <w:p w14:paraId="0C9BACF0">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完全理解并接受对合格投标人、合格的质量和其他要求；</w:t>
            </w:r>
          </w:p>
        </w:tc>
        <w:tc>
          <w:tcPr>
            <w:tcW w:w="1008" w:type="dxa"/>
            <w:vAlign w:val="center"/>
          </w:tcPr>
          <w:p w14:paraId="22C644B4">
            <w:pPr>
              <w:pStyle w:val="79"/>
              <w:keepNext w:val="0"/>
              <w:keepLines w:val="0"/>
              <w:suppressLineNumbers w:val="0"/>
              <w:adjustRightInd/>
              <w:spacing w:before="0" w:beforeAutospacing="0" w:after="0" w:afterAutospacing="0" w:line="500" w:lineRule="exact"/>
              <w:ind w:left="0" w:right="0"/>
              <w:textAlignment w:val="auto"/>
              <w:rPr>
                <w:rFonts w:hint="eastAsia" w:ascii="宋体" w:hAnsi="宋体" w:eastAsia="宋体" w:cs="宋体"/>
                <w:snapToGrid/>
                <w:spacing w:val="0"/>
                <w:kern w:val="2"/>
                <w:sz w:val="28"/>
                <w:szCs w:val="28"/>
              </w:rPr>
            </w:pPr>
          </w:p>
        </w:tc>
        <w:tc>
          <w:tcPr>
            <w:tcW w:w="1164" w:type="dxa"/>
            <w:vAlign w:val="center"/>
          </w:tcPr>
          <w:p w14:paraId="6116F8EC">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2F20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7624F7EC">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2</w:t>
            </w:r>
          </w:p>
        </w:tc>
        <w:tc>
          <w:tcPr>
            <w:tcW w:w="5850" w:type="dxa"/>
            <w:vAlign w:val="center"/>
          </w:tcPr>
          <w:p w14:paraId="636DF9F8">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完全理解并接受对投标人的各项须知、规约要求和责任义务；</w:t>
            </w:r>
          </w:p>
        </w:tc>
        <w:tc>
          <w:tcPr>
            <w:tcW w:w="1008" w:type="dxa"/>
            <w:vAlign w:val="center"/>
          </w:tcPr>
          <w:p w14:paraId="1DC7CCA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4" w:type="dxa"/>
            <w:vAlign w:val="center"/>
          </w:tcPr>
          <w:p w14:paraId="0D210026">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6A6E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945D6C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3</w:t>
            </w:r>
          </w:p>
        </w:tc>
        <w:tc>
          <w:tcPr>
            <w:tcW w:w="5850" w:type="dxa"/>
            <w:vAlign w:val="center"/>
          </w:tcPr>
          <w:p w14:paraId="4DC8F3A2">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同意接受拟签订的合同文本所列述的各项条款；</w:t>
            </w:r>
          </w:p>
        </w:tc>
        <w:tc>
          <w:tcPr>
            <w:tcW w:w="1008" w:type="dxa"/>
            <w:vAlign w:val="center"/>
          </w:tcPr>
          <w:p w14:paraId="0C32BE8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4" w:type="dxa"/>
            <w:vAlign w:val="center"/>
          </w:tcPr>
          <w:p w14:paraId="14CDEA2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3939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8AFD01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4</w:t>
            </w:r>
          </w:p>
        </w:tc>
        <w:tc>
          <w:tcPr>
            <w:tcW w:w="5850" w:type="dxa"/>
            <w:vAlign w:val="center"/>
          </w:tcPr>
          <w:p w14:paraId="01B097F7">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同意按本项目要求缴付相关款项；</w:t>
            </w:r>
          </w:p>
        </w:tc>
        <w:tc>
          <w:tcPr>
            <w:tcW w:w="1008" w:type="dxa"/>
            <w:vAlign w:val="center"/>
          </w:tcPr>
          <w:p w14:paraId="74D7546B">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4" w:type="dxa"/>
            <w:vAlign w:val="center"/>
          </w:tcPr>
          <w:p w14:paraId="4ADE818A">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72AE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51F7749A">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5</w:t>
            </w:r>
          </w:p>
        </w:tc>
        <w:tc>
          <w:tcPr>
            <w:tcW w:w="5850" w:type="dxa"/>
            <w:vAlign w:val="center"/>
          </w:tcPr>
          <w:p w14:paraId="5C7888BD">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响应内容均涵盖采购需求及一切费用和伴随服务；</w:t>
            </w:r>
          </w:p>
        </w:tc>
        <w:tc>
          <w:tcPr>
            <w:tcW w:w="1008" w:type="dxa"/>
            <w:vAlign w:val="center"/>
          </w:tcPr>
          <w:p w14:paraId="6F4B047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4" w:type="dxa"/>
            <w:vAlign w:val="center"/>
          </w:tcPr>
          <w:p w14:paraId="5C1821E1">
            <w:pPr>
              <w:pStyle w:val="79"/>
              <w:keepNext w:val="0"/>
              <w:keepLines w:val="0"/>
              <w:suppressLineNumbers w:val="0"/>
              <w:adjustRightInd/>
              <w:spacing w:before="0" w:beforeAutospacing="0" w:after="0" w:afterAutospacing="0" w:line="500" w:lineRule="exact"/>
              <w:ind w:left="0" w:right="0"/>
              <w:textAlignment w:val="auto"/>
              <w:rPr>
                <w:rFonts w:hint="eastAsia" w:ascii="宋体" w:hAnsi="宋体" w:eastAsia="宋体" w:cs="宋体"/>
                <w:snapToGrid/>
                <w:spacing w:val="0"/>
                <w:kern w:val="2"/>
                <w:sz w:val="28"/>
                <w:szCs w:val="28"/>
              </w:rPr>
            </w:pPr>
          </w:p>
        </w:tc>
      </w:tr>
      <w:tr w14:paraId="5A06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7C8939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6</w:t>
            </w:r>
          </w:p>
        </w:tc>
        <w:tc>
          <w:tcPr>
            <w:tcW w:w="5850" w:type="dxa"/>
            <w:vAlign w:val="center"/>
          </w:tcPr>
          <w:p w14:paraId="7AD54206">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同意接受本项目供货期或相关进度安排要求；</w:t>
            </w:r>
          </w:p>
        </w:tc>
        <w:tc>
          <w:tcPr>
            <w:tcW w:w="1008" w:type="dxa"/>
            <w:vAlign w:val="center"/>
          </w:tcPr>
          <w:p w14:paraId="5A282587">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4" w:type="dxa"/>
            <w:vAlign w:val="center"/>
          </w:tcPr>
          <w:p w14:paraId="3468C494">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5507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0C9DF907">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7</w:t>
            </w:r>
          </w:p>
        </w:tc>
        <w:tc>
          <w:tcPr>
            <w:tcW w:w="5850" w:type="dxa"/>
            <w:vAlign w:val="center"/>
          </w:tcPr>
          <w:p w14:paraId="72D03CD6">
            <w:pPr>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同意接受本项目的验收要求及验收标准；</w:t>
            </w:r>
          </w:p>
        </w:tc>
        <w:tc>
          <w:tcPr>
            <w:tcW w:w="1008" w:type="dxa"/>
            <w:vAlign w:val="center"/>
          </w:tcPr>
          <w:p w14:paraId="69F2EEE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4" w:type="dxa"/>
            <w:vAlign w:val="center"/>
          </w:tcPr>
          <w:p w14:paraId="3900337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2F86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2738A98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8</w:t>
            </w:r>
          </w:p>
        </w:tc>
        <w:tc>
          <w:tcPr>
            <w:tcW w:w="5850" w:type="dxa"/>
            <w:vAlign w:val="center"/>
          </w:tcPr>
          <w:p w14:paraId="463187C1">
            <w:pPr>
              <w:pStyle w:val="17"/>
              <w:keepNext w:val="0"/>
              <w:keepLines w:val="0"/>
              <w:suppressLineNumbers w:val="0"/>
              <w:adjustRightInd/>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b w:val="0"/>
                <w:bCs w:val="0"/>
                <w:kern w:val="2"/>
                <w:sz w:val="28"/>
                <w:szCs w:val="28"/>
              </w:rPr>
              <w:t>同意采购人以任何形式对我方的投标文件内容的真实性和有效性进行审查、验证；</w:t>
            </w:r>
          </w:p>
        </w:tc>
        <w:tc>
          <w:tcPr>
            <w:tcW w:w="1008" w:type="dxa"/>
            <w:vAlign w:val="center"/>
          </w:tcPr>
          <w:p w14:paraId="40C77DCE">
            <w:pPr>
              <w:pStyle w:val="80"/>
              <w:keepNext w:val="0"/>
              <w:keepLines w:val="0"/>
              <w:numPr>
                <w:ilvl w:val="0"/>
                <w:numId w:val="0"/>
              </w:numPr>
              <w:suppressLineNumbers w:val="0"/>
              <w:spacing w:before="0" w:beforeAutospacing="0" w:after="0" w:afterAutospacing="0" w:line="500" w:lineRule="exact"/>
              <w:ind w:right="0"/>
              <w:rPr>
                <w:rFonts w:hint="eastAsia" w:ascii="宋体" w:hAnsi="宋体" w:eastAsia="宋体" w:cs="宋体"/>
                <w:color w:val="auto"/>
              </w:rPr>
            </w:pPr>
          </w:p>
        </w:tc>
        <w:tc>
          <w:tcPr>
            <w:tcW w:w="1164" w:type="dxa"/>
            <w:vAlign w:val="center"/>
          </w:tcPr>
          <w:p w14:paraId="45CE1F4B">
            <w:pPr>
              <w:pStyle w:val="79"/>
              <w:keepNext w:val="0"/>
              <w:keepLines w:val="0"/>
              <w:suppressLineNumbers w:val="0"/>
              <w:adjustRightInd/>
              <w:spacing w:before="0" w:beforeAutospacing="0" w:after="0" w:afterAutospacing="0" w:line="500" w:lineRule="exact"/>
              <w:ind w:left="0" w:right="0"/>
              <w:jc w:val="both"/>
              <w:textAlignment w:val="auto"/>
              <w:rPr>
                <w:rFonts w:hint="eastAsia" w:ascii="宋体" w:hAnsi="宋体" w:eastAsia="宋体" w:cs="宋体"/>
                <w:snapToGrid/>
                <w:spacing w:val="0"/>
                <w:kern w:val="2"/>
                <w:sz w:val="28"/>
                <w:szCs w:val="28"/>
              </w:rPr>
            </w:pPr>
          </w:p>
        </w:tc>
      </w:tr>
      <w:tr w14:paraId="28F0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1434A75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9</w:t>
            </w:r>
          </w:p>
        </w:tc>
        <w:tc>
          <w:tcPr>
            <w:tcW w:w="5850" w:type="dxa"/>
            <w:vAlign w:val="center"/>
          </w:tcPr>
          <w:p w14:paraId="6D91DA7A">
            <w:pPr>
              <w:pStyle w:val="17"/>
              <w:keepNext w:val="0"/>
              <w:keepLines w:val="0"/>
              <w:suppressLineNumbers w:val="0"/>
              <w:spacing w:before="0" w:beforeAutospacing="0" w:after="0" w:afterAutospacing="0" w:line="500" w:lineRule="exact"/>
              <w:ind w:left="0" w:right="0"/>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rPr>
              <w:t>同意接受本项目付款的各项要求。</w:t>
            </w:r>
          </w:p>
        </w:tc>
        <w:tc>
          <w:tcPr>
            <w:tcW w:w="1008" w:type="dxa"/>
            <w:vAlign w:val="center"/>
          </w:tcPr>
          <w:p w14:paraId="67846FF1">
            <w:pPr>
              <w:pStyle w:val="80"/>
              <w:keepNext w:val="0"/>
              <w:keepLines w:val="0"/>
              <w:numPr>
                <w:ilvl w:val="0"/>
                <w:numId w:val="0"/>
              </w:numPr>
              <w:suppressLineNumbers w:val="0"/>
              <w:spacing w:before="0" w:beforeAutospacing="0" w:after="0" w:afterAutospacing="0" w:line="500" w:lineRule="exact"/>
              <w:ind w:right="0"/>
              <w:rPr>
                <w:rFonts w:hint="eastAsia" w:ascii="宋体" w:hAnsi="宋体" w:eastAsia="宋体" w:cs="宋体"/>
                <w:color w:val="auto"/>
              </w:rPr>
            </w:pPr>
          </w:p>
        </w:tc>
        <w:tc>
          <w:tcPr>
            <w:tcW w:w="1164" w:type="dxa"/>
            <w:vAlign w:val="center"/>
          </w:tcPr>
          <w:p w14:paraId="580E244C">
            <w:pPr>
              <w:pStyle w:val="79"/>
              <w:keepNext w:val="0"/>
              <w:keepLines w:val="0"/>
              <w:suppressLineNumbers w:val="0"/>
              <w:adjustRightInd/>
              <w:spacing w:before="0" w:beforeAutospacing="0" w:after="0" w:afterAutospacing="0" w:line="500" w:lineRule="exact"/>
              <w:ind w:left="0" w:right="0"/>
              <w:jc w:val="both"/>
              <w:textAlignment w:val="auto"/>
              <w:rPr>
                <w:rFonts w:hint="eastAsia" w:ascii="宋体" w:hAnsi="宋体" w:eastAsia="宋体" w:cs="宋体"/>
                <w:snapToGrid/>
                <w:spacing w:val="0"/>
                <w:kern w:val="2"/>
                <w:sz w:val="28"/>
                <w:szCs w:val="28"/>
              </w:rPr>
            </w:pPr>
          </w:p>
        </w:tc>
      </w:tr>
    </w:tbl>
    <w:p w14:paraId="07E1B6E1">
      <w:pPr>
        <w:spacing w:line="500" w:lineRule="exact"/>
        <w:rPr>
          <w:rFonts w:hint="eastAsia" w:ascii="宋体" w:hAnsi="宋体" w:eastAsia="宋体" w:cs="宋体"/>
          <w:sz w:val="28"/>
          <w:szCs w:val="28"/>
        </w:rPr>
      </w:pPr>
      <w:r>
        <w:rPr>
          <w:rFonts w:hint="eastAsia" w:ascii="宋体" w:hAnsi="宋体" w:eastAsia="宋体" w:cs="宋体"/>
          <w:sz w:val="28"/>
          <w:szCs w:val="28"/>
        </w:rPr>
        <w:t>备注：</w:t>
      </w:r>
    </w:p>
    <w:p w14:paraId="7C2EAB3D">
      <w:pPr>
        <w:numPr>
          <w:ilvl w:val="0"/>
          <w:numId w:val="8"/>
        </w:numPr>
        <w:spacing w:line="500" w:lineRule="exact"/>
        <w:rPr>
          <w:rFonts w:hint="eastAsia" w:ascii="宋体" w:hAnsi="宋体" w:eastAsia="宋体" w:cs="宋体"/>
          <w:sz w:val="28"/>
          <w:szCs w:val="28"/>
          <w:lang w:val="en-GB"/>
        </w:rPr>
      </w:pPr>
      <w:r>
        <w:rPr>
          <w:rFonts w:hint="eastAsia" w:ascii="宋体" w:hAnsi="宋体" w:eastAsia="宋体" w:cs="宋体"/>
          <w:sz w:val="28"/>
          <w:szCs w:val="28"/>
        </w:rPr>
        <w:t>对</w:t>
      </w:r>
      <w:r>
        <w:rPr>
          <w:rFonts w:hint="eastAsia" w:ascii="宋体" w:hAnsi="宋体" w:eastAsia="宋体" w:cs="宋体"/>
          <w:sz w:val="28"/>
          <w:szCs w:val="28"/>
          <w:lang w:val="en-GB"/>
        </w:rPr>
        <w:t>于上述要求，如投标人完全响应，则请在“是否响应”栏内打“√”，对打“×”视为偏离，请在“偏离说明”栏内扼要说明偏离情况；</w:t>
      </w:r>
    </w:p>
    <w:p w14:paraId="52882201">
      <w:pPr>
        <w:numPr>
          <w:ilvl w:val="0"/>
          <w:numId w:val="8"/>
        </w:numPr>
        <w:spacing w:line="500" w:lineRule="exact"/>
        <w:rPr>
          <w:rFonts w:hint="eastAsia" w:ascii="宋体" w:hAnsi="宋体" w:eastAsia="宋体" w:cs="宋体"/>
          <w:sz w:val="28"/>
          <w:szCs w:val="28"/>
          <w:lang w:val="en-GB"/>
        </w:rPr>
      </w:pPr>
      <w:r>
        <w:rPr>
          <w:rFonts w:hint="eastAsia" w:ascii="宋体" w:hAnsi="宋体" w:eastAsia="宋体" w:cs="宋体"/>
          <w:sz w:val="28"/>
          <w:szCs w:val="28"/>
          <w:lang w:val="en-GB"/>
        </w:rPr>
        <w:t>投标人应认真填写本响应表，若评标委员会在评审期间，发现有虚假填写本响应表的，则将可能被视为存在两个</w:t>
      </w:r>
      <w:r>
        <w:rPr>
          <w:rFonts w:hint="eastAsia" w:ascii="宋体" w:hAnsi="宋体" w:eastAsia="宋体" w:cs="宋体"/>
          <w:sz w:val="28"/>
          <w:szCs w:val="28"/>
        </w:rPr>
        <w:t>响应方案</w:t>
      </w:r>
      <w:r>
        <w:rPr>
          <w:rFonts w:hint="eastAsia" w:ascii="宋体" w:hAnsi="宋体" w:eastAsia="宋体" w:cs="宋体"/>
          <w:sz w:val="28"/>
          <w:szCs w:val="28"/>
          <w:lang w:val="en-GB"/>
        </w:rPr>
        <w:t>，评标委员会将按本招标文件相关规定执行；</w:t>
      </w:r>
    </w:p>
    <w:p w14:paraId="2F0811C6">
      <w:pPr>
        <w:numPr>
          <w:ilvl w:val="0"/>
          <w:numId w:val="8"/>
        </w:numPr>
        <w:spacing w:line="500" w:lineRule="exact"/>
        <w:rPr>
          <w:rFonts w:hint="eastAsia" w:ascii="宋体" w:hAnsi="宋体" w:eastAsia="宋体" w:cs="宋体"/>
          <w:sz w:val="28"/>
          <w:szCs w:val="28"/>
          <w:lang w:val="en-GB"/>
        </w:rPr>
      </w:pPr>
      <w:r>
        <w:rPr>
          <w:rFonts w:hint="eastAsia" w:ascii="宋体" w:hAnsi="宋体" w:eastAsia="宋体" w:cs="宋体"/>
          <w:sz w:val="28"/>
          <w:szCs w:val="28"/>
          <w:lang w:val="en-GB"/>
        </w:rPr>
        <w:t>本表内容不得擅自修改。</w:t>
      </w:r>
    </w:p>
    <w:p w14:paraId="533F6378">
      <w:pPr>
        <w:pStyle w:val="81"/>
        <w:spacing w:line="500" w:lineRule="exact"/>
        <w:jc w:val="center"/>
        <w:rPr>
          <w:rFonts w:hint="eastAsia" w:ascii="宋体" w:hAnsi="宋体" w:eastAsia="宋体" w:cs="宋体"/>
          <w:b/>
          <w:bCs/>
          <w:sz w:val="28"/>
          <w:szCs w:val="28"/>
        </w:rPr>
      </w:pPr>
      <w:r>
        <w:rPr>
          <w:rFonts w:hint="eastAsia" w:ascii="宋体" w:hAnsi="宋体" w:eastAsia="宋体" w:cs="宋体"/>
          <w:bCs/>
          <w:sz w:val="28"/>
          <w:szCs w:val="28"/>
        </w:rPr>
        <w:br w:type="page"/>
      </w:r>
      <w:r>
        <w:rPr>
          <w:rFonts w:hint="eastAsia" w:ascii="宋体" w:hAnsi="宋体" w:eastAsia="宋体" w:cs="宋体"/>
          <w:b/>
          <w:bCs/>
          <w:sz w:val="28"/>
          <w:szCs w:val="28"/>
        </w:rPr>
        <w:t>（二）采购需求偏离表</w:t>
      </w:r>
    </w:p>
    <w:tbl>
      <w:tblPr>
        <w:tblStyle w:val="23"/>
        <w:tblW w:w="4998" w:type="pct"/>
        <w:tblInd w:w="0" w:type="dxa"/>
        <w:tblLayout w:type="autofit"/>
        <w:tblCellMar>
          <w:top w:w="0" w:type="dxa"/>
          <w:left w:w="108" w:type="dxa"/>
          <w:bottom w:w="0" w:type="dxa"/>
          <w:right w:w="108" w:type="dxa"/>
        </w:tblCellMar>
      </w:tblPr>
      <w:tblGrid>
        <w:gridCol w:w="522"/>
        <w:gridCol w:w="2439"/>
        <w:gridCol w:w="1170"/>
        <w:gridCol w:w="998"/>
        <w:gridCol w:w="1018"/>
        <w:gridCol w:w="1149"/>
        <w:gridCol w:w="1253"/>
      </w:tblGrid>
      <w:tr w14:paraId="2DE25BD7">
        <w:tblPrEx>
          <w:tblCellMar>
            <w:top w:w="0" w:type="dxa"/>
            <w:left w:w="108" w:type="dxa"/>
            <w:bottom w:w="0" w:type="dxa"/>
            <w:right w:w="108" w:type="dxa"/>
          </w:tblCellMar>
        </w:tblPrEx>
        <w:trPr>
          <w:trHeight w:val="530" w:hRule="atLeast"/>
        </w:trPr>
        <w:tc>
          <w:tcPr>
            <w:tcW w:w="295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39EB3910">
            <w:pPr>
              <w:keepNext w:val="0"/>
              <w:keepLines w:val="0"/>
              <w:widowControl/>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b/>
                <w:bCs/>
                <w:sz w:val="28"/>
                <w:szCs w:val="28"/>
              </w:rPr>
              <w:t>招标文件的要求</w:t>
            </w:r>
          </w:p>
        </w:tc>
        <w:tc>
          <w:tcPr>
            <w:tcW w:w="5568"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14:paraId="2A8D0B5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b/>
                <w:bCs/>
                <w:sz w:val="28"/>
                <w:szCs w:val="28"/>
              </w:rPr>
              <w:t>投标文件的响应</w:t>
            </w:r>
          </w:p>
        </w:tc>
      </w:tr>
      <w:tr w14:paraId="2CE36F9C">
        <w:tblPrEx>
          <w:tblCellMar>
            <w:top w:w="0" w:type="dxa"/>
            <w:left w:w="108" w:type="dxa"/>
            <w:bottom w:w="0" w:type="dxa"/>
            <w:right w:w="108" w:type="dxa"/>
          </w:tblCellMar>
        </w:tblPrEx>
        <w:trPr>
          <w:trHeight w:val="173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5C805C45">
            <w:pPr>
              <w:keepNext w:val="0"/>
              <w:keepLines w:val="0"/>
              <w:widowControl/>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序号</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1A7EDD0C">
            <w:pPr>
              <w:keepNext w:val="0"/>
              <w:keepLines w:val="0"/>
              <w:widowControl/>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采购需求要求</w:t>
            </w: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7758E87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响应情况</w:t>
            </w: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71BC388E">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偏离情况</w:t>
            </w: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C2FF577">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证明材料</w:t>
            </w: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5AF8B2A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证明材料页码</w:t>
            </w: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7E28CC03">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备注</w:t>
            </w:r>
          </w:p>
        </w:tc>
      </w:tr>
      <w:tr w14:paraId="55647CEE">
        <w:tblPrEx>
          <w:tblCellMar>
            <w:top w:w="0" w:type="dxa"/>
            <w:left w:w="108" w:type="dxa"/>
            <w:bottom w:w="0" w:type="dxa"/>
            <w:right w:w="108" w:type="dxa"/>
          </w:tblCellMar>
        </w:tblPrEx>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3704AD25">
            <w:pPr>
              <w:keepNext w:val="0"/>
              <w:keepLines w:val="0"/>
              <w:widowControl/>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1</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1FBBC344">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040A05AD">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7998D31B">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270546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743CE54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0666CED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2A75BB5B">
        <w:tblPrEx>
          <w:tblCellMar>
            <w:top w:w="0" w:type="dxa"/>
            <w:left w:w="108" w:type="dxa"/>
            <w:bottom w:w="0" w:type="dxa"/>
            <w:right w:w="108" w:type="dxa"/>
          </w:tblCellMar>
        </w:tblPrEx>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10B596D9">
            <w:pPr>
              <w:keepNext w:val="0"/>
              <w:keepLines w:val="0"/>
              <w:widowControl/>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2</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053FB604">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31A4D64E">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41CE7ECC">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490B1E4">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0861D3A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0516EA88">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56E09101">
        <w:tblPrEx>
          <w:tblCellMar>
            <w:top w:w="0" w:type="dxa"/>
            <w:left w:w="108" w:type="dxa"/>
            <w:bottom w:w="0" w:type="dxa"/>
            <w:right w:w="108" w:type="dxa"/>
          </w:tblCellMar>
        </w:tblPrEx>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698151A7">
            <w:pPr>
              <w:keepNext w:val="0"/>
              <w:keepLines w:val="0"/>
              <w:widowControl/>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3</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720D17AE">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6164EE04">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4BF48DD5">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88BB389">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4EB2A832">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47C4FAB6">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r w14:paraId="00BC01A4">
        <w:tblPrEx>
          <w:tblCellMar>
            <w:top w:w="0" w:type="dxa"/>
            <w:left w:w="108" w:type="dxa"/>
            <w:bottom w:w="0" w:type="dxa"/>
            <w:right w:w="108" w:type="dxa"/>
          </w:tblCellMar>
        </w:tblPrEx>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295BC145">
            <w:pPr>
              <w:keepNext w:val="0"/>
              <w:keepLines w:val="0"/>
              <w:widowControl/>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4</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32E293E9">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157B22E9">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48A678BE">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6ED333F1">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29C1A47F">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55C4E110">
            <w:pPr>
              <w:keepNext w:val="0"/>
              <w:keepLines w:val="0"/>
              <w:suppressLineNumbers w:val="0"/>
              <w:spacing w:before="0" w:beforeAutospacing="0" w:after="0" w:afterAutospacing="0" w:line="500" w:lineRule="exact"/>
              <w:ind w:left="0" w:right="0"/>
              <w:jc w:val="center"/>
              <w:rPr>
                <w:rFonts w:hint="eastAsia" w:ascii="宋体" w:hAnsi="宋体" w:eastAsia="宋体" w:cs="宋体"/>
                <w:sz w:val="28"/>
                <w:szCs w:val="28"/>
              </w:rPr>
            </w:pPr>
          </w:p>
        </w:tc>
      </w:tr>
    </w:tbl>
    <w:p w14:paraId="16952605">
      <w:pPr>
        <w:pStyle w:val="6"/>
        <w:spacing w:line="500" w:lineRule="exact"/>
        <w:ind w:firstLine="560"/>
        <w:rPr>
          <w:rFonts w:hint="eastAsia" w:ascii="宋体" w:hAnsi="宋体" w:eastAsia="宋体" w:cs="宋体"/>
          <w:sz w:val="28"/>
          <w:szCs w:val="28"/>
        </w:rPr>
      </w:pPr>
    </w:p>
    <w:p w14:paraId="29C09A45">
      <w:pPr>
        <w:spacing w:line="500" w:lineRule="exact"/>
        <w:rPr>
          <w:rFonts w:hint="eastAsia" w:ascii="宋体" w:hAnsi="宋体" w:eastAsia="宋体" w:cs="宋体"/>
          <w:sz w:val="28"/>
          <w:szCs w:val="28"/>
        </w:rPr>
      </w:pPr>
      <w:r>
        <w:rPr>
          <w:rFonts w:hint="eastAsia" w:ascii="宋体" w:hAnsi="宋体" w:eastAsia="宋体" w:cs="宋体"/>
          <w:sz w:val="28"/>
          <w:szCs w:val="28"/>
        </w:rPr>
        <w:t>备注：具体要求详见“第五章 评标办法”。</w:t>
      </w:r>
    </w:p>
    <w:p w14:paraId="7701320A">
      <w:pPr>
        <w:rPr>
          <w:rFonts w:hint="eastAsia" w:ascii="宋体" w:hAnsi="宋体" w:eastAsia="宋体" w:cs="宋体"/>
          <w:bCs/>
          <w:sz w:val="28"/>
          <w:szCs w:val="28"/>
        </w:rPr>
      </w:pPr>
      <w:r>
        <w:rPr>
          <w:rFonts w:hint="eastAsia" w:ascii="宋体" w:hAnsi="宋体" w:eastAsia="宋体" w:cs="宋体"/>
          <w:bCs/>
          <w:sz w:val="28"/>
          <w:szCs w:val="28"/>
        </w:rPr>
        <w:br w:type="page"/>
      </w:r>
    </w:p>
    <w:p w14:paraId="354DBB68">
      <w:pPr>
        <w:adjustRightInd w:val="0"/>
        <w:spacing w:line="500" w:lineRule="exact"/>
        <w:jc w:val="center"/>
        <w:outlineLvl w:val="1"/>
        <w:rPr>
          <w:rFonts w:hint="eastAsia" w:ascii="宋体" w:hAnsi="宋体" w:eastAsia="宋体" w:cs="宋体"/>
          <w:b/>
          <w:sz w:val="28"/>
          <w:szCs w:val="28"/>
        </w:rPr>
      </w:pPr>
      <w:r>
        <w:rPr>
          <w:rFonts w:hint="eastAsia" w:ascii="宋体" w:hAnsi="宋体" w:eastAsia="宋体" w:cs="宋体"/>
          <w:b/>
          <w:sz w:val="28"/>
          <w:szCs w:val="28"/>
        </w:rPr>
        <w:t>七、供货方案</w:t>
      </w:r>
    </w:p>
    <w:p w14:paraId="30953B47">
      <w:pPr>
        <w:adjustRightInd w:val="0"/>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sz w:val="28"/>
          <w:szCs w:val="28"/>
        </w:rPr>
        <w:t>投标人应根据招标文件采购需求及本项目详细评审标准，自行编制，格式自拟。</w:t>
      </w:r>
      <w:r>
        <w:rPr>
          <w:rFonts w:hint="eastAsia" w:ascii="宋体" w:hAnsi="宋体" w:eastAsia="宋体" w:cs="宋体"/>
          <w:bCs/>
          <w:sz w:val="28"/>
          <w:szCs w:val="28"/>
        </w:rPr>
        <w:t xml:space="preserve">                      </w:t>
      </w:r>
    </w:p>
    <w:p w14:paraId="2766757A">
      <w:pPr>
        <w:spacing w:line="500" w:lineRule="exact"/>
        <w:jc w:val="right"/>
        <w:rPr>
          <w:rFonts w:hint="eastAsia" w:ascii="宋体" w:hAnsi="宋体" w:eastAsia="宋体" w:cs="宋体"/>
          <w:sz w:val="28"/>
          <w:szCs w:val="28"/>
        </w:rPr>
      </w:pPr>
      <w:r>
        <w:rPr>
          <w:rFonts w:hint="eastAsia" w:ascii="宋体" w:hAnsi="宋体" w:eastAsia="宋体" w:cs="宋体"/>
          <w:sz w:val="28"/>
          <w:szCs w:val="28"/>
        </w:rPr>
        <w:t xml:space="preserve">         </w:t>
      </w:r>
      <w:bookmarkStart w:id="137" w:name="_Toc8620"/>
      <w:bookmarkStart w:id="138" w:name="_Toc12693"/>
      <w:bookmarkStart w:id="139" w:name="_Toc5252"/>
      <w:bookmarkStart w:id="140" w:name="_Toc25505"/>
    </w:p>
    <w:p w14:paraId="51CBFEB8">
      <w:pPr>
        <w:spacing w:line="500" w:lineRule="exact"/>
        <w:jc w:val="right"/>
        <w:rPr>
          <w:rFonts w:hint="eastAsia" w:ascii="宋体" w:hAnsi="宋体" w:eastAsia="宋体" w:cs="宋体"/>
          <w:sz w:val="28"/>
          <w:szCs w:val="28"/>
        </w:rPr>
      </w:pPr>
    </w:p>
    <w:p w14:paraId="09296C94">
      <w:pPr>
        <w:spacing w:line="500" w:lineRule="exact"/>
        <w:jc w:val="center"/>
        <w:rPr>
          <w:rFonts w:hint="eastAsia" w:ascii="宋体" w:hAnsi="宋体" w:eastAsia="宋体" w:cs="宋体"/>
          <w:b/>
          <w:bCs/>
          <w:sz w:val="28"/>
          <w:szCs w:val="28"/>
        </w:rPr>
      </w:pPr>
    </w:p>
    <w:p w14:paraId="53E49404">
      <w:pPr>
        <w:spacing w:line="500" w:lineRule="exact"/>
        <w:jc w:val="center"/>
        <w:rPr>
          <w:rFonts w:hint="eastAsia" w:ascii="宋体" w:hAnsi="宋体" w:eastAsia="宋体" w:cs="宋体"/>
          <w:b/>
          <w:bCs/>
          <w:sz w:val="28"/>
          <w:szCs w:val="28"/>
        </w:rPr>
      </w:pPr>
    </w:p>
    <w:p w14:paraId="66799371">
      <w:pPr>
        <w:spacing w:line="500" w:lineRule="exact"/>
        <w:jc w:val="center"/>
        <w:rPr>
          <w:rFonts w:hint="eastAsia" w:ascii="宋体" w:hAnsi="宋体" w:eastAsia="宋体" w:cs="宋体"/>
          <w:b/>
          <w:bCs/>
          <w:sz w:val="28"/>
          <w:szCs w:val="28"/>
        </w:rPr>
      </w:pPr>
    </w:p>
    <w:bookmarkEnd w:id="137"/>
    <w:bookmarkEnd w:id="138"/>
    <w:bookmarkEnd w:id="139"/>
    <w:bookmarkEnd w:id="140"/>
    <w:p w14:paraId="167644FE">
      <w:pPr>
        <w:rPr>
          <w:rFonts w:hint="eastAsia" w:ascii="宋体" w:hAnsi="宋体" w:eastAsia="宋体" w:cs="宋体"/>
          <w:b/>
          <w:bCs/>
          <w:sz w:val="28"/>
          <w:szCs w:val="28"/>
        </w:rPr>
      </w:pPr>
      <w:r>
        <w:rPr>
          <w:rFonts w:hint="eastAsia" w:ascii="宋体" w:hAnsi="宋体" w:eastAsia="宋体" w:cs="宋体"/>
          <w:b/>
          <w:bCs/>
          <w:sz w:val="28"/>
          <w:szCs w:val="28"/>
        </w:rPr>
        <w:br w:type="page"/>
      </w:r>
    </w:p>
    <w:p w14:paraId="438D0559">
      <w:pPr>
        <w:pStyle w:val="12"/>
        <w:spacing w:line="500" w:lineRule="exact"/>
        <w:ind w:firstLine="562" w:firstLineChars="200"/>
        <w:jc w:val="center"/>
        <w:outlineLvl w:val="1"/>
        <w:rPr>
          <w:rFonts w:hint="eastAsia" w:ascii="宋体" w:hAnsi="宋体" w:eastAsia="宋体" w:cs="宋体"/>
          <w:b/>
          <w:bCs/>
          <w:kern w:val="0"/>
          <w:sz w:val="28"/>
          <w:szCs w:val="28"/>
        </w:rPr>
      </w:pPr>
      <w:r>
        <w:rPr>
          <w:rFonts w:hint="eastAsia" w:ascii="宋体" w:hAnsi="宋体" w:eastAsia="宋体" w:cs="宋体"/>
          <w:b/>
          <w:bCs/>
          <w:sz w:val="28"/>
          <w:szCs w:val="28"/>
        </w:rPr>
        <w:t>八、</w:t>
      </w:r>
      <w:r>
        <w:rPr>
          <w:rFonts w:hint="eastAsia" w:ascii="宋体" w:hAnsi="宋体" w:eastAsia="宋体" w:cs="宋体"/>
          <w:b/>
          <w:bCs/>
          <w:kern w:val="0"/>
          <w:sz w:val="28"/>
          <w:szCs w:val="28"/>
        </w:rPr>
        <w:t>政府采购政策</w:t>
      </w:r>
    </w:p>
    <w:p w14:paraId="43FD2521">
      <w:pPr>
        <w:pStyle w:val="12"/>
        <w:spacing w:line="500" w:lineRule="exact"/>
        <w:ind w:firstLine="562" w:firstLineChars="200"/>
        <w:jc w:val="center"/>
        <w:rPr>
          <w:rFonts w:hint="eastAsia" w:ascii="宋体" w:hAnsi="宋体" w:eastAsia="宋体" w:cs="宋体"/>
          <w:sz w:val="28"/>
          <w:szCs w:val="28"/>
        </w:rPr>
      </w:pPr>
      <w:r>
        <w:rPr>
          <w:rFonts w:hint="eastAsia" w:ascii="宋体" w:hAnsi="宋体" w:eastAsia="宋体" w:cs="宋体"/>
          <w:b/>
          <w:bCs/>
          <w:kern w:val="0"/>
          <w:sz w:val="28"/>
          <w:szCs w:val="28"/>
        </w:rPr>
        <w:t>（一）</w:t>
      </w:r>
      <w:r>
        <w:rPr>
          <w:rFonts w:hint="eastAsia" w:ascii="宋体" w:hAnsi="宋体" w:eastAsia="宋体" w:cs="宋体"/>
          <w:b/>
          <w:bCs/>
          <w:sz w:val="28"/>
          <w:szCs w:val="28"/>
        </w:rPr>
        <w:t>中小企业声明函</w:t>
      </w:r>
      <w:r>
        <w:rPr>
          <w:rFonts w:hint="eastAsia" w:ascii="宋体" w:hAnsi="宋体" w:eastAsia="宋体" w:cs="宋体"/>
          <w:b/>
          <w:sz w:val="28"/>
          <w:szCs w:val="28"/>
        </w:rPr>
        <w:t>（如有）</w:t>
      </w:r>
    </w:p>
    <w:p w14:paraId="45CD1560">
      <w:pPr>
        <w:pStyle w:val="12"/>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本公司（联合体）郑重声明，根据《政府采购促进中小企业发展管理办法》（财库﹝2020﹞46号）的规定，本公司（联合体）参加</w:t>
      </w:r>
      <w:r>
        <w:rPr>
          <w:rFonts w:hint="eastAsia" w:ascii="宋体" w:hAnsi="宋体" w:eastAsia="宋体" w:cs="宋体"/>
          <w:sz w:val="28"/>
          <w:szCs w:val="28"/>
          <w:u w:val="single"/>
        </w:rPr>
        <w:t>（单位名称）</w:t>
      </w:r>
      <w:r>
        <w:rPr>
          <w:rFonts w:hint="eastAsia" w:ascii="宋体" w:hAnsi="宋体" w:eastAsia="宋体" w:cs="宋体"/>
          <w:sz w:val="28"/>
          <w:szCs w:val="28"/>
        </w:rPr>
        <w:t>的</w:t>
      </w:r>
      <w:r>
        <w:rPr>
          <w:rFonts w:hint="eastAsia" w:ascii="宋体" w:hAnsi="宋体" w:eastAsia="宋体" w:cs="宋体"/>
          <w:sz w:val="28"/>
          <w:szCs w:val="28"/>
          <w:u w:val="single"/>
        </w:rPr>
        <w:t>（项目名称）</w:t>
      </w:r>
      <w:r>
        <w:rPr>
          <w:rFonts w:hint="eastAsia" w:ascii="宋体" w:hAnsi="宋体" w:eastAsia="宋体" w:cs="宋体"/>
          <w:sz w:val="28"/>
          <w:szCs w:val="28"/>
        </w:rPr>
        <w:t>采购活动，提供的货物全部由符合政策要求的中小企业制造。相关企业（含联合体中的中小企业、签订分包意向协议的中小企业）的具体情况如下：</w:t>
      </w:r>
    </w:p>
    <w:p w14:paraId="445CB828">
      <w:pPr>
        <w:pStyle w:val="12"/>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u w:val="single"/>
        </w:rPr>
        <w:t xml:space="preserve"> （标的名称）</w:t>
      </w:r>
      <w:r>
        <w:rPr>
          <w:rFonts w:hint="eastAsia" w:ascii="宋体" w:hAnsi="宋体" w:eastAsia="宋体" w:cs="宋体"/>
          <w:sz w:val="28"/>
          <w:szCs w:val="28"/>
        </w:rPr>
        <w:t>，属于</w:t>
      </w:r>
      <w:r>
        <w:rPr>
          <w:rFonts w:hint="eastAsia" w:ascii="宋体" w:hAnsi="宋体" w:eastAsia="宋体" w:cs="宋体"/>
          <w:sz w:val="28"/>
          <w:szCs w:val="28"/>
          <w:u w:val="single"/>
        </w:rPr>
        <w:t>（采购文件中明确的所属行业）工业行业</w:t>
      </w:r>
      <w:r>
        <w:rPr>
          <w:rFonts w:hint="eastAsia" w:ascii="宋体" w:hAnsi="宋体" w:eastAsia="宋体" w:cs="宋体"/>
          <w:sz w:val="28"/>
          <w:szCs w:val="28"/>
        </w:rPr>
        <w:t>；制造商为</w:t>
      </w:r>
      <w:r>
        <w:rPr>
          <w:rFonts w:hint="eastAsia" w:ascii="宋体" w:hAnsi="宋体" w:eastAsia="宋体" w:cs="宋体"/>
          <w:sz w:val="28"/>
          <w:szCs w:val="28"/>
          <w:u w:val="single"/>
        </w:rPr>
        <w:t>（企业名称）</w:t>
      </w:r>
      <w:r>
        <w:rPr>
          <w:rFonts w:hint="eastAsia" w:ascii="宋体" w:hAnsi="宋体" w:eastAsia="宋体" w:cs="宋体"/>
          <w:sz w:val="28"/>
          <w:szCs w:val="28"/>
        </w:rPr>
        <w:t>，从业人员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人，营业收入为</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rPr>
        <w:t>万元</w:t>
      </w:r>
      <w:r>
        <w:rPr>
          <w:rFonts w:hint="eastAsia" w:ascii="宋体" w:hAnsi="宋体" w:eastAsia="宋体" w:cs="宋体"/>
          <w:sz w:val="28"/>
          <w:szCs w:val="28"/>
          <w:vertAlign w:val="superscript"/>
        </w:rPr>
        <w:t>1</w:t>
      </w:r>
      <w:r>
        <w:rPr>
          <w:rFonts w:hint="eastAsia" w:ascii="宋体" w:hAnsi="宋体" w:eastAsia="宋体" w:cs="宋体"/>
          <w:sz w:val="28"/>
          <w:szCs w:val="28"/>
        </w:rPr>
        <w:t>，属于（中型企业、小型企业、微型企业）；</w:t>
      </w:r>
    </w:p>
    <w:p w14:paraId="0B6EE844">
      <w:pPr>
        <w:pStyle w:val="12"/>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u w:val="single"/>
        </w:rPr>
        <w:t xml:space="preserve"> （标的名称）</w:t>
      </w:r>
      <w:r>
        <w:rPr>
          <w:rFonts w:hint="eastAsia" w:ascii="宋体" w:hAnsi="宋体" w:eastAsia="宋体" w:cs="宋体"/>
          <w:sz w:val="28"/>
          <w:szCs w:val="28"/>
        </w:rPr>
        <w:t>，属于</w:t>
      </w:r>
      <w:r>
        <w:rPr>
          <w:rFonts w:hint="eastAsia" w:ascii="宋体" w:hAnsi="宋体" w:eastAsia="宋体" w:cs="宋体"/>
          <w:sz w:val="28"/>
          <w:szCs w:val="28"/>
          <w:u w:val="single"/>
        </w:rPr>
        <w:t>（采购文件中明确的所属行业）工业行业</w:t>
      </w:r>
      <w:r>
        <w:rPr>
          <w:rFonts w:hint="eastAsia" w:ascii="宋体" w:hAnsi="宋体" w:eastAsia="宋体" w:cs="宋体"/>
          <w:sz w:val="28"/>
          <w:szCs w:val="28"/>
        </w:rPr>
        <w:t>；制造商为</w:t>
      </w:r>
      <w:r>
        <w:rPr>
          <w:rFonts w:hint="eastAsia" w:ascii="宋体" w:hAnsi="宋体" w:eastAsia="宋体" w:cs="宋体"/>
          <w:sz w:val="28"/>
          <w:szCs w:val="28"/>
          <w:u w:val="single"/>
        </w:rPr>
        <w:t>（企业名称）</w:t>
      </w:r>
      <w:r>
        <w:rPr>
          <w:rFonts w:hint="eastAsia" w:ascii="宋体" w:hAnsi="宋体" w:eastAsia="宋体" w:cs="宋体"/>
          <w:sz w:val="28"/>
          <w:szCs w:val="28"/>
        </w:rPr>
        <w:t>，从业人员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人，营业收入为</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w:t>
      </w:r>
      <w:r>
        <w:rPr>
          <w:rFonts w:hint="eastAsia" w:ascii="宋体" w:hAnsi="宋体" w:eastAsia="宋体" w:cs="宋体"/>
          <w:sz w:val="28"/>
          <w:szCs w:val="28"/>
          <w:u w:val="single"/>
        </w:rPr>
        <w:t>（中型企业、小型企业、微型企业）</w:t>
      </w:r>
      <w:r>
        <w:rPr>
          <w:rFonts w:hint="eastAsia" w:ascii="宋体" w:hAnsi="宋体" w:eastAsia="宋体" w:cs="宋体"/>
          <w:sz w:val="28"/>
          <w:szCs w:val="28"/>
        </w:rPr>
        <w:t>；</w:t>
      </w:r>
    </w:p>
    <w:p w14:paraId="74ED7E4E">
      <w:pPr>
        <w:pStyle w:val="12"/>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p>
    <w:p w14:paraId="2A5D45F1">
      <w:pPr>
        <w:pStyle w:val="12"/>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14:paraId="26BCC345">
      <w:pPr>
        <w:pStyle w:val="12"/>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本企业对上述声明内容的真实性负责。如有虚假，将依法承担相应责任。</w:t>
      </w:r>
    </w:p>
    <w:p w14:paraId="789DA88D">
      <w:pPr>
        <w:pStyle w:val="12"/>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 xml:space="preserve">           企业名称（盖章）：</w:t>
      </w:r>
    </w:p>
    <w:p w14:paraId="2F77EE85">
      <w:pPr>
        <w:pStyle w:val="12"/>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日 期：</w:t>
      </w:r>
    </w:p>
    <w:p w14:paraId="708D2930">
      <w:pPr>
        <w:pStyle w:val="12"/>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1、从业人员、营业收入、资产总额填报上一年度数据，无上一年度数据的新成立企业可不填报</w:t>
      </w:r>
    </w:p>
    <w:p w14:paraId="6D5B8C12">
      <w:pPr>
        <w:spacing w:line="500" w:lineRule="exact"/>
        <w:rPr>
          <w:rFonts w:hint="eastAsia" w:ascii="宋体" w:hAnsi="宋体" w:eastAsia="宋体" w:cs="宋体"/>
          <w:sz w:val="28"/>
          <w:szCs w:val="28"/>
        </w:rPr>
      </w:pPr>
    </w:p>
    <w:p w14:paraId="539DD844">
      <w:pPr>
        <w:spacing w:line="500" w:lineRule="exact"/>
        <w:jc w:val="center"/>
        <w:rPr>
          <w:rFonts w:hint="eastAsia" w:ascii="宋体" w:hAnsi="宋体" w:eastAsia="宋体" w:cs="宋体"/>
          <w:b/>
          <w:spacing w:val="6"/>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rPr>
        <w:t>（二）</w:t>
      </w:r>
      <w:bookmarkStart w:id="141" w:name="OLE_LINK13"/>
      <w:bookmarkStart w:id="142" w:name="OLE_LINK14"/>
      <w:r>
        <w:rPr>
          <w:rFonts w:hint="eastAsia" w:ascii="宋体" w:hAnsi="宋体" w:eastAsia="宋体" w:cs="宋体"/>
          <w:b/>
          <w:spacing w:val="6"/>
          <w:sz w:val="28"/>
          <w:szCs w:val="28"/>
        </w:rPr>
        <w:t>残疾人福利性单位声明函</w:t>
      </w:r>
      <w:r>
        <w:rPr>
          <w:rFonts w:hint="eastAsia" w:ascii="宋体" w:hAnsi="宋体" w:eastAsia="宋体" w:cs="宋体"/>
          <w:b/>
          <w:sz w:val="28"/>
          <w:szCs w:val="28"/>
        </w:rPr>
        <w:t>（如有）</w:t>
      </w:r>
    </w:p>
    <w:bookmarkEnd w:id="141"/>
    <w:bookmarkEnd w:id="142"/>
    <w:p w14:paraId="0D346D00">
      <w:pPr>
        <w:spacing w:line="500" w:lineRule="exact"/>
        <w:rPr>
          <w:rFonts w:hint="eastAsia" w:ascii="宋体" w:hAnsi="宋体" w:eastAsia="宋体" w:cs="宋体"/>
          <w:b/>
          <w:spacing w:val="6"/>
          <w:sz w:val="28"/>
          <w:szCs w:val="28"/>
        </w:rPr>
      </w:pPr>
    </w:p>
    <w:p w14:paraId="11D92272">
      <w:pPr>
        <w:spacing w:line="500" w:lineRule="exact"/>
        <w:ind w:firstLine="584" w:firstLineChars="200"/>
        <w:rPr>
          <w:rFonts w:hint="eastAsia" w:ascii="宋体" w:hAnsi="宋体" w:eastAsia="宋体" w:cs="宋体"/>
          <w:spacing w:val="6"/>
          <w:sz w:val="28"/>
          <w:szCs w:val="28"/>
        </w:rPr>
      </w:pPr>
      <w:r>
        <w:rPr>
          <w:rFonts w:hint="eastAsia" w:ascii="宋体" w:hAnsi="宋体" w:eastAsia="宋体" w:cs="宋体"/>
          <w:spacing w:val="6"/>
          <w:sz w:val="28"/>
          <w:szCs w:val="28"/>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pacing w:val="6"/>
          <w:sz w:val="28"/>
          <w:szCs w:val="28"/>
          <w:u w:val="single"/>
        </w:rPr>
        <w:t xml:space="preserve">         </w:t>
      </w:r>
      <w:r>
        <w:rPr>
          <w:rFonts w:hint="eastAsia" w:ascii="宋体" w:hAnsi="宋体" w:eastAsia="宋体" w:cs="宋体"/>
          <w:spacing w:val="6"/>
          <w:sz w:val="28"/>
          <w:szCs w:val="28"/>
        </w:rPr>
        <w:t>单位的</w:t>
      </w:r>
      <w:r>
        <w:rPr>
          <w:rFonts w:hint="eastAsia" w:ascii="宋体" w:hAnsi="宋体" w:eastAsia="宋体" w:cs="宋体"/>
          <w:spacing w:val="6"/>
          <w:sz w:val="28"/>
          <w:szCs w:val="28"/>
          <w:u w:val="single"/>
        </w:rPr>
        <w:t xml:space="preserve">      </w:t>
      </w:r>
      <w:r>
        <w:rPr>
          <w:rFonts w:hint="eastAsia" w:ascii="宋体" w:hAnsi="宋体" w:eastAsia="宋体" w:cs="宋体"/>
          <w:spacing w:val="6"/>
          <w:sz w:val="28"/>
          <w:szCs w:val="28"/>
        </w:rPr>
        <w:t>项目投标活动提供本单位制造的货物（由本单位承担工程/提供服务），或者提供其他残疾人福利性单位制造的货物（不包括使用非残疾人福利性单位注册商标的货物）。</w:t>
      </w:r>
    </w:p>
    <w:p w14:paraId="78CCCAA5">
      <w:pPr>
        <w:spacing w:line="500" w:lineRule="exact"/>
        <w:ind w:firstLine="584" w:firstLineChars="200"/>
        <w:rPr>
          <w:rFonts w:hint="eastAsia" w:ascii="宋体" w:hAnsi="宋体" w:eastAsia="宋体" w:cs="宋体"/>
          <w:spacing w:val="6"/>
          <w:sz w:val="28"/>
          <w:szCs w:val="28"/>
        </w:rPr>
      </w:pPr>
      <w:r>
        <w:rPr>
          <w:rFonts w:hint="eastAsia" w:ascii="宋体" w:hAnsi="宋体" w:eastAsia="宋体" w:cs="宋体"/>
          <w:spacing w:val="6"/>
          <w:sz w:val="28"/>
          <w:szCs w:val="28"/>
        </w:rPr>
        <w:t>本单位对上述声明的真实性负责。如有虚假，将依法承担相应责任。</w:t>
      </w:r>
    </w:p>
    <w:p w14:paraId="0961E369">
      <w:pPr>
        <w:spacing w:line="500" w:lineRule="exact"/>
        <w:ind w:firstLine="584" w:firstLineChars="200"/>
        <w:rPr>
          <w:rFonts w:hint="eastAsia" w:ascii="宋体" w:hAnsi="宋体" w:eastAsia="宋体" w:cs="宋体"/>
          <w:spacing w:val="6"/>
          <w:sz w:val="28"/>
          <w:szCs w:val="28"/>
        </w:rPr>
      </w:pPr>
    </w:p>
    <w:p w14:paraId="7B8DF0DB">
      <w:pPr>
        <w:spacing w:line="500" w:lineRule="exact"/>
        <w:ind w:firstLine="584" w:firstLineChars="200"/>
        <w:rPr>
          <w:rFonts w:hint="eastAsia" w:ascii="宋体" w:hAnsi="宋体" w:eastAsia="宋体" w:cs="宋体"/>
          <w:spacing w:val="6"/>
          <w:sz w:val="28"/>
          <w:szCs w:val="28"/>
        </w:rPr>
      </w:pPr>
    </w:p>
    <w:p w14:paraId="7735B6A3">
      <w:pPr>
        <w:tabs>
          <w:tab w:val="left" w:pos="4860"/>
        </w:tabs>
        <w:spacing w:line="500" w:lineRule="exact"/>
        <w:ind w:firstLine="584" w:firstLineChars="200"/>
        <w:jc w:val="center"/>
        <w:rPr>
          <w:rFonts w:hint="eastAsia" w:ascii="宋体" w:hAnsi="宋体" w:eastAsia="宋体" w:cs="宋体"/>
          <w:spacing w:val="6"/>
          <w:sz w:val="28"/>
          <w:szCs w:val="28"/>
        </w:rPr>
      </w:pPr>
      <w:r>
        <w:rPr>
          <w:rFonts w:hint="eastAsia" w:ascii="宋体" w:hAnsi="宋体" w:eastAsia="宋体" w:cs="宋体"/>
          <w:spacing w:val="6"/>
          <w:sz w:val="28"/>
          <w:szCs w:val="28"/>
        </w:rPr>
        <w:t xml:space="preserve">               单位名称（盖章）：</w:t>
      </w:r>
    </w:p>
    <w:p w14:paraId="3AA3AD4D">
      <w:pPr>
        <w:tabs>
          <w:tab w:val="left" w:pos="4860"/>
        </w:tabs>
        <w:spacing w:line="500" w:lineRule="exact"/>
        <w:ind w:firstLine="584" w:firstLineChars="200"/>
        <w:jc w:val="center"/>
        <w:rPr>
          <w:rFonts w:hint="eastAsia" w:ascii="宋体" w:hAnsi="宋体" w:eastAsia="宋体" w:cs="宋体"/>
          <w:spacing w:val="6"/>
          <w:sz w:val="28"/>
          <w:szCs w:val="28"/>
        </w:rPr>
      </w:pPr>
      <w:r>
        <w:rPr>
          <w:rFonts w:hint="eastAsia" w:ascii="宋体" w:hAnsi="宋体" w:eastAsia="宋体" w:cs="宋体"/>
          <w:spacing w:val="6"/>
          <w:sz w:val="28"/>
          <w:szCs w:val="28"/>
        </w:rPr>
        <w:t xml:space="preserve">       日  期：</w:t>
      </w:r>
    </w:p>
    <w:p w14:paraId="4D486DF2">
      <w:pPr>
        <w:widowControl/>
        <w:adjustRightInd w:val="0"/>
        <w:snapToGrid w:val="0"/>
        <w:spacing w:line="500" w:lineRule="exact"/>
        <w:rPr>
          <w:rFonts w:hint="eastAsia" w:ascii="宋体" w:hAnsi="宋体" w:eastAsia="宋体" w:cs="宋体"/>
          <w:sz w:val="28"/>
          <w:szCs w:val="28"/>
        </w:rPr>
      </w:pPr>
    </w:p>
    <w:p w14:paraId="2EB55250">
      <w:pPr>
        <w:spacing w:line="500" w:lineRule="exact"/>
        <w:jc w:val="left"/>
        <w:rPr>
          <w:rFonts w:hint="eastAsia" w:ascii="宋体" w:hAnsi="宋体" w:eastAsia="宋体" w:cs="宋体"/>
          <w:bCs/>
          <w:sz w:val="28"/>
          <w:szCs w:val="28"/>
        </w:rPr>
      </w:pPr>
    </w:p>
    <w:p w14:paraId="0136F17D">
      <w:pPr>
        <w:widowControl/>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备注：须提供证明材料（能反映出企业残疾人的占比等情况的材料及残疾人证等）。</w:t>
      </w:r>
    </w:p>
    <w:p w14:paraId="45CEA113">
      <w:pPr>
        <w:spacing w:line="500" w:lineRule="exact"/>
        <w:jc w:val="center"/>
        <w:rPr>
          <w:rFonts w:hint="eastAsia" w:ascii="宋体" w:hAnsi="宋体" w:eastAsia="宋体" w:cs="宋体"/>
          <w:b/>
          <w:bCs/>
          <w:sz w:val="28"/>
          <w:szCs w:val="28"/>
        </w:rPr>
      </w:pPr>
    </w:p>
    <w:p w14:paraId="1536C188">
      <w:pPr>
        <w:spacing w:line="500" w:lineRule="exact"/>
        <w:jc w:val="center"/>
        <w:rPr>
          <w:rFonts w:hint="eastAsia" w:ascii="宋体" w:hAnsi="宋体" w:eastAsia="宋体" w:cs="宋体"/>
          <w:b/>
          <w:bCs/>
          <w:sz w:val="28"/>
          <w:szCs w:val="28"/>
        </w:rPr>
      </w:pPr>
    </w:p>
    <w:p w14:paraId="42E2A6F8">
      <w:pPr>
        <w:widowControl/>
        <w:spacing w:line="500" w:lineRule="exact"/>
        <w:jc w:val="center"/>
        <w:rPr>
          <w:rFonts w:hint="eastAsia" w:ascii="宋体" w:hAnsi="宋体" w:eastAsia="宋体" w:cs="宋体"/>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（三）监狱企业证明文件（如有）</w:t>
      </w:r>
    </w:p>
    <w:p w14:paraId="75E13860">
      <w:pPr>
        <w:spacing w:line="500" w:lineRule="exact"/>
        <w:ind w:firstLine="560" w:firstLineChars="200"/>
        <w:jc w:val="left"/>
        <w:rPr>
          <w:rFonts w:hint="eastAsia" w:ascii="宋体" w:hAnsi="宋体" w:eastAsia="宋体" w:cs="宋体"/>
          <w:sz w:val="28"/>
          <w:szCs w:val="28"/>
        </w:rPr>
      </w:pPr>
    </w:p>
    <w:p w14:paraId="32B7C329">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F27F6F8">
      <w:pPr>
        <w:pStyle w:val="12"/>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2.证明材料加盖投标人公章。</w:t>
      </w:r>
    </w:p>
    <w:p w14:paraId="7BD3268A">
      <w:pPr>
        <w:rPr>
          <w:rFonts w:hint="eastAsia" w:ascii="宋体" w:hAnsi="宋体" w:eastAsia="宋体" w:cs="宋体"/>
          <w:sz w:val="28"/>
          <w:szCs w:val="28"/>
        </w:rPr>
      </w:pPr>
      <w:r>
        <w:rPr>
          <w:rFonts w:hint="eastAsia" w:ascii="宋体" w:hAnsi="宋体" w:eastAsia="宋体" w:cs="宋体"/>
          <w:sz w:val="28"/>
          <w:szCs w:val="28"/>
        </w:rPr>
        <w:br w:type="page"/>
      </w:r>
    </w:p>
    <w:p w14:paraId="56A9396D">
      <w:pPr>
        <w:pStyle w:val="12"/>
        <w:spacing w:line="500" w:lineRule="exact"/>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（四）关于符合本国产品标准的声明函</w:t>
      </w:r>
      <w:r>
        <w:rPr>
          <w:rFonts w:hint="eastAsia" w:ascii="宋体" w:hAnsi="宋体" w:eastAsia="宋体" w:cs="宋体"/>
          <w:b/>
          <w:sz w:val="28"/>
          <w:szCs w:val="28"/>
        </w:rPr>
        <w:t>（如有）</w:t>
      </w:r>
    </w:p>
    <w:p w14:paraId="48E9E1C9">
      <w:pPr>
        <w:pStyle w:val="22"/>
        <w:spacing w:line="500" w:lineRule="exact"/>
        <w:ind w:firstLine="0"/>
        <w:rPr>
          <w:rFonts w:hint="eastAsia" w:ascii="宋体" w:hAnsi="宋体" w:eastAsia="宋体" w:cs="宋体"/>
          <w:b/>
          <w:bCs/>
          <w:sz w:val="28"/>
          <w:szCs w:val="28"/>
        </w:rPr>
      </w:pPr>
    </w:p>
    <w:p w14:paraId="2B9613E3">
      <w:pPr>
        <w:pStyle w:val="22"/>
        <w:spacing w:line="3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本公司（单位）郑重声明，根据《国务院办公厅关于在政府采购中实施本国产品标准及相关政策的通知》（国办发〔2025〕34号）的规定，本公司（单位）提供的以下产品属于本国产品。具体情况如下：</w:t>
      </w:r>
    </w:p>
    <w:p w14:paraId="7BDF5CBA">
      <w:pPr>
        <w:pStyle w:val="22"/>
        <w:spacing w:line="340" w:lineRule="exact"/>
        <w:ind w:firstLine="560" w:firstLineChars="200"/>
        <w:jc w:val="left"/>
        <w:rPr>
          <w:rFonts w:hint="eastAsia" w:ascii="宋体" w:hAnsi="宋体" w:eastAsia="宋体" w:cs="宋体"/>
          <w:sz w:val="28"/>
          <w:szCs w:val="28"/>
        </w:rPr>
      </w:pPr>
    </w:p>
    <w:p w14:paraId="60DD9F4D">
      <w:pPr>
        <w:pStyle w:val="22"/>
        <w:spacing w:line="3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u w:val="single"/>
        </w:rPr>
        <w:t>（产品名称1）1</w:t>
      </w:r>
      <w:r>
        <w:rPr>
          <w:rFonts w:hint="eastAsia" w:ascii="宋体" w:hAnsi="宋体" w:eastAsia="宋体" w:cs="宋体"/>
          <w:sz w:val="28"/>
          <w:szCs w:val="28"/>
        </w:rPr>
        <w:t>，生产厂为</w:t>
      </w:r>
      <w:r>
        <w:rPr>
          <w:rFonts w:hint="eastAsia" w:ascii="宋体" w:hAnsi="宋体" w:eastAsia="宋体" w:cs="宋体"/>
          <w:sz w:val="28"/>
          <w:szCs w:val="28"/>
          <w:u w:val="single"/>
        </w:rPr>
        <w:t>（厂名）2</w:t>
      </w:r>
      <w:r>
        <w:rPr>
          <w:rFonts w:hint="eastAsia" w:ascii="宋体" w:hAnsi="宋体" w:eastAsia="宋体" w:cs="宋体"/>
          <w:sz w:val="28"/>
          <w:szCs w:val="28"/>
        </w:rPr>
        <w:t>，厂址为</w:t>
      </w:r>
      <w:r>
        <w:rPr>
          <w:rFonts w:hint="eastAsia" w:ascii="宋体" w:hAnsi="宋体" w:eastAsia="宋体" w:cs="宋体"/>
          <w:sz w:val="28"/>
          <w:szCs w:val="28"/>
          <w:u w:val="single"/>
        </w:rPr>
        <w:t>（生产厂址）</w:t>
      </w:r>
      <w:r>
        <w:rPr>
          <w:rFonts w:hint="eastAsia" w:ascii="宋体" w:hAnsi="宋体" w:eastAsia="宋体" w:cs="宋体"/>
          <w:sz w:val="28"/>
          <w:szCs w:val="28"/>
        </w:rPr>
        <w:t>。</w:t>
      </w:r>
      <w:r>
        <w:rPr>
          <w:rFonts w:hint="eastAsia" w:ascii="宋体" w:hAnsi="宋体" w:eastAsia="宋体" w:cs="宋体"/>
          <w:sz w:val="28"/>
          <w:szCs w:val="28"/>
          <w:u w:val="single"/>
        </w:rPr>
        <w:t>（产品名称1）</w:t>
      </w:r>
      <w:r>
        <w:rPr>
          <w:rFonts w:hint="eastAsia" w:ascii="宋体" w:hAnsi="宋体" w:eastAsia="宋体" w:cs="宋体"/>
          <w:sz w:val="28"/>
          <w:szCs w:val="28"/>
        </w:rPr>
        <w:t>的中国境内生产的组件成本占比≥</w:t>
      </w:r>
      <w:r>
        <w:rPr>
          <w:rFonts w:hint="eastAsia" w:ascii="宋体" w:hAnsi="宋体" w:eastAsia="宋体" w:cs="宋体"/>
          <w:sz w:val="28"/>
          <w:szCs w:val="28"/>
          <w:u w:val="single"/>
        </w:rPr>
        <w:t>（规定比例）3</w:t>
      </w:r>
      <w:r>
        <w:rPr>
          <w:rFonts w:hint="eastAsia" w:ascii="宋体" w:hAnsi="宋体" w:eastAsia="宋体" w:cs="宋体"/>
          <w:sz w:val="28"/>
          <w:szCs w:val="28"/>
        </w:rPr>
        <w:t>。</w:t>
      </w:r>
      <w:r>
        <w:rPr>
          <w:rFonts w:hint="eastAsia" w:ascii="宋体" w:hAnsi="宋体" w:eastAsia="宋体" w:cs="宋体"/>
          <w:sz w:val="28"/>
          <w:szCs w:val="28"/>
          <w:u w:val="single"/>
        </w:rPr>
        <w:t>（产品名称1）</w:t>
      </w:r>
      <w:r>
        <w:rPr>
          <w:rFonts w:hint="eastAsia" w:ascii="宋体" w:hAnsi="宋体" w:eastAsia="宋体" w:cs="宋体"/>
          <w:sz w:val="28"/>
          <w:szCs w:val="28"/>
        </w:rPr>
        <w:t>的</w:t>
      </w:r>
      <w:r>
        <w:rPr>
          <w:rFonts w:hint="eastAsia" w:ascii="宋体" w:hAnsi="宋体" w:eastAsia="宋体" w:cs="宋体"/>
          <w:sz w:val="28"/>
          <w:szCs w:val="28"/>
          <w:u w:val="single"/>
        </w:rPr>
        <w:t>（关键组件）4</w:t>
      </w:r>
      <w:r>
        <w:rPr>
          <w:rFonts w:hint="eastAsia" w:ascii="宋体" w:hAnsi="宋体" w:eastAsia="宋体" w:cs="宋体"/>
          <w:sz w:val="28"/>
          <w:szCs w:val="28"/>
        </w:rPr>
        <w:t>在中国境内生产。</w:t>
      </w:r>
      <w:r>
        <w:rPr>
          <w:rFonts w:hint="eastAsia" w:ascii="宋体" w:hAnsi="宋体" w:eastAsia="宋体" w:cs="宋体"/>
          <w:sz w:val="28"/>
          <w:szCs w:val="28"/>
          <w:u w:val="single"/>
        </w:rPr>
        <w:t>（产品名称1）</w:t>
      </w:r>
      <w:r>
        <w:rPr>
          <w:rFonts w:hint="eastAsia" w:ascii="宋体" w:hAnsi="宋体" w:eastAsia="宋体" w:cs="宋体"/>
          <w:sz w:val="28"/>
          <w:szCs w:val="28"/>
        </w:rPr>
        <w:t>的</w:t>
      </w:r>
      <w:r>
        <w:rPr>
          <w:rFonts w:hint="eastAsia" w:ascii="宋体" w:hAnsi="宋体" w:eastAsia="宋体" w:cs="宋体"/>
          <w:sz w:val="28"/>
          <w:szCs w:val="28"/>
          <w:u w:val="single"/>
        </w:rPr>
        <w:t>（关键工序）5</w:t>
      </w:r>
      <w:r>
        <w:rPr>
          <w:rFonts w:hint="eastAsia" w:ascii="宋体" w:hAnsi="宋体" w:eastAsia="宋体" w:cs="宋体"/>
          <w:sz w:val="28"/>
          <w:szCs w:val="28"/>
        </w:rPr>
        <w:t>在中国境内完成。</w:t>
      </w:r>
    </w:p>
    <w:p w14:paraId="4A6B8250">
      <w:pPr>
        <w:pStyle w:val="22"/>
        <w:spacing w:line="3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u w:val="single"/>
        </w:rPr>
        <w:t>（产品名称2）</w:t>
      </w:r>
      <w:r>
        <w:rPr>
          <w:rFonts w:hint="eastAsia" w:ascii="宋体" w:hAnsi="宋体" w:eastAsia="宋体" w:cs="宋体"/>
          <w:sz w:val="28"/>
          <w:szCs w:val="28"/>
        </w:rPr>
        <w:t>，生产厂为</w:t>
      </w:r>
      <w:r>
        <w:rPr>
          <w:rFonts w:hint="eastAsia" w:ascii="宋体" w:hAnsi="宋体" w:eastAsia="宋体" w:cs="宋体"/>
          <w:sz w:val="28"/>
          <w:szCs w:val="28"/>
          <w:u w:val="single"/>
        </w:rPr>
        <w:t>（厂名）</w:t>
      </w:r>
      <w:r>
        <w:rPr>
          <w:rFonts w:hint="eastAsia" w:ascii="宋体" w:hAnsi="宋体" w:eastAsia="宋体" w:cs="宋体"/>
          <w:sz w:val="28"/>
          <w:szCs w:val="28"/>
        </w:rPr>
        <w:t>，厂址为</w:t>
      </w:r>
      <w:r>
        <w:rPr>
          <w:rFonts w:hint="eastAsia" w:ascii="宋体" w:hAnsi="宋体" w:eastAsia="宋体" w:cs="宋体"/>
          <w:sz w:val="28"/>
          <w:szCs w:val="28"/>
          <w:u w:val="single"/>
        </w:rPr>
        <w:t>（生产厂址）</w:t>
      </w:r>
      <w:r>
        <w:rPr>
          <w:rFonts w:hint="eastAsia" w:ascii="宋体" w:hAnsi="宋体" w:eastAsia="宋体" w:cs="宋体"/>
          <w:sz w:val="28"/>
          <w:szCs w:val="28"/>
        </w:rPr>
        <w:t>。</w:t>
      </w:r>
      <w:r>
        <w:rPr>
          <w:rFonts w:hint="eastAsia" w:ascii="宋体" w:hAnsi="宋体" w:eastAsia="宋体" w:cs="宋体"/>
          <w:sz w:val="28"/>
          <w:szCs w:val="28"/>
          <w:u w:val="single"/>
        </w:rPr>
        <w:t>（产品名称2）</w:t>
      </w:r>
      <w:r>
        <w:rPr>
          <w:rFonts w:hint="eastAsia" w:ascii="宋体" w:hAnsi="宋体" w:eastAsia="宋体" w:cs="宋体"/>
          <w:sz w:val="28"/>
          <w:szCs w:val="28"/>
        </w:rPr>
        <w:t>的中国境内生产的组件成本占比≥</w:t>
      </w:r>
      <w:r>
        <w:rPr>
          <w:rFonts w:hint="eastAsia" w:ascii="宋体" w:hAnsi="宋体" w:eastAsia="宋体" w:cs="宋体"/>
          <w:sz w:val="28"/>
          <w:szCs w:val="28"/>
          <w:u w:val="single"/>
        </w:rPr>
        <w:t>（规定比例）</w:t>
      </w:r>
      <w:r>
        <w:rPr>
          <w:rFonts w:hint="eastAsia" w:ascii="宋体" w:hAnsi="宋体" w:eastAsia="宋体" w:cs="宋体"/>
          <w:sz w:val="28"/>
          <w:szCs w:val="28"/>
        </w:rPr>
        <w:t>。</w:t>
      </w:r>
      <w:r>
        <w:rPr>
          <w:rFonts w:hint="eastAsia" w:ascii="宋体" w:hAnsi="宋体" w:eastAsia="宋体" w:cs="宋体"/>
          <w:sz w:val="28"/>
          <w:szCs w:val="28"/>
          <w:u w:val="single"/>
        </w:rPr>
        <w:t>（产品名称2）</w:t>
      </w:r>
      <w:r>
        <w:rPr>
          <w:rFonts w:hint="eastAsia" w:ascii="宋体" w:hAnsi="宋体" w:eastAsia="宋体" w:cs="宋体"/>
          <w:sz w:val="28"/>
          <w:szCs w:val="28"/>
        </w:rPr>
        <w:t>的</w:t>
      </w:r>
      <w:r>
        <w:rPr>
          <w:rFonts w:hint="eastAsia" w:ascii="宋体" w:hAnsi="宋体" w:eastAsia="宋体" w:cs="宋体"/>
          <w:sz w:val="28"/>
          <w:szCs w:val="28"/>
          <w:u w:val="single"/>
        </w:rPr>
        <w:t>（关键组件）</w:t>
      </w:r>
      <w:r>
        <w:rPr>
          <w:rFonts w:hint="eastAsia" w:ascii="宋体" w:hAnsi="宋体" w:eastAsia="宋体" w:cs="宋体"/>
          <w:sz w:val="28"/>
          <w:szCs w:val="28"/>
        </w:rPr>
        <w:t>在中国境内生产。</w:t>
      </w:r>
      <w:r>
        <w:rPr>
          <w:rFonts w:hint="eastAsia" w:ascii="宋体" w:hAnsi="宋体" w:eastAsia="宋体" w:cs="宋体"/>
          <w:sz w:val="28"/>
          <w:szCs w:val="28"/>
          <w:u w:val="single"/>
        </w:rPr>
        <w:t>（产品名称2）</w:t>
      </w:r>
      <w:r>
        <w:rPr>
          <w:rFonts w:hint="eastAsia" w:ascii="宋体" w:hAnsi="宋体" w:eastAsia="宋体" w:cs="宋体"/>
          <w:sz w:val="28"/>
          <w:szCs w:val="28"/>
        </w:rPr>
        <w:t>的</w:t>
      </w:r>
      <w:r>
        <w:rPr>
          <w:rFonts w:hint="eastAsia" w:ascii="宋体" w:hAnsi="宋体" w:eastAsia="宋体" w:cs="宋体"/>
          <w:sz w:val="28"/>
          <w:szCs w:val="28"/>
          <w:u w:val="single"/>
        </w:rPr>
        <w:t>（关键工序）</w:t>
      </w:r>
      <w:r>
        <w:rPr>
          <w:rFonts w:hint="eastAsia" w:ascii="宋体" w:hAnsi="宋体" w:eastAsia="宋体" w:cs="宋体"/>
          <w:sz w:val="28"/>
          <w:szCs w:val="28"/>
        </w:rPr>
        <w:t>在中国境内完成。</w:t>
      </w:r>
    </w:p>
    <w:p w14:paraId="41193524">
      <w:pPr>
        <w:pStyle w:val="22"/>
        <w:spacing w:line="340" w:lineRule="exact"/>
        <w:ind w:firstLine="560" w:firstLineChars="200"/>
        <w:jc w:val="left"/>
        <w:rPr>
          <w:rFonts w:hint="eastAsia" w:ascii="宋体" w:hAnsi="宋体" w:eastAsia="宋体" w:cs="宋体"/>
          <w:sz w:val="28"/>
          <w:szCs w:val="28"/>
        </w:rPr>
      </w:pPr>
    </w:p>
    <w:p w14:paraId="7B00FEB3">
      <w:pPr>
        <w:pStyle w:val="22"/>
        <w:spacing w:line="3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p>
    <w:p w14:paraId="52E925CD">
      <w:pPr>
        <w:pStyle w:val="22"/>
        <w:spacing w:line="340" w:lineRule="exact"/>
        <w:ind w:firstLine="560" w:firstLineChars="200"/>
        <w:jc w:val="left"/>
        <w:rPr>
          <w:rFonts w:hint="eastAsia" w:ascii="宋体" w:hAnsi="宋体" w:eastAsia="宋体" w:cs="宋体"/>
          <w:sz w:val="28"/>
          <w:szCs w:val="28"/>
        </w:rPr>
      </w:pPr>
    </w:p>
    <w:p w14:paraId="0FE43943">
      <w:pPr>
        <w:pStyle w:val="22"/>
        <w:spacing w:line="3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本公司（单位）对上述声明内容的真实性负责。如有虚假，愿承担相应法律责任。</w:t>
      </w:r>
    </w:p>
    <w:p w14:paraId="05196EE4">
      <w:pPr>
        <w:pStyle w:val="22"/>
        <w:spacing w:line="340" w:lineRule="exact"/>
        <w:ind w:firstLine="560" w:firstLineChars="200"/>
        <w:jc w:val="left"/>
        <w:rPr>
          <w:rFonts w:hint="eastAsia" w:ascii="宋体" w:hAnsi="宋体" w:eastAsia="宋体" w:cs="宋体"/>
          <w:sz w:val="28"/>
          <w:szCs w:val="28"/>
        </w:rPr>
      </w:pPr>
    </w:p>
    <w:p w14:paraId="7B3DD5A2">
      <w:pPr>
        <w:pStyle w:val="22"/>
        <w:spacing w:line="3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w:t>
      </w:r>
    </w:p>
    <w:p w14:paraId="775BE5AD">
      <w:pPr>
        <w:pStyle w:val="22"/>
        <w:spacing w:line="340" w:lineRule="exact"/>
        <w:ind w:firstLine="560" w:firstLineChars="200"/>
        <w:jc w:val="left"/>
        <w:rPr>
          <w:rFonts w:hint="eastAsia" w:ascii="宋体" w:hAnsi="宋体" w:eastAsia="宋体" w:cs="宋体"/>
          <w:sz w:val="28"/>
          <w:szCs w:val="28"/>
        </w:rPr>
      </w:pPr>
    </w:p>
    <w:p w14:paraId="1A6663C1">
      <w:pPr>
        <w:pStyle w:val="22"/>
        <w:spacing w:line="3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公司（单位）名称（盖章）：　        </w:t>
      </w:r>
    </w:p>
    <w:p w14:paraId="00ACD2A2">
      <w:pPr>
        <w:pStyle w:val="22"/>
        <w:spacing w:line="340" w:lineRule="exact"/>
        <w:ind w:firstLine="560" w:firstLineChars="200"/>
        <w:jc w:val="left"/>
        <w:rPr>
          <w:rFonts w:hint="eastAsia" w:ascii="宋体" w:hAnsi="宋体" w:eastAsia="宋体" w:cs="宋体"/>
          <w:sz w:val="28"/>
          <w:szCs w:val="28"/>
        </w:rPr>
      </w:pPr>
    </w:p>
    <w:p w14:paraId="14BD23B9">
      <w:pPr>
        <w:pStyle w:val="22"/>
        <w:spacing w:line="3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日期：　     年　  月　  日         </w:t>
      </w:r>
    </w:p>
    <w:p w14:paraId="59C0B10F">
      <w:pPr>
        <w:pStyle w:val="22"/>
        <w:spacing w:line="340" w:lineRule="exact"/>
        <w:ind w:firstLine="560" w:firstLineChars="200"/>
        <w:jc w:val="left"/>
        <w:rPr>
          <w:rFonts w:hint="eastAsia" w:ascii="宋体" w:hAnsi="宋体" w:eastAsia="宋体" w:cs="宋体"/>
          <w:sz w:val="28"/>
          <w:szCs w:val="28"/>
        </w:rPr>
      </w:pPr>
    </w:p>
    <w:p w14:paraId="5B34C35E">
      <w:pPr>
        <w:pStyle w:val="22"/>
        <w:spacing w:line="3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__________________</w:t>
      </w:r>
    </w:p>
    <w:p w14:paraId="43BBB8CD">
      <w:pPr>
        <w:pStyle w:val="22"/>
        <w:spacing w:line="340" w:lineRule="exact"/>
        <w:ind w:firstLine="560" w:firstLineChars="200"/>
        <w:jc w:val="left"/>
        <w:rPr>
          <w:rFonts w:hint="eastAsia" w:ascii="宋体" w:hAnsi="宋体" w:eastAsia="宋体" w:cs="宋体"/>
          <w:sz w:val="28"/>
          <w:szCs w:val="28"/>
        </w:rPr>
      </w:pPr>
    </w:p>
    <w:p w14:paraId="028D1B70">
      <w:pPr>
        <w:pStyle w:val="22"/>
        <w:spacing w:line="2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1.产品如有型号，请在“产品名称”栏一并填写。</w:t>
      </w:r>
    </w:p>
    <w:p w14:paraId="4DA51B06">
      <w:pPr>
        <w:pStyle w:val="22"/>
        <w:spacing w:line="2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2.生产厂名与厂址应与生产厂营业执照载明的相关信息保持一致。</w:t>
      </w:r>
    </w:p>
    <w:p w14:paraId="7EB04C93">
      <w:pPr>
        <w:pStyle w:val="22"/>
        <w:spacing w:line="2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3.该产品的中国境内生产的组件成本占比相关要求实施前，“规定比例”栏可不填，下同。</w:t>
      </w:r>
    </w:p>
    <w:p w14:paraId="1D26CAA1">
      <w:pPr>
        <w:pStyle w:val="22"/>
        <w:spacing w:line="2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4.该产品的关键组件要求实施前，“关键组件”栏可不填，下同。</w:t>
      </w:r>
    </w:p>
    <w:p w14:paraId="5832D946">
      <w:pPr>
        <w:pStyle w:val="22"/>
        <w:spacing w:line="2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5.该产品的关键工序要求实施前，“关键工序”栏可不填，下同。</w:t>
      </w:r>
    </w:p>
    <w:p w14:paraId="2F8857A5">
      <w:pPr>
        <w:spacing w:line="500" w:lineRule="exact"/>
        <w:jc w:val="center"/>
        <w:outlineLvl w:val="1"/>
        <w:rPr>
          <w:rFonts w:hint="eastAsia" w:ascii="宋体" w:hAnsi="宋体" w:eastAsia="宋体" w:cs="宋体"/>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rPr>
        <w:t>九、投标人认为需要提供的其他资料</w:t>
      </w:r>
    </w:p>
    <w:p w14:paraId="7E4CBA2A">
      <w:pPr>
        <w:pStyle w:val="12"/>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（一）投标保证金缴纳凭证</w:t>
      </w:r>
    </w:p>
    <w:p w14:paraId="0B260936">
      <w:pPr>
        <w:pStyle w:val="12"/>
        <w:spacing w:line="500" w:lineRule="exact"/>
        <w:ind w:firstLine="560" w:firstLineChars="200"/>
        <w:jc w:val="center"/>
        <w:rPr>
          <w:rFonts w:hint="eastAsia" w:ascii="宋体" w:hAnsi="宋体" w:eastAsia="宋体" w:cs="宋体"/>
          <w:sz w:val="28"/>
          <w:szCs w:val="28"/>
        </w:rPr>
      </w:pP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2C910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3" w:hRule="atLeast"/>
          <w:jc w:val="center"/>
        </w:trPr>
        <w:tc>
          <w:tcPr>
            <w:tcW w:w="8522" w:type="dxa"/>
            <w:tcBorders>
              <w:top w:val="single" w:color="auto" w:sz="4" w:space="0"/>
              <w:bottom w:val="single" w:color="auto" w:sz="4" w:space="0"/>
            </w:tcBorders>
            <w:vAlign w:val="center"/>
          </w:tcPr>
          <w:p w14:paraId="0C199232">
            <w:pPr>
              <w:pStyle w:val="12"/>
              <w:keepNext w:val="0"/>
              <w:keepLines w:val="0"/>
              <w:suppressLineNumbers w:val="0"/>
              <w:spacing w:before="0" w:beforeAutospacing="0" w:after="0" w:afterAutospacing="0" w:line="500" w:lineRule="exact"/>
              <w:ind w:left="0" w:right="0" w:firstLine="560" w:firstLineChars="200"/>
              <w:jc w:val="center"/>
              <w:rPr>
                <w:rFonts w:hint="eastAsia" w:ascii="宋体" w:hAnsi="宋体" w:eastAsia="宋体" w:cs="宋体"/>
                <w:sz w:val="28"/>
                <w:szCs w:val="28"/>
              </w:rPr>
            </w:pPr>
            <w:r>
              <w:rPr>
                <w:rFonts w:hint="eastAsia" w:ascii="宋体" w:hAnsi="宋体" w:eastAsia="宋体" w:cs="宋体"/>
                <w:sz w:val="28"/>
                <w:szCs w:val="28"/>
              </w:rPr>
              <w:t>投标保证金缴纳凭证</w:t>
            </w:r>
          </w:p>
        </w:tc>
      </w:tr>
    </w:tbl>
    <w:p w14:paraId="049CCDC5">
      <w:pPr>
        <w:pStyle w:val="82"/>
        <w:spacing w:after="0" w:line="500" w:lineRule="exact"/>
        <w:ind w:firstLine="0"/>
        <w:jc w:val="both"/>
        <w:rPr>
          <w:rStyle w:val="83"/>
          <w:rFonts w:hint="eastAsia" w:ascii="宋体" w:hAnsi="宋体" w:eastAsia="宋体" w:cs="宋体"/>
          <w:sz w:val="28"/>
          <w:szCs w:val="28"/>
        </w:rPr>
      </w:pPr>
    </w:p>
    <w:p w14:paraId="790C41DF">
      <w:pPr>
        <w:pStyle w:val="82"/>
        <w:spacing w:after="0" w:line="500" w:lineRule="exact"/>
        <w:ind w:firstLine="0"/>
        <w:jc w:val="both"/>
        <w:rPr>
          <w:rStyle w:val="83"/>
          <w:rFonts w:hint="eastAsia" w:ascii="宋体" w:hAnsi="宋体" w:eastAsia="宋体" w:cs="宋体"/>
          <w:sz w:val="28"/>
          <w:szCs w:val="28"/>
        </w:rPr>
      </w:pPr>
      <w:bookmarkStart w:id="143" w:name="_Toc17537"/>
    </w:p>
    <w:p w14:paraId="21777EAB">
      <w:pPr>
        <w:pStyle w:val="82"/>
        <w:numPr>
          <w:ilvl w:val="0"/>
          <w:numId w:val="9"/>
        </w:numPr>
        <w:spacing w:after="0" w:line="500" w:lineRule="exact"/>
        <w:jc w:val="center"/>
        <w:rPr>
          <w:rStyle w:val="83"/>
          <w:rFonts w:hint="eastAsia" w:ascii="宋体" w:hAnsi="宋体" w:eastAsia="宋体" w:cs="宋体"/>
          <w:sz w:val="28"/>
          <w:szCs w:val="28"/>
        </w:rPr>
      </w:pPr>
      <w:bookmarkStart w:id="144" w:name="_Toc1660043680"/>
      <w:bookmarkStart w:id="145" w:name="_Toc24620"/>
      <w:bookmarkStart w:id="146" w:name="_Toc9103"/>
      <w:bookmarkStart w:id="147" w:name="_Toc8131"/>
      <w:bookmarkStart w:id="148" w:name="_Toc30263"/>
      <w:bookmarkStart w:id="149" w:name="_Toc3709"/>
      <w:bookmarkStart w:id="150" w:name="_Toc13876"/>
      <w:bookmarkStart w:id="151" w:name="_Toc22006"/>
      <w:bookmarkStart w:id="152" w:name="_Toc1626004741"/>
      <w:bookmarkStart w:id="153" w:name="_Toc8290"/>
      <w:bookmarkStart w:id="154" w:name="_Toc12420"/>
      <w:bookmarkStart w:id="155" w:name="_Toc23524"/>
      <w:bookmarkStart w:id="156" w:name="_Toc7539"/>
      <w:bookmarkStart w:id="157" w:name="_Toc28988"/>
      <w:r>
        <w:rPr>
          <w:rStyle w:val="83"/>
          <w:rFonts w:hint="eastAsia" w:ascii="宋体" w:hAnsi="宋体" w:eastAsia="宋体" w:cs="宋体"/>
          <w:sz w:val="28"/>
          <w:szCs w:val="28"/>
        </w:rPr>
        <w:t>其他</w:t>
      </w:r>
    </w:p>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7A6BC11A">
      <w:pPr>
        <w:spacing w:line="500" w:lineRule="exact"/>
        <w:ind w:firstLine="560" w:firstLineChars="200"/>
        <w:rPr>
          <w:rFonts w:hint="eastAsia" w:ascii="宋体" w:hAnsi="宋体" w:eastAsia="宋体" w:cs="宋体"/>
          <w:sz w:val="28"/>
          <w:szCs w:val="28"/>
        </w:rPr>
      </w:pPr>
    </w:p>
    <w:p w14:paraId="1A194CF3">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投标人应当仔细核对招标文件中有关</w:t>
      </w:r>
      <w:r>
        <w:rPr>
          <w:rFonts w:hint="eastAsia" w:ascii="宋体" w:hAnsi="宋体" w:eastAsia="宋体" w:cs="宋体"/>
          <w:b/>
          <w:bCs/>
          <w:sz w:val="28"/>
          <w:szCs w:val="28"/>
        </w:rPr>
        <w:t>“投标无效”</w:t>
      </w:r>
      <w:r>
        <w:rPr>
          <w:rFonts w:hint="eastAsia" w:ascii="宋体" w:hAnsi="宋体" w:eastAsia="宋体" w:cs="宋体"/>
          <w:sz w:val="28"/>
          <w:szCs w:val="28"/>
        </w:rPr>
        <w:t>和评标标准等条款内容，提供投标人认为应当附加的其它内容，以充分证明其投标响应符合招标文件要求，并为评标提供充分依据。</w:t>
      </w:r>
    </w:p>
    <w:p w14:paraId="54BA86F1">
      <w:pPr>
        <w:pStyle w:val="82"/>
        <w:spacing w:after="0" w:line="500" w:lineRule="exact"/>
        <w:jc w:val="center"/>
        <w:outlineLvl w:val="0"/>
        <w:rPr>
          <w:rStyle w:val="83"/>
          <w:rFonts w:hint="eastAsia" w:ascii="宋体" w:hAnsi="宋体" w:eastAsia="宋体" w:cs="宋体"/>
          <w:sz w:val="28"/>
          <w:szCs w:val="28"/>
        </w:rPr>
      </w:pPr>
      <w:r>
        <w:rPr>
          <w:rStyle w:val="83"/>
          <w:rFonts w:hint="eastAsia" w:ascii="宋体" w:hAnsi="宋体" w:eastAsia="宋体" w:cs="宋体"/>
          <w:sz w:val="28"/>
          <w:szCs w:val="28"/>
        </w:rPr>
        <w:br w:type="page"/>
      </w:r>
      <w:bookmarkStart w:id="158" w:name="_Toc246587936"/>
      <w:r>
        <w:rPr>
          <w:rFonts w:hint="eastAsia" w:ascii="宋体" w:hAnsi="宋体" w:eastAsia="宋体" w:cs="宋体"/>
          <w:b/>
          <w:bCs/>
          <w:sz w:val="28"/>
          <w:szCs w:val="28"/>
          <w:lang w:eastAsia="zh-CN"/>
        </w:rPr>
        <w:t xml:space="preserve">第四章  </w:t>
      </w:r>
      <w:bookmarkEnd w:id="158"/>
      <w:bookmarkStart w:id="159" w:name="_Toc303744160"/>
      <w:bookmarkStart w:id="160" w:name="_Toc17884_WPSOffice_Level1"/>
      <w:r>
        <w:rPr>
          <w:rFonts w:hint="eastAsia" w:ascii="宋体" w:hAnsi="宋体" w:eastAsia="宋体" w:cs="宋体"/>
          <w:b/>
          <w:bCs/>
          <w:sz w:val="28"/>
          <w:szCs w:val="28"/>
          <w:lang w:eastAsia="zh-CN"/>
        </w:rPr>
        <w:t>采购需求</w:t>
      </w:r>
    </w:p>
    <w:p w14:paraId="3918F0BE">
      <w:pPr>
        <w:spacing w:line="500" w:lineRule="exact"/>
        <w:jc w:val="center"/>
        <w:outlineLvl w:val="1"/>
        <w:rPr>
          <w:rFonts w:hint="eastAsia" w:ascii="宋体" w:hAnsi="宋体" w:eastAsia="宋体" w:cs="宋体"/>
          <w:b/>
          <w:bCs/>
          <w:sz w:val="28"/>
          <w:szCs w:val="28"/>
        </w:rPr>
      </w:pPr>
      <w:bookmarkStart w:id="161" w:name="_Toc32168"/>
      <w:bookmarkStart w:id="162" w:name="_Toc28972"/>
      <w:bookmarkStart w:id="163" w:name="_Toc30900"/>
      <w:bookmarkStart w:id="164" w:name="_Toc22727"/>
      <w:bookmarkStart w:id="165" w:name="_Toc13115"/>
      <w:bookmarkStart w:id="166" w:name="_Toc1907485289"/>
      <w:bookmarkStart w:id="167" w:name="_Toc2416"/>
      <w:bookmarkStart w:id="168" w:name="_Toc28263"/>
      <w:r>
        <w:rPr>
          <w:rFonts w:hint="eastAsia" w:ascii="宋体" w:hAnsi="宋体" w:eastAsia="宋体" w:cs="宋体"/>
          <w:b/>
          <w:bCs/>
          <w:sz w:val="28"/>
          <w:szCs w:val="28"/>
        </w:rPr>
        <w:t>一、功能需求</w:t>
      </w:r>
    </w:p>
    <w:p w14:paraId="58E19713">
      <w:pPr>
        <w:widowControl/>
        <w:kinsoku w:val="0"/>
        <w:autoSpaceDE w:val="0"/>
        <w:autoSpaceDN w:val="0"/>
        <w:adjustRightInd w:val="0"/>
        <w:snapToGrid w:val="0"/>
        <w:spacing w:line="5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具体更新仪器需求：</w:t>
      </w:r>
    </w:p>
    <w:p w14:paraId="5CD97C15">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1、双通道快速/保温电石热处理收集系统</w:t>
      </w:r>
    </w:p>
    <w:p w14:paraId="19DF846D">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59FA51B2">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高真空电弧熔炼及吸铸系统由钨极磁控电弧炉演变而来的，该设备具有钨极磁控电弧炉的全部特点和功能，优于电弧炉的功能是可以制备块体金属非晶。该设备产生电弧的电极是铈钨棒，该设备最高熔炼温度3000度，三相 380V，5个工位，每个工位均为半径为25mm的半球锅，其中一个是吸铸工位，可安装吸铸模具直径为10mm的钨电极（电弧枪可通水冷却），非自耗式钨电弧针电极与样品的角度和距离可调节（最大调节距离为80mm），而且紧固在水冷铜电极上，在熔炼中钨电极是不会消耗的，因此又称为非自耗电极电弧炉，通过非标电感可以控制电弧及合金熔池，故又叫做钨极磁控电弧炉。该设备熔炼的合金置于水冷铜坩埚中，炉内的气体是高纯惰性气体，因此熔炼过程中的污染极小，是实验室熔炼合金，尤其是高熔点和活泼性金属合金的理想设备。</w:t>
      </w:r>
    </w:p>
    <w:p w14:paraId="03A3EE3D">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2、</w:t>
      </w:r>
      <w:bookmarkStart w:id="169" w:name="_Hlk187422216"/>
      <w:r>
        <w:rPr>
          <w:rFonts w:hint="eastAsia" w:ascii="宋体" w:hAnsi="宋体" w:eastAsia="宋体" w:cs="宋体"/>
          <w:b/>
          <w:bCs/>
          <w:sz w:val="28"/>
          <w:szCs w:val="28"/>
        </w:rPr>
        <w:t>气相色谱仪</w:t>
      </w:r>
    </w:p>
    <w:bookmarkEnd w:id="169"/>
    <w:p w14:paraId="4DA1DA57">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5A647C22">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环境温度变化1℃，柱温箱温度变化小于0.01℃；温控精度：±0.1℃ 温度稳定性：±0.1℃；控温范围：室温以上+5℃至400℃；程序升温阶数：20阶；升温速度：0-50˚C/ min；稳定时间：≤30min；多种进样口可配：填充柱进样口、分流/不分流毛细管进样口；压力设定范围氮、氢、空：0.25MPa；氢火焰离子化检测器（FID）。</w:t>
      </w:r>
    </w:p>
    <w:p w14:paraId="1205B036">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3、高温荷载结构体素分析显微镜</w:t>
      </w:r>
    </w:p>
    <w:p w14:paraId="7C59BE34">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0F2F2C29">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射线源优势：采用闭管射线源，无需耗材，维护简单，降低了使用成本和维护工作量。高分辨率成像：像素细节分辨能力可达1μm，空间分辨率最高可达0.5μm，能够清晰地呈现样品的微观结构和细节，适用于对分辨率要求较高的检测需求，如土壤、岩石、复合材料等内部颗粒物、三维孔隙结构的观察与分析。大尺寸样品腔室：腔体尺寸较大，可容纳大尺寸的样品，并且具备拓展原位加载装置的能力，能够满足不同尺寸和形状样品的检测需求，还可以选配物镜耦合探测器实现大工作距离下的高分辨成像。多种扫描模式：具备螺旋、偏置、有限角等多种扫描模式，可根据不同的样品和检测要求选择合适的扫描方式，进一步扩展了成像区域，提高了检测的灵活性和准确性。</w:t>
      </w:r>
    </w:p>
    <w:p w14:paraId="25B68CD3">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4、高温红外烟气分析仪</w:t>
      </w:r>
    </w:p>
    <w:p w14:paraId="58225CE3">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功能需求：</w:t>
      </w:r>
    </w:p>
    <w:p w14:paraId="0AE4CD4F">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能够实现污染源大气污染物的快速，无损，原态的高精度测量。整个分析全程高温取样、高温过滤、高温快速分析，无需气体干燥、稀释、冷却等前处理，直接分析样品，尽可能的减少过程损失，确保测量结果真实可靠。可对：O</w:t>
      </w:r>
      <w:r>
        <w:rPr>
          <w:rFonts w:hint="eastAsia" w:ascii="宋体" w:hAnsi="宋体" w:eastAsia="宋体" w:cs="宋体"/>
          <w:sz w:val="28"/>
          <w:szCs w:val="28"/>
          <w:vertAlign w:val="subscript"/>
        </w:rPr>
        <w:t>2</w:t>
      </w:r>
      <w:r>
        <w:rPr>
          <w:rFonts w:hint="eastAsia" w:ascii="宋体" w:hAnsi="宋体" w:eastAsia="宋体" w:cs="宋体"/>
          <w:sz w:val="28"/>
          <w:szCs w:val="28"/>
        </w:rPr>
        <w:t>、CO、CO</w:t>
      </w:r>
      <w:r>
        <w:rPr>
          <w:rFonts w:hint="eastAsia" w:ascii="宋体" w:hAnsi="宋体" w:eastAsia="宋体" w:cs="宋体"/>
          <w:sz w:val="28"/>
          <w:szCs w:val="28"/>
          <w:vertAlign w:val="subscript"/>
        </w:rPr>
        <w:t>2</w:t>
      </w:r>
      <w:r>
        <w:rPr>
          <w:rFonts w:hint="eastAsia" w:ascii="宋体" w:hAnsi="宋体" w:eastAsia="宋体" w:cs="宋体"/>
          <w:sz w:val="28"/>
          <w:szCs w:val="28"/>
        </w:rPr>
        <w:t>、NO、NO</w:t>
      </w:r>
      <w:r>
        <w:rPr>
          <w:rFonts w:hint="eastAsia" w:ascii="宋体" w:hAnsi="宋体" w:eastAsia="宋体" w:cs="宋体"/>
          <w:sz w:val="28"/>
          <w:szCs w:val="28"/>
          <w:vertAlign w:val="subscript"/>
        </w:rPr>
        <w:t>2</w:t>
      </w:r>
      <w:r>
        <w:rPr>
          <w:rFonts w:hint="eastAsia" w:ascii="宋体" w:hAnsi="宋体" w:eastAsia="宋体" w:cs="宋体"/>
          <w:sz w:val="28"/>
          <w:szCs w:val="28"/>
        </w:rPr>
        <w:t>、N</w:t>
      </w:r>
      <w:r>
        <w:rPr>
          <w:rFonts w:hint="eastAsia" w:ascii="宋体" w:hAnsi="宋体" w:eastAsia="宋体" w:cs="宋体"/>
          <w:sz w:val="28"/>
          <w:szCs w:val="28"/>
          <w:vertAlign w:val="subscript"/>
        </w:rPr>
        <w:t>2</w:t>
      </w:r>
      <w:r>
        <w:rPr>
          <w:rFonts w:hint="eastAsia" w:ascii="宋体" w:hAnsi="宋体" w:eastAsia="宋体" w:cs="宋体"/>
          <w:sz w:val="28"/>
          <w:szCs w:val="28"/>
        </w:rPr>
        <w:t>O、SO</w:t>
      </w:r>
      <w:r>
        <w:rPr>
          <w:rFonts w:hint="eastAsia" w:ascii="宋体" w:hAnsi="宋体" w:eastAsia="宋体" w:cs="宋体"/>
          <w:sz w:val="28"/>
          <w:szCs w:val="28"/>
          <w:vertAlign w:val="subscript"/>
        </w:rPr>
        <w:t>2</w:t>
      </w:r>
      <w:r>
        <w:rPr>
          <w:rFonts w:hint="eastAsia" w:ascii="宋体" w:hAnsi="宋体" w:eastAsia="宋体" w:cs="宋体"/>
          <w:sz w:val="28"/>
          <w:szCs w:val="28"/>
        </w:rPr>
        <w:t>、CH</w:t>
      </w:r>
      <w:r>
        <w:rPr>
          <w:rFonts w:hint="eastAsia" w:ascii="宋体" w:hAnsi="宋体" w:eastAsia="宋体" w:cs="宋体"/>
          <w:sz w:val="28"/>
          <w:szCs w:val="28"/>
          <w:vertAlign w:val="subscript"/>
        </w:rPr>
        <w:t>4</w:t>
      </w:r>
      <w:r>
        <w:rPr>
          <w:rFonts w:hint="eastAsia" w:ascii="宋体" w:hAnsi="宋体" w:eastAsia="宋体" w:cs="宋体"/>
          <w:sz w:val="28"/>
          <w:szCs w:val="28"/>
        </w:rPr>
        <w:t>、NH</w:t>
      </w:r>
      <w:r>
        <w:rPr>
          <w:rFonts w:hint="eastAsia" w:ascii="宋体" w:hAnsi="宋体" w:eastAsia="宋体" w:cs="宋体"/>
          <w:sz w:val="28"/>
          <w:szCs w:val="28"/>
          <w:vertAlign w:val="subscript"/>
        </w:rPr>
        <w:t>3</w:t>
      </w:r>
      <w:r>
        <w:rPr>
          <w:rFonts w:hint="eastAsia" w:ascii="宋体" w:hAnsi="宋体" w:eastAsia="宋体" w:cs="宋体"/>
          <w:sz w:val="28"/>
          <w:szCs w:val="28"/>
        </w:rPr>
        <w:t>、H</w:t>
      </w:r>
      <w:r>
        <w:rPr>
          <w:rFonts w:hint="eastAsia" w:ascii="宋体" w:hAnsi="宋体" w:eastAsia="宋体" w:cs="宋体"/>
          <w:sz w:val="28"/>
          <w:szCs w:val="28"/>
          <w:vertAlign w:val="subscript"/>
        </w:rPr>
        <w:t>2</w:t>
      </w:r>
      <w:r>
        <w:rPr>
          <w:rFonts w:hint="eastAsia" w:ascii="宋体" w:hAnsi="宋体" w:eastAsia="宋体" w:cs="宋体"/>
          <w:sz w:val="28"/>
          <w:szCs w:val="28"/>
        </w:rPr>
        <w:t>O、HCl、HF、CH</w:t>
      </w:r>
      <w:r>
        <w:rPr>
          <w:rFonts w:hint="eastAsia" w:ascii="宋体" w:hAnsi="宋体" w:eastAsia="宋体" w:cs="宋体"/>
          <w:sz w:val="28"/>
          <w:szCs w:val="28"/>
          <w:vertAlign w:val="subscript"/>
        </w:rPr>
        <w:t>2</w:t>
      </w:r>
      <w:r>
        <w:rPr>
          <w:rFonts w:hint="eastAsia" w:ascii="宋体" w:hAnsi="宋体" w:eastAsia="宋体" w:cs="宋体"/>
          <w:sz w:val="28"/>
          <w:szCs w:val="28"/>
        </w:rPr>
        <w:t>O、C</w:t>
      </w:r>
      <w:r>
        <w:rPr>
          <w:rFonts w:hint="eastAsia" w:ascii="宋体" w:hAnsi="宋体" w:eastAsia="宋体" w:cs="宋体"/>
          <w:sz w:val="28"/>
          <w:szCs w:val="28"/>
          <w:vertAlign w:val="subscript"/>
        </w:rPr>
        <w:t>3</w:t>
      </w:r>
      <w:r>
        <w:rPr>
          <w:rFonts w:hint="eastAsia" w:ascii="宋体" w:hAnsi="宋体" w:eastAsia="宋体" w:cs="宋体"/>
          <w:sz w:val="28"/>
          <w:szCs w:val="28"/>
        </w:rPr>
        <w:t>H</w:t>
      </w:r>
      <w:r>
        <w:rPr>
          <w:rFonts w:hint="eastAsia" w:ascii="宋体" w:hAnsi="宋体" w:eastAsia="宋体" w:cs="宋体"/>
          <w:sz w:val="28"/>
          <w:szCs w:val="28"/>
          <w:vertAlign w:val="subscript"/>
        </w:rPr>
        <w:t>8</w:t>
      </w:r>
      <w:r>
        <w:rPr>
          <w:rFonts w:hint="eastAsia" w:ascii="宋体" w:hAnsi="宋体" w:eastAsia="宋体" w:cs="宋体"/>
          <w:sz w:val="28"/>
          <w:szCs w:val="28"/>
        </w:rPr>
        <w:t>、HCN、Cl</w:t>
      </w:r>
      <w:r>
        <w:rPr>
          <w:rFonts w:hint="eastAsia" w:ascii="宋体" w:hAnsi="宋体" w:eastAsia="宋体" w:cs="宋体"/>
          <w:sz w:val="28"/>
          <w:szCs w:val="28"/>
          <w:vertAlign w:val="subscript"/>
        </w:rPr>
        <w:t>2</w:t>
      </w:r>
      <w:r>
        <w:rPr>
          <w:rFonts w:hint="eastAsia" w:ascii="宋体" w:hAnsi="宋体" w:eastAsia="宋体" w:cs="宋体"/>
          <w:sz w:val="28"/>
          <w:szCs w:val="28"/>
        </w:rPr>
        <w:t>等气体同时精准定量定性分析检测，每组测量气体采用多段量程设计，并且量程可根据被测样品浓度自动切换测量。</w:t>
      </w:r>
    </w:p>
    <w:p w14:paraId="4F803F31">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5、原位红外漫反射高温高压表征系统</w:t>
      </w:r>
    </w:p>
    <w:p w14:paraId="3526E85C">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6F187289">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原位红外光谱仪是利用傅里叶变换红外光谱仪对催化剂或物料在多环境下的性能进行原位评价的设备，对催化剂/物料多种条件下性能进行原位评价的仪器。可方便地跟踪鉴定反应中间态和产物，从而为催化反应体系反应机理的考察给出直接的证据。</w:t>
      </w:r>
    </w:p>
    <w:p w14:paraId="7C6E8EC2">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原位高温高压漫反射反应系统主要用于气固相催化的表征和催化反应的研究，如催化剂表面羟基的鉴别、催化剂表面物种吸附态研究、化剂表面酸碱性的表征。该反应系统可应用于真空到高压环境，温度高达700℃(真空下)，是研究多相催化、气固相互作用、光化学和氧化机理等方向的理想选择。</w:t>
      </w:r>
    </w:p>
    <w:p w14:paraId="4F3C5BA3">
      <w:pPr>
        <w:pStyle w:val="6"/>
        <w:spacing w:line="500" w:lineRule="exact"/>
        <w:ind w:firstLine="560"/>
        <w:rPr>
          <w:rFonts w:hint="eastAsia" w:ascii="宋体" w:hAnsi="宋体" w:eastAsia="宋体" w:cs="宋体"/>
          <w:b/>
          <w:bCs/>
          <w:sz w:val="28"/>
          <w:szCs w:val="28"/>
        </w:rPr>
      </w:pPr>
      <w:r>
        <w:rPr>
          <w:rFonts w:hint="eastAsia" w:ascii="宋体" w:hAnsi="宋体" w:eastAsia="宋体" w:cs="宋体"/>
          <w:sz w:val="28"/>
          <w:szCs w:val="28"/>
        </w:rPr>
        <w:t>6</w:t>
      </w:r>
      <w:r>
        <w:rPr>
          <w:rFonts w:hint="eastAsia" w:ascii="宋体" w:hAnsi="宋体" w:eastAsia="宋体" w:cs="宋体"/>
          <w:b/>
          <w:bCs/>
          <w:sz w:val="28"/>
          <w:szCs w:val="28"/>
        </w:rPr>
        <w:t>、纳米分辨可视化原位力-热耦合测试系统</w:t>
      </w:r>
    </w:p>
    <w:p w14:paraId="69268C1F">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08F1EA91">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纳米分辨可视化原位力-热耦合测试系统有着关键的功能需求。它需实现多模式力学加载与宽量程高精度测量，涵盖宽温域且高精度控制温度。具备纳米级高分辨率成像及多种成像模式，可原位实时监测材料变化，精确施加力-热耦合作用，还能扩展至多场耦合。同时，要适配多样品，且有强大的数据处理分析能力，以此助力深入探究材料性能与微观结构变化。</w:t>
      </w:r>
    </w:p>
    <w:p w14:paraId="553317F3">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7、</w:t>
      </w:r>
      <w:bookmarkStart w:id="170" w:name="_Hlk187422059"/>
      <w:r>
        <w:rPr>
          <w:rFonts w:hint="eastAsia" w:ascii="宋体" w:hAnsi="宋体" w:eastAsia="宋体" w:cs="宋体"/>
          <w:b/>
          <w:bCs/>
          <w:sz w:val="28"/>
          <w:szCs w:val="28"/>
        </w:rPr>
        <w:t>草酸酯合成反应及精馏装置</w:t>
      </w:r>
      <w:bookmarkEnd w:id="170"/>
    </w:p>
    <w:p w14:paraId="48A44FF7">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6F655267">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酯交换法合成草酸酯的反应与精馏中试试验的成套装备，主体设备主要包括反应与精馏两大系统，其中反应系统能够实现以草酸二甲酯和乙醇为原料，通过固定床反应器进行草酸甲乙酯和草酸二乙酯产品的选择性合成。催化剂预填入反应器内，罐区送来的草酸二甲酯、乙醇按一定配比，泵入反应器内，反应器伴热系统自行控温，进行反应的同时将生成的甲醇分离出反应体系，推进反应向正方向进行，得到的粗产品泵入过渡罐，可以泵入反应器内进行循环，或者直接进入精馏工段进行产品分离。精馏系统采用两段连续精馏设计，实现粗产品中草酸二乙酯、甲醇、少量副产物草酸甲乙酯以及未反应完全的草酸二甲酯和乙醇的分离；由反应器送来的轻组分反应液送入第一级精馏塔，主要进行甲醇、乙醇的分离，塔釜液送入第二级精馏塔；第二级精馏塔实现草酸二甲酯、草酸甲乙酯与草酸二乙酯的分离，每级精馏塔配备过渡罐，可以将粗分离产品再次泵入精馏塔进行精馏分离；最终满足甲醇≥99.5%、乙醇≥99.9%、草酸二甲酯≥99.7%、草酸甲乙酯≥98%、草酸二乙酯≥99.5%。。其它配套系统包括在线产品分析系统，满足试验装置即时分析甲醇、草酸酯等产品的纯度、抽样检测催化剂活性等需求。</w:t>
      </w:r>
    </w:p>
    <w:p w14:paraId="6739DF9A">
      <w:pPr>
        <w:pStyle w:val="6"/>
        <w:spacing w:line="500" w:lineRule="exact"/>
        <w:ind w:firstLine="560"/>
        <w:rPr>
          <w:rFonts w:hint="eastAsia" w:ascii="宋体" w:hAnsi="宋体" w:eastAsia="宋体" w:cs="宋体"/>
          <w:b/>
          <w:bCs/>
          <w:sz w:val="28"/>
          <w:szCs w:val="28"/>
        </w:rPr>
      </w:pPr>
      <w:r>
        <w:rPr>
          <w:rFonts w:hint="eastAsia" w:ascii="宋体" w:hAnsi="宋体" w:eastAsia="宋体" w:cs="宋体"/>
          <w:sz w:val="28"/>
          <w:szCs w:val="28"/>
        </w:rPr>
        <w:t>8</w:t>
      </w:r>
      <w:r>
        <w:rPr>
          <w:rFonts w:hint="eastAsia" w:ascii="宋体" w:hAnsi="宋体" w:eastAsia="宋体" w:cs="宋体"/>
          <w:b/>
          <w:bCs/>
          <w:sz w:val="28"/>
          <w:szCs w:val="28"/>
        </w:rPr>
        <w:t>、</w:t>
      </w:r>
      <w:bookmarkStart w:id="171" w:name="_Hlk188638292"/>
      <w:r>
        <w:rPr>
          <w:rFonts w:hint="eastAsia" w:ascii="宋体" w:hAnsi="宋体" w:eastAsia="宋体" w:cs="宋体"/>
          <w:b/>
          <w:bCs/>
          <w:sz w:val="28"/>
          <w:szCs w:val="28"/>
        </w:rPr>
        <w:t>15公斤电热法制电石装置</w:t>
      </w:r>
      <w:bookmarkEnd w:id="171"/>
    </w:p>
    <w:p w14:paraId="6AECCDBA">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5F646D3B">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该成套设备实现电能转换为热能和化学能，确保冶金物料熔炼化学反应的进行以及其它冶金工艺过程的实现。高压电通过电炉变压器转换成低压电，再通过整流设备转换为直流电，经过短网及插入炉内的活动石墨电极和固定底电极导入电石。当大电流在电石内流动时产生大量电阻热能和电弧热能，将物料熔化，并完成各种物理、化学反应，其余物质形成熔融炉渣和炉气。</w:t>
      </w:r>
    </w:p>
    <w:p w14:paraId="0485E43C">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电热法制电石装置通过研磨机对原料进行处理，按生石灰：碳约3：2的比例配料。调配好的原料电石炉内高温反应，反应温度为2000℃以上，电石炉可控温，反应时间约为一个小时，产出电石（碳化钙）。一氧化碳的一部分被抽出，剩余的部分仍在料面燃烧。抽出的一氧化碳经过激冷系统冷却，同时达到除尘效果，然后可排放或利用。</w:t>
      </w:r>
    </w:p>
    <w:p w14:paraId="7E5117CE">
      <w:pPr>
        <w:pStyle w:val="6"/>
        <w:spacing w:line="500" w:lineRule="exact"/>
        <w:ind w:firstLine="56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9、光催化连续反应放大分离系统</w:t>
      </w:r>
    </w:p>
    <w:p w14:paraId="1DFCB2A3">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5700D549">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光催化连续反应放大分离系统主要用于药物合成与筛选，材料修饰，生物改性等多领域光催化反应的科学研究，集成光催化反应、连续流动技术和产物分离功能的高级化学工艺系统。该系统利用光催化剂在光照条件下产生的催化活性，促进化学反应的高效进行，并通过连续流动技术实现反应物的连续供给和产物的连续输出。同时，系统还配备了高效的分离装置，能够对反应产物进行精确的分离和纯化，从而得到高质量的化学产品。</w:t>
      </w:r>
    </w:p>
    <w:p w14:paraId="434ED482">
      <w:pPr>
        <w:pStyle w:val="6"/>
        <w:spacing w:line="500" w:lineRule="exact"/>
        <w:ind w:firstLine="56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10、电催化连续反应放大分离系统</w:t>
      </w:r>
    </w:p>
    <w:p w14:paraId="6873AF91">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111A885A">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电催化连续反应放大分离系统是一种集成了电催化技术、连续流动工艺以及高效产物分离技术的先进化学反应系统。该系统通过施加电场于反应介质中，利用电极表面的催化活性位点促进特定化学反应的进行，实现了反应速率的大幅提升和选择性的优化。结合连续流动技术，该系统能够连续不断地引入反应物并排出产物，从而极大地提高了生产效率并简化了操作流程。此外，内置的分离模块能够高效地将目标产物从反应混合物中分离出来，确保最终产品的高纯度和质量稳定性。电催化连续反应放大分离系统特别适用于需要高产量、高选择性和高纯度产物的精细化学品合成、能源转换与存储以及环境治理等领域，是现代化学工业中一项极具潜力的技术。</w:t>
      </w:r>
    </w:p>
    <w:p w14:paraId="56A48846">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11、自动化智能化合成平台</w:t>
      </w:r>
    </w:p>
    <w:p w14:paraId="4B7749D8">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7D0FBBD9">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集成高通量化学智慧工作站、高通量固体称量工作站、全自动封膜仪、多轴机械臂转运装置以及高通量光化学套装模块，实现化学反应的精确控制与高效执行。可接入各类化学软件与数据库，实现数据的实时传输与分析。液体投料量程广、精度高，确保实验的准确性。搅拌与加热功能强大，控温精确，满足不同化学反应的需求。体系开关盖自动执行，扭矩反馈控制，提升实验的自动化水平。同时，智能监控摄像头全程记录实验过程，确保数据的可追溯性。耗材漏检传感器与转移模块等设计，增强设备的安全性与可靠性。</w:t>
      </w:r>
    </w:p>
    <w:p w14:paraId="2C8F7E94">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12、</w:t>
      </w:r>
      <w:bookmarkStart w:id="172" w:name="_Hlk187422072"/>
      <w:r>
        <w:rPr>
          <w:rFonts w:hint="eastAsia" w:ascii="宋体" w:hAnsi="宋体" w:eastAsia="宋体" w:cs="宋体"/>
          <w:b/>
          <w:bCs/>
          <w:sz w:val="28"/>
          <w:szCs w:val="28"/>
        </w:rPr>
        <w:t>数字智能化催化剂制备放大平台</w:t>
      </w:r>
      <w:bookmarkEnd w:id="172"/>
    </w:p>
    <w:p w14:paraId="0E0BBBBB">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0585E6FB">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平台由混合系统、过滤系统、干燥系统、煅烧系统、浸渍系统、分析系统、自动控制系统、报警系统、公用工程系统组成。系统由催化复合反应釜、离子交换柱、自动干燥箱、质量流量控制器、压力显示仪、温度控制器、在线检测仪组成。采用新工艺、新技术、新材料，提供数字智能化操作平台，方便探究实验学习。装置具有一键开停车操作，可自动进行实验，并进行平行实验。可自动控制反应温度、压力、流量，可自动记录参数，自动在线采样和记录分析功能，便于脱机工作。设备具有自动联锁功能，危险状况时能启动联锁保护。具备远程操作功能。</w:t>
      </w:r>
    </w:p>
    <w:p w14:paraId="31882270">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13、</w:t>
      </w:r>
      <w:bookmarkStart w:id="173" w:name="_Hlk187422084"/>
      <w:r>
        <w:rPr>
          <w:rFonts w:hint="eastAsia" w:ascii="宋体" w:hAnsi="宋体" w:eastAsia="宋体" w:cs="宋体"/>
          <w:b/>
          <w:bCs/>
          <w:sz w:val="28"/>
          <w:szCs w:val="28"/>
        </w:rPr>
        <w:t>数字智能化催化加氢反应装置</w:t>
      </w:r>
      <w:bookmarkEnd w:id="173"/>
    </w:p>
    <w:p w14:paraId="37C3C5B6">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6EF23CD2">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装置由固定床、流化床、浆态床反应系统、进料系统、预热系统、冷却系统、分析系统、自动控制系统、报警系统、公用工程系统组成。系统由全自动固定床、流化床、浆态床反应器、质量流量控制器、压力显示仪、温度控制器、色谱检测仪组成。采用新工艺、新技术、新材料，提供数字智能化操作平台，方便探究实验学习。装置具有一键开停车操作，可自动进行实验，并进行平行实验。可自动控制反应温度、压力、流量，可自动记录参数，自动在线采样和记录分析功能，便于脱机工作。设备具有自动联锁功能，危险状况时能启动联锁保护。具备远程操作功能。</w:t>
      </w:r>
    </w:p>
    <w:p w14:paraId="5B0C3230">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14、数字智能化醋酸乙烯酯和氯乙烯装置</w:t>
      </w:r>
    </w:p>
    <w:p w14:paraId="49208C57">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4C8F4498">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装置由反应器系统、进料系统、预热系统、冷却系统、分析系统、自动控制系统、报警系统、公用工程系统组成。</w:t>
      </w:r>
    </w:p>
    <w:p w14:paraId="42D6E011">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系统由上流反应器、质量流量控制器、压力显示仪、温度控制器、色谱检测仪组成。采用新工艺、新技术、新材料，提供数字智能化操作平台，方便探究实验学习。装置具有一键开停车操作，可自动进行实验，并进行平行实验。可自动控制反应温度、压力、流量，可自动记录参数，自动在线采样和记录分析功能，便于脱机工作，反应器自动更换。设备具有自动联锁功能，危险状况时能启动联锁保护。具备远程操作功能。</w:t>
      </w:r>
    </w:p>
    <w:p w14:paraId="7F96E007">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15、</w:t>
      </w:r>
      <w:bookmarkStart w:id="174" w:name="_Hlk187422096"/>
      <w:r>
        <w:rPr>
          <w:rFonts w:hint="eastAsia" w:ascii="宋体" w:hAnsi="宋体" w:eastAsia="宋体" w:cs="宋体"/>
          <w:b/>
          <w:bCs/>
          <w:sz w:val="28"/>
          <w:szCs w:val="28"/>
        </w:rPr>
        <w:t>数字智能化共聚物制备反应装置</w:t>
      </w:r>
      <w:bookmarkEnd w:id="174"/>
    </w:p>
    <w:p w14:paraId="69BC780A">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360EC91F">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装置由高压釜式反应、预聚合反应、聚合反应系统、进料系统、预热系统、冷却系统、分析系统、自动控制系统、报警系统、公用工程系统组成。系统由高压自控复合反应釜、智能预聚反应器、质量流量控制器、压力显示仪、温度控制器、色谱检测仪组成。采用新工艺、新技术、新材料，提供数字智能化操作平台，方便探究实验学习。装置具有一键开停车操作，可自动进行实验，并进行平行实试验。可自动控制反应温度、压力、流量，可自动记录参数，自动在线采样和记录分析功能，便于脱机工作。设备具有自动联锁功能，危险状况时能启动联锁保护。具备远程操作功能。</w:t>
      </w:r>
    </w:p>
    <w:p w14:paraId="2B383095">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16、高效合成BDO全流程模试装置</w:t>
      </w:r>
    </w:p>
    <w:p w14:paraId="1361EE41">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0BE8310A">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系统分为炔化反应单元、一步加氢单元、二步加氢单元、产物分离与精制单元。炔化反应单元：浆态床反应器：50L；原料：甲醛溶液与乙炔；反应温度：90-100℃；反应压力：80-120kPa；带尾气循环系统。一步加氢单元：采用固定床反应器，催化剂装填量：100g；原料：1,4-丁炔二醇和氢气；反应温度：300-400℃；反应压力：1-3MPa。二步加氢单元：采用固定床反应器，催化剂装填量：100g；原料：1,4-丁烯二醇和氢气；反应温度：250-350℃；反应压力：10-20MPa。产物分离与精制单元：乙炔蒸馏塔、脱轻塔、脱重塔组成，每个分离塔配套的塔顶冷凝、塔顶分离、塔顶回流、塔釜冷凝和采出系统。控制和过程显示系统：系统采用PLC加计算机（含）联合控制，在计算机上可实现100%仪表功能操作如实时读取测量值、给定值、设置参数、自动/手动切换、启动运行/停止程序，并具备数据存储和导出功能。设备尺寸：长6m、宽2m，高3m；设备功率：40KW。</w:t>
      </w:r>
    </w:p>
    <w:p w14:paraId="79BF7452">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17、醋酸乙烯氢甲酰化单管实验装置</w:t>
      </w:r>
    </w:p>
    <w:p w14:paraId="3990FE5B">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0EDA5760">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装置由一级釜式反应系统、二级釜式反应系统、进料系统、预热系统、冷却系统、精馏分离系统、分析系统、控制系统及公用工程系统组成。一级釜式反应系统：原料甲苯、氢甲酰化催化剂、三苯基磷和醋酸乙烯、氢气、一氧化碳；反应温度：50℃；反应压力：12.5MPa;搅拌速率：800rpm。二级釜式反应系统：原料：甲苯、3-乙酰氧基丙醛、雷尼镍、氢气；反应温度：70℃；反应压力：5.0MPa;搅拌速率：600rpm。进料系统：气体进料采用质量流量计、减压阀、压力表、过滤器；液相进料采用计量泵，原料罐设置天平称量；精馏分离系统：包含精馏塔、塔顶冷凝器、塔顶回流单元、塔釜采出单元等。分析系统：福立色谱，FID和TCD检测器、氢气发生器、控制软件等。</w:t>
      </w:r>
    </w:p>
    <w:p w14:paraId="4F803FBD">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18、固废建材制备系统</w:t>
      </w:r>
    </w:p>
    <w:p w14:paraId="5BB64FDE">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67E7F76E">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为硅酸盐制品如加气混凝土砌块、灰砂砖等提供一个高温高压的蒸汽环境。在这个特定的环境下，水泥制品能够充分进行水热反应，使产品内部结构更加密实，从而提高其抗压、抗折等物理性能。这种养护方法被称为蒸压养护，是提升水泥制品质量的重要环节。用于测定水泥中MgO（氧化镁）对水泥安定性产生不良影响的专用仪器。设备在高温高压条件下加速熟料中方镁石水化，来测量因方镁石水化可能造成的水泥体积不均匀变化。</w:t>
      </w:r>
    </w:p>
    <w:p w14:paraId="350CDE2D">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19、高温应力腐蚀试验系统</w:t>
      </w:r>
    </w:p>
    <w:p w14:paraId="3FF2CFCF">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60AAF6AC">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用于腐蚀环境下对材料进行慢应变速率拉伸试验、恒载荷蠕变/应力腐蚀试验、应力松弛、低周疲劳/腐蚀疲劳试验/轴向应变疲劳、试样裂纹萌生及裂纹扩展速率测量试验(恒K控制、升K控制、降K控制)功能等。</w:t>
      </w:r>
    </w:p>
    <w:p w14:paraId="597FBE1A">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主机结构为框架形式，加载单元依据试验需求可灵活安装于机架的上端或者下端，以适应环境的试验要求。</w:t>
      </w:r>
    </w:p>
    <w:p w14:paraId="014F9F59">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20、高温高压腐蚀疲劳试验系统</w:t>
      </w:r>
    </w:p>
    <w:p w14:paraId="66ABCB0D">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功能需求：</w:t>
      </w:r>
    </w:p>
    <w:p w14:paraId="60042CE7">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高温高压腐蚀疲劳试验系统主要用于模拟煤化工反应高温高压环境下的力-化腐蚀、腐蚀疲劳及寿命预测试验。</w:t>
      </w:r>
    </w:p>
    <w:p w14:paraId="59145F2C">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主机结构为框架形式，加载单元依据试验需求安装于下端，以适应超临界高温环境的试验要求。采用传感器装置进行高温高压环境下的载荷测量，传感器能够直接测量试样上的加载载荷，要求较高的测量准确性。</w:t>
      </w:r>
    </w:p>
    <w:p w14:paraId="31CFB0AE">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21、多通道高温腐蚀试验平台</w:t>
      </w:r>
    </w:p>
    <w:p w14:paraId="76336074">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0408ED38">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平台应具备8个通道设计，能够同时测试多个样品或在不同条件下进行多个实验。每个通道都可以独立控制温度、压力和腐蚀介质等参数，以满足不同实验的需求。平台应具备精确的高温控制能力，以模拟实际工业环境中的高温腐蚀条件，系统的最高工作温度应可以达到1000℃。平台应能够精确控制腐蚀介质的种类、浓度和流速等参数，以模拟不同腐蚀条件下的材料行为，为了方便用户进行远程监控和操作，平台应具备远程通信功能，如Wi-Fi、4G或网线连接等。平台应具备完善的安全防护措施，以确保实验过程中的安全性。</w:t>
      </w:r>
    </w:p>
    <w:p w14:paraId="08D21584">
      <w:p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22、脱硫烟气NO</w:t>
      </w:r>
      <w:r>
        <w:rPr>
          <w:rFonts w:hint="eastAsia" w:ascii="宋体" w:hAnsi="宋体" w:eastAsia="宋体" w:cs="宋体"/>
          <w:b/>
          <w:bCs/>
          <w:sz w:val="28"/>
          <w:szCs w:val="28"/>
          <w:vertAlign w:val="subscript"/>
        </w:rPr>
        <w:t>x</w:t>
      </w:r>
      <w:r>
        <w:rPr>
          <w:rFonts w:hint="eastAsia" w:ascii="宋体" w:hAnsi="宋体" w:eastAsia="宋体" w:cs="宋体"/>
          <w:b/>
          <w:bCs/>
          <w:sz w:val="28"/>
          <w:szCs w:val="28"/>
        </w:rPr>
        <w:t>吸附-解吸与水相电催化制氨平台</w:t>
      </w:r>
    </w:p>
    <w:p w14:paraId="11FBF769">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功能需求：</w:t>
      </w:r>
    </w:p>
    <w:p w14:paraId="2CE6AE85">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试验系统由吸附填料塔、解吸塔以及电化学制氨设备组成，可实现从NO</w:t>
      </w:r>
      <w:r>
        <w:rPr>
          <w:rFonts w:hint="eastAsia" w:ascii="宋体" w:hAnsi="宋体" w:eastAsia="宋体" w:cs="宋体"/>
          <w:sz w:val="28"/>
          <w:szCs w:val="28"/>
          <w:vertAlign w:val="subscript"/>
        </w:rPr>
        <w:t>x</w:t>
      </w:r>
      <w:r>
        <w:rPr>
          <w:rFonts w:hint="eastAsia" w:ascii="宋体" w:hAnsi="宋体" w:eastAsia="宋体" w:cs="宋体"/>
          <w:sz w:val="28"/>
          <w:szCs w:val="28"/>
        </w:rPr>
        <w:t>到氨气的集成转化系统。要求平台能够实现1000m</w:t>
      </w:r>
      <w:r>
        <w:rPr>
          <w:rFonts w:hint="eastAsia" w:ascii="宋体" w:hAnsi="宋体" w:eastAsia="宋体" w:cs="宋体"/>
          <w:sz w:val="28"/>
          <w:szCs w:val="28"/>
          <w:vertAlign w:val="superscript"/>
        </w:rPr>
        <w:t>3</w:t>
      </w:r>
      <w:r>
        <w:rPr>
          <w:rFonts w:hint="eastAsia" w:ascii="宋体" w:hAnsi="宋体" w:eastAsia="宋体" w:cs="宋体"/>
          <w:sz w:val="28"/>
          <w:szCs w:val="28"/>
        </w:rPr>
        <w:t>脱硫烟气的处理，实现脱硫烟气NO</w:t>
      </w:r>
      <w:r>
        <w:rPr>
          <w:rFonts w:hint="eastAsia" w:ascii="宋体" w:hAnsi="宋体" w:eastAsia="宋体" w:cs="宋体"/>
          <w:sz w:val="28"/>
          <w:szCs w:val="28"/>
          <w:vertAlign w:val="subscript"/>
        </w:rPr>
        <w:t>x</w:t>
      </w:r>
      <w:r>
        <w:rPr>
          <w:rFonts w:hint="eastAsia" w:ascii="宋体" w:hAnsi="宋体" w:eastAsia="宋体" w:cs="宋体"/>
          <w:sz w:val="28"/>
          <w:szCs w:val="28"/>
        </w:rPr>
        <w:t>的吸附与解吸，对于吸附塔确保烟气中的NO</w:t>
      </w:r>
      <w:r>
        <w:rPr>
          <w:rFonts w:hint="eastAsia" w:ascii="宋体" w:hAnsi="宋体" w:eastAsia="宋体" w:cs="宋体"/>
          <w:sz w:val="28"/>
          <w:szCs w:val="28"/>
          <w:vertAlign w:val="subscript"/>
        </w:rPr>
        <w:t>x</w:t>
      </w:r>
      <w:r>
        <w:rPr>
          <w:rFonts w:hint="eastAsia" w:ascii="宋体" w:hAnsi="宋体" w:eastAsia="宋体" w:cs="宋体"/>
          <w:sz w:val="28"/>
          <w:szCs w:val="28"/>
        </w:rPr>
        <w:t>被有效吸附，吸附效率高，填料和塔体材料需具备良好的耐腐蚀性。对于解吸塔确保吸附在填料上的NO</w:t>
      </w:r>
      <w:r>
        <w:rPr>
          <w:rFonts w:hint="eastAsia" w:ascii="宋体" w:hAnsi="宋体" w:eastAsia="宋体" w:cs="宋体"/>
          <w:sz w:val="28"/>
          <w:szCs w:val="28"/>
          <w:vertAlign w:val="subscript"/>
        </w:rPr>
        <w:t>x</w:t>
      </w:r>
      <w:r>
        <w:rPr>
          <w:rFonts w:hint="eastAsia" w:ascii="宋体" w:hAnsi="宋体" w:eastAsia="宋体" w:cs="宋体"/>
          <w:sz w:val="28"/>
          <w:szCs w:val="28"/>
        </w:rPr>
        <w:t>能够被有效解吸，解吸效率高，能够通过水相电催化完成NO</w:t>
      </w:r>
      <w:r>
        <w:rPr>
          <w:rFonts w:hint="eastAsia" w:ascii="宋体" w:hAnsi="宋体" w:eastAsia="宋体" w:cs="宋体"/>
          <w:sz w:val="28"/>
          <w:szCs w:val="28"/>
          <w:vertAlign w:val="subscript"/>
        </w:rPr>
        <w:t>x</w:t>
      </w:r>
      <w:r>
        <w:rPr>
          <w:rFonts w:hint="eastAsia" w:ascii="宋体" w:hAnsi="宋体" w:eastAsia="宋体" w:cs="宋体"/>
          <w:sz w:val="28"/>
          <w:szCs w:val="28"/>
        </w:rPr>
        <w:t>制氨流程，确保NO</w:t>
      </w:r>
      <w:r>
        <w:rPr>
          <w:rFonts w:hint="eastAsia" w:ascii="宋体" w:hAnsi="宋体" w:eastAsia="宋体" w:cs="宋体"/>
          <w:sz w:val="28"/>
          <w:szCs w:val="28"/>
          <w:vertAlign w:val="subscript"/>
        </w:rPr>
        <w:t>x</w:t>
      </w:r>
      <w:r>
        <w:rPr>
          <w:rFonts w:hint="eastAsia" w:ascii="宋体" w:hAnsi="宋体" w:eastAsia="宋体" w:cs="宋体"/>
          <w:sz w:val="28"/>
          <w:szCs w:val="28"/>
        </w:rPr>
        <w:t>能够被高效转化为氨，转化率要高。</w:t>
      </w:r>
    </w:p>
    <w:p w14:paraId="7841ABDD">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23、多通道多元介质液相腐蚀试验平台</w:t>
      </w:r>
    </w:p>
    <w:p w14:paraId="13B5BBD3">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17B4E09D">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多通道多元介质液相腐蚀试验平台的试验系统应具备精确控制各项参数、自动配制和混合腐蚀介质、实时监测和记录试验数据等功能需求，核心功能是能实现电化学腐蚀功能。主机架应具备8个独立的测试通道，每个通道都可以独立运行，互不干扰，系统应能精确控制腐蚀介质的PH值，能精确配制不同种类和浓度的腐蚀介质，以满足不同试验条件的需求。循环系统应能确保腐蚀介质在试验过程中的均匀流动和充分混合。控制系统应能全面监控和调节试验过程中的各项参数，如温度、PH值、流量等。</w:t>
      </w:r>
    </w:p>
    <w:p w14:paraId="0AD3858C">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24、高氯煤回转窑热解提质与喷淋吸附一体脱氯试验平台</w:t>
      </w:r>
    </w:p>
    <w:p w14:paraId="191F5D5F">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7794BE30">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试验系统应由百公斤级的回转窑热解系统、喷淋脱氯装置、固体吸附脱氯装置、引风机、连接管道、控制系统、含氯组分监测设备等组成；可实现高氯煤热转化过程中气/固含氯组分的分离，以及喷淋系统与固体吸附系统并联脱氯，并且能够实现含氯组分全流程实时监测功能。</w:t>
      </w:r>
    </w:p>
    <w:p w14:paraId="74653192">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25、气相色谱质谱联用仪</w:t>
      </w:r>
    </w:p>
    <w:p w14:paraId="4FB48214">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324582F3">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具备高精度的分离能力和极高的检测灵敏度，确保能够准确、可靠地检测出复杂样品中的微量成分。其次，为了满足不同样品的分析需求，需支持多种进样方式，包括但不限于自动进样、手动进样以及顶空进样等。此外，仪器还需具备广泛的色谱柱兼容性，能够根据具体的分析任务选择合适的色谱柱，从而获得更准确的分析结果。</w:t>
      </w:r>
    </w:p>
    <w:p w14:paraId="2ABACE6B">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26、制备液相色谱仪</w:t>
      </w:r>
    </w:p>
    <w:p w14:paraId="6DE44661">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04E04753">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需具备以下功能：高效的分离性能，确保不同组分能够有效分离；精确的流量控制系统，以实现稳定且可重复的流速，提高制备的准确性和一致性；以及全面的自动化操作功能，包括自动进样、梯度洗脱控制及自动收集等，从而满足大规模样品纯化与高效制备的需求。</w:t>
      </w:r>
    </w:p>
    <w:p w14:paraId="0F32D468">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27、气相色谱仪</w:t>
      </w:r>
    </w:p>
    <w:p w14:paraId="7F22BC7D">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465FD86C">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应配置高分辨率的色谱柱，确保能够有效分离复杂样品中的各个组分；其次，仪器需拥有高精度且稳定的温控系统，以精确控制柱温和检测器温度，提高分析的准确性和重复性；最后，该仪器还需具备自动化样品处理能力，包括自动进样和数据处理功能，以提高工作效率和分析的便捷性。</w:t>
      </w:r>
    </w:p>
    <w:p w14:paraId="0C481AEA">
      <w:pPr>
        <w:pStyle w:val="6"/>
        <w:spacing w:line="500" w:lineRule="exact"/>
        <w:ind w:firstLine="562"/>
        <w:rPr>
          <w:rFonts w:hint="eastAsia" w:ascii="宋体" w:hAnsi="宋体" w:eastAsia="宋体" w:cs="宋体"/>
          <w:b/>
          <w:bCs/>
          <w:sz w:val="28"/>
          <w:szCs w:val="28"/>
        </w:rPr>
      </w:pPr>
      <w:r>
        <w:rPr>
          <w:rFonts w:hint="eastAsia" w:ascii="宋体" w:hAnsi="宋体" w:eastAsia="宋体" w:cs="宋体"/>
          <w:b/>
          <w:bCs/>
          <w:sz w:val="28"/>
          <w:szCs w:val="28"/>
        </w:rPr>
        <w:t>28、液相色谱仪</w:t>
      </w:r>
    </w:p>
    <w:p w14:paraId="48404B5D">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功能需求：</w:t>
      </w:r>
    </w:p>
    <w:p w14:paraId="34106D6F">
      <w:pPr>
        <w:pStyle w:val="6"/>
        <w:spacing w:line="500" w:lineRule="exact"/>
        <w:ind w:firstLine="560"/>
        <w:rPr>
          <w:rFonts w:hint="eastAsia" w:ascii="宋体" w:hAnsi="宋体" w:eastAsia="宋体" w:cs="宋体"/>
          <w:sz w:val="28"/>
          <w:szCs w:val="28"/>
        </w:rPr>
      </w:pPr>
      <w:r>
        <w:rPr>
          <w:rFonts w:hint="eastAsia" w:ascii="宋体" w:hAnsi="宋体" w:eastAsia="宋体" w:cs="宋体"/>
          <w:sz w:val="28"/>
          <w:szCs w:val="28"/>
        </w:rPr>
        <w:t>需配置高分辨率的色谱柱，确保对复杂样品中的微量成分进行有效且清晰的分离；其次，仪器需具备高精度的流量控制系统，以维持稳定的流速，提高分析的准确性和重复性；再者，仪器应支持自动化进样功能，减少人为操作误差，提高工作效率；最后，还需具备强大的数据处理能力，能够自动进行峰识别、积分和校准，提供准确的分析结果。</w:t>
      </w:r>
    </w:p>
    <w:p w14:paraId="39FB1782">
      <w:pPr>
        <w:spacing w:line="500" w:lineRule="exact"/>
        <w:rPr>
          <w:rFonts w:hint="eastAsia" w:ascii="宋体" w:hAnsi="宋体" w:eastAsia="宋体" w:cs="宋体"/>
          <w:sz w:val="28"/>
          <w:szCs w:val="28"/>
        </w:rPr>
      </w:pPr>
    </w:p>
    <w:p w14:paraId="73ED52AD">
      <w:pPr>
        <w:spacing w:line="500" w:lineRule="exact"/>
        <w:rPr>
          <w:rFonts w:hint="eastAsia" w:ascii="宋体" w:hAnsi="宋体" w:eastAsia="宋体" w:cs="宋体"/>
          <w:b/>
          <w:sz w:val="28"/>
          <w:szCs w:val="28"/>
        </w:rPr>
      </w:pPr>
      <w:r>
        <w:rPr>
          <w:rFonts w:hint="eastAsia" w:ascii="宋体" w:hAnsi="宋体" w:eastAsia="宋体" w:cs="宋体"/>
          <w:b/>
          <w:sz w:val="28"/>
          <w:szCs w:val="28"/>
        </w:rPr>
        <w:br w:type="page"/>
      </w:r>
    </w:p>
    <w:p w14:paraId="14A0CCF1">
      <w:pPr>
        <w:spacing w:line="500" w:lineRule="exact"/>
        <w:jc w:val="center"/>
        <w:outlineLvl w:val="1"/>
        <w:rPr>
          <w:rFonts w:hint="eastAsia" w:ascii="宋体" w:hAnsi="宋体" w:eastAsia="宋体" w:cs="宋体"/>
          <w:b/>
          <w:bCs/>
          <w:sz w:val="28"/>
          <w:szCs w:val="28"/>
        </w:rPr>
      </w:pPr>
      <w:r>
        <w:rPr>
          <w:rFonts w:hint="eastAsia" w:ascii="宋体" w:hAnsi="宋体" w:eastAsia="宋体" w:cs="宋体"/>
          <w:b/>
          <w:bCs/>
          <w:sz w:val="28"/>
          <w:szCs w:val="28"/>
        </w:rPr>
        <w:t>二、设备规格报价明细表</w:t>
      </w:r>
    </w:p>
    <w:p w14:paraId="0567ABBB">
      <w:pPr>
        <w:pStyle w:val="13"/>
        <w:spacing w:after="0" w:line="500" w:lineRule="exact"/>
        <w:ind w:left="0" w:leftChars="0"/>
        <w:rPr>
          <w:rFonts w:hint="eastAsia" w:ascii="宋体" w:hAnsi="宋体" w:eastAsia="宋体" w:cs="宋体"/>
          <w:b/>
          <w:sz w:val="28"/>
          <w:szCs w:val="28"/>
        </w:rPr>
      </w:pP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496"/>
        <w:gridCol w:w="633"/>
        <w:gridCol w:w="1121"/>
        <w:gridCol w:w="1354"/>
        <w:gridCol w:w="1143"/>
        <w:gridCol w:w="1111"/>
        <w:gridCol w:w="1111"/>
      </w:tblGrid>
      <w:tr w14:paraId="584E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7B72CCD8">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88" w:type="pct"/>
            <w:vAlign w:val="center"/>
          </w:tcPr>
          <w:p w14:paraId="59DA170D">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384" w:type="pct"/>
            <w:vAlign w:val="center"/>
          </w:tcPr>
          <w:p w14:paraId="47035157">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57" w:type="pct"/>
            <w:vAlign w:val="center"/>
          </w:tcPr>
          <w:p w14:paraId="201A6470">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质保期限</w:t>
            </w:r>
          </w:p>
        </w:tc>
        <w:tc>
          <w:tcPr>
            <w:tcW w:w="805" w:type="pct"/>
            <w:vAlign w:val="center"/>
          </w:tcPr>
          <w:p w14:paraId="12335C16">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w:t>
            </w:r>
          </w:p>
          <w:p w14:paraId="1ACD94EF">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tc>
        <w:tc>
          <w:tcPr>
            <w:tcW w:w="682" w:type="pct"/>
            <w:vAlign w:val="center"/>
          </w:tcPr>
          <w:p w14:paraId="6296FDCE">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单价</w:t>
            </w:r>
            <w:r>
              <w:rPr>
                <w:rFonts w:hint="eastAsia" w:ascii="宋体" w:hAnsi="宋体" w:eastAsia="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rPr>
              <w:t>(万元)</w:t>
            </w:r>
          </w:p>
        </w:tc>
        <w:tc>
          <w:tcPr>
            <w:tcW w:w="663" w:type="pct"/>
            <w:vAlign w:val="center"/>
          </w:tcPr>
          <w:p w14:paraId="1A2FC8A7">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663" w:type="pct"/>
            <w:vAlign w:val="center"/>
          </w:tcPr>
          <w:p w14:paraId="19BD5783">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核心产品</w:t>
            </w:r>
          </w:p>
        </w:tc>
      </w:tr>
      <w:tr w14:paraId="447D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75236235">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8" w:type="pct"/>
            <w:vAlign w:val="center"/>
          </w:tcPr>
          <w:p w14:paraId="5871445C">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双通道快速/保温电石热处理收集系统</w:t>
            </w:r>
          </w:p>
        </w:tc>
        <w:tc>
          <w:tcPr>
            <w:tcW w:w="384" w:type="pct"/>
            <w:vAlign w:val="center"/>
          </w:tcPr>
          <w:p w14:paraId="59B35373">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7" w:type="pct"/>
            <w:vAlign w:val="center"/>
          </w:tcPr>
          <w:p w14:paraId="2733239F">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免费质保2年，终身提供技术支持。</w:t>
            </w:r>
          </w:p>
        </w:tc>
        <w:tc>
          <w:tcPr>
            <w:tcW w:w="805" w:type="pct"/>
            <w:vAlign w:val="center"/>
          </w:tcPr>
          <w:p w14:paraId="058393BD">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合同签订后90日历日</w:t>
            </w:r>
          </w:p>
        </w:tc>
        <w:tc>
          <w:tcPr>
            <w:tcW w:w="682" w:type="pct"/>
            <w:vAlign w:val="center"/>
          </w:tcPr>
          <w:p w14:paraId="4D8DB1B5">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663" w:type="pct"/>
            <w:vAlign w:val="center"/>
          </w:tcPr>
          <w:p w14:paraId="285F8B46">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663" w:type="pct"/>
            <w:vAlign w:val="center"/>
          </w:tcPr>
          <w:p w14:paraId="5B909C9B">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r>
      <w:tr w14:paraId="752F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3C050528">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88" w:type="pct"/>
            <w:vAlign w:val="center"/>
          </w:tcPr>
          <w:p w14:paraId="222DC2B9">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气相色谱仪</w:t>
            </w:r>
          </w:p>
        </w:tc>
        <w:tc>
          <w:tcPr>
            <w:tcW w:w="384" w:type="pct"/>
            <w:vAlign w:val="center"/>
          </w:tcPr>
          <w:p w14:paraId="4BD9D5C2">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7" w:type="pct"/>
            <w:vAlign w:val="center"/>
          </w:tcPr>
          <w:p w14:paraId="30A9F06A">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对于该设备，中标人承诺保修3年，终身服务，保修期外的售后服务只收取配件费。</w:t>
            </w:r>
          </w:p>
        </w:tc>
        <w:tc>
          <w:tcPr>
            <w:tcW w:w="805" w:type="pct"/>
            <w:vAlign w:val="center"/>
          </w:tcPr>
          <w:p w14:paraId="60E8C68B">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合同签订后45日历日</w:t>
            </w:r>
          </w:p>
        </w:tc>
        <w:tc>
          <w:tcPr>
            <w:tcW w:w="682" w:type="pct"/>
            <w:vAlign w:val="center"/>
          </w:tcPr>
          <w:p w14:paraId="370620CA">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663" w:type="pct"/>
            <w:vAlign w:val="center"/>
          </w:tcPr>
          <w:p w14:paraId="7704C430">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663" w:type="pct"/>
            <w:vAlign w:val="center"/>
          </w:tcPr>
          <w:p w14:paraId="5EC9EF94">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r>
      <w:tr w14:paraId="5BB9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6DEE2D5D">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88" w:type="pct"/>
            <w:vAlign w:val="center"/>
          </w:tcPr>
          <w:p w14:paraId="483A4C99">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高温荷载结构体素分析显微镜</w:t>
            </w:r>
          </w:p>
        </w:tc>
        <w:tc>
          <w:tcPr>
            <w:tcW w:w="384" w:type="pct"/>
            <w:vAlign w:val="center"/>
          </w:tcPr>
          <w:p w14:paraId="45636455">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7" w:type="pct"/>
            <w:vAlign w:val="center"/>
          </w:tcPr>
          <w:p w14:paraId="5184328C">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免费质保3年，终身提供技术支持。</w:t>
            </w:r>
          </w:p>
        </w:tc>
        <w:tc>
          <w:tcPr>
            <w:tcW w:w="805" w:type="pct"/>
            <w:vAlign w:val="center"/>
          </w:tcPr>
          <w:p w14:paraId="77551060">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合同签订后4个月内</w:t>
            </w:r>
            <w:r>
              <w:rPr>
                <w:rFonts w:hint="eastAsia" w:ascii="宋体" w:hAnsi="宋体" w:eastAsia="宋体" w:cs="宋体"/>
                <w:color w:val="auto"/>
                <w:sz w:val="21"/>
                <w:szCs w:val="21"/>
                <w:highlight w:val="none"/>
                <w:lang w:eastAsia="zh-CN"/>
              </w:rPr>
              <w:t>。</w:t>
            </w:r>
          </w:p>
        </w:tc>
        <w:tc>
          <w:tcPr>
            <w:tcW w:w="682" w:type="pct"/>
            <w:vAlign w:val="center"/>
          </w:tcPr>
          <w:p w14:paraId="0AFC2208">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628</w:t>
            </w:r>
          </w:p>
        </w:tc>
        <w:tc>
          <w:tcPr>
            <w:tcW w:w="663" w:type="pct"/>
            <w:vAlign w:val="center"/>
          </w:tcPr>
          <w:p w14:paraId="0E040A03">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628</w:t>
            </w:r>
          </w:p>
        </w:tc>
        <w:tc>
          <w:tcPr>
            <w:tcW w:w="663" w:type="pct"/>
            <w:vAlign w:val="center"/>
          </w:tcPr>
          <w:p w14:paraId="72D5B37C">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是</w:t>
            </w:r>
          </w:p>
        </w:tc>
      </w:tr>
      <w:tr w14:paraId="4090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7C3967A6">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88" w:type="pct"/>
            <w:vAlign w:val="center"/>
          </w:tcPr>
          <w:p w14:paraId="444D4472">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高温红外烟气分析仪</w:t>
            </w:r>
          </w:p>
        </w:tc>
        <w:tc>
          <w:tcPr>
            <w:tcW w:w="384" w:type="pct"/>
            <w:vAlign w:val="center"/>
          </w:tcPr>
          <w:p w14:paraId="640FFBEE">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7" w:type="pct"/>
            <w:vAlign w:val="center"/>
          </w:tcPr>
          <w:p w14:paraId="0E6E6E85">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免费质保1年，终身提供技术支持。</w:t>
            </w:r>
          </w:p>
        </w:tc>
        <w:tc>
          <w:tcPr>
            <w:tcW w:w="805" w:type="pct"/>
            <w:vAlign w:val="center"/>
          </w:tcPr>
          <w:p w14:paraId="1F3E2519">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合同签订后90日历日</w:t>
            </w:r>
          </w:p>
        </w:tc>
        <w:tc>
          <w:tcPr>
            <w:tcW w:w="682" w:type="pct"/>
            <w:vAlign w:val="center"/>
          </w:tcPr>
          <w:p w14:paraId="5A838197">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p>
        </w:tc>
        <w:tc>
          <w:tcPr>
            <w:tcW w:w="663" w:type="pct"/>
            <w:vAlign w:val="center"/>
          </w:tcPr>
          <w:p w14:paraId="76967270">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p>
        </w:tc>
        <w:tc>
          <w:tcPr>
            <w:tcW w:w="663" w:type="pct"/>
            <w:vAlign w:val="center"/>
          </w:tcPr>
          <w:p w14:paraId="76FDDA6A">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r>
      <w:tr w14:paraId="040F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5EB86A22">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88" w:type="pct"/>
            <w:vAlign w:val="center"/>
          </w:tcPr>
          <w:p w14:paraId="4418AD27">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原位红外漫反射高温高压表征系统</w:t>
            </w:r>
          </w:p>
        </w:tc>
        <w:tc>
          <w:tcPr>
            <w:tcW w:w="384" w:type="pct"/>
            <w:vAlign w:val="center"/>
          </w:tcPr>
          <w:p w14:paraId="6B2554ED">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7" w:type="pct"/>
            <w:vAlign w:val="center"/>
          </w:tcPr>
          <w:p w14:paraId="2A5E252A">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自客户购买产品并完成交付验收之日起，质保期为 1年 。</w:t>
            </w:r>
          </w:p>
        </w:tc>
        <w:tc>
          <w:tcPr>
            <w:tcW w:w="805" w:type="pct"/>
            <w:vAlign w:val="center"/>
          </w:tcPr>
          <w:p w14:paraId="46FFC6F2">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合同签订后80日历日</w:t>
            </w:r>
          </w:p>
        </w:tc>
        <w:tc>
          <w:tcPr>
            <w:tcW w:w="682" w:type="pct"/>
            <w:vAlign w:val="center"/>
          </w:tcPr>
          <w:p w14:paraId="66DF1D43">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56.97</w:t>
            </w:r>
          </w:p>
        </w:tc>
        <w:tc>
          <w:tcPr>
            <w:tcW w:w="663" w:type="pct"/>
            <w:vAlign w:val="center"/>
          </w:tcPr>
          <w:p w14:paraId="743C034E">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56.97</w:t>
            </w:r>
          </w:p>
        </w:tc>
        <w:tc>
          <w:tcPr>
            <w:tcW w:w="663" w:type="pct"/>
            <w:vAlign w:val="center"/>
          </w:tcPr>
          <w:p w14:paraId="68D7AD81">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r>
      <w:tr w14:paraId="13B9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2710344E">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88" w:type="pct"/>
            <w:vAlign w:val="center"/>
          </w:tcPr>
          <w:p w14:paraId="30661BA4">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纳米分辨可视化原位力-热耦合测试系统</w:t>
            </w:r>
          </w:p>
        </w:tc>
        <w:tc>
          <w:tcPr>
            <w:tcW w:w="384" w:type="pct"/>
            <w:vAlign w:val="center"/>
          </w:tcPr>
          <w:p w14:paraId="338DFFD1">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7" w:type="pct"/>
            <w:vAlign w:val="center"/>
          </w:tcPr>
          <w:p w14:paraId="56BD4FF5">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免费质保</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年，终身提供技术支持。</w:t>
            </w:r>
          </w:p>
        </w:tc>
        <w:tc>
          <w:tcPr>
            <w:tcW w:w="805" w:type="pct"/>
            <w:vAlign w:val="center"/>
          </w:tcPr>
          <w:p w14:paraId="2DA2E8A6">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合同签订后210日历日</w:t>
            </w:r>
          </w:p>
        </w:tc>
        <w:tc>
          <w:tcPr>
            <w:tcW w:w="682" w:type="pct"/>
            <w:vAlign w:val="center"/>
          </w:tcPr>
          <w:p w14:paraId="55155468">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645</w:t>
            </w:r>
          </w:p>
        </w:tc>
        <w:tc>
          <w:tcPr>
            <w:tcW w:w="663" w:type="pct"/>
            <w:vAlign w:val="center"/>
          </w:tcPr>
          <w:p w14:paraId="4B1D028E">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645</w:t>
            </w:r>
          </w:p>
        </w:tc>
        <w:tc>
          <w:tcPr>
            <w:tcW w:w="663" w:type="pct"/>
            <w:vAlign w:val="center"/>
          </w:tcPr>
          <w:p w14:paraId="4E400BA9">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r>
      <w:tr w14:paraId="72DF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3089EB10">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888" w:type="pct"/>
            <w:vAlign w:val="center"/>
          </w:tcPr>
          <w:p w14:paraId="20D15CA5">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草酸酯合成反应及精馏装置</w:t>
            </w:r>
          </w:p>
        </w:tc>
        <w:tc>
          <w:tcPr>
            <w:tcW w:w="384" w:type="pct"/>
            <w:vAlign w:val="center"/>
          </w:tcPr>
          <w:p w14:paraId="2E08B55E">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7" w:type="pct"/>
            <w:vAlign w:val="center"/>
          </w:tcPr>
          <w:p w14:paraId="4D438EF8">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质保期自甲、乙双方对货物完成验收之日起计算，质保期时长为</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年。</w:t>
            </w:r>
          </w:p>
        </w:tc>
        <w:tc>
          <w:tcPr>
            <w:tcW w:w="805" w:type="pct"/>
            <w:vAlign w:val="center"/>
          </w:tcPr>
          <w:p w14:paraId="350CCBC2">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中标人需在合同签订并收到采购人支付的预付款后的1</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0个日历日内，完成符合本技术规范要求的草酸酯合成反应及精馏装置的设计、制造、检验、包装、运输及交货工作，确保设备按时送达采购人指定地点。采购人需在签订合同之日起5个工作日内完成预付款支付。</w:t>
            </w:r>
          </w:p>
        </w:tc>
        <w:tc>
          <w:tcPr>
            <w:tcW w:w="682" w:type="pct"/>
            <w:vAlign w:val="center"/>
          </w:tcPr>
          <w:p w14:paraId="633B40E0">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w:t>
            </w:r>
          </w:p>
        </w:tc>
        <w:tc>
          <w:tcPr>
            <w:tcW w:w="663" w:type="pct"/>
            <w:vAlign w:val="center"/>
          </w:tcPr>
          <w:p w14:paraId="6FDC3F1B">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w:t>
            </w:r>
          </w:p>
        </w:tc>
        <w:tc>
          <w:tcPr>
            <w:tcW w:w="663" w:type="pct"/>
            <w:vAlign w:val="center"/>
          </w:tcPr>
          <w:p w14:paraId="238D2238">
            <w:pPr>
              <w:pStyle w:val="84"/>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r>
      <w:tr w14:paraId="075E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49AB4633">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888" w:type="pct"/>
            <w:vAlign w:val="center"/>
          </w:tcPr>
          <w:p w14:paraId="62CAF8F8">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 公斤电热法制电石装置</w:t>
            </w:r>
          </w:p>
        </w:tc>
        <w:tc>
          <w:tcPr>
            <w:tcW w:w="384" w:type="pct"/>
            <w:vAlign w:val="center"/>
          </w:tcPr>
          <w:p w14:paraId="7C103B62">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54CA6144">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3年</w:t>
            </w:r>
          </w:p>
        </w:tc>
        <w:tc>
          <w:tcPr>
            <w:tcW w:w="805" w:type="pct"/>
            <w:vAlign w:val="center"/>
          </w:tcPr>
          <w:p w14:paraId="72A180A9">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合同签订后90日历日</w:t>
            </w:r>
          </w:p>
        </w:tc>
        <w:tc>
          <w:tcPr>
            <w:tcW w:w="682" w:type="pct"/>
            <w:vAlign w:val="center"/>
          </w:tcPr>
          <w:p w14:paraId="3183D16B">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120</w:t>
            </w:r>
          </w:p>
        </w:tc>
        <w:tc>
          <w:tcPr>
            <w:tcW w:w="663" w:type="pct"/>
            <w:vAlign w:val="center"/>
          </w:tcPr>
          <w:p w14:paraId="212ABE41">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120</w:t>
            </w:r>
          </w:p>
        </w:tc>
        <w:tc>
          <w:tcPr>
            <w:tcW w:w="663" w:type="pct"/>
            <w:vAlign w:val="center"/>
          </w:tcPr>
          <w:p w14:paraId="00958222">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2216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4AC2B6FE">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888" w:type="pct"/>
            <w:vAlign w:val="center"/>
          </w:tcPr>
          <w:p w14:paraId="0C4ECD4D">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数字智能化催化剂制备放大平台</w:t>
            </w:r>
          </w:p>
        </w:tc>
        <w:tc>
          <w:tcPr>
            <w:tcW w:w="384" w:type="pct"/>
            <w:vAlign w:val="center"/>
          </w:tcPr>
          <w:p w14:paraId="71B84A1C">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19C42BD9">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3年</w:t>
            </w:r>
          </w:p>
        </w:tc>
        <w:tc>
          <w:tcPr>
            <w:tcW w:w="805" w:type="pct"/>
            <w:vAlign w:val="center"/>
          </w:tcPr>
          <w:p w14:paraId="16AC13A6">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合同签订后90日历日</w:t>
            </w:r>
          </w:p>
        </w:tc>
        <w:tc>
          <w:tcPr>
            <w:tcW w:w="682" w:type="pct"/>
            <w:vAlign w:val="center"/>
          </w:tcPr>
          <w:p w14:paraId="58370EC4">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239.65</w:t>
            </w:r>
          </w:p>
        </w:tc>
        <w:tc>
          <w:tcPr>
            <w:tcW w:w="663" w:type="pct"/>
            <w:vAlign w:val="center"/>
          </w:tcPr>
          <w:p w14:paraId="1F01375C">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239.65</w:t>
            </w:r>
          </w:p>
        </w:tc>
        <w:tc>
          <w:tcPr>
            <w:tcW w:w="663" w:type="pct"/>
            <w:vAlign w:val="center"/>
          </w:tcPr>
          <w:p w14:paraId="65E530BA">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125D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0A89B302">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888" w:type="pct"/>
            <w:vAlign w:val="center"/>
          </w:tcPr>
          <w:p w14:paraId="400DF3FC">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数字智能化催化加氢反应装置</w:t>
            </w:r>
          </w:p>
        </w:tc>
        <w:tc>
          <w:tcPr>
            <w:tcW w:w="384" w:type="pct"/>
            <w:vAlign w:val="center"/>
          </w:tcPr>
          <w:p w14:paraId="7F81FB49">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257A87A7">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3年</w:t>
            </w:r>
          </w:p>
        </w:tc>
        <w:tc>
          <w:tcPr>
            <w:tcW w:w="805" w:type="pct"/>
            <w:vAlign w:val="center"/>
          </w:tcPr>
          <w:p w14:paraId="195C7AF6">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合同签订后90日历日</w:t>
            </w:r>
          </w:p>
        </w:tc>
        <w:tc>
          <w:tcPr>
            <w:tcW w:w="682" w:type="pct"/>
            <w:vAlign w:val="center"/>
          </w:tcPr>
          <w:p w14:paraId="1F851C42">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328.38</w:t>
            </w:r>
          </w:p>
        </w:tc>
        <w:tc>
          <w:tcPr>
            <w:tcW w:w="663" w:type="pct"/>
            <w:vAlign w:val="center"/>
          </w:tcPr>
          <w:p w14:paraId="35C93FB8">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328.38</w:t>
            </w:r>
          </w:p>
        </w:tc>
        <w:tc>
          <w:tcPr>
            <w:tcW w:w="663" w:type="pct"/>
            <w:vAlign w:val="center"/>
          </w:tcPr>
          <w:p w14:paraId="444B24F6">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116F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6E7078E7">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888" w:type="pct"/>
            <w:vAlign w:val="center"/>
          </w:tcPr>
          <w:p w14:paraId="58654E80">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数字智能化醋酸乙烯酯和氯乙烯装置</w:t>
            </w:r>
          </w:p>
        </w:tc>
        <w:tc>
          <w:tcPr>
            <w:tcW w:w="384" w:type="pct"/>
            <w:vAlign w:val="center"/>
          </w:tcPr>
          <w:p w14:paraId="181FA377">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0B0EC24D">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3年</w:t>
            </w:r>
          </w:p>
        </w:tc>
        <w:tc>
          <w:tcPr>
            <w:tcW w:w="805" w:type="pct"/>
            <w:vAlign w:val="center"/>
          </w:tcPr>
          <w:p w14:paraId="68ACD3B1">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合同签订后90日历日</w:t>
            </w:r>
          </w:p>
        </w:tc>
        <w:tc>
          <w:tcPr>
            <w:tcW w:w="682" w:type="pct"/>
            <w:vAlign w:val="center"/>
          </w:tcPr>
          <w:p w14:paraId="165CED01">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356.16</w:t>
            </w:r>
          </w:p>
        </w:tc>
        <w:tc>
          <w:tcPr>
            <w:tcW w:w="663" w:type="pct"/>
            <w:vAlign w:val="center"/>
          </w:tcPr>
          <w:p w14:paraId="659E8F6E">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356.16</w:t>
            </w:r>
          </w:p>
        </w:tc>
        <w:tc>
          <w:tcPr>
            <w:tcW w:w="663" w:type="pct"/>
            <w:vAlign w:val="center"/>
          </w:tcPr>
          <w:p w14:paraId="5CC207E4">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是</w:t>
            </w:r>
          </w:p>
        </w:tc>
      </w:tr>
      <w:tr w14:paraId="35B3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790A560F">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888" w:type="pct"/>
            <w:vAlign w:val="center"/>
          </w:tcPr>
          <w:p w14:paraId="0E18D567">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数字智能化共聚物制备反应装置</w:t>
            </w:r>
          </w:p>
        </w:tc>
        <w:tc>
          <w:tcPr>
            <w:tcW w:w="384" w:type="pct"/>
            <w:vAlign w:val="center"/>
          </w:tcPr>
          <w:p w14:paraId="434B500F">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70CA6D10">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3年</w:t>
            </w:r>
          </w:p>
        </w:tc>
        <w:tc>
          <w:tcPr>
            <w:tcW w:w="805" w:type="pct"/>
            <w:vAlign w:val="center"/>
          </w:tcPr>
          <w:p w14:paraId="038DD19B">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合同签订后90日历日</w:t>
            </w:r>
          </w:p>
        </w:tc>
        <w:tc>
          <w:tcPr>
            <w:tcW w:w="682" w:type="pct"/>
            <w:vAlign w:val="center"/>
          </w:tcPr>
          <w:p w14:paraId="58325C1B">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356.65</w:t>
            </w:r>
          </w:p>
        </w:tc>
        <w:tc>
          <w:tcPr>
            <w:tcW w:w="663" w:type="pct"/>
            <w:vAlign w:val="center"/>
          </w:tcPr>
          <w:p w14:paraId="08CE4A75">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356.65</w:t>
            </w:r>
          </w:p>
        </w:tc>
        <w:tc>
          <w:tcPr>
            <w:tcW w:w="663" w:type="pct"/>
            <w:vAlign w:val="center"/>
          </w:tcPr>
          <w:p w14:paraId="7C576BB9">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是</w:t>
            </w:r>
          </w:p>
        </w:tc>
      </w:tr>
      <w:tr w14:paraId="3C91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53" w:type="pct"/>
            <w:vAlign w:val="center"/>
          </w:tcPr>
          <w:p w14:paraId="674CA7E6">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888" w:type="pct"/>
            <w:vAlign w:val="center"/>
          </w:tcPr>
          <w:p w14:paraId="7A06009B">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高效合成BDO全流程模试装置</w:t>
            </w:r>
          </w:p>
        </w:tc>
        <w:tc>
          <w:tcPr>
            <w:tcW w:w="384" w:type="pct"/>
            <w:vAlign w:val="center"/>
          </w:tcPr>
          <w:p w14:paraId="3EE642C9">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0B926C0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00" w:lineRule="exact"/>
              <w:ind w:left="0" w:right="0" w:firstLine="220" w:firstLineChars="200"/>
              <w:textAlignment w:val="auto"/>
              <w:rPr>
                <w:rFonts w:hint="eastAsia" w:ascii="宋体" w:hAnsi="宋体" w:eastAsia="宋体" w:cs="宋体"/>
                <w:sz w:val="11"/>
                <w:szCs w:val="11"/>
                <w:highlight w:val="none"/>
              </w:rPr>
            </w:pPr>
            <w:r>
              <w:rPr>
                <w:rFonts w:hint="eastAsia" w:ascii="宋体" w:hAnsi="宋体" w:eastAsia="宋体" w:cs="宋体"/>
                <w:sz w:val="11"/>
                <w:szCs w:val="11"/>
                <w:highlight w:val="none"/>
              </w:rPr>
              <w:t>质保期自甲、乙双方对货物完成验收之日起计算，质保期时长为</w:t>
            </w:r>
            <w:r>
              <w:rPr>
                <w:rFonts w:hint="eastAsia" w:ascii="宋体" w:hAnsi="宋体" w:eastAsia="宋体" w:cs="宋体"/>
                <w:sz w:val="11"/>
                <w:szCs w:val="11"/>
                <w:highlight w:val="none"/>
                <w:lang w:val="en-US" w:eastAsia="zh-CN"/>
              </w:rPr>
              <w:t>2</w:t>
            </w:r>
            <w:r>
              <w:rPr>
                <w:rFonts w:hint="eastAsia" w:ascii="宋体" w:hAnsi="宋体" w:eastAsia="宋体" w:cs="宋体"/>
                <w:sz w:val="11"/>
                <w:szCs w:val="11"/>
                <w:highlight w:val="none"/>
              </w:rPr>
              <w:t>年。在质保期内，中标人需提供7×24小时不间断的技术服务响应，确保采购人在遇到技术问题时能及时获得支持。</w:t>
            </w:r>
          </w:p>
          <w:p w14:paraId="614603E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00" w:lineRule="exact"/>
              <w:ind w:left="0" w:right="0" w:firstLine="220" w:firstLineChars="200"/>
              <w:textAlignment w:val="auto"/>
              <w:rPr>
                <w:rFonts w:hint="eastAsia" w:ascii="宋体" w:hAnsi="宋体" w:eastAsia="宋体" w:cs="宋体"/>
                <w:sz w:val="11"/>
                <w:szCs w:val="11"/>
                <w:highlight w:val="none"/>
              </w:rPr>
            </w:pPr>
            <w:r>
              <w:rPr>
                <w:rFonts w:hint="eastAsia" w:ascii="宋体" w:hAnsi="宋体" w:eastAsia="宋体" w:cs="宋体"/>
                <w:sz w:val="11"/>
                <w:szCs w:val="11"/>
                <w:highlight w:val="none"/>
              </w:rPr>
              <w:t>1）质保期内，如设备发生质量问题，采购人发出通知后，中标人需在24小时内做出明确的技术响应，提供解决方案；对于需现场处理的问题，中标人需在2-5个工作日内派遣专业技术人员到达现场，提供无偿维修服务，并免费更换因原材料缺陷、制造工艺问题或安装质量问题导致故障的设备及零部件，确保系统恢复正常运行。维修完成后，中标人需提供维修报告，详细说明故障原因、维修措施及更换的零部件情况。</w:t>
            </w:r>
          </w:p>
          <w:p w14:paraId="4EF81E9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00" w:lineRule="exact"/>
              <w:ind w:left="0" w:right="0" w:firstLine="220" w:firstLineChars="200"/>
              <w:textAlignment w:val="auto"/>
              <w:rPr>
                <w:rFonts w:hint="eastAsia" w:ascii="宋体" w:hAnsi="宋体" w:eastAsia="宋体" w:cs="宋体"/>
                <w:sz w:val="11"/>
                <w:szCs w:val="11"/>
                <w:highlight w:val="none"/>
              </w:rPr>
            </w:pPr>
            <w:r>
              <w:rPr>
                <w:rFonts w:hint="eastAsia" w:ascii="宋体" w:hAnsi="宋体" w:eastAsia="宋体" w:cs="宋体"/>
                <w:sz w:val="11"/>
                <w:szCs w:val="11"/>
                <w:highlight w:val="none"/>
              </w:rPr>
              <w:t>2）因采购人人为操作失误、不当使用或不可抗力因素导致的设备损坏，中标人有义务提供维修服务，但需收取合理的维修费用及零部件成本费用，费用标准需在投标文件中明确列出。</w:t>
            </w:r>
          </w:p>
          <w:p w14:paraId="7B1AB54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00" w:lineRule="exact"/>
              <w:ind w:left="0" w:right="0" w:firstLine="220" w:firstLineChars="200"/>
              <w:textAlignment w:val="auto"/>
              <w:rPr>
                <w:rFonts w:hint="eastAsia" w:ascii="宋体" w:hAnsi="宋体" w:eastAsia="宋体" w:cs="宋体"/>
                <w:sz w:val="11"/>
                <w:szCs w:val="11"/>
                <w:highlight w:val="none"/>
              </w:rPr>
            </w:pPr>
            <w:r>
              <w:rPr>
                <w:rFonts w:hint="eastAsia" w:ascii="宋体" w:hAnsi="宋体" w:eastAsia="宋体" w:cs="宋体"/>
                <w:sz w:val="11"/>
                <w:szCs w:val="11"/>
                <w:highlight w:val="none"/>
              </w:rPr>
              <w:t>3）超出质保期后，中标人仍需提供终身上门维修服务，维修费用及零部件价格需在投标文件中明确报价，且价格需具有合理性及竞争力；同时需承诺在接到采购人维修需求后，7个工作日内派遣技术人员到达现场进行维修服务。</w:t>
            </w:r>
          </w:p>
          <w:p w14:paraId="286FE479">
            <w:pPr>
              <w:pStyle w:val="85"/>
              <w:keepNext w:val="0"/>
              <w:keepLines w:val="0"/>
              <w:pageBreakBefore w:val="0"/>
              <w:suppressLineNumbers w:val="0"/>
              <w:kinsoku/>
              <w:wordWrap/>
              <w:overflowPunct/>
              <w:topLinePunct w:val="0"/>
              <w:autoSpaceDE/>
              <w:autoSpaceDN/>
              <w:bidi w:val="0"/>
              <w:adjustRightInd/>
              <w:spacing w:before="0" w:beforeAutospacing="0" w:after="0" w:afterAutospacing="0" w:line="200" w:lineRule="exact"/>
              <w:ind w:left="0" w:right="0"/>
              <w:jc w:val="center"/>
              <w:textAlignment w:val="auto"/>
              <w:rPr>
                <w:rFonts w:hint="eastAsia" w:ascii="宋体" w:hAnsi="宋体" w:eastAsia="宋体" w:cs="宋体"/>
                <w:sz w:val="11"/>
                <w:szCs w:val="11"/>
                <w:highlight w:val="none"/>
              </w:rPr>
            </w:pPr>
          </w:p>
        </w:tc>
        <w:tc>
          <w:tcPr>
            <w:tcW w:w="805" w:type="pct"/>
            <w:vAlign w:val="center"/>
          </w:tcPr>
          <w:p w14:paraId="2A3E2C79">
            <w:pPr>
              <w:pStyle w:val="85"/>
              <w:keepNext w:val="0"/>
              <w:keepLines w:val="0"/>
              <w:pageBreakBefore w:val="0"/>
              <w:suppressLineNumbers w:val="0"/>
              <w:kinsoku/>
              <w:wordWrap/>
              <w:overflowPunct/>
              <w:topLinePunct w:val="0"/>
              <w:autoSpaceDE/>
              <w:autoSpaceDN/>
              <w:bidi w:val="0"/>
              <w:adjustRightInd/>
              <w:spacing w:before="0" w:beforeAutospacing="0" w:after="0" w:afterAutospacing="0" w:line="200" w:lineRule="exact"/>
              <w:ind w:left="0" w:right="0"/>
              <w:jc w:val="center"/>
              <w:textAlignment w:val="auto"/>
              <w:rPr>
                <w:rFonts w:hint="eastAsia" w:ascii="宋体" w:hAnsi="宋体" w:eastAsia="宋体" w:cs="宋体"/>
                <w:sz w:val="11"/>
                <w:szCs w:val="11"/>
                <w:highlight w:val="none"/>
              </w:rPr>
            </w:pPr>
            <w:r>
              <w:rPr>
                <w:rFonts w:hint="eastAsia" w:ascii="宋体" w:hAnsi="宋体" w:eastAsia="宋体" w:cs="宋体"/>
                <w:sz w:val="11"/>
                <w:szCs w:val="11"/>
                <w:highlight w:val="none"/>
              </w:rPr>
              <w:t>合同签订并收到预付款后150日历日内完成全套设备设计、制造、出厂测试、运输至采购人现场并完成安装调试；</w:t>
            </w:r>
          </w:p>
        </w:tc>
        <w:tc>
          <w:tcPr>
            <w:tcW w:w="682" w:type="pct"/>
            <w:vAlign w:val="center"/>
          </w:tcPr>
          <w:p w14:paraId="24F88F01">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478.9</w:t>
            </w:r>
          </w:p>
        </w:tc>
        <w:tc>
          <w:tcPr>
            <w:tcW w:w="663" w:type="pct"/>
            <w:vAlign w:val="center"/>
          </w:tcPr>
          <w:p w14:paraId="21CDE178">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478.9</w:t>
            </w:r>
          </w:p>
        </w:tc>
        <w:tc>
          <w:tcPr>
            <w:tcW w:w="663" w:type="pct"/>
            <w:vAlign w:val="center"/>
          </w:tcPr>
          <w:p w14:paraId="1F915A5E">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1C19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0" w:hRule="atLeast"/>
        </w:trPr>
        <w:tc>
          <w:tcPr>
            <w:tcW w:w="353" w:type="pct"/>
            <w:vAlign w:val="center"/>
          </w:tcPr>
          <w:p w14:paraId="44C8CF29">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888" w:type="pct"/>
            <w:vAlign w:val="center"/>
          </w:tcPr>
          <w:p w14:paraId="30FE153E">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醋酸乙烯氢甲酰化单管实验装置</w:t>
            </w:r>
          </w:p>
        </w:tc>
        <w:tc>
          <w:tcPr>
            <w:tcW w:w="384" w:type="pct"/>
            <w:vAlign w:val="center"/>
          </w:tcPr>
          <w:p w14:paraId="382B6CE3">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7D1901E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160" w:lineRule="exact"/>
              <w:ind w:left="0" w:right="0" w:firstLine="300" w:firstLineChars="200"/>
              <w:textAlignment w:val="auto"/>
              <w:rPr>
                <w:rFonts w:hint="eastAsia" w:ascii="宋体" w:hAnsi="宋体" w:eastAsia="宋体" w:cs="宋体"/>
                <w:sz w:val="15"/>
                <w:szCs w:val="15"/>
                <w:highlight w:val="none"/>
              </w:rPr>
            </w:pPr>
            <w:r>
              <w:rPr>
                <w:rFonts w:hint="eastAsia" w:ascii="宋体" w:hAnsi="宋体" w:eastAsia="宋体" w:cs="宋体"/>
                <w:sz w:val="15"/>
                <w:szCs w:val="15"/>
                <w:highlight w:val="none"/>
              </w:rPr>
              <w:t>质保期自甲、乙双方对货物完成验收之日起计算，质保期时长为</w:t>
            </w:r>
            <w:r>
              <w:rPr>
                <w:rFonts w:hint="eastAsia" w:ascii="宋体" w:hAnsi="宋体" w:eastAsia="宋体" w:cs="宋体"/>
                <w:sz w:val="15"/>
                <w:szCs w:val="15"/>
                <w:highlight w:val="none"/>
                <w:lang w:val="en-US" w:eastAsia="zh-CN"/>
              </w:rPr>
              <w:t>3</w:t>
            </w:r>
            <w:r>
              <w:rPr>
                <w:rFonts w:hint="eastAsia" w:ascii="宋体" w:hAnsi="宋体" w:eastAsia="宋体" w:cs="宋体"/>
                <w:sz w:val="15"/>
                <w:szCs w:val="15"/>
                <w:highlight w:val="none"/>
              </w:rPr>
              <w:t>年。剩余为中标厂家承保在质保期内，中标人需提供7×24小时不间断的技术服务响应，确保采购人在遇到技术问题时能及时获得支持。</w:t>
            </w:r>
          </w:p>
          <w:p w14:paraId="2B94A34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160" w:lineRule="exact"/>
              <w:ind w:left="0" w:right="0" w:firstLine="300" w:firstLineChars="200"/>
              <w:textAlignment w:val="auto"/>
              <w:rPr>
                <w:rFonts w:hint="eastAsia" w:ascii="宋体" w:hAnsi="宋体" w:eastAsia="宋体" w:cs="宋体"/>
                <w:sz w:val="15"/>
                <w:szCs w:val="15"/>
                <w:highlight w:val="none"/>
              </w:rPr>
            </w:pPr>
            <w:r>
              <w:rPr>
                <w:rFonts w:hint="eastAsia" w:ascii="宋体" w:hAnsi="宋体" w:eastAsia="宋体" w:cs="宋体"/>
                <w:sz w:val="15"/>
                <w:szCs w:val="15"/>
                <w:highlight w:val="none"/>
              </w:rPr>
              <w:t>1）质保期内，如设备发生质量问题，采购人发出通知后，中标人需在24小时内做出明确的技术响应，提供解决方案；对于需现场处理的问题，中标人需在2-5个工作日内派遣专业技术人员到达现场，提供无偿维修服务，并免费更换因原材料缺陷、制造工艺问题或安装质量问题导致故障的设备及零部件，确保系统恢复正常运行。维修完成后，中标人需提供维修报告，详细说明故障原因、维修措施及更换的零部件情况。</w:t>
            </w:r>
          </w:p>
          <w:p w14:paraId="75620BA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160" w:lineRule="exact"/>
              <w:ind w:left="0" w:right="0" w:firstLine="300" w:firstLineChars="200"/>
              <w:textAlignment w:val="auto"/>
              <w:rPr>
                <w:rFonts w:hint="eastAsia" w:ascii="宋体" w:hAnsi="宋体" w:eastAsia="宋体" w:cs="宋体"/>
                <w:sz w:val="15"/>
                <w:szCs w:val="15"/>
                <w:highlight w:val="none"/>
              </w:rPr>
            </w:pPr>
            <w:r>
              <w:rPr>
                <w:rFonts w:hint="eastAsia" w:ascii="宋体" w:hAnsi="宋体" w:eastAsia="宋体" w:cs="宋体"/>
                <w:sz w:val="15"/>
                <w:szCs w:val="15"/>
                <w:highlight w:val="none"/>
              </w:rPr>
              <w:t>2）因采购人人为操作失误、不当使用或不可抗力因素导致的设备损坏，中标人有义务提供维修服务，但需收取合理的维修费用及零部件成本费用，费用标准需在投标文件中明确列出。</w:t>
            </w:r>
          </w:p>
          <w:p w14:paraId="612B30E8">
            <w:pPr>
              <w:pStyle w:val="85"/>
              <w:keepNext w:val="0"/>
              <w:keepLines w:val="0"/>
              <w:pageBreakBefore w:val="0"/>
              <w:suppressLineNumbers w:val="0"/>
              <w:kinsoku/>
              <w:wordWrap/>
              <w:overflowPunct/>
              <w:topLinePunct w:val="0"/>
              <w:autoSpaceDE/>
              <w:autoSpaceDN/>
              <w:bidi w:val="0"/>
              <w:adjustRightInd/>
              <w:spacing w:before="0" w:beforeAutospacing="0" w:after="0" w:afterAutospacing="0" w:line="160" w:lineRule="exact"/>
              <w:ind w:left="0" w:right="0"/>
              <w:jc w:val="center"/>
              <w:textAlignment w:val="auto"/>
              <w:rPr>
                <w:rFonts w:hint="eastAsia" w:ascii="宋体" w:hAnsi="宋体" w:eastAsia="宋体" w:cs="宋体"/>
                <w:sz w:val="15"/>
                <w:szCs w:val="15"/>
                <w:highlight w:val="none"/>
              </w:rPr>
            </w:pPr>
            <w:r>
              <w:rPr>
                <w:rFonts w:hint="eastAsia" w:ascii="宋体" w:hAnsi="宋体" w:eastAsia="宋体" w:cs="宋体"/>
                <w:sz w:val="15"/>
                <w:szCs w:val="15"/>
                <w:highlight w:val="none"/>
              </w:rPr>
              <w:t>3）超出质保期后，中标人仍需提供终身上门维修服务，维修费用及零部件价格需在投标文件中明确报价，且价格需具有合理性及竞争力；同时需承诺在接到采购人维修需求后，7个工作日内派遣技术人员到达现场进行维修服务</w:t>
            </w:r>
          </w:p>
        </w:tc>
        <w:tc>
          <w:tcPr>
            <w:tcW w:w="805" w:type="pct"/>
            <w:vAlign w:val="center"/>
          </w:tcPr>
          <w:p w14:paraId="7459CF47">
            <w:pPr>
              <w:pStyle w:val="85"/>
              <w:keepNext w:val="0"/>
              <w:keepLines w:val="0"/>
              <w:pageBreakBefore w:val="0"/>
              <w:suppressLineNumbers w:val="0"/>
              <w:kinsoku/>
              <w:wordWrap/>
              <w:overflowPunct/>
              <w:topLinePunct w:val="0"/>
              <w:autoSpaceDE/>
              <w:autoSpaceDN/>
              <w:bidi w:val="0"/>
              <w:adjustRightInd/>
              <w:spacing w:before="0" w:beforeAutospacing="0" w:after="0" w:afterAutospacing="0" w:line="160" w:lineRule="exact"/>
              <w:ind w:left="0" w:right="0"/>
              <w:jc w:val="center"/>
              <w:textAlignment w:val="auto"/>
              <w:rPr>
                <w:rFonts w:hint="eastAsia" w:ascii="宋体" w:hAnsi="宋体" w:eastAsia="宋体" w:cs="宋体"/>
                <w:sz w:val="15"/>
                <w:szCs w:val="15"/>
                <w:highlight w:val="none"/>
              </w:rPr>
            </w:pPr>
            <w:r>
              <w:rPr>
                <w:rFonts w:hint="eastAsia" w:ascii="宋体" w:hAnsi="宋体" w:eastAsia="宋体" w:cs="宋体"/>
                <w:color w:val="000000"/>
                <w:sz w:val="15"/>
                <w:szCs w:val="15"/>
                <w:highlight w:val="none"/>
              </w:rPr>
              <w:t>签订合同后150天内完成全套设备的设计、制造、出厂测试、运输至采购人现场并完成安装调试；</w:t>
            </w:r>
          </w:p>
        </w:tc>
        <w:tc>
          <w:tcPr>
            <w:tcW w:w="682" w:type="pct"/>
            <w:vAlign w:val="center"/>
          </w:tcPr>
          <w:p w14:paraId="47A24C92">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345</w:t>
            </w:r>
          </w:p>
        </w:tc>
        <w:tc>
          <w:tcPr>
            <w:tcW w:w="663" w:type="pct"/>
            <w:vAlign w:val="center"/>
          </w:tcPr>
          <w:p w14:paraId="7C937EB9">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345</w:t>
            </w:r>
          </w:p>
        </w:tc>
        <w:tc>
          <w:tcPr>
            <w:tcW w:w="663" w:type="pct"/>
            <w:vAlign w:val="center"/>
          </w:tcPr>
          <w:p w14:paraId="260586C5">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794E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27FD1223">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888" w:type="pct"/>
            <w:vAlign w:val="center"/>
          </w:tcPr>
          <w:p w14:paraId="17566AF8">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固体废弃物建材制备系统</w:t>
            </w:r>
          </w:p>
        </w:tc>
        <w:tc>
          <w:tcPr>
            <w:tcW w:w="384" w:type="pct"/>
            <w:vAlign w:val="center"/>
          </w:tcPr>
          <w:p w14:paraId="1E69EC42">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383A102A">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本项目要求货物质保期</w:t>
            </w:r>
            <w:r>
              <w:rPr>
                <w:rFonts w:hint="eastAsia" w:ascii="宋体" w:hAnsi="宋体" w:eastAsia="宋体" w:cs="宋体"/>
                <w:color w:val="000000"/>
                <w:sz w:val="18"/>
                <w:szCs w:val="18"/>
                <w:highlight w:val="none"/>
                <w:lang w:val="en-US" w:eastAsia="zh-CN"/>
              </w:rPr>
              <w:t>3</w:t>
            </w:r>
            <w:r>
              <w:rPr>
                <w:rFonts w:hint="eastAsia" w:ascii="宋体" w:hAnsi="宋体" w:eastAsia="宋体" w:cs="宋体"/>
                <w:color w:val="000000"/>
                <w:sz w:val="18"/>
                <w:szCs w:val="18"/>
                <w:highlight w:val="none"/>
              </w:rPr>
              <w:t>年，其中第一年为厂家质保，后续年份为供应商质保。</w:t>
            </w:r>
          </w:p>
        </w:tc>
        <w:tc>
          <w:tcPr>
            <w:tcW w:w="805" w:type="pct"/>
            <w:vAlign w:val="center"/>
          </w:tcPr>
          <w:p w14:paraId="0850B84F">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合同签订后60日历日</w:t>
            </w:r>
          </w:p>
        </w:tc>
        <w:tc>
          <w:tcPr>
            <w:tcW w:w="682" w:type="pct"/>
            <w:vAlign w:val="center"/>
          </w:tcPr>
          <w:p w14:paraId="792B47EE">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663" w:type="pct"/>
            <w:vAlign w:val="center"/>
          </w:tcPr>
          <w:p w14:paraId="5206C4DB">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663" w:type="pct"/>
            <w:vAlign w:val="center"/>
          </w:tcPr>
          <w:p w14:paraId="3D354BA4">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3C54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21D3EA75">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888" w:type="pct"/>
            <w:vAlign w:val="center"/>
          </w:tcPr>
          <w:p w14:paraId="0DD818E5">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高温高压腐蚀疲劳试验系统</w:t>
            </w:r>
          </w:p>
        </w:tc>
        <w:tc>
          <w:tcPr>
            <w:tcW w:w="384" w:type="pct"/>
            <w:vAlign w:val="center"/>
          </w:tcPr>
          <w:p w14:paraId="4EFEA7FD">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1套</w:t>
            </w:r>
          </w:p>
        </w:tc>
        <w:tc>
          <w:tcPr>
            <w:tcW w:w="557" w:type="pct"/>
            <w:vAlign w:val="center"/>
          </w:tcPr>
          <w:p w14:paraId="618F89C9">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整个系统质保期三年</w:t>
            </w:r>
          </w:p>
        </w:tc>
        <w:tc>
          <w:tcPr>
            <w:tcW w:w="805" w:type="pct"/>
            <w:vAlign w:val="center"/>
          </w:tcPr>
          <w:p w14:paraId="7B5E2F3B">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合同签订后90日历日</w:t>
            </w:r>
          </w:p>
        </w:tc>
        <w:tc>
          <w:tcPr>
            <w:tcW w:w="682" w:type="pct"/>
            <w:vAlign w:val="center"/>
          </w:tcPr>
          <w:p w14:paraId="1F60DC6B">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165.00</w:t>
            </w:r>
          </w:p>
        </w:tc>
        <w:tc>
          <w:tcPr>
            <w:tcW w:w="663" w:type="pct"/>
            <w:vAlign w:val="center"/>
          </w:tcPr>
          <w:p w14:paraId="000B8E09">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165.00</w:t>
            </w:r>
          </w:p>
        </w:tc>
        <w:tc>
          <w:tcPr>
            <w:tcW w:w="663" w:type="pct"/>
            <w:vAlign w:val="center"/>
          </w:tcPr>
          <w:p w14:paraId="014C59D5">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36B6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06AB8A32">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888" w:type="pct"/>
            <w:vAlign w:val="center"/>
          </w:tcPr>
          <w:p w14:paraId="608C5BBD">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高温应力腐蚀试验系统</w:t>
            </w:r>
          </w:p>
        </w:tc>
        <w:tc>
          <w:tcPr>
            <w:tcW w:w="384" w:type="pct"/>
            <w:vAlign w:val="center"/>
          </w:tcPr>
          <w:p w14:paraId="47BC7D95">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1套</w:t>
            </w:r>
          </w:p>
        </w:tc>
        <w:tc>
          <w:tcPr>
            <w:tcW w:w="557" w:type="pct"/>
            <w:vAlign w:val="center"/>
          </w:tcPr>
          <w:p w14:paraId="4C2AF929">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整个系统质保期三年</w:t>
            </w:r>
          </w:p>
        </w:tc>
        <w:tc>
          <w:tcPr>
            <w:tcW w:w="805" w:type="pct"/>
            <w:vAlign w:val="center"/>
          </w:tcPr>
          <w:p w14:paraId="285808D5">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合同签订后90日历日</w:t>
            </w:r>
          </w:p>
        </w:tc>
        <w:tc>
          <w:tcPr>
            <w:tcW w:w="682" w:type="pct"/>
            <w:vAlign w:val="center"/>
          </w:tcPr>
          <w:p w14:paraId="6C1EC406">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147.00</w:t>
            </w:r>
          </w:p>
        </w:tc>
        <w:tc>
          <w:tcPr>
            <w:tcW w:w="663" w:type="pct"/>
            <w:vAlign w:val="center"/>
          </w:tcPr>
          <w:p w14:paraId="3CEF2EDE">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147.00</w:t>
            </w:r>
          </w:p>
        </w:tc>
        <w:tc>
          <w:tcPr>
            <w:tcW w:w="663" w:type="pct"/>
            <w:vAlign w:val="center"/>
          </w:tcPr>
          <w:p w14:paraId="54CA557B">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33C1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35FCAE39">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888" w:type="pct"/>
            <w:vAlign w:val="center"/>
          </w:tcPr>
          <w:p w14:paraId="36A3760C">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多通道高温腐蚀试验平台</w:t>
            </w:r>
          </w:p>
        </w:tc>
        <w:tc>
          <w:tcPr>
            <w:tcW w:w="384" w:type="pct"/>
            <w:vAlign w:val="center"/>
          </w:tcPr>
          <w:p w14:paraId="1C0976E3">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1套</w:t>
            </w:r>
          </w:p>
        </w:tc>
        <w:tc>
          <w:tcPr>
            <w:tcW w:w="557" w:type="pct"/>
            <w:vAlign w:val="center"/>
          </w:tcPr>
          <w:p w14:paraId="3E32E1E2">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质保期3年，自验收之日起。</w:t>
            </w:r>
          </w:p>
        </w:tc>
        <w:tc>
          <w:tcPr>
            <w:tcW w:w="805" w:type="pct"/>
            <w:vAlign w:val="center"/>
          </w:tcPr>
          <w:p w14:paraId="2672EB31">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合同签订后270日历日</w:t>
            </w:r>
          </w:p>
        </w:tc>
        <w:tc>
          <w:tcPr>
            <w:tcW w:w="682" w:type="pct"/>
            <w:vAlign w:val="center"/>
          </w:tcPr>
          <w:p w14:paraId="5D2D6A91">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139.6</w:t>
            </w:r>
          </w:p>
        </w:tc>
        <w:tc>
          <w:tcPr>
            <w:tcW w:w="663" w:type="pct"/>
            <w:vAlign w:val="center"/>
          </w:tcPr>
          <w:p w14:paraId="75DDEFFC">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139.6</w:t>
            </w:r>
          </w:p>
        </w:tc>
        <w:tc>
          <w:tcPr>
            <w:tcW w:w="663" w:type="pct"/>
            <w:vAlign w:val="center"/>
          </w:tcPr>
          <w:p w14:paraId="232A0273">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67E3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16CF603C">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888" w:type="pct"/>
            <w:vAlign w:val="center"/>
          </w:tcPr>
          <w:p w14:paraId="32974E8E">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脱硫烟气NOx吸附-解吸与水相电催化制氨平台</w:t>
            </w:r>
          </w:p>
        </w:tc>
        <w:tc>
          <w:tcPr>
            <w:tcW w:w="384" w:type="pct"/>
            <w:vAlign w:val="center"/>
          </w:tcPr>
          <w:p w14:paraId="13EFDEEE">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38A70F7A">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质保期3年，自验收之日起。</w:t>
            </w:r>
          </w:p>
        </w:tc>
        <w:tc>
          <w:tcPr>
            <w:tcW w:w="805" w:type="pct"/>
            <w:vAlign w:val="center"/>
          </w:tcPr>
          <w:p w14:paraId="7DA162D6">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合同签订后360日历日</w:t>
            </w:r>
          </w:p>
        </w:tc>
        <w:tc>
          <w:tcPr>
            <w:tcW w:w="682" w:type="pct"/>
            <w:vAlign w:val="center"/>
          </w:tcPr>
          <w:p w14:paraId="327D6889">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398</w:t>
            </w:r>
          </w:p>
        </w:tc>
        <w:tc>
          <w:tcPr>
            <w:tcW w:w="663" w:type="pct"/>
            <w:vAlign w:val="center"/>
          </w:tcPr>
          <w:p w14:paraId="7A3FA3F0">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398</w:t>
            </w:r>
          </w:p>
        </w:tc>
        <w:tc>
          <w:tcPr>
            <w:tcW w:w="663" w:type="pct"/>
            <w:vAlign w:val="center"/>
          </w:tcPr>
          <w:p w14:paraId="6C61DBE4">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27D7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4C048145">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888" w:type="pct"/>
            <w:vAlign w:val="center"/>
          </w:tcPr>
          <w:p w14:paraId="01EA9ECE">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多通道多元介质液相腐蚀试验平台</w:t>
            </w:r>
          </w:p>
        </w:tc>
        <w:tc>
          <w:tcPr>
            <w:tcW w:w="384" w:type="pct"/>
            <w:vAlign w:val="center"/>
          </w:tcPr>
          <w:p w14:paraId="13BBA39F">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717FD586">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质保期3年，自验收之日起。</w:t>
            </w:r>
          </w:p>
        </w:tc>
        <w:tc>
          <w:tcPr>
            <w:tcW w:w="805" w:type="pct"/>
            <w:vAlign w:val="center"/>
          </w:tcPr>
          <w:p w14:paraId="42F9994E">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合同签订后240日历日</w:t>
            </w:r>
          </w:p>
        </w:tc>
        <w:tc>
          <w:tcPr>
            <w:tcW w:w="682" w:type="pct"/>
            <w:vAlign w:val="center"/>
          </w:tcPr>
          <w:p w14:paraId="079D9BCD">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79.8</w:t>
            </w:r>
          </w:p>
        </w:tc>
        <w:tc>
          <w:tcPr>
            <w:tcW w:w="663" w:type="pct"/>
            <w:vAlign w:val="center"/>
          </w:tcPr>
          <w:p w14:paraId="182E0591">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79.8</w:t>
            </w:r>
          </w:p>
        </w:tc>
        <w:tc>
          <w:tcPr>
            <w:tcW w:w="663" w:type="pct"/>
            <w:vAlign w:val="center"/>
          </w:tcPr>
          <w:p w14:paraId="5DFD504E">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35E4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2A9E484A">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888" w:type="pct"/>
            <w:vAlign w:val="center"/>
          </w:tcPr>
          <w:p w14:paraId="54777CA3">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高氯煤回转窑热解提质与喷淋吸附一体脱氯试验平台</w:t>
            </w:r>
          </w:p>
        </w:tc>
        <w:tc>
          <w:tcPr>
            <w:tcW w:w="384" w:type="pct"/>
            <w:vAlign w:val="center"/>
          </w:tcPr>
          <w:p w14:paraId="09670480">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5C7AF28A">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质保期3年，自验收之日起。</w:t>
            </w:r>
          </w:p>
        </w:tc>
        <w:tc>
          <w:tcPr>
            <w:tcW w:w="805" w:type="pct"/>
            <w:vAlign w:val="center"/>
          </w:tcPr>
          <w:p w14:paraId="52C5BC20">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合同签订后360日历日</w:t>
            </w:r>
          </w:p>
        </w:tc>
        <w:tc>
          <w:tcPr>
            <w:tcW w:w="682" w:type="pct"/>
            <w:vAlign w:val="center"/>
          </w:tcPr>
          <w:p w14:paraId="3C04B084">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496</w:t>
            </w:r>
          </w:p>
        </w:tc>
        <w:tc>
          <w:tcPr>
            <w:tcW w:w="663" w:type="pct"/>
            <w:vAlign w:val="center"/>
          </w:tcPr>
          <w:p w14:paraId="40E98D47">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496</w:t>
            </w:r>
          </w:p>
        </w:tc>
        <w:tc>
          <w:tcPr>
            <w:tcW w:w="663" w:type="pct"/>
            <w:vAlign w:val="center"/>
          </w:tcPr>
          <w:p w14:paraId="0E11761F">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1131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23D8A252">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888" w:type="pct"/>
            <w:vAlign w:val="center"/>
          </w:tcPr>
          <w:p w14:paraId="4838E019">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光催化连续反应放大分离系统</w:t>
            </w:r>
          </w:p>
        </w:tc>
        <w:tc>
          <w:tcPr>
            <w:tcW w:w="384" w:type="pct"/>
            <w:vAlign w:val="center"/>
          </w:tcPr>
          <w:p w14:paraId="73261C2D">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5B09AA28">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产品保修期为1年。</w:t>
            </w:r>
          </w:p>
        </w:tc>
        <w:tc>
          <w:tcPr>
            <w:tcW w:w="805" w:type="pct"/>
            <w:vAlign w:val="center"/>
          </w:tcPr>
          <w:p w14:paraId="3DF5B346">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合同签订后180日历日</w:t>
            </w:r>
          </w:p>
        </w:tc>
        <w:tc>
          <w:tcPr>
            <w:tcW w:w="682" w:type="pct"/>
            <w:vAlign w:val="center"/>
          </w:tcPr>
          <w:p w14:paraId="08EA15F7">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52.46</w:t>
            </w:r>
          </w:p>
        </w:tc>
        <w:tc>
          <w:tcPr>
            <w:tcW w:w="663" w:type="pct"/>
            <w:vAlign w:val="center"/>
          </w:tcPr>
          <w:p w14:paraId="5F4C5E09">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52.46</w:t>
            </w:r>
          </w:p>
        </w:tc>
        <w:tc>
          <w:tcPr>
            <w:tcW w:w="663" w:type="pct"/>
            <w:vAlign w:val="center"/>
          </w:tcPr>
          <w:p w14:paraId="037F0188">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754C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3138D321">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888" w:type="pct"/>
            <w:vAlign w:val="center"/>
          </w:tcPr>
          <w:p w14:paraId="514EA702">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电催化连续反应放大分离系统</w:t>
            </w:r>
          </w:p>
        </w:tc>
        <w:tc>
          <w:tcPr>
            <w:tcW w:w="384" w:type="pct"/>
            <w:vAlign w:val="center"/>
          </w:tcPr>
          <w:p w14:paraId="481BDF0F">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3F90E39B">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产品保修期为1年。</w:t>
            </w:r>
          </w:p>
        </w:tc>
        <w:tc>
          <w:tcPr>
            <w:tcW w:w="805" w:type="pct"/>
            <w:vAlign w:val="center"/>
          </w:tcPr>
          <w:p w14:paraId="482B0504">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合同签订后180日历日</w:t>
            </w:r>
          </w:p>
        </w:tc>
        <w:tc>
          <w:tcPr>
            <w:tcW w:w="682" w:type="pct"/>
            <w:vAlign w:val="center"/>
          </w:tcPr>
          <w:p w14:paraId="7A0A9789">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53.58</w:t>
            </w:r>
          </w:p>
        </w:tc>
        <w:tc>
          <w:tcPr>
            <w:tcW w:w="663" w:type="pct"/>
            <w:vAlign w:val="center"/>
          </w:tcPr>
          <w:p w14:paraId="5E58D58E">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53.58</w:t>
            </w:r>
          </w:p>
        </w:tc>
        <w:tc>
          <w:tcPr>
            <w:tcW w:w="663" w:type="pct"/>
            <w:vAlign w:val="center"/>
          </w:tcPr>
          <w:p w14:paraId="0E168487">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7AD3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1EBD8C89">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888" w:type="pct"/>
            <w:vAlign w:val="center"/>
          </w:tcPr>
          <w:p w14:paraId="272D267F">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气相色谱质谱联用仪</w:t>
            </w:r>
          </w:p>
        </w:tc>
        <w:tc>
          <w:tcPr>
            <w:tcW w:w="384" w:type="pct"/>
            <w:vAlign w:val="center"/>
          </w:tcPr>
          <w:p w14:paraId="00473BB3">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5AC1E643">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质保期为1年。</w:t>
            </w:r>
          </w:p>
        </w:tc>
        <w:tc>
          <w:tcPr>
            <w:tcW w:w="805" w:type="pct"/>
            <w:vAlign w:val="center"/>
          </w:tcPr>
          <w:p w14:paraId="13D9FE86">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合同签订后60日历日</w:t>
            </w:r>
          </w:p>
        </w:tc>
        <w:tc>
          <w:tcPr>
            <w:tcW w:w="682" w:type="pct"/>
            <w:vAlign w:val="center"/>
          </w:tcPr>
          <w:p w14:paraId="625711C7">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80</w:t>
            </w:r>
          </w:p>
        </w:tc>
        <w:tc>
          <w:tcPr>
            <w:tcW w:w="663" w:type="pct"/>
            <w:vAlign w:val="center"/>
          </w:tcPr>
          <w:p w14:paraId="240D81B2">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80</w:t>
            </w:r>
          </w:p>
        </w:tc>
        <w:tc>
          <w:tcPr>
            <w:tcW w:w="663" w:type="pct"/>
            <w:vAlign w:val="center"/>
          </w:tcPr>
          <w:p w14:paraId="4BF760F5">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394E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21BCB7E3">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888" w:type="pct"/>
            <w:vAlign w:val="center"/>
          </w:tcPr>
          <w:p w14:paraId="67213A6C">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制备液相色谱仪</w:t>
            </w:r>
          </w:p>
        </w:tc>
        <w:tc>
          <w:tcPr>
            <w:tcW w:w="384" w:type="pct"/>
            <w:vAlign w:val="center"/>
          </w:tcPr>
          <w:p w14:paraId="6AE9DB39">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7C901D56">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仪器安装调试、验收合格后1年。</w:t>
            </w:r>
          </w:p>
        </w:tc>
        <w:tc>
          <w:tcPr>
            <w:tcW w:w="805" w:type="pct"/>
            <w:vAlign w:val="center"/>
          </w:tcPr>
          <w:p w14:paraId="6C28D195">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合同签订后30日历日</w:t>
            </w:r>
          </w:p>
        </w:tc>
        <w:tc>
          <w:tcPr>
            <w:tcW w:w="682" w:type="pct"/>
            <w:vAlign w:val="center"/>
          </w:tcPr>
          <w:p w14:paraId="2699DF01">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663" w:type="pct"/>
            <w:vAlign w:val="center"/>
          </w:tcPr>
          <w:p w14:paraId="1F19C701">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663" w:type="pct"/>
            <w:vAlign w:val="center"/>
          </w:tcPr>
          <w:p w14:paraId="7BEB5100">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19D3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353" w:type="pct"/>
            <w:vAlign w:val="center"/>
          </w:tcPr>
          <w:p w14:paraId="2EAA6F5F">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888" w:type="pct"/>
            <w:vAlign w:val="center"/>
          </w:tcPr>
          <w:p w14:paraId="2D632CB2">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气相色谱仪</w:t>
            </w:r>
          </w:p>
        </w:tc>
        <w:tc>
          <w:tcPr>
            <w:tcW w:w="384" w:type="pct"/>
            <w:vAlign w:val="center"/>
          </w:tcPr>
          <w:p w14:paraId="1B289CEC">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699522FC">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本设备要求货物质保期</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年。</w:t>
            </w:r>
          </w:p>
        </w:tc>
        <w:tc>
          <w:tcPr>
            <w:tcW w:w="805" w:type="pct"/>
            <w:vAlign w:val="center"/>
          </w:tcPr>
          <w:p w14:paraId="66F6148A">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合同签订后40日历日</w:t>
            </w:r>
          </w:p>
        </w:tc>
        <w:tc>
          <w:tcPr>
            <w:tcW w:w="682" w:type="pct"/>
            <w:vAlign w:val="center"/>
          </w:tcPr>
          <w:p w14:paraId="02FD2CAC">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663" w:type="pct"/>
            <w:vAlign w:val="center"/>
          </w:tcPr>
          <w:p w14:paraId="67354C05">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663" w:type="pct"/>
            <w:vAlign w:val="center"/>
          </w:tcPr>
          <w:p w14:paraId="435307FE">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51A8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8" w:hRule="atLeast"/>
        </w:trPr>
        <w:tc>
          <w:tcPr>
            <w:tcW w:w="353" w:type="pct"/>
            <w:vAlign w:val="center"/>
          </w:tcPr>
          <w:p w14:paraId="28F7B6FB">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888" w:type="pct"/>
            <w:vAlign w:val="center"/>
          </w:tcPr>
          <w:p w14:paraId="1F512FB7">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高效液相色谱仪</w:t>
            </w:r>
          </w:p>
        </w:tc>
        <w:tc>
          <w:tcPr>
            <w:tcW w:w="384" w:type="pct"/>
            <w:vAlign w:val="center"/>
          </w:tcPr>
          <w:p w14:paraId="4B896A17">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119B7C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5"/>
                <w:szCs w:val="15"/>
                <w:highlight w:val="none"/>
              </w:rPr>
            </w:pPr>
            <w:r>
              <w:rPr>
                <w:rFonts w:hint="eastAsia" w:ascii="宋体" w:hAnsi="宋体" w:eastAsia="宋体" w:cs="宋体"/>
                <w:color w:val="000000"/>
                <w:sz w:val="15"/>
                <w:szCs w:val="15"/>
                <w:highlight w:val="none"/>
              </w:rPr>
              <w:t>承诺质保期内免费维护保养，免费提供备品备件等内容（消耗品除外），且自采购人通知维护之日起，24小时内务必即可响应解决设备问题不可收取任何费用。如质保期内不提供保养及解决设备问题，扣除所留余款。如结清余款的，质保期内再三要求维护不响应的，考虑纳入本单位不诚信供货单位名单。（质保期开始之日：为设备验收合格之日起）</w:t>
            </w:r>
            <w:r>
              <w:rPr>
                <w:rFonts w:hint="eastAsia" w:ascii="宋体" w:hAnsi="宋体" w:eastAsia="宋体" w:cs="宋体"/>
                <w:color w:val="000000"/>
                <w:sz w:val="15"/>
                <w:szCs w:val="15"/>
                <w:highlight w:val="none"/>
              </w:rPr>
              <w:br w:type="textWrapping"/>
            </w:r>
            <w:r>
              <w:rPr>
                <w:rFonts w:hint="eastAsia" w:ascii="宋体" w:hAnsi="宋体" w:eastAsia="宋体" w:cs="宋体"/>
                <w:color w:val="000000"/>
                <w:sz w:val="15"/>
                <w:szCs w:val="15"/>
                <w:highlight w:val="none"/>
              </w:rPr>
              <w:t>本设备要求货物质保期1年。</w:t>
            </w:r>
          </w:p>
        </w:tc>
        <w:tc>
          <w:tcPr>
            <w:tcW w:w="805" w:type="pct"/>
            <w:vAlign w:val="center"/>
          </w:tcPr>
          <w:p w14:paraId="7C8F0A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5"/>
                <w:szCs w:val="15"/>
                <w:highlight w:val="none"/>
              </w:rPr>
            </w:pPr>
            <w:r>
              <w:rPr>
                <w:rFonts w:hint="eastAsia" w:ascii="宋体" w:hAnsi="宋体" w:eastAsia="宋体" w:cs="宋体"/>
                <w:sz w:val="15"/>
                <w:szCs w:val="15"/>
                <w:highlight w:val="none"/>
              </w:rPr>
              <w:t>合同签订后40日历日</w:t>
            </w:r>
          </w:p>
        </w:tc>
        <w:tc>
          <w:tcPr>
            <w:tcW w:w="682" w:type="pct"/>
            <w:vAlign w:val="center"/>
          </w:tcPr>
          <w:p w14:paraId="25A7BEF6">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53</w:t>
            </w:r>
          </w:p>
        </w:tc>
        <w:tc>
          <w:tcPr>
            <w:tcW w:w="663" w:type="pct"/>
            <w:vAlign w:val="center"/>
          </w:tcPr>
          <w:p w14:paraId="6083F57D">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53</w:t>
            </w:r>
          </w:p>
        </w:tc>
        <w:tc>
          <w:tcPr>
            <w:tcW w:w="663" w:type="pct"/>
            <w:vAlign w:val="center"/>
          </w:tcPr>
          <w:p w14:paraId="4ED254E2">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64E5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4" w:hRule="atLeast"/>
        </w:trPr>
        <w:tc>
          <w:tcPr>
            <w:tcW w:w="353" w:type="pct"/>
            <w:vAlign w:val="center"/>
          </w:tcPr>
          <w:p w14:paraId="4DF0C901">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w:t>
            </w:r>
          </w:p>
        </w:tc>
        <w:tc>
          <w:tcPr>
            <w:tcW w:w="888" w:type="pct"/>
            <w:vAlign w:val="center"/>
          </w:tcPr>
          <w:p w14:paraId="78C99EFD">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自动化智能化合成平台</w:t>
            </w:r>
          </w:p>
        </w:tc>
        <w:tc>
          <w:tcPr>
            <w:tcW w:w="384" w:type="pct"/>
            <w:vAlign w:val="center"/>
          </w:tcPr>
          <w:p w14:paraId="1BFE81AF">
            <w:pPr>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57" w:type="pct"/>
            <w:vAlign w:val="center"/>
          </w:tcPr>
          <w:p w14:paraId="19DD7A23">
            <w:pPr>
              <w:keepNext w:val="0"/>
              <w:keepLines w:val="0"/>
              <w:suppressLineNumbers w:val="0"/>
              <w:spacing w:before="0" w:beforeAutospacing="0" w:after="0" w:afterAutospacing="0" w:line="500" w:lineRule="exact"/>
              <w:ind w:left="0" w:right="0"/>
              <w:jc w:val="center"/>
              <w:rPr>
                <w:rFonts w:hint="eastAsia" w:ascii="宋体" w:hAnsi="宋体" w:eastAsia="宋体" w:cs="宋体"/>
                <w:sz w:val="15"/>
                <w:szCs w:val="15"/>
                <w:highlight w:val="none"/>
              </w:rPr>
            </w:pPr>
            <w:r>
              <w:rPr>
                <w:rFonts w:hint="eastAsia" w:ascii="宋体" w:hAnsi="宋体" w:eastAsia="宋体" w:cs="宋体"/>
                <w:color w:val="000000"/>
                <w:sz w:val="15"/>
                <w:szCs w:val="15"/>
                <w:highlight w:val="none"/>
              </w:rPr>
              <w:t>1年。正式验收通过后，如货物在使用过程中因质量问题或设计缺陷导致货物损坏、发生故障或性能下降的，供货方应在收到采购方的通知后及时派员对货物进行维修或更换零部件。现场免费培训采购方操作人员，包括仪器基本原理、安装、调试、操作使用及日常保养维修等，使其能独立操作仪器及使用软件。</w:t>
            </w:r>
          </w:p>
        </w:tc>
        <w:tc>
          <w:tcPr>
            <w:tcW w:w="805" w:type="pct"/>
            <w:vAlign w:val="center"/>
          </w:tcPr>
          <w:p w14:paraId="532A2EDC">
            <w:pPr>
              <w:keepNext w:val="0"/>
              <w:keepLines w:val="0"/>
              <w:suppressLineNumbers w:val="0"/>
              <w:spacing w:before="0" w:beforeAutospacing="0" w:after="0" w:afterAutospacing="0" w:line="500" w:lineRule="exact"/>
              <w:ind w:left="0" w:right="0"/>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合同签订后180日历日</w:t>
            </w:r>
          </w:p>
        </w:tc>
        <w:tc>
          <w:tcPr>
            <w:tcW w:w="682" w:type="pct"/>
            <w:vAlign w:val="center"/>
          </w:tcPr>
          <w:p w14:paraId="1D8E3BEF">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279.99</w:t>
            </w:r>
          </w:p>
        </w:tc>
        <w:tc>
          <w:tcPr>
            <w:tcW w:w="663" w:type="pct"/>
            <w:vAlign w:val="center"/>
          </w:tcPr>
          <w:p w14:paraId="383B0A19">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279.99</w:t>
            </w:r>
          </w:p>
        </w:tc>
        <w:tc>
          <w:tcPr>
            <w:tcW w:w="663" w:type="pct"/>
            <w:vAlign w:val="center"/>
          </w:tcPr>
          <w:p w14:paraId="36699F39">
            <w:pPr>
              <w:pStyle w:val="85"/>
              <w:keepNext w:val="0"/>
              <w:keepLines w:val="0"/>
              <w:suppressLineNumbers w:val="0"/>
              <w:spacing w:before="0" w:beforeAutospacing="0" w:after="0" w:afterAutospacing="0" w:line="500" w:lineRule="exact"/>
              <w:ind w:left="0" w:right="0"/>
              <w:jc w:val="center"/>
              <w:rPr>
                <w:rFonts w:hint="eastAsia" w:ascii="宋体" w:hAnsi="宋体" w:eastAsia="宋体" w:cs="宋体"/>
                <w:sz w:val="21"/>
                <w:szCs w:val="21"/>
                <w:highlight w:val="none"/>
              </w:rPr>
            </w:pPr>
          </w:p>
        </w:tc>
      </w:tr>
    </w:tbl>
    <w:p w14:paraId="330D7EE7">
      <w:pPr>
        <w:spacing w:line="500" w:lineRule="exact"/>
        <w:rPr>
          <w:rFonts w:hint="eastAsia" w:ascii="宋体" w:hAnsi="宋体" w:eastAsia="宋体" w:cs="宋体"/>
          <w:sz w:val="28"/>
          <w:szCs w:val="28"/>
        </w:rPr>
      </w:pPr>
      <w:r>
        <w:rPr>
          <w:rFonts w:hint="eastAsia" w:ascii="宋体" w:hAnsi="宋体" w:eastAsia="宋体" w:cs="宋体"/>
          <w:sz w:val="28"/>
          <w:szCs w:val="28"/>
        </w:rPr>
        <w:br w:type="page"/>
      </w:r>
    </w:p>
    <w:p w14:paraId="4387ABA4">
      <w:pPr>
        <w:spacing w:line="500" w:lineRule="exact"/>
        <w:jc w:val="center"/>
        <w:outlineLvl w:val="1"/>
        <w:rPr>
          <w:rFonts w:hint="eastAsia" w:ascii="宋体" w:hAnsi="宋体" w:eastAsia="宋体" w:cs="宋体"/>
          <w:b/>
          <w:bCs/>
          <w:sz w:val="28"/>
          <w:szCs w:val="28"/>
        </w:rPr>
      </w:pPr>
      <w:bookmarkStart w:id="175" w:name="_Hlk4181704"/>
      <w:r>
        <w:rPr>
          <w:rFonts w:hint="eastAsia" w:ascii="宋体" w:hAnsi="宋体" w:eastAsia="宋体" w:cs="宋体"/>
          <w:b/>
          <w:bCs/>
          <w:sz w:val="28"/>
          <w:szCs w:val="28"/>
        </w:rPr>
        <w:t>三、详细技术参数</w:t>
      </w:r>
    </w:p>
    <w:p w14:paraId="55522B3F">
      <w:pPr>
        <w:spacing w:line="500" w:lineRule="exact"/>
        <w:rPr>
          <w:rFonts w:hint="eastAsia" w:ascii="宋体" w:hAnsi="宋体" w:eastAsia="宋体" w:cs="宋体"/>
          <w:b/>
          <w:bCs/>
          <w:sz w:val="28"/>
          <w:szCs w:val="28"/>
        </w:rPr>
      </w:pPr>
    </w:p>
    <w:bookmarkEnd w:id="175"/>
    <w:p w14:paraId="46D08DEA">
      <w:pPr>
        <w:snapToGrid w:val="0"/>
        <w:spacing w:line="500" w:lineRule="exact"/>
        <w:ind w:left="649" w:leftChars="191"/>
        <w:rPr>
          <w:rFonts w:hint="eastAsia" w:ascii="宋体" w:hAnsi="宋体" w:eastAsia="宋体" w:cs="宋体"/>
          <w:b/>
          <w:sz w:val="28"/>
          <w:szCs w:val="28"/>
        </w:rPr>
      </w:pPr>
      <w:bookmarkStart w:id="176" w:name="OLE_LINK4"/>
      <w:r>
        <w:rPr>
          <w:rFonts w:hint="eastAsia" w:ascii="宋体" w:hAnsi="宋体" w:eastAsia="宋体" w:cs="宋体"/>
          <w:b/>
          <w:sz w:val="28"/>
          <w:szCs w:val="28"/>
        </w:rPr>
        <w:t>1、品目名称：双通道快速/保温电石热处理收集系统（国产）</w:t>
      </w:r>
    </w:p>
    <w:bookmarkEnd w:id="176"/>
    <w:p w14:paraId="49E133F5">
      <w:pPr>
        <w:numPr>
          <w:ilvl w:val="0"/>
          <w:numId w:val="10"/>
        </w:numPr>
        <w:snapToGrid w:val="0"/>
        <w:spacing w:line="500" w:lineRule="exact"/>
        <w:ind w:left="0" w:firstLine="537" w:firstLineChars="191"/>
        <w:rPr>
          <w:rFonts w:hint="eastAsia" w:ascii="宋体" w:hAnsi="宋体" w:eastAsia="宋体" w:cs="宋体"/>
          <w:b/>
          <w:sz w:val="28"/>
          <w:szCs w:val="28"/>
        </w:rPr>
      </w:pPr>
      <w:r>
        <w:rPr>
          <w:rFonts w:hint="eastAsia" w:ascii="宋体" w:hAnsi="宋体" w:eastAsia="宋体" w:cs="宋体"/>
          <w:b/>
          <w:sz w:val="28"/>
          <w:szCs w:val="28"/>
        </w:rPr>
        <w:t>规格</w:t>
      </w:r>
      <w:r>
        <w:rPr>
          <w:rFonts w:hint="eastAsia" w:ascii="宋体" w:hAnsi="宋体" w:eastAsia="宋体" w:cs="宋体"/>
          <w:b/>
          <w:bCs/>
          <w:sz w:val="28"/>
          <w:szCs w:val="28"/>
        </w:rPr>
        <w:t>（备注：以下1项参数）</w:t>
      </w:r>
    </w:p>
    <w:p w14:paraId="5F9311B2">
      <w:pPr>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实验室仪器主机房间面积≥17平方米，长≥4.3米*宽≥4.0米，加热设备主体周边设置100cm维护、保养空间距离。</w:t>
      </w:r>
    </w:p>
    <w:p w14:paraId="281AD5BF">
      <w:pPr>
        <w:numPr>
          <w:ilvl w:val="0"/>
          <w:numId w:val="10"/>
        </w:numPr>
        <w:snapToGrid w:val="0"/>
        <w:spacing w:line="500" w:lineRule="exact"/>
        <w:ind w:left="0" w:firstLine="534" w:firstLineChars="191"/>
        <w:rPr>
          <w:rFonts w:hint="eastAsia" w:ascii="宋体" w:hAnsi="宋体" w:eastAsia="宋体" w:cs="宋体"/>
          <w:bCs/>
          <w:sz w:val="28"/>
          <w:szCs w:val="28"/>
        </w:rPr>
      </w:pPr>
      <w:r>
        <w:rPr>
          <w:rFonts w:hint="eastAsia" w:ascii="宋体" w:hAnsi="宋体" w:eastAsia="宋体" w:cs="宋体"/>
          <w:bCs/>
          <w:sz w:val="28"/>
          <w:szCs w:val="28"/>
        </w:rPr>
        <w:t>详细参数</w:t>
      </w:r>
      <w:r>
        <w:rPr>
          <w:rFonts w:hint="eastAsia" w:ascii="宋体" w:hAnsi="宋体" w:eastAsia="宋体" w:cs="宋体"/>
          <w:b/>
          <w:bCs/>
          <w:sz w:val="28"/>
          <w:szCs w:val="28"/>
        </w:rPr>
        <w:t>（备注：以下3项参数）</w:t>
      </w:r>
    </w:p>
    <w:p w14:paraId="2886D26F">
      <w:pPr>
        <w:pStyle w:val="86"/>
        <w:snapToGrid w:val="0"/>
        <w:spacing w:line="500" w:lineRule="exact"/>
        <w:ind w:firstLine="537" w:firstLineChars="191"/>
        <w:rPr>
          <w:rFonts w:hint="eastAsia" w:ascii="宋体" w:hAnsi="宋体" w:eastAsia="宋体" w:cs="宋体"/>
          <w:b/>
          <w:sz w:val="28"/>
          <w:szCs w:val="28"/>
        </w:rPr>
      </w:pPr>
      <w:r>
        <w:rPr>
          <w:rFonts w:hint="eastAsia" w:ascii="宋体" w:hAnsi="宋体" w:eastAsia="宋体" w:cs="宋体"/>
          <w:b/>
          <w:sz w:val="28"/>
          <w:szCs w:val="28"/>
        </w:rPr>
        <w:t>1）设备参数</w:t>
      </w:r>
    </w:p>
    <w:p w14:paraId="5743C231">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快速热处理系统：</w:t>
      </w:r>
    </w:p>
    <w:p w14:paraId="5D7DB1C8">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1.1控制模式：设备具有快速升温、程序、斜率、脉冲等多样化控制模式，自定义曲线跟随；</w:t>
      </w:r>
    </w:p>
    <w:p w14:paraId="3A1A39A5">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1.2真空腔：304不锈钢材质、带有观察窗，蓝宝石窗片，容积约1000ml，腔体带水冷；电源冷却方式水冷；</w:t>
      </w:r>
    </w:p>
    <w:p w14:paraId="1B224FAD">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1.3气路设置：1路进气，1路真空，1路排气；</w:t>
      </w:r>
    </w:p>
    <w:p w14:paraId="0E57666F">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1.4数据采集内容：实时温度、实时电压、实时电流，数据</w:t>
      </w:r>
    </w:p>
    <w:p w14:paraId="4A0167D9">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1.5采集周期：≤5ms；红外测温范围：700-3000℃，温度控制精度：±3℃，升温速率10000K/s；</w:t>
      </w:r>
    </w:p>
    <w:p w14:paraId="32F9BA29">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1.6真空泵：抽速不低于6.6L/s，功率不低于1.1KW,电机转速不低于1440rpm；</w:t>
      </w:r>
    </w:p>
    <w:p w14:paraId="316797EE">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1.7样品测试量：≥500mg；</w:t>
      </w:r>
    </w:p>
    <w:p w14:paraId="6E3C418D">
      <w:pPr>
        <w:pStyle w:val="86"/>
        <w:snapToGrid w:val="0"/>
        <w:spacing w:line="500" w:lineRule="exact"/>
        <w:ind w:firstLine="537" w:firstLineChars="191"/>
        <w:rPr>
          <w:rFonts w:hint="eastAsia" w:ascii="宋体" w:hAnsi="宋体" w:eastAsia="宋体" w:cs="宋体"/>
          <w:b/>
          <w:sz w:val="28"/>
          <w:szCs w:val="28"/>
        </w:rPr>
      </w:pPr>
      <w:r>
        <w:rPr>
          <w:rFonts w:hint="eastAsia" w:ascii="宋体" w:hAnsi="宋体" w:eastAsia="宋体" w:cs="宋体"/>
          <w:b/>
          <w:sz w:val="28"/>
          <w:szCs w:val="28"/>
        </w:rPr>
        <w:t>2）保温热处理系统</w:t>
      </w:r>
    </w:p>
    <w:p w14:paraId="18ABB1FD">
      <w:pPr>
        <w:pStyle w:val="86"/>
        <w:snapToGrid w:val="0"/>
        <w:spacing w:line="500" w:lineRule="exact"/>
        <w:ind w:firstLine="534" w:firstLineChars="191"/>
        <w:jc w:val="left"/>
        <w:rPr>
          <w:rFonts w:hint="eastAsia" w:ascii="宋体" w:hAnsi="宋体" w:eastAsia="宋体" w:cs="宋体"/>
          <w:bCs/>
          <w:sz w:val="28"/>
          <w:szCs w:val="28"/>
        </w:rPr>
      </w:pPr>
      <w:r>
        <w:rPr>
          <w:rFonts w:hint="eastAsia" w:ascii="宋体" w:hAnsi="宋体" w:eastAsia="宋体" w:cs="宋体"/>
          <w:bCs/>
          <w:sz w:val="28"/>
          <w:szCs w:val="28"/>
          <w:highlight w:val="green"/>
        </w:rPr>
        <w:t>▲</w:t>
      </w:r>
      <w:r>
        <w:rPr>
          <w:rFonts w:hint="eastAsia" w:ascii="宋体" w:hAnsi="宋体" w:eastAsia="宋体" w:cs="宋体"/>
          <w:bCs/>
          <w:sz w:val="28"/>
          <w:szCs w:val="28"/>
        </w:rPr>
        <w:t>2.1加热反应器要求加热温度最高可达</w:t>
      </w:r>
      <m:oMath>
        <m:r>
          <m:rPr>
            <m:sty m:val="p"/>
          </m:rPr>
          <w:rPr>
            <w:rFonts w:hint="eastAsia" w:ascii="Cambria Math" w:hAnsi="Cambria Math" w:eastAsia="宋体" w:cs="宋体"/>
            <w:sz w:val="28"/>
            <w:szCs w:val="28"/>
          </w:rPr>
          <m:t>2500℃，加热时间不低于8h（氩气），温度控制精度：±2℃ (需提供拍照</m:t>
        </m:r>
        <w:bookmarkStart w:id="177" w:name="OLE_LINK26"/>
        <m:r>
          <m:rPr>
            <m:sty m:val="p"/>
          </m:rPr>
          <w:rPr>
            <w:rFonts w:hint="eastAsia" w:ascii="Cambria Math" w:hAnsi="Cambria Math" w:eastAsia="宋体" w:cs="宋体"/>
            <w:sz w:val="28"/>
            <w:szCs w:val="28"/>
          </w:rPr>
          <m:t>证明</m:t>
        </m:r>
        <w:bookmarkEnd w:id="177"/>
        <m:r>
          <m:rPr>
            <m:sty m:val="p"/>
          </m:rPr>
          <w:rPr>
            <w:rFonts w:hint="eastAsia" w:ascii="Cambria Math" w:hAnsi="Cambria Math" w:eastAsia="宋体" w:cs="宋体"/>
            <w:sz w:val="28"/>
            <w:szCs w:val="28"/>
          </w:rPr>
          <m:t>材料）。</m:t>
        </m:r>
      </m:oMath>
    </w:p>
    <w:p w14:paraId="0DD802D1">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2.2升温速率：30-50℃/S。</w:t>
      </w:r>
    </w:p>
    <w:p w14:paraId="32F0BF7A">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2.3红外测温探头，用于加热器实时温度监测700-3000℃；</w:t>
      </w:r>
    </w:p>
    <w:p w14:paraId="58EE83F6">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2.4样品台使用长度：不小于120mm；</w:t>
      </w:r>
    </w:p>
    <w:p w14:paraId="514949A3">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2.5腔体有四路气口：两路进气口，抽气口，排气口；</w:t>
      </w:r>
    </w:p>
    <w:p w14:paraId="039AC0D2">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2.6样品台（石墨）：惰性气氛加热；</w:t>
      </w:r>
    </w:p>
    <w:p w14:paraId="62E3DA28">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2.7降温方式：自然散热及腔体水冷配合；</w:t>
      </w:r>
    </w:p>
    <w:p w14:paraId="5A350E44">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2.8准确测温方法，用于监测腔体内热场实际温度，并形成闭环控制；</w:t>
      </w:r>
    </w:p>
    <w:p w14:paraId="40712975">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2.9进/出气/真空接口，用于真空/常压气氛设定；</w:t>
      </w:r>
    </w:p>
    <w:p w14:paraId="505056C7">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2.10设压力检测功能，用于监测腔体内实际压力；</w:t>
      </w:r>
    </w:p>
    <w:p w14:paraId="351DF200">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2.11真空泵：抽速不低于6.6L/s，功率不低于1.1KW,电机转速不低于1440rpm；</w:t>
      </w:r>
    </w:p>
    <w:p w14:paraId="58D9BE71">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2.12样品测试量：5ml-40ml；</w:t>
      </w:r>
    </w:p>
    <w:p w14:paraId="346BEA17">
      <w:pPr>
        <w:pStyle w:val="86"/>
        <w:snapToGrid w:val="0"/>
        <w:spacing w:line="500" w:lineRule="exact"/>
        <w:ind w:firstLine="537" w:firstLineChars="191"/>
        <w:rPr>
          <w:rFonts w:hint="eastAsia" w:ascii="宋体" w:hAnsi="宋体" w:eastAsia="宋体" w:cs="宋体"/>
          <w:b/>
          <w:sz w:val="28"/>
          <w:szCs w:val="28"/>
        </w:rPr>
      </w:pPr>
      <w:r>
        <w:rPr>
          <w:rFonts w:hint="eastAsia" w:ascii="宋体" w:hAnsi="宋体" w:eastAsia="宋体" w:cs="宋体"/>
          <w:b/>
          <w:sz w:val="28"/>
          <w:szCs w:val="28"/>
        </w:rPr>
        <w:t>3）水冷控制系统</w:t>
      </w:r>
    </w:p>
    <w:p w14:paraId="2B00438E">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3.1温控精度达±1℃；</w:t>
      </w:r>
    </w:p>
    <w:p w14:paraId="442C7833">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3.2具备的恒温与智能调温两种工作模式，智能温控的模式可随温度的变化而调整至相应的水温；</w:t>
      </w:r>
    </w:p>
    <w:p w14:paraId="790C1FA8">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3.3支持ModBus-485通讯；多种设定和故障显示功能；</w:t>
      </w:r>
    </w:p>
    <w:p w14:paraId="612755C8">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3.4具有多种报警保护功能：压缩机延时保护；压缩机过流保护；水流报警；温度超高/低报警；相序保护；</w:t>
      </w:r>
    </w:p>
    <w:p w14:paraId="3D12CD45">
      <w:pPr>
        <w:pStyle w:val="86"/>
        <w:snapToGrid w:val="0"/>
        <w:spacing w:line="500" w:lineRule="exact"/>
        <w:ind w:firstLine="534" w:firstLineChars="191"/>
        <w:rPr>
          <w:rFonts w:hint="eastAsia" w:ascii="宋体" w:hAnsi="宋体" w:eastAsia="宋体" w:cs="宋体"/>
          <w:bCs/>
          <w:sz w:val="28"/>
          <w:szCs w:val="28"/>
        </w:rPr>
      </w:pPr>
      <w:r>
        <w:rPr>
          <w:rFonts w:hint="eastAsia" w:ascii="宋体" w:hAnsi="宋体" w:eastAsia="宋体" w:cs="宋体"/>
          <w:bCs/>
          <w:sz w:val="28"/>
          <w:szCs w:val="28"/>
        </w:rPr>
        <w:t>3.5多国电源规格；提供符合国标产品；制冷稳定，操作简便。</w:t>
      </w:r>
    </w:p>
    <w:p w14:paraId="1559B453">
      <w:pPr>
        <w:pStyle w:val="87"/>
        <w:spacing w:line="500" w:lineRule="exact"/>
        <w:jc w:val="center"/>
        <w:rPr>
          <w:rFonts w:hint="eastAsia" w:ascii="宋体" w:hAnsi="宋体" w:eastAsia="宋体" w:cs="宋体"/>
          <w:b/>
          <w:color w:val="auto"/>
          <w:sz w:val="28"/>
          <w:szCs w:val="28"/>
        </w:rPr>
      </w:pPr>
    </w:p>
    <w:p w14:paraId="2D6788FA">
      <w:pPr>
        <w:spacing w:line="500" w:lineRule="exact"/>
        <w:rPr>
          <w:rFonts w:hint="eastAsia" w:ascii="宋体" w:hAnsi="宋体" w:eastAsia="宋体" w:cs="宋体"/>
          <w:sz w:val="28"/>
          <w:szCs w:val="28"/>
        </w:rPr>
      </w:pPr>
      <w:r>
        <w:rPr>
          <w:rFonts w:hint="eastAsia" w:ascii="宋体" w:hAnsi="宋体" w:eastAsia="宋体" w:cs="宋体"/>
          <w:b/>
          <w:sz w:val="28"/>
          <w:szCs w:val="28"/>
        </w:rPr>
        <w:t>备注：以上</w:t>
      </w:r>
      <w:r>
        <w:rPr>
          <w:rFonts w:hint="eastAsia" w:hAnsi="宋体" w:cs="宋体"/>
          <w:b/>
          <w:color w:val="auto"/>
          <w:sz w:val="28"/>
          <w:szCs w:val="28"/>
          <w:highlight w:val="red"/>
          <w:lang w:val="en-US" w:eastAsia="zh-CN"/>
        </w:rPr>
        <w:t>4</w:t>
      </w:r>
      <w:r>
        <w:rPr>
          <w:rFonts w:hint="eastAsia" w:ascii="宋体" w:hAnsi="宋体" w:eastAsia="宋体" w:cs="宋体"/>
          <w:b/>
          <w:color w:val="auto"/>
          <w:sz w:val="28"/>
          <w:szCs w:val="28"/>
          <w:highlight w:val="red"/>
        </w:rPr>
        <w:t>项</w:t>
      </w:r>
      <w:r>
        <w:rPr>
          <w:rFonts w:hint="eastAsia" w:ascii="宋体" w:hAnsi="宋体" w:eastAsia="宋体" w:cs="宋体"/>
          <w:b/>
          <w:sz w:val="28"/>
          <w:szCs w:val="28"/>
        </w:rPr>
        <w:t>参数，均为一般参数</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其中</w:t>
      </w:r>
      <w:r>
        <w:rPr>
          <w:rFonts w:hint="eastAsia" w:ascii="宋体" w:hAnsi="宋体" w:eastAsia="宋体" w:cs="宋体"/>
          <w:b/>
          <w:sz w:val="28"/>
          <w:szCs w:val="28"/>
          <w:highlight w:val="green"/>
        </w:rPr>
        <w:t>▲</w:t>
      </w:r>
      <w:r>
        <w:rPr>
          <w:rFonts w:hint="eastAsia" w:ascii="宋体" w:hAnsi="宋体" w:eastAsia="宋体" w:cs="宋体"/>
          <w:b/>
          <w:sz w:val="28"/>
          <w:szCs w:val="28"/>
          <w:lang w:val="en-US" w:eastAsia="zh-CN"/>
        </w:rPr>
        <w:t>为</w:t>
      </w:r>
      <w:r>
        <w:rPr>
          <w:rFonts w:hint="eastAsia" w:ascii="宋体" w:hAnsi="宋体" w:eastAsia="宋体" w:cs="宋体"/>
          <w:b/>
          <w:sz w:val="28"/>
          <w:szCs w:val="28"/>
        </w:rPr>
        <w:t>重要参数（</w:t>
      </w:r>
      <w:r>
        <w:rPr>
          <w:rFonts w:hint="eastAsia" w:ascii="宋体" w:hAnsi="宋体" w:eastAsia="宋体" w:cs="宋体"/>
          <w:b/>
          <w:sz w:val="28"/>
          <w:szCs w:val="28"/>
          <w:lang w:val="en-US" w:eastAsia="zh-CN"/>
        </w:rPr>
        <w:t>第</w:t>
      </w:r>
      <w:r>
        <w:rPr>
          <w:rFonts w:hint="eastAsia" w:ascii="宋体" w:hAnsi="宋体" w:eastAsia="宋体" w:cs="宋体"/>
          <w:b/>
          <w:sz w:val="28"/>
          <w:szCs w:val="28"/>
        </w:rPr>
        <w:t>2.1</w:t>
      </w:r>
      <w:r>
        <w:rPr>
          <w:rFonts w:hint="eastAsia" w:ascii="宋体" w:hAnsi="宋体" w:eastAsia="宋体" w:cs="宋体"/>
          <w:b/>
          <w:sz w:val="28"/>
          <w:szCs w:val="28"/>
          <w:lang w:val="en-US" w:eastAsia="zh-CN"/>
        </w:rPr>
        <w:t>项</w:t>
      </w:r>
      <w:r>
        <w:rPr>
          <w:rFonts w:hint="eastAsia" w:ascii="宋体" w:hAnsi="宋体" w:eastAsia="宋体" w:cs="宋体"/>
          <w:b/>
          <w:sz w:val="28"/>
          <w:szCs w:val="28"/>
        </w:rPr>
        <w:t>）</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2.2-2.12按1项计取</w:t>
      </w:r>
      <w:r>
        <w:rPr>
          <w:rFonts w:hint="eastAsia" w:ascii="宋体" w:hAnsi="宋体" w:eastAsia="宋体" w:cs="宋体"/>
          <w:b/>
          <w:sz w:val="28"/>
          <w:szCs w:val="28"/>
        </w:rPr>
        <w:t>。</w:t>
      </w:r>
    </w:p>
    <w:p w14:paraId="77FEBAD4">
      <w:pPr>
        <w:rPr>
          <w:rFonts w:hint="eastAsia" w:ascii="宋体" w:hAnsi="宋体" w:eastAsia="宋体" w:cs="宋体"/>
          <w:sz w:val="28"/>
          <w:szCs w:val="28"/>
        </w:rPr>
      </w:pPr>
      <w:r>
        <w:rPr>
          <w:rFonts w:hint="eastAsia" w:ascii="宋体" w:hAnsi="宋体" w:eastAsia="宋体" w:cs="宋体"/>
          <w:b/>
          <w:sz w:val="28"/>
          <w:szCs w:val="28"/>
        </w:rPr>
        <w:br w:type="page"/>
      </w:r>
    </w:p>
    <w:p w14:paraId="02525952">
      <w:pPr>
        <w:snapToGrid w:val="0"/>
        <w:spacing w:line="500" w:lineRule="exact"/>
        <w:ind w:left="748" w:leftChars="220"/>
        <w:rPr>
          <w:rFonts w:hint="eastAsia" w:ascii="宋体" w:hAnsi="宋体" w:eastAsia="宋体" w:cs="宋体"/>
          <w:sz w:val="28"/>
          <w:szCs w:val="28"/>
        </w:rPr>
      </w:pPr>
      <w:r>
        <w:rPr>
          <w:rFonts w:hint="eastAsia" w:ascii="宋体" w:hAnsi="宋体" w:eastAsia="宋体" w:cs="宋体"/>
          <w:b/>
          <w:sz w:val="28"/>
          <w:szCs w:val="28"/>
        </w:rPr>
        <w:t>2、品目名称：气相色谱仪（国产）</w:t>
      </w:r>
    </w:p>
    <w:p w14:paraId="743CB4D5">
      <w:pPr>
        <w:numPr>
          <w:ilvl w:val="0"/>
          <w:numId w:val="11"/>
        </w:numPr>
        <w:snapToGrid w:val="0"/>
        <w:spacing w:line="500" w:lineRule="exact"/>
        <w:ind w:left="0" w:firstLine="616" w:firstLineChars="220"/>
        <w:rPr>
          <w:rFonts w:hint="eastAsia" w:ascii="宋体" w:hAnsi="宋体" w:eastAsia="宋体" w:cs="宋体"/>
          <w:b/>
          <w:bCs/>
          <w:sz w:val="28"/>
          <w:szCs w:val="28"/>
        </w:rPr>
      </w:pPr>
      <w:r>
        <w:rPr>
          <w:rFonts w:hint="eastAsia" w:ascii="宋体" w:hAnsi="宋体" w:eastAsia="宋体" w:cs="宋体"/>
          <w:sz w:val="28"/>
          <w:szCs w:val="28"/>
        </w:rPr>
        <w:t>详细参数</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备注：</w:t>
      </w:r>
      <w:r>
        <w:rPr>
          <w:rFonts w:hint="eastAsia" w:ascii="宋体" w:hAnsi="宋体" w:eastAsia="宋体" w:cs="宋体"/>
          <w:b/>
          <w:bCs/>
          <w:sz w:val="28"/>
          <w:szCs w:val="28"/>
        </w:rPr>
        <w:t>以</w:t>
      </w:r>
      <w:r>
        <w:rPr>
          <w:rFonts w:hint="eastAsia" w:ascii="宋体" w:hAnsi="宋体" w:eastAsia="宋体" w:cs="宋体"/>
          <w:b/>
          <w:bCs/>
          <w:sz w:val="28"/>
          <w:szCs w:val="28"/>
          <w:lang w:val="en-US" w:eastAsia="zh-CN"/>
        </w:rPr>
        <w:t>下①-⑧按1</w:t>
      </w:r>
      <w:r>
        <w:rPr>
          <w:rFonts w:hint="eastAsia" w:ascii="宋体" w:hAnsi="宋体" w:eastAsia="宋体" w:cs="宋体"/>
          <w:b/>
          <w:bCs/>
          <w:sz w:val="28"/>
          <w:szCs w:val="28"/>
        </w:rPr>
        <w:t>项参数</w:t>
      </w:r>
      <w:r>
        <w:rPr>
          <w:rFonts w:hint="eastAsia" w:ascii="宋体" w:hAnsi="宋体" w:eastAsia="宋体" w:cs="宋体"/>
          <w:b/>
          <w:bCs/>
          <w:sz w:val="28"/>
          <w:szCs w:val="28"/>
          <w:lang w:val="en-US" w:eastAsia="zh-CN"/>
        </w:rPr>
        <w:t>计取</w:t>
      </w:r>
      <w:r>
        <w:rPr>
          <w:rFonts w:hint="eastAsia" w:ascii="宋体" w:hAnsi="宋体" w:eastAsia="宋体" w:cs="宋体"/>
          <w:b/>
          <w:bCs/>
          <w:sz w:val="28"/>
          <w:szCs w:val="28"/>
        </w:rPr>
        <w:t>，均为一般参数。</w:t>
      </w:r>
      <w:r>
        <w:rPr>
          <w:rFonts w:hint="eastAsia" w:ascii="宋体" w:hAnsi="宋体" w:eastAsia="宋体" w:cs="宋体"/>
          <w:b/>
          <w:bCs/>
          <w:sz w:val="28"/>
          <w:szCs w:val="28"/>
          <w:lang w:eastAsia="zh-CN"/>
        </w:rPr>
        <w:t>）</w:t>
      </w:r>
    </w:p>
    <w:p w14:paraId="2D5DD4A8">
      <w:pPr>
        <w:pStyle w:val="6"/>
        <w:snapToGrid w:val="0"/>
        <w:spacing w:line="500" w:lineRule="exact"/>
        <w:ind w:firstLine="618" w:firstLineChars="220"/>
        <w:rPr>
          <w:rFonts w:hint="eastAsia" w:ascii="宋体" w:hAnsi="宋体" w:eastAsia="宋体" w:cs="宋体"/>
          <w:sz w:val="28"/>
          <w:szCs w:val="28"/>
        </w:rPr>
      </w:pPr>
      <w:r>
        <w:rPr>
          <w:rFonts w:hint="eastAsia" w:ascii="宋体" w:hAnsi="宋体" w:eastAsia="宋体" w:cs="宋体"/>
          <w:b/>
          <w:bCs/>
          <w:sz w:val="28"/>
          <w:szCs w:val="28"/>
        </w:rPr>
        <w:t>①</w:t>
      </w:r>
      <w:r>
        <w:rPr>
          <w:rFonts w:hint="eastAsia" w:ascii="宋体" w:hAnsi="宋体" w:eastAsia="宋体" w:cs="宋体"/>
          <w:sz w:val="28"/>
          <w:szCs w:val="28"/>
        </w:rPr>
        <w:t>电源：220V±10%，50/60 Hz；温度：操作环境10℃～45℃，非操作环境-40℃~70℃；相对湿度：操作状态5%-90%；</w:t>
      </w:r>
    </w:p>
    <w:p w14:paraId="03B3F645">
      <w:pPr>
        <w:pStyle w:val="6"/>
        <w:snapToGrid w:val="0"/>
        <w:spacing w:line="500" w:lineRule="exact"/>
        <w:ind w:firstLine="618" w:firstLineChars="220"/>
        <w:rPr>
          <w:rFonts w:hint="eastAsia" w:ascii="宋体" w:hAnsi="宋体" w:eastAsia="宋体" w:cs="宋体"/>
          <w:sz w:val="28"/>
          <w:szCs w:val="28"/>
        </w:rPr>
      </w:pPr>
      <w:r>
        <w:rPr>
          <w:rFonts w:hint="eastAsia" w:ascii="宋体" w:hAnsi="宋体" w:eastAsia="宋体" w:cs="宋体"/>
          <w:b/>
          <w:bCs/>
          <w:sz w:val="28"/>
          <w:szCs w:val="28"/>
        </w:rPr>
        <w:t>②</w:t>
      </w:r>
      <w:r>
        <w:rPr>
          <w:rFonts w:hint="eastAsia" w:ascii="宋体" w:hAnsi="宋体" w:eastAsia="宋体" w:cs="宋体"/>
          <w:sz w:val="28"/>
          <w:szCs w:val="28"/>
        </w:rPr>
        <w:t>色谱性能：保留时间重现性&lt; 0.0009min；峰面积重现性&lt; 0.6% RSD；压力控制精度: ≤0.001 psi；可以安装不少于6个EPC（压力/流量控制模块） 模块，提供不少于17个通道的EPC 控制，防止颗粒、水汽和油等气体污染物；满足电石生产乙炔检测要求（含C</w:t>
      </w:r>
      <w:r>
        <w:rPr>
          <w:rFonts w:hint="eastAsia" w:ascii="宋体" w:hAnsi="宋体" w:eastAsia="宋体" w:cs="宋体"/>
          <w:sz w:val="28"/>
          <w:szCs w:val="28"/>
          <w:vertAlign w:val="subscript"/>
        </w:rPr>
        <w:t>2</w:t>
      </w:r>
      <w:r>
        <w:rPr>
          <w:rFonts w:hint="eastAsia" w:ascii="宋体" w:hAnsi="宋体" w:eastAsia="宋体" w:cs="宋体"/>
          <w:sz w:val="28"/>
          <w:szCs w:val="28"/>
        </w:rPr>
        <w:t>H</w:t>
      </w:r>
      <w:r>
        <w:rPr>
          <w:rFonts w:hint="eastAsia" w:ascii="宋体" w:hAnsi="宋体" w:eastAsia="宋体" w:cs="宋体"/>
          <w:sz w:val="28"/>
          <w:szCs w:val="28"/>
          <w:vertAlign w:val="subscript"/>
        </w:rPr>
        <w:t>2</w:t>
      </w:r>
      <w:r>
        <w:rPr>
          <w:rFonts w:hint="eastAsia" w:ascii="宋体" w:hAnsi="宋体" w:eastAsia="宋体" w:cs="宋体"/>
          <w:sz w:val="28"/>
          <w:szCs w:val="28"/>
        </w:rPr>
        <w:t>，NH</w:t>
      </w:r>
      <w:r>
        <w:rPr>
          <w:rFonts w:hint="eastAsia" w:ascii="宋体" w:hAnsi="宋体" w:eastAsia="宋体" w:cs="宋体"/>
          <w:sz w:val="28"/>
          <w:szCs w:val="28"/>
          <w:vertAlign w:val="subscript"/>
        </w:rPr>
        <w:t>3</w:t>
      </w:r>
      <w:r>
        <w:rPr>
          <w:rFonts w:hint="eastAsia" w:ascii="宋体" w:hAnsi="宋体" w:eastAsia="宋体" w:cs="宋体"/>
          <w:sz w:val="28"/>
          <w:szCs w:val="28"/>
        </w:rPr>
        <w:t>，PH</w:t>
      </w:r>
      <w:r>
        <w:rPr>
          <w:rFonts w:hint="eastAsia" w:ascii="宋体" w:hAnsi="宋体" w:eastAsia="宋体" w:cs="宋体"/>
          <w:sz w:val="28"/>
          <w:szCs w:val="28"/>
          <w:vertAlign w:val="subscript"/>
        </w:rPr>
        <w:t>3</w:t>
      </w:r>
      <w:r>
        <w:rPr>
          <w:rFonts w:hint="eastAsia" w:ascii="宋体" w:hAnsi="宋体" w:eastAsia="宋体" w:cs="宋体"/>
          <w:sz w:val="28"/>
          <w:szCs w:val="28"/>
        </w:rPr>
        <w:t>，H</w:t>
      </w:r>
      <w:r>
        <w:rPr>
          <w:rFonts w:hint="eastAsia" w:ascii="宋体" w:hAnsi="宋体" w:eastAsia="宋体" w:cs="宋体"/>
          <w:sz w:val="28"/>
          <w:szCs w:val="28"/>
          <w:vertAlign w:val="subscript"/>
        </w:rPr>
        <w:t>2</w:t>
      </w:r>
      <w:r>
        <w:rPr>
          <w:rFonts w:hint="eastAsia" w:ascii="宋体" w:hAnsi="宋体" w:eastAsia="宋体" w:cs="宋体"/>
          <w:sz w:val="28"/>
          <w:szCs w:val="28"/>
        </w:rPr>
        <w:t>S杂质，一次进样给出测试结果）；对毛细管柱的 EPC （压力/流量控制模块）支持四种色谱柱流量控制模块：恒定压力、梯度压力（三个梯度）、恒定流速或梯度流速（三个梯度），计算色谱柱平均线速度；具有不少于五个气相色谱柱智能钥匙和三个 USB 端口；微板流路控制系统，实现色谱柱柱前、柱中、柱后反吹和换柱子不卸真空等功能，配有独立的EPC系统维持压力；具备可就地实时访问仪器设置信息及运行、配置和流路信息状态等功能；浏览器界面：适用于平板电脑或台式计算机。浏览器界面有智能移动访问功能，可查看及设置系统信息；</w:t>
      </w:r>
    </w:p>
    <w:p w14:paraId="29FB6240">
      <w:pPr>
        <w:pStyle w:val="6"/>
        <w:snapToGrid w:val="0"/>
        <w:spacing w:line="500" w:lineRule="exact"/>
        <w:ind w:firstLine="618" w:firstLineChars="220"/>
        <w:rPr>
          <w:rFonts w:hint="eastAsia" w:ascii="宋体" w:hAnsi="宋体" w:eastAsia="宋体" w:cs="宋体"/>
          <w:sz w:val="28"/>
          <w:szCs w:val="28"/>
        </w:rPr>
      </w:pPr>
      <w:r>
        <w:rPr>
          <w:rFonts w:hint="eastAsia" w:ascii="宋体" w:hAnsi="宋体" w:eastAsia="宋体" w:cs="宋体"/>
          <w:b/>
          <w:bCs/>
          <w:sz w:val="28"/>
          <w:szCs w:val="28"/>
        </w:rPr>
        <w:t>③</w:t>
      </w:r>
      <w:r>
        <w:rPr>
          <w:rFonts w:hint="eastAsia" w:ascii="宋体" w:hAnsi="宋体" w:eastAsia="宋体" w:cs="宋体"/>
          <w:sz w:val="28"/>
          <w:szCs w:val="28"/>
        </w:rPr>
        <w:t>柱温箱：操作温度：室温以上4℃～430℃，使用液氮低温冷却：–80℃～430°C，使用 CO</w:t>
      </w:r>
      <w:r>
        <w:rPr>
          <w:rFonts w:hint="eastAsia" w:ascii="宋体" w:hAnsi="宋体" w:eastAsia="宋体" w:cs="宋体"/>
          <w:sz w:val="28"/>
          <w:szCs w:val="28"/>
          <w:vertAlign w:val="subscript"/>
        </w:rPr>
        <w:t>2</w:t>
      </w:r>
      <w:r>
        <w:rPr>
          <w:rFonts w:hint="eastAsia" w:ascii="宋体" w:hAnsi="宋体" w:eastAsia="宋体" w:cs="宋体"/>
          <w:sz w:val="28"/>
          <w:szCs w:val="28"/>
        </w:rPr>
        <w:t xml:space="preserve"> 低温冷却：–40℃～430℃；温度设定值精度：≤0.1°C；支持≥18 阶柱箱升温梯度，≥19个恒温平台；最高升温速率：≥110˚C/min；降温模式：有快速降温和慢速降温模式，从430℃～50°C ≤3.5min；</w:t>
      </w:r>
    </w:p>
    <w:p w14:paraId="2BF4F908">
      <w:pPr>
        <w:pStyle w:val="6"/>
        <w:snapToGrid w:val="0"/>
        <w:spacing w:line="500" w:lineRule="exact"/>
        <w:ind w:firstLine="618" w:firstLineChars="220"/>
        <w:rPr>
          <w:rFonts w:hint="eastAsia" w:ascii="宋体" w:hAnsi="宋体" w:eastAsia="宋体" w:cs="宋体"/>
          <w:sz w:val="28"/>
          <w:szCs w:val="28"/>
        </w:rPr>
      </w:pPr>
      <w:r>
        <w:rPr>
          <w:rFonts w:hint="eastAsia" w:ascii="宋体" w:hAnsi="宋体" w:eastAsia="宋体" w:cs="宋体"/>
          <w:b/>
          <w:bCs/>
          <w:sz w:val="28"/>
          <w:szCs w:val="28"/>
        </w:rPr>
        <w:t>④</w:t>
      </w:r>
      <w:r>
        <w:rPr>
          <w:rFonts w:hint="eastAsia" w:ascii="宋体" w:hAnsi="宋体" w:eastAsia="宋体" w:cs="宋体"/>
          <w:sz w:val="28"/>
          <w:szCs w:val="28"/>
        </w:rPr>
        <w:t>毛细柱分流/不分流进样口（S/SL）：最高使用温度：≥400 °C；进样口设计可无需工具快速进行进样口维护、更换进样口衬管；EPC（压力/流量控制模块）压力设定范围：0-100 psi 或0-150 psi；隔垫吹扫流量压力控制精度: ≤0.001 psi；分流比：12000:1 ；</w:t>
      </w:r>
    </w:p>
    <w:p w14:paraId="70028231">
      <w:pPr>
        <w:pStyle w:val="6"/>
        <w:snapToGrid w:val="0"/>
        <w:spacing w:line="500" w:lineRule="exact"/>
        <w:ind w:firstLine="618" w:firstLineChars="220"/>
        <w:rPr>
          <w:rFonts w:hint="eastAsia" w:ascii="宋体" w:hAnsi="宋体" w:eastAsia="宋体" w:cs="宋体"/>
          <w:sz w:val="28"/>
          <w:szCs w:val="28"/>
        </w:rPr>
      </w:pPr>
      <w:r>
        <w:rPr>
          <w:rFonts w:hint="eastAsia" w:ascii="宋体" w:hAnsi="宋体" w:eastAsia="宋体" w:cs="宋体"/>
          <w:b/>
          <w:bCs/>
          <w:sz w:val="28"/>
          <w:szCs w:val="28"/>
        </w:rPr>
        <w:t>⑤</w:t>
      </w:r>
      <w:r>
        <w:rPr>
          <w:rFonts w:hint="eastAsia" w:ascii="宋体" w:hAnsi="宋体" w:eastAsia="宋体" w:cs="宋体"/>
          <w:sz w:val="28"/>
          <w:szCs w:val="28"/>
        </w:rPr>
        <w:t>热导检测器 (TCD)：最低检测限：≤400 pg 十三烷/mL；线性动态范围：&gt; 105±5%；最高使用温度：400 °C；标准EPC用于尾吹和参比：尾吹气 0-12 mL/min， 参比气：0-100 mL/min；</w:t>
      </w:r>
    </w:p>
    <w:p w14:paraId="2B498D49">
      <w:pPr>
        <w:pStyle w:val="6"/>
        <w:snapToGrid w:val="0"/>
        <w:spacing w:line="500" w:lineRule="exact"/>
        <w:ind w:firstLine="618" w:firstLineChars="220"/>
        <w:rPr>
          <w:rFonts w:hint="eastAsia" w:ascii="宋体" w:hAnsi="宋体" w:eastAsia="宋体" w:cs="宋体"/>
          <w:sz w:val="28"/>
          <w:szCs w:val="28"/>
        </w:rPr>
      </w:pPr>
      <w:r>
        <w:rPr>
          <w:rFonts w:hint="eastAsia" w:ascii="宋体" w:hAnsi="宋体" w:eastAsia="宋体" w:cs="宋体"/>
          <w:b/>
          <w:bCs/>
          <w:sz w:val="28"/>
          <w:szCs w:val="28"/>
        </w:rPr>
        <w:t>⑥</w:t>
      </w:r>
      <w:r>
        <w:rPr>
          <w:rFonts w:hint="eastAsia" w:ascii="宋体" w:hAnsi="宋体" w:eastAsia="宋体" w:cs="宋体"/>
          <w:sz w:val="28"/>
          <w:szCs w:val="28"/>
        </w:rPr>
        <w:t>火焰离子化检测器（FID）：最低检测限（对十三烷）：&lt; 1.2pg C/s；线性动态范围：&gt; 107（±10%）；最高使用温度：≥430 °C；最高数据采集速率：≥1000 Hz；灭火自动检测和自动再点火；</w:t>
      </w:r>
    </w:p>
    <w:p w14:paraId="3FBDEA2F">
      <w:pPr>
        <w:pStyle w:val="6"/>
        <w:snapToGrid w:val="0"/>
        <w:spacing w:line="500" w:lineRule="exact"/>
        <w:ind w:firstLine="618" w:firstLineChars="220"/>
        <w:rPr>
          <w:rFonts w:hint="eastAsia" w:ascii="宋体" w:hAnsi="宋体" w:eastAsia="宋体" w:cs="宋体"/>
          <w:sz w:val="28"/>
          <w:szCs w:val="28"/>
        </w:rPr>
      </w:pPr>
      <w:r>
        <w:rPr>
          <w:rFonts w:hint="eastAsia" w:ascii="宋体" w:hAnsi="宋体" w:eastAsia="宋体" w:cs="宋体"/>
          <w:b/>
          <w:bCs/>
          <w:sz w:val="28"/>
          <w:szCs w:val="28"/>
        </w:rPr>
        <w:t>⑦</w:t>
      </w:r>
      <w:r>
        <w:rPr>
          <w:rFonts w:hint="eastAsia" w:ascii="宋体" w:hAnsi="宋体" w:eastAsia="宋体" w:cs="宋体"/>
          <w:sz w:val="28"/>
          <w:szCs w:val="28"/>
        </w:rPr>
        <w:t>化学工作站：仪器故障和维护情况可由内置电子跟踪系统自动记录；远程诊断功能、错误检查和显示功能，软件图象化，操作简单；保留时间锁定功能（RTL），不同仪器、不同长度的色谱柱、不同实验室之间，同一物质的保留时间误差减少，可据此自建保留时间锁定谱库；分析系统中流路切换阀全部由软件自动控制，无需人工干预（作为验收指标）；</w:t>
      </w:r>
    </w:p>
    <w:p w14:paraId="73CDDD8B">
      <w:pPr>
        <w:snapToGrid w:val="0"/>
        <w:spacing w:line="500" w:lineRule="exact"/>
        <w:ind w:firstLine="618" w:firstLineChars="220"/>
        <w:rPr>
          <w:rFonts w:hint="eastAsia" w:ascii="宋体" w:hAnsi="宋体" w:eastAsia="宋体" w:cs="宋体"/>
          <w:sz w:val="28"/>
          <w:szCs w:val="28"/>
        </w:rPr>
      </w:pPr>
      <w:r>
        <w:rPr>
          <w:rFonts w:hint="eastAsia" w:ascii="宋体" w:hAnsi="宋体" w:eastAsia="宋体" w:cs="宋体"/>
          <w:b/>
          <w:bCs/>
          <w:sz w:val="28"/>
          <w:szCs w:val="28"/>
        </w:rPr>
        <w:t>⑧</w:t>
      </w:r>
      <w:r>
        <w:rPr>
          <w:rFonts w:hint="eastAsia" w:ascii="宋体" w:hAnsi="宋体" w:eastAsia="宋体" w:cs="宋体"/>
          <w:sz w:val="28"/>
          <w:szCs w:val="28"/>
        </w:rPr>
        <w:t>仪器配置：具备报告输出功能的气相色谱主机一台；分流/不分流进样口 1个；FID 检测器 1 个;TCD 检测器 1 个；十通气体进样阀2，6通隔离阀2套，阀组应具备保温功能且保温效果应与柱箱一致；填充柱 4 根（满足C</w:t>
      </w:r>
      <w:r>
        <w:rPr>
          <w:rFonts w:hint="eastAsia" w:ascii="宋体" w:hAnsi="宋体" w:eastAsia="宋体" w:cs="宋体"/>
          <w:sz w:val="28"/>
          <w:szCs w:val="28"/>
          <w:vertAlign w:val="subscript"/>
        </w:rPr>
        <w:t>2</w:t>
      </w:r>
      <w:r>
        <w:rPr>
          <w:rFonts w:hint="eastAsia" w:ascii="宋体" w:hAnsi="宋体" w:eastAsia="宋体" w:cs="宋体"/>
          <w:sz w:val="28"/>
          <w:szCs w:val="28"/>
        </w:rPr>
        <w:t>H</w:t>
      </w:r>
      <w:r>
        <w:rPr>
          <w:rFonts w:hint="eastAsia" w:ascii="宋体" w:hAnsi="宋体" w:eastAsia="宋体" w:cs="宋体"/>
          <w:sz w:val="28"/>
          <w:szCs w:val="28"/>
          <w:vertAlign w:val="subscript"/>
        </w:rPr>
        <w:t>2</w:t>
      </w:r>
      <w:r>
        <w:rPr>
          <w:rFonts w:hint="eastAsia" w:ascii="宋体" w:hAnsi="宋体" w:eastAsia="宋体" w:cs="宋体"/>
          <w:sz w:val="28"/>
          <w:szCs w:val="28"/>
        </w:rPr>
        <w:t>，NH</w:t>
      </w:r>
      <w:r>
        <w:rPr>
          <w:rFonts w:hint="eastAsia" w:ascii="宋体" w:hAnsi="宋体" w:eastAsia="宋体" w:cs="宋体"/>
          <w:sz w:val="28"/>
          <w:szCs w:val="28"/>
          <w:vertAlign w:val="subscript"/>
        </w:rPr>
        <w:t>3</w:t>
      </w:r>
      <w:r>
        <w:rPr>
          <w:rFonts w:hint="eastAsia" w:ascii="宋体" w:hAnsi="宋体" w:eastAsia="宋体" w:cs="宋体"/>
          <w:sz w:val="28"/>
          <w:szCs w:val="28"/>
        </w:rPr>
        <w:t>，PH</w:t>
      </w:r>
      <w:r>
        <w:rPr>
          <w:rFonts w:hint="eastAsia" w:ascii="宋体" w:hAnsi="宋体" w:eastAsia="宋体" w:cs="宋体"/>
          <w:sz w:val="28"/>
          <w:szCs w:val="28"/>
          <w:vertAlign w:val="subscript"/>
        </w:rPr>
        <w:t>3</w:t>
      </w:r>
      <w:r>
        <w:rPr>
          <w:rFonts w:hint="eastAsia" w:ascii="宋体" w:hAnsi="宋体" w:eastAsia="宋体" w:cs="宋体"/>
          <w:sz w:val="28"/>
          <w:szCs w:val="28"/>
        </w:rPr>
        <w:t>，H</w:t>
      </w:r>
      <w:r>
        <w:rPr>
          <w:rFonts w:hint="eastAsia" w:ascii="宋体" w:hAnsi="宋体" w:eastAsia="宋体" w:cs="宋体"/>
          <w:sz w:val="28"/>
          <w:szCs w:val="28"/>
          <w:vertAlign w:val="subscript"/>
        </w:rPr>
        <w:t>2</w:t>
      </w:r>
      <w:r>
        <w:rPr>
          <w:rFonts w:hint="eastAsia" w:ascii="宋体" w:hAnsi="宋体" w:eastAsia="宋体" w:cs="宋体"/>
          <w:sz w:val="28"/>
          <w:szCs w:val="28"/>
        </w:rPr>
        <w:t>S检测要求）；安装工具包 1 套；中文工作站一套；配套氢气发生器换和空气源各1台；</w:t>
      </w:r>
    </w:p>
    <w:p w14:paraId="3BB920D9">
      <w:pPr>
        <w:pStyle w:val="87"/>
        <w:spacing w:line="500" w:lineRule="exact"/>
        <w:jc w:val="center"/>
        <w:rPr>
          <w:rFonts w:hint="eastAsia" w:ascii="宋体" w:hAnsi="宋体" w:eastAsia="宋体" w:cs="宋体"/>
          <w:b/>
          <w:color w:val="auto"/>
          <w:sz w:val="28"/>
          <w:szCs w:val="28"/>
        </w:rPr>
      </w:pPr>
    </w:p>
    <w:p w14:paraId="482DE858">
      <w:pPr>
        <w:spacing w:line="500" w:lineRule="exact"/>
        <w:rPr>
          <w:rFonts w:hint="eastAsia" w:ascii="宋体" w:hAnsi="宋体" w:eastAsia="宋体" w:cs="宋体"/>
          <w:sz w:val="28"/>
          <w:szCs w:val="28"/>
        </w:rPr>
      </w:pPr>
      <w:bookmarkStart w:id="178" w:name="OLE_LINK5"/>
      <w:r>
        <w:rPr>
          <w:rFonts w:hint="eastAsia" w:ascii="宋体" w:hAnsi="宋体" w:eastAsia="宋体" w:cs="宋体"/>
          <w:b/>
          <w:sz w:val="28"/>
          <w:szCs w:val="28"/>
        </w:rPr>
        <w:t>备注：以上</w:t>
      </w:r>
      <w:r>
        <w:rPr>
          <w:rFonts w:hint="eastAsia" w:ascii="宋体" w:hAnsi="宋体" w:eastAsia="宋体" w:cs="宋体"/>
          <w:b/>
          <w:sz w:val="28"/>
          <w:szCs w:val="28"/>
          <w:lang w:val="en-US" w:eastAsia="zh-CN"/>
        </w:rPr>
        <w:t>1</w:t>
      </w:r>
      <w:r>
        <w:rPr>
          <w:rFonts w:hint="eastAsia" w:ascii="宋体" w:hAnsi="宋体" w:eastAsia="宋体" w:cs="宋体"/>
          <w:b/>
          <w:sz w:val="28"/>
          <w:szCs w:val="28"/>
        </w:rPr>
        <w:t>项参数，均为一般参数。</w:t>
      </w:r>
    </w:p>
    <w:p w14:paraId="243744B3">
      <w:pPr>
        <w:spacing w:line="500" w:lineRule="exact"/>
        <w:rPr>
          <w:rFonts w:hint="eastAsia" w:ascii="宋体" w:hAnsi="宋体" w:eastAsia="宋体" w:cs="宋体"/>
          <w:sz w:val="28"/>
          <w:szCs w:val="28"/>
        </w:rPr>
      </w:pPr>
    </w:p>
    <w:p w14:paraId="77533A80">
      <w:pPr>
        <w:rPr>
          <w:rFonts w:hint="eastAsia" w:ascii="宋体" w:hAnsi="宋体" w:eastAsia="宋体" w:cs="宋体"/>
          <w:sz w:val="28"/>
          <w:szCs w:val="28"/>
        </w:rPr>
      </w:pPr>
      <w:r>
        <w:rPr>
          <w:rFonts w:hint="eastAsia" w:ascii="宋体" w:hAnsi="宋体" w:eastAsia="宋体" w:cs="宋体"/>
          <w:b/>
          <w:sz w:val="28"/>
          <w:szCs w:val="28"/>
        </w:rPr>
        <w:br w:type="page"/>
      </w:r>
    </w:p>
    <w:bookmarkEnd w:id="178"/>
    <w:p w14:paraId="27888673">
      <w:pPr>
        <w:shd w:val="clear" w:fill="FFFFFF" w:themeFill="background1"/>
        <w:snapToGrid w:val="0"/>
        <w:spacing w:line="500" w:lineRule="exact"/>
        <w:ind w:left="714"/>
        <w:rPr>
          <w:rFonts w:hint="eastAsia" w:ascii="宋体" w:hAnsi="宋体" w:eastAsia="宋体" w:cs="宋体"/>
          <w:b/>
          <w:color w:val="FF0000"/>
          <w:sz w:val="28"/>
          <w:szCs w:val="28"/>
          <w:highlight w:val="none"/>
          <w:shd w:val="clear" w:color="auto" w:fill="auto"/>
        </w:rPr>
      </w:pPr>
      <w:bookmarkStart w:id="179" w:name="OLE_LINK9"/>
      <w:r>
        <w:rPr>
          <w:rFonts w:hint="eastAsia" w:ascii="宋体" w:hAnsi="宋体" w:eastAsia="宋体" w:cs="宋体"/>
          <w:b/>
          <w:color w:val="FF0000"/>
          <w:sz w:val="28"/>
          <w:szCs w:val="28"/>
        </w:rPr>
        <w:t>3、品目名称：</w:t>
      </w:r>
      <w:r>
        <w:rPr>
          <w:rFonts w:hint="eastAsia" w:ascii="宋体" w:hAnsi="宋体" w:eastAsia="宋体" w:cs="宋体"/>
          <w:b/>
          <w:color w:val="FF0000"/>
          <w:sz w:val="28"/>
          <w:szCs w:val="28"/>
          <w:highlight w:val="none"/>
          <w:shd w:val="clear" w:color="auto" w:fill="auto"/>
        </w:rPr>
        <w:t>高温荷载结构体素分析显微镜（国产）</w:t>
      </w:r>
      <w:r>
        <w:rPr>
          <w:rFonts w:hint="eastAsia" w:ascii="宋体" w:hAnsi="宋体" w:eastAsia="宋体" w:cs="宋体"/>
          <w:b/>
          <w:bCs w:val="0"/>
          <w:color w:val="FF0000"/>
          <w:kern w:val="0"/>
          <w:sz w:val="28"/>
          <w:szCs w:val="28"/>
          <w:highlight w:val="none"/>
          <w:shd w:val="clear" w:color="auto" w:fill="auto"/>
          <w:lang w:val="en-US" w:eastAsia="zh-CN"/>
        </w:rPr>
        <w:t>（核心产品，带★标识的参数不允许负偏离</w:t>
      </w:r>
      <w:r>
        <w:rPr>
          <w:rFonts w:hint="eastAsia" w:hAnsi="宋体" w:cs="宋体"/>
          <w:b/>
          <w:bCs w:val="0"/>
          <w:color w:val="FF0000"/>
          <w:kern w:val="0"/>
          <w:sz w:val="28"/>
          <w:szCs w:val="28"/>
          <w:highlight w:val="none"/>
          <w:shd w:val="clear" w:color="auto" w:fill="auto"/>
          <w:lang w:val="en-US" w:eastAsia="zh-CN"/>
        </w:rPr>
        <w:t>，其他未标识为一般参数</w:t>
      </w:r>
      <w:r>
        <w:rPr>
          <w:rFonts w:hint="eastAsia" w:ascii="宋体" w:hAnsi="宋体" w:eastAsia="宋体" w:cs="宋体"/>
          <w:b/>
          <w:bCs w:val="0"/>
          <w:color w:val="FF0000"/>
          <w:kern w:val="0"/>
          <w:sz w:val="28"/>
          <w:szCs w:val="28"/>
          <w:highlight w:val="none"/>
          <w:shd w:val="clear" w:color="auto" w:fill="auto"/>
          <w:lang w:val="en-US" w:eastAsia="zh-CN"/>
        </w:rPr>
        <w:t>）</w:t>
      </w:r>
    </w:p>
    <w:bookmarkEnd w:id="179"/>
    <w:p w14:paraId="521C0C2E">
      <w:pPr>
        <w:shd w:val="clear" w:fill="FFFFFF" w:themeFill="background1"/>
        <w:snapToGrid w:val="0"/>
        <w:spacing w:line="500" w:lineRule="exact"/>
        <w:ind w:firstLine="709"/>
        <w:rPr>
          <w:rFonts w:hint="eastAsia" w:ascii="宋体" w:hAnsi="宋体" w:eastAsia="宋体" w:cs="宋体"/>
          <w:b/>
          <w:bCs/>
          <w:color w:val="FF0000"/>
          <w:sz w:val="28"/>
          <w:szCs w:val="28"/>
          <w:highlight w:val="none"/>
          <w:shd w:val="clear" w:color="auto" w:fill="auto"/>
        </w:rPr>
      </w:pPr>
      <w:r>
        <w:rPr>
          <w:rFonts w:hint="eastAsia" w:ascii="宋体" w:hAnsi="宋体" w:eastAsia="宋体" w:cs="宋体"/>
          <w:b/>
          <w:bCs/>
          <w:color w:val="FF0000"/>
          <w:sz w:val="28"/>
          <w:szCs w:val="28"/>
          <w:highlight w:val="none"/>
          <w:shd w:val="clear" w:color="auto" w:fill="auto"/>
        </w:rPr>
        <w:t>1)规格（备注：以下1项参数）</w:t>
      </w:r>
    </w:p>
    <w:p w14:paraId="190C2BF0">
      <w:pPr>
        <w:shd w:val="clear" w:fill="FFFFFF" w:themeFill="background1"/>
        <w:snapToGrid w:val="0"/>
        <w:spacing w:line="500" w:lineRule="exact"/>
        <w:ind w:firstLine="560" w:firstLineChars="200"/>
        <w:rPr>
          <w:rFonts w:hint="eastAsia" w:ascii="宋体" w:hAnsi="宋体" w:eastAsia="宋体" w:cs="宋体"/>
          <w:color w:val="FF0000"/>
          <w:sz w:val="28"/>
          <w:szCs w:val="28"/>
          <w:highlight w:val="none"/>
          <w:shd w:val="clear" w:color="auto" w:fill="auto"/>
        </w:rPr>
      </w:pPr>
      <w:r>
        <w:rPr>
          <w:rFonts w:hint="eastAsia" w:ascii="宋体" w:hAnsi="宋体" w:eastAsia="宋体" w:cs="宋体"/>
          <w:color w:val="FF0000"/>
          <w:sz w:val="28"/>
          <w:szCs w:val="28"/>
          <w:highlight w:val="none"/>
          <w:shd w:val="clear" w:color="auto" w:fill="auto"/>
        </w:rPr>
        <w:t>设备对实验室最小空间尺寸要求：</w:t>
      </w:r>
      <w:r>
        <w:rPr>
          <w:rFonts w:hint="eastAsia" w:ascii="宋体" w:hAnsi="宋体" w:eastAsia="宋体" w:cs="宋体"/>
          <w:bCs/>
          <w:color w:val="FF0000"/>
          <w:sz w:val="28"/>
          <w:szCs w:val="28"/>
          <w:highlight w:val="none"/>
          <w:shd w:val="clear" w:color="auto" w:fill="auto"/>
        </w:rPr>
        <w:t>≥</w:t>
      </w:r>
      <w:r>
        <w:rPr>
          <w:rFonts w:hint="eastAsia" w:ascii="宋体" w:hAnsi="宋体" w:eastAsia="宋体" w:cs="宋体"/>
          <w:color w:val="FF0000"/>
          <w:sz w:val="28"/>
          <w:szCs w:val="28"/>
          <w:highlight w:val="none"/>
          <w:shd w:val="clear" w:color="auto" w:fill="auto"/>
        </w:rPr>
        <w:t>4000 mm（长）×</w:t>
      </w:r>
      <w:r>
        <w:rPr>
          <w:rFonts w:hint="eastAsia" w:ascii="宋体" w:hAnsi="宋体" w:eastAsia="宋体" w:cs="宋体"/>
          <w:bCs/>
          <w:color w:val="FF0000"/>
          <w:sz w:val="28"/>
          <w:szCs w:val="28"/>
          <w:highlight w:val="none"/>
          <w:shd w:val="clear" w:color="auto" w:fill="auto"/>
        </w:rPr>
        <w:t>≥</w:t>
      </w:r>
      <w:r>
        <w:rPr>
          <w:rFonts w:hint="eastAsia" w:ascii="宋体" w:hAnsi="宋体" w:eastAsia="宋体" w:cs="宋体"/>
          <w:color w:val="FF0000"/>
          <w:sz w:val="28"/>
          <w:szCs w:val="28"/>
          <w:highlight w:val="none"/>
          <w:shd w:val="clear" w:color="auto" w:fill="auto"/>
        </w:rPr>
        <w:t>3500 mm（宽）×</w:t>
      </w:r>
      <w:r>
        <w:rPr>
          <w:rFonts w:hint="eastAsia" w:ascii="宋体" w:hAnsi="宋体" w:eastAsia="宋体" w:cs="宋体"/>
          <w:bCs/>
          <w:color w:val="FF0000"/>
          <w:sz w:val="28"/>
          <w:szCs w:val="28"/>
          <w:highlight w:val="none"/>
          <w:shd w:val="clear" w:color="auto" w:fill="auto"/>
        </w:rPr>
        <w:t>≥</w:t>
      </w:r>
      <w:r>
        <w:rPr>
          <w:rFonts w:hint="eastAsia" w:ascii="宋体" w:hAnsi="宋体" w:eastAsia="宋体" w:cs="宋体"/>
          <w:color w:val="FF0000"/>
          <w:sz w:val="28"/>
          <w:szCs w:val="28"/>
          <w:highlight w:val="none"/>
          <w:shd w:val="clear" w:color="auto" w:fill="auto"/>
        </w:rPr>
        <w:t>2900 mm（高）。总占地面积约</w:t>
      </w:r>
      <w:r>
        <w:rPr>
          <w:rFonts w:hint="eastAsia" w:ascii="宋体" w:hAnsi="宋体" w:eastAsia="宋体" w:cs="宋体"/>
          <w:bCs/>
          <w:color w:val="FF0000"/>
          <w:sz w:val="28"/>
          <w:szCs w:val="28"/>
          <w:highlight w:val="none"/>
          <w:shd w:val="clear" w:color="auto" w:fill="auto"/>
        </w:rPr>
        <w:t>≥</w:t>
      </w:r>
      <w:r>
        <w:rPr>
          <w:rFonts w:hint="eastAsia" w:ascii="宋体" w:hAnsi="宋体" w:eastAsia="宋体" w:cs="宋体"/>
          <w:color w:val="FF0000"/>
          <w:sz w:val="28"/>
          <w:szCs w:val="28"/>
          <w:highlight w:val="none"/>
          <w:shd w:val="clear" w:color="auto" w:fill="auto"/>
        </w:rPr>
        <w:t>18m</w:t>
      </w:r>
      <w:r>
        <w:rPr>
          <w:rFonts w:hint="eastAsia" w:ascii="宋体" w:hAnsi="宋体" w:eastAsia="宋体" w:cs="宋体"/>
          <w:color w:val="FF0000"/>
          <w:sz w:val="28"/>
          <w:szCs w:val="28"/>
          <w:highlight w:val="none"/>
          <w:shd w:val="clear" w:color="auto" w:fill="auto"/>
          <w:vertAlign w:val="superscript"/>
        </w:rPr>
        <w:t>2</w:t>
      </w:r>
      <w:r>
        <w:rPr>
          <w:rFonts w:hint="eastAsia" w:ascii="宋体" w:hAnsi="宋体" w:eastAsia="宋体" w:cs="宋体"/>
          <w:color w:val="FF0000"/>
          <w:sz w:val="28"/>
          <w:szCs w:val="28"/>
          <w:highlight w:val="none"/>
          <w:shd w:val="clear" w:color="auto" w:fill="auto"/>
        </w:rPr>
        <w:t>。设备功率及电压：单相220V 50HZ（电压波动小于2%）；总功率：</w:t>
      </w:r>
      <w:r>
        <w:rPr>
          <w:rFonts w:hint="eastAsia" w:ascii="宋体" w:hAnsi="宋体" w:eastAsia="宋体" w:cs="宋体"/>
          <w:bCs/>
          <w:color w:val="FF0000"/>
          <w:sz w:val="28"/>
          <w:szCs w:val="28"/>
          <w:highlight w:val="none"/>
          <w:shd w:val="clear" w:color="auto" w:fill="auto"/>
        </w:rPr>
        <w:t>≥</w:t>
      </w:r>
      <w:r>
        <w:rPr>
          <w:rFonts w:hint="eastAsia" w:ascii="宋体" w:hAnsi="宋体" w:eastAsia="宋体" w:cs="宋体"/>
          <w:color w:val="FF0000"/>
          <w:sz w:val="28"/>
          <w:szCs w:val="28"/>
          <w:highlight w:val="none"/>
          <w:shd w:val="clear" w:color="auto" w:fill="auto"/>
        </w:rPr>
        <w:t>8kW。</w:t>
      </w:r>
    </w:p>
    <w:p w14:paraId="02FE46E5">
      <w:pPr>
        <w:shd w:val="clear" w:fill="FFFFFF" w:themeFill="background1"/>
        <w:snapToGrid w:val="0"/>
        <w:spacing w:line="500" w:lineRule="exact"/>
        <w:ind w:firstLine="709"/>
        <w:rPr>
          <w:rFonts w:hint="eastAsia" w:ascii="宋体" w:hAnsi="宋体" w:eastAsia="宋体" w:cs="宋体"/>
          <w:color w:val="FF0000"/>
          <w:sz w:val="28"/>
          <w:szCs w:val="28"/>
          <w:highlight w:val="none"/>
          <w:shd w:val="clear" w:color="auto" w:fill="auto"/>
        </w:rPr>
      </w:pPr>
      <w:r>
        <w:rPr>
          <w:rFonts w:hint="eastAsia" w:ascii="宋体" w:hAnsi="宋体" w:eastAsia="宋体" w:cs="宋体"/>
          <w:color w:val="FF0000"/>
          <w:sz w:val="28"/>
          <w:szCs w:val="28"/>
          <w:highlight w:val="none"/>
          <w:shd w:val="clear" w:color="auto" w:fill="auto"/>
        </w:rPr>
        <w:t>2)详细参数</w:t>
      </w:r>
      <w:r>
        <w:rPr>
          <w:rFonts w:hint="eastAsia" w:ascii="宋体" w:hAnsi="宋体" w:eastAsia="宋体" w:cs="宋体"/>
          <w:b/>
          <w:bCs/>
          <w:color w:val="FF0000"/>
          <w:sz w:val="28"/>
          <w:szCs w:val="28"/>
          <w:highlight w:val="none"/>
          <w:shd w:val="clear" w:color="auto" w:fill="auto"/>
        </w:rPr>
        <w:t>（备注：</w:t>
      </w:r>
      <w:r>
        <w:rPr>
          <w:rFonts w:hint="eastAsia" w:ascii="宋体" w:hAnsi="宋体" w:eastAsia="宋体" w:cs="宋体"/>
          <w:b/>
          <w:bCs w:val="0"/>
          <w:color w:val="FF0000"/>
          <w:kern w:val="0"/>
          <w:sz w:val="28"/>
          <w:szCs w:val="28"/>
          <w:highlight w:val="none"/>
          <w:shd w:val="clear" w:color="auto" w:fill="auto"/>
          <w:lang w:val="en-US" w:eastAsia="zh-CN"/>
        </w:rPr>
        <w:t>带★标识的参数</w:t>
      </w:r>
      <w:r>
        <w:rPr>
          <w:rFonts w:hint="eastAsia" w:hAnsi="宋体" w:cs="宋体"/>
          <w:b/>
          <w:bCs w:val="0"/>
          <w:color w:val="FF0000"/>
          <w:kern w:val="0"/>
          <w:sz w:val="28"/>
          <w:szCs w:val="28"/>
          <w:highlight w:val="none"/>
          <w:shd w:val="clear" w:color="auto" w:fill="auto"/>
          <w:lang w:val="en-US" w:eastAsia="zh-CN"/>
        </w:rPr>
        <w:t>2项，其他未标识为一般参数26项</w:t>
      </w:r>
      <w:r>
        <w:rPr>
          <w:rFonts w:hint="eastAsia" w:ascii="宋体" w:hAnsi="宋体" w:eastAsia="宋体" w:cs="宋体"/>
          <w:b/>
          <w:bCs/>
          <w:color w:val="FF0000"/>
          <w:sz w:val="28"/>
          <w:szCs w:val="28"/>
          <w:highlight w:val="none"/>
          <w:shd w:val="clear" w:color="auto" w:fill="auto"/>
        </w:rPr>
        <w:t>）</w:t>
      </w:r>
    </w:p>
    <w:p w14:paraId="6FF27536">
      <w:pPr>
        <w:shd w:val="clear" w:fill="FFFFFF" w:themeFill="background1"/>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highlight w:val="none"/>
          <w:shd w:val="clear" w:color="auto" w:fill="auto"/>
        </w:rPr>
        <w:t>1）</w:t>
      </w:r>
      <w:r>
        <w:rPr>
          <w:rFonts w:hint="eastAsia" w:ascii="宋体" w:hAnsi="宋体" w:eastAsia="宋体" w:cs="宋体"/>
          <w:color w:val="FF0000"/>
          <w:sz w:val="28"/>
          <w:szCs w:val="28"/>
          <w:highlight w:val="none"/>
          <w:shd w:val="clear" w:color="auto" w:fill="auto"/>
        </w:rPr>
        <w:t>系统总体要求：系统包括射线源、探测器、试件扫描系统、图像重建和分析系统、高温荷载加载系统，作为样品无损检测数字化的技术平台，通过抽取真空环境，激发</w:t>
      </w:r>
      <w:r>
        <w:rPr>
          <w:rFonts w:hint="eastAsia" w:ascii="宋体" w:hAnsi="宋体" w:eastAsia="宋体" w:cs="宋体"/>
          <w:color w:val="FF0000"/>
          <w:sz w:val="28"/>
          <w:szCs w:val="28"/>
        </w:rPr>
        <w:t>产生不同能量段的X光，利用X光波长短穿透率强的的特点对岩土与材料样品等进行穿透，计算单位时间透过不同岩土结构的光子技术，实时判断样品内部结构和密度分布情况;</w:t>
      </w:r>
    </w:p>
    <w:p w14:paraId="43879766">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2）</w:t>
      </w:r>
      <w:r>
        <w:rPr>
          <w:rFonts w:hint="eastAsia" w:ascii="宋体" w:hAnsi="宋体" w:eastAsia="宋体" w:cs="宋体"/>
          <w:color w:val="FF0000"/>
          <w:sz w:val="28"/>
          <w:szCs w:val="28"/>
        </w:rPr>
        <w:t>空间分辨率≤0.5 μm（须提供基于扇形及线对JIMA卡的空间分辨率测试结果进行证明），系统细节分辨率≤0.2 μm；工作距离(X射线源距样品中心旋转轴)50 mm时的测试分辨率≤1.0 μm（提供CT实测结果证明），工作距离(X射线源距样品中心旋转轴)10 mm时的测试分辨率≤450 nm；</w:t>
      </w:r>
    </w:p>
    <w:p w14:paraId="43C7FB7F">
      <w:pPr>
        <w:snapToGrid w:val="0"/>
        <w:spacing w:line="500" w:lineRule="exact"/>
        <w:ind w:firstLine="562" w:firstLineChars="200"/>
        <w:rPr>
          <w:rFonts w:hint="eastAsia" w:ascii="宋体" w:hAnsi="宋体" w:eastAsia="宋体" w:cs="宋体"/>
          <w:color w:val="FF0000"/>
          <w:sz w:val="28"/>
          <w:szCs w:val="28"/>
        </w:rPr>
      </w:pPr>
      <w:bookmarkStart w:id="180" w:name="OLE_LINK11"/>
      <w:r>
        <w:rPr>
          <w:rFonts w:hint="eastAsia" w:ascii="宋体" w:hAnsi="宋体" w:eastAsia="宋体" w:cs="宋体"/>
          <w:b/>
          <w:bCs/>
          <w:color w:val="FF0000"/>
          <w:sz w:val="28"/>
          <w:szCs w:val="28"/>
          <w:highlight w:val="cyan"/>
        </w:rPr>
        <w:t>★</w:t>
      </w:r>
      <w:r>
        <w:rPr>
          <w:rFonts w:hint="eastAsia" w:ascii="宋体" w:hAnsi="宋体" w:eastAsia="宋体" w:cs="宋体"/>
          <w:b/>
          <w:bCs/>
          <w:color w:val="FF0000"/>
          <w:sz w:val="28"/>
          <w:szCs w:val="28"/>
        </w:rPr>
        <w:t>3）</w:t>
      </w:r>
      <w:r>
        <w:rPr>
          <w:rFonts w:hint="eastAsia" w:ascii="宋体" w:hAnsi="宋体" w:eastAsia="宋体" w:cs="宋体"/>
          <w:color w:val="FF0000"/>
          <w:sz w:val="28"/>
          <w:szCs w:val="28"/>
        </w:rPr>
        <w:t>系统具备超分辨成像能力，在不改变样品本身硬件配置情况下，通过两次CT扫描及超分辨重构算法，将样品的成像分辨率至少提升1倍（提供亚像素成像技术方案及成像案例）；高分辨成像能力：对于25mm直径样品在直径扫全的情况下可实现4微米分辨率，并清晰识别4微米裂纹；对于5mm直径样品在直径扫全的情况下可实现1微米分辨率，并清晰识别1微米裂纹（提供实测CT图像案例证明）；</w:t>
      </w:r>
    </w:p>
    <w:bookmarkEnd w:id="180"/>
    <w:p w14:paraId="6A081000">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4）</w:t>
      </w:r>
      <w:r>
        <w:rPr>
          <w:rFonts w:hint="eastAsia" w:ascii="宋体" w:hAnsi="宋体" w:eastAsia="宋体" w:cs="宋体"/>
          <w:color w:val="FF0000"/>
          <w:sz w:val="28"/>
          <w:szCs w:val="28"/>
        </w:rPr>
        <w:t>支持多种扫描成像模式，如动态标清DR成像，静态高清图像DR成像，圆轨迹锥束CT，超视野局部高分辨锥束CT，螺旋锥束CT，偏置锥束CT，有限角锥束CT，拼接锥束CT；</w:t>
      </w:r>
    </w:p>
    <w:p w14:paraId="525ABA2C">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5）</w:t>
      </w:r>
      <w:r>
        <w:rPr>
          <w:rFonts w:hint="eastAsia" w:ascii="宋体" w:hAnsi="宋体" w:eastAsia="宋体" w:cs="宋体"/>
          <w:color w:val="FF0000"/>
          <w:sz w:val="28"/>
          <w:szCs w:val="28"/>
        </w:rPr>
        <w:t>设备扫描出单个2048 X2048X796像素原始三维数据大小不超过10G，扫描优于500nm分辨率情况下成像时间不超过10h；</w:t>
      </w:r>
    </w:p>
    <w:p w14:paraId="7DA51295">
      <w:pPr>
        <w:snapToGrid w:val="0"/>
        <w:spacing w:line="500" w:lineRule="exact"/>
        <w:ind w:firstLine="562" w:firstLineChars="200"/>
        <w:rPr>
          <w:rFonts w:hint="eastAsia" w:ascii="宋体" w:hAnsi="宋体" w:eastAsia="宋体" w:cs="宋体"/>
          <w:color w:val="FF0000"/>
          <w:sz w:val="28"/>
          <w:szCs w:val="28"/>
        </w:rPr>
      </w:pPr>
      <w:bookmarkStart w:id="181" w:name="OLE_LINK10"/>
      <w:r>
        <w:rPr>
          <w:rFonts w:hint="eastAsia" w:ascii="宋体" w:hAnsi="宋体" w:eastAsia="宋体" w:cs="宋体"/>
          <w:b/>
          <w:bCs/>
          <w:color w:val="FF0000"/>
          <w:sz w:val="28"/>
          <w:szCs w:val="28"/>
        </w:rPr>
        <w:t>6）</w:t>
      </w:r>
      <w:r>
        <w:rPr>
          <w:rFonts w:hint="eastAsia" w:ascii="宋体" w:hAnsi="宋体" w:eastAsia="宋体" w:cs="宋体"/>
          <w:color w:val="FF0000"/>
          <w:sz w:val="28"/>
          <w:szCs w:val="28"/>
        </w:rPr>
        <w:t>系统探测器具有左右移动的轴，抖动行程≥20mm，具备抖动扫描和快速扫描两种扫描模式（提供抖动行程≥20mm的实物图及采用抖动扫描和普通扫描的成像效果对比）；</w:t>
      </w:r>
    </w:p>
    <w:bookmarkEnd w:id="181"/>
    <w:p w14:paraId="40C6CDD9">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7）</w:t>
      </w:r>
      <w:r>
        <w:rPr>
          <w:rFonts w:hint="eastAsia" w:ascii="宋体" w:hAnsi="宋体" w:eastAsia="宋体" w:cs="宋体"/>
          <w:color w:val="FF0000"/>
          <w:sz w:val="28"/>
          <w:szCs w:val="28"/>
        </w:rPr>
        <w:t>具有扫描参数自动获取、样品穿透率计算、采集图像的几何运算等功能，为测试样品过程提供方便快捷的工具（提供软件证明材料）；</w:t>
      </w:r>
    </w:p>
    <w:p w14:paraId="25D3D114">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8）</w:t>
      </w:r>
      <w:r>
        <w:rPr>
          <w:rFonts w:hint="eastAsia" w:ascii="宋体" w:hAnsi="宋体" w:eastAsia="宋体" w:cs="宋体"/>
          <w:color w:val="FF0000"/>
          <w:sz w:val="28"/>
          <w:szCs w:val="28"/>
        </w:rPr>
        <w:t>射线源制造商上须为设备整机制造商自研以保证售后能力，管电压≥190kV，管电流≥ 1mA，最大靶功率≥25 W；光源管头固定位置距焦点距离≤15cm；沿电子束方向向前平移距离≥15cm（提供射线源有关技术图纸复印件，并提供最大管电压、最大功率、最大管电流的软件截图）；</w:t>
      </w:r>
    </w:p>
    <w:p w14:paraId="4A08BE89">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9）</w:t>
      </w:r>
      <w:r>
        <w:rPr>
          <w:rFonts w:hint="eastAsia" w:ascii="宋体" w:hAnsi="宋体" w:eastAsia="宋体" w:cs="宋体"/>
          <w:color w:val="FF0000"/>
          <w:sz w:val="28"/>
          <w:szCs w:val="28"/>
        </w:rPr>
        <w:t>开光源的条件下，可3小时连续采集探测器的读出背底图像，计算平均灰度，偏差在±18%的范围以内；（提供2次测试平均灰度统计图）；</w:t>
      </w:r>
    </w:p>
    <w:p w14:paraId="4C82788B">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10）</w:t>
      </w:r>
      <w:r>
        <w:rPr>
          <w:rFonts w:hint="eastAsia" w:ascii="宋体" w:hAnsi="宋体" w:eastAsia="宋体" w:cs="宋体"/>
          <w:color w:val="FF0000"/>
          <w:sz w:val="28"/>
          <w:szCs w:val="28"/>
        </w:rPr>
        <w:t>具备校准功能（包括真空检测、射线管训管、灯丝校准）及调整靶电流的功能，管头的内部液体冷却，保证在长时间 CT 扫描过程中焦点稳定，免油真空系统；</w:t>
      </w:r>
    </w:p>
    <w:p w14:paraId="4457401E">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11）</w:t>
      </w:r>
      <w:r>
        <w:rPr>
          <w:rFonts w:hint="eastAsia" w:ascii="宋体" w:hAnsi="宋体" w:eastAsia="宋体" w:cs="宋体"/>
          <w:color w:val="FF0000"/>
          <w:sz w:val="28"/>
          <w:szCs w:val="28"/>
        </w:rPr>
        <w:t>精密样品台：8轴精密运动机械系统，包含四轴精密样品台，全电脑控制，XYZ平动台安装在旋转扫描平台之上；线性样品台：XYZ轴闭环分辨率≤100 nm；X轴运动范围：≥20 mm；Y轴运动范围：≥20 mm；Z轴运动范围：≥90 mm；样品台旋转范围：360º；样品台承重不小于25kg；</w:t>
      </w:r>
    </w:p>
    <w:p w14:paraId="62438DA5">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12）</w:t>
      </w:r>
      <w:r>
        <w:rPr>
          <w:rFonts w:hint="eastAsia" w:ascii="宋体" w:hAnsi="宋体" w:eastAsia="宋体" w:cs="宋体"/>
          <w:color w:val="FF0000"/>
          <w:sz w:val="28"/>
          <w:szCs w:val="28"/>
        </w:rPr>
        <w:t>高精度机械转台：电机驱动，带编码信号；最小增量转动≤0.001°；单向重复定位精度≤0.002°；双向重复定位精度≤0.004°；绝对定位精度≤0.01°；最大转动速度≥20°/s；晃动偏离≤16μrad；轴向跳动≤6 μm；径向跳动≤6 μm；</w:t>
      </w:r>
    </w:p>
    <w:p w14:paraId="549DEF79">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13）</w:t>
      </w:r>
      <w:r>
        <w:rPr>
          <w:rFonts w:hint="eastAsia" w:ascii="宋体" w:hAnsi="宋体" w:eastAsia="宋体" w:cs="宋体"/>
          <w:color w:val="FF0000"/>
          <w:sz w:val="28"/>
          <w:szCs w:val="28"/>
        </w:rPr>
        <w:t>机械运动平台：天然大理石运动平台基座；射线源运动行程≥300 mm；射线源运动重复定位精度±10μm；射线源运动轴承载能力≥40kg；探测器运动行程≥300 mm；探测器运动重复定位精度±10 μm；</w:t>
      </w:r>
    </w:p>
    <w:p w14:paraId="49F8CA73">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14)</w:t>
      </w:r>
      <w:r>
        <w:rPr>
          <w:rFonts w:hint="eastAsia" w:ascii="宋体" w:hAnsi="宋体" w:eastAsia="宋体" w:cs="宋体"/>
          <w:color w:val="FF0000"/>
          <w:sz w:val="28"/>
          <w:szCs w:val="28"/>
        </w:rPr>
        <w:t xml:space="preserve"> 探测器系统：探测器系统须包含物镜耦合探测器与大视野平板探测器两种成像系统，光耦探测器和数字平板探测器高精度切换轴，具有光栅尺位置反馈，结合成像可以完成机械去除伪影功能；</w:t>
      </w:r>
    </w:p>
    <w:p w14:paraId="687B8148">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highlight w:val="cyan"/>
        </w:rPr>
        <w:t>★</w:t>
      </w:r>
      <w:r>
        <w:rPr>
          <w:rFonts w:hint="eastAsia" w:ascii="宋体" w:hAnsi="宋体" w:eastAsia="宋体" w:cs="宋体"/>
          <w:b/>
          <w:bCs/>
          <w:color w:val="FF0000"/>
          <w:sz w:val="28"/>
          <w:szCs w:val="28"/>
        </w:rPr>
        <w:t>15）</w:t>
      </w:r>
      <w:r>
        <w:rPr>
          <w:rFonts w:hint="eastAsia" w:ascii="宋体" w:hAnsi="宋体" w:eastAsia="宋体" w:cs="宋体"/>
          <w:color w:val="FF0000"/>
          <w:sz w:val="28"/>
          <w:szCs w:val="28"/>
        </w:rPr>
        <w:t>具备光学物镜耦合探测器组件：光学放大物镜探测器组件，由高分辨CCD和光学镜头组组成，通过CCD相机实现高分辨成像；高分辨CCD：≥4000×4000像素，感光单元尺寸≤9 μm，动态范围16 bit；光学镜头包括：4x，10x，20x物镜（须提供CT光耦探测器实物照片及应用案例证明）;</w:t>
      </w:r>
    </w:p>
    <w:p w14:paraId="651B8963">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16）</w:t>
      </w:r>
      <w:r>
        <w:rPr>
          <w:rFonts w:hint="eastAsia" w:ascii="宋体" w:hAnsi="宋体" w:eastAsia="宋体" w:cs="宋体"/>
          <w:color w:val="FF0000"/>
          <w:sz w:val="28"/>
          <w:szCs w:val="28"/>
        </w:rPr>
        <w:t>大视野平板探测器组件：类型：非晶硅数字平板探测器，探测器像素矩阵：像素矩阵：≥3500×3500；大视野探测器视野范围：≥290 mm×290 mm，感光单元尺寸≤85μmX85μm ；具备校正功能：本底校正、增益校正;</w:t>
      </w:r>
    </w:p>
    <w:p w14:paraId="6C7279D2">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17）</w:t>
      </w:r>
      <w:r>
        <w:rPr>
          <w:rFonts w:hint="eastAsia" w:ascii="宋体" w:hAnsi="宋体" w:eastAsia="宋体" w:cs="宋体"/>
          <w:color w:val="FF0000"/>
          <w:sz w:val="28"/>
          <w:szCs w:val="28"/>
        </w:rPr>
        <w:t>图形采集软件、图像重建软件和数字岩心建模分析软件支持二次开发;</w:t>
      </w:r>
    </w:p>
    <w:p w14:paraId="7EB86BD7">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18）</w:t>
      </w:r>
      <w:r>
        <w:rPr>
          <w:rFonts w:hint="eastAsia" w:ascii="宋体" w:hAnsi="宋体" w:eastAsia="宋体" w:cs="宋体"/>
          <w:color w:val="FF0000"/>
          <w:sz w:val="28"/>
          <w:szCs w:val="28"/>
        </w:rPr>
        <w:t>图像采集软件: 具备图像采集自校正模块，可以在设备和软件开启时自动检测射线源、探测器、控制器等子系统的链接情况;</w:t>
      </w:r>
    </w:p>
    <w:p w14:paraId="040E0F5F">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19)</w:t>
      </w:r>
      <w:r>
        <w:rPr>
          <w:rFonts w:hint="eastAsia" w:ascii="宋体" w:hAnsi="宋体" w:eastAsia="宋体" w:cs="宋体"/>
          <w:color w:val="FF0000"/>
          <w:sz w:val="28"/>
          <w:szCs w:val="28"/>
        </w:rPr>
        <w:t xml:space="preserve"> 具有6个可调重建参数，确保重建数据的精准度（提供软件截图证明）；具有多种自主研发强针对性的图像伪影校正功能（投影数据修复，投影数据标定，环状伪影校正，金属等射束硬化伪影去除）；具有迭代法和解析法两种重建模式（提供两种重构算法的重构结果）；</w:t>
      </w:r>
    </w:p>
    <w:p w14:paraId="2A705128">
      <w:pPr>
        <w:tabs>
          <w:tab w:val="left" w:pos="0"/>
        </w:tabs>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20）</w:t>
      </w:r>
      <w:r>
        <w:rPr>
          <w:rFonts w:hint="eastAsia" w:ascii="宋体" w:hAnsi="宋体" w:eastAsia="宋体" w:cs="宋体"/>
          <w:color w:val="FF0000"/>
          <w:sz w:val="28"/>
          <w:szCs w:val="28"/>
        </w:rPr>
        <w:t>具有图像姿态人机交互调整功能，支持用户按任意角度旋转及平移的功能（提供软件截图证明）；</w:t>
      </w:r>
    </w:p>
    <w:p w14:paraId="31E6345D">
      <w:pPr>
        <w:tabs>
          <w:tab w:val="left" w:pos="0"/>
        </w:tabs>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21）</w:t>
      </w:r>
      <w:r>
        <w:rPr>
          <w:rFonts w:hint="eastAsia" w:ascii="宋体" w:hAnsi="宋体" w:eastAsia="宋体" w:cs="宋体"/>
          <w:color w:val="FF0000"/>
          <w:sz w:val="28"/>
          <w:szCs w:val="28"/>
        </w:rPr>
        <w:t>基于高速GPU的快速3D图像重构软件重建软件，针对在图像矩阵1024×1024×768像素矩阵的三维数据体，解析算法重构时间≤2分钟，自适应迭代重构时间≤4分钟；针对图像矩阵2048×2048×1536像素矩阵的三维数据体，解析算法重构时间≤10分钟；</w:t>
      </w:r>
    </w:p>
    <w:p w14:paraId="67739C8A">
      <w:pPr>
        <w:tabs>
          <w:tab w:val="left" w:pos="0"/>
        </w:tabs>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22）</w:t>
      </w:r>
      <w:r>
        <w:rPr>
          <w:rFonts w:hint="eastAsia" w:ascii="宋体" w:hAnsi="宋体" w:eastAsia="宋体" w:cs="宋体"/>
          <w:color w:val="FF0000"/>
          <w:sz w:val="28"/>
          <w:szCs w:val="28"/>
        </w:rPr>
        <w:t>数字岩心专业分析软件：支持球棒模型的建立，基于模型给出球棒的几何统计参数，一键可得到三个方向逐层孔隙率，构建孔喉网络模型，并进行孔、喉结构特征的分析，可获得孔隙数目、孔隙度、孔隙直径、喉道直径、喉道长度、孔喉比、配位数、孔隙形状因子、喉道形状因子等；</w:t>
      </w:r>
    </w:p>
    <w:p w14:paraId="59494248">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23）</w:t>
      </w:r>
      <w:r>
        <w:rPr>
          <w:rFonts w:hint="eastAsia" w:ascii="宋体" w:hAnsi="宋体" w:eastAsia="宋体" w:cs="宋体"/>
          <w:color w:val="FF0000"/>
          <w:sz w:val="28"/>
          <w:szCs w:val="28"/>
        </w:rPr>
        <w:t>三维可视化软件一套：功能包含但不限于：长度、角度、剖面线、区域和直方图定量分析；图像配准与融合，可将同一样品的两次或多次图像进行自动或手动配准；配准的图像可具有不同的空间尺度（即体素点大小和数目可以不同）；图像分割，可创建任意多个ROI，ROI有四种显示方式；多种手动、半自动、自动分割工具；ROI之间进行布尔运算；ROI的形态学算子；使用Otsu阈值进行自动分割；欧氏距离变换；使用分水岭算法进行分割；骨干线提取；ROI文件的导入导出；</w:t>
      </w:r>
    </w:p>
    <w:p w14:paraId="6A80B06D">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24）</w:t>
      </w:r>
      <w:r>
        <w:rPr>
          <w:rFonts w:hint="eastAsia" w:ascii="宋体" w:hAnsi="宋体" w:eastAsia="宋体" w:cs="宋体"/>
          <w:color w:val="FF0000"/>
          <w:sz w:val="28"/>
          <w:szCs w:val="28"/>
        </w:rPr>
        <w:t>快速扫描成像模式：此模式可在亚微米级分辨率情况下快速扫描成像在3分钟内完成；抖动扫描模式：系统探测器具有左右移动的轴，具备抖动扫描和快速扫描两种扫描模式，抖动模式扫描配合探测器左右抖动，可有效去除环状伪影；</w:t>
      </w:r>
    </w:p>
    <w:p w14:paraId="65FD317E">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25）</w:t>
      </w:r>
      <w:r>
        <w:rPr>
          <w:rFonts w:hint="eastAsia" w:ascii="宋体" w:hAnsi="宋体" w:eastAsia="宋体" w:cs="宋体"/>
          <w:color w:val="FF0000"/>
          <w:sz w:val="28"/>
          <w:szCs w:val="28"/>
        </w:rPr>
        <w:t>自动重建模式：系统具备边扫描边重建的功能，在扫描同时自动对三维数据进行自动重建；可在不额外拷贝数据用重建软件进行重建；螺旋扫描模式：系统具备螺旋扫描模式，可在不降低最优分辨率的情况下样品高度多圈扫描，不用多次扫描然后进行拼接；</w:t>
      </w:r>
    </w:p>
    <w:p w14:paraId="3D609E31">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26）</w:t>
      </w:r>
      <w:r>
        <w:rPr>
          <w:rFonts w:hint="eastAsia" w:ascii="宋体" w:hAnsi="宋体" w:eastAsia="宋体" w:cs="宋体"/>
          <w:color w:val="FF0000"/>
          <w:sz w:val="28"/>
          <w:szCs w:val="28"/>
        </w:rPr>
        <w:t>数据处理系统，其中数据采集系统一套，配置不低于：i7八核处理器，内存≥16G；硬盘SSD ≥256G，HDD ≥4TB；其中三位可视化系统一套，配置不低于： 酷睿十核CPU处理器，内存≥256G，硬盘SSD ≥256G，HDD ≥8TB；</w:t>
      </w:r>
    </w:p>
    <w:p w14:paraId="3EA19B76">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27）</w:t>
      </w:r>
      <w:r>
        <w:rPr>
          <w:rFonts w:hint="eastAsia" w:ascii="宋体" w:hAnsi="宋体" w:eastAsia="宋体" w:cs="宋体"/>
          <w:color w:val="FF0000"/>
          <w:sz w:val="28"/>
          <w:szCs w:val="28"/>
        </w:rPr>
        <w:t>射线防护箱体：X射线开启显示功能，门机联动安全锁；在距离箱体20 mm的任何位置，所测射线剂量当量率小于1μSv/h；具有可视透明窗口，便于在设备运行过程中可以直接从窗口观察到样品情况；</w:t>
      </w:r>
    </w:p>
    <w:p w14:paraId="58D5D9A7">
      <w:pPr>
        <w:snapToGrid w:val="0"/>
        <w:spacing w:line="500" w:lineRule="exact"/>
        <w:ind w:firstLine="562" w:firstLineChars="200"/>
        <w:rPr>
          <w:rFonts w:hint="eastAsia" w:ascii="宋体" w:hAnsi="宋体" w:eastAsia="宋体" w:cs="宋体"/>
          <w:color w:val="FF0000"/>
          <w:sz w:val="28"/>
          <w:szCs w:val="28"/>
        </w:rPr>
      </w:pPr>
      <w:r>
        <w:rPr>
          <w:rFonts w:hint="eastAsia" w:ascii="宋体" w:hAnsi="宋体" w:eastAsia="宋体" w:cs="宋体"/>
          <w:b/>
          <w:bCs/>
          <w:color w:val="FF0000"/>
          <w:sz w:val="28"/>
          <w:szCs w:val="28"/>
        </w:rPr>
        <w:t>28）</w:t>
      </w:r>
      <w:r>
        <w:rPr>
          <w:rFonts w:hint="eastAsia" w:ascii="宋体" w:hAnsi="宋体" w:eastAsia="宋体" w:cs="宋体"/>
          <w:color w:val="FF0000"/>
          <w:sz w:val="28"/>
          <w:szCs w:val="28"/>
        </w:rPr>
        <w:t>原位高温加载功能：保证与CT成像系统的兼容性；温度范围常温到1500°C，温度精度为+/-3°C以内；温度显示分辨率1°C，温度稳定性+/-1°C；制冷样品支撑物（直径8mm），两片覆盖防止结冰；样品支撑物基底的高度可以根据特定台对不同长度支撑物的要求设定；柔性的管道和电缆方便安装；最大制冷/加热速度20°C/min；温度显示和控制的键盘和显示器，同时显示实际温度和目标温度；微处理器通过RS-232或USB由PC控制。</w:t>
      </w:r>
    </w:p>
    <w:p w14:paraId="0AC2C0D5">
      <w:pPr>
        <w:spacing w:line="500" w:lineRule="exact"/>
        <w:rPr>
          <w:rFonts w:hint="eastAsia" w:ascii="宋体" w:hAnsi="宋体" w:eastAsia="宋体" w:cs="宋体"/>
          <w:b/>
          <w:color w:val="FF0000"/>
          <w:sz w:val="28"/>
          <w:szCs w:val="28"/>
        </w:rPr>
      </w:pPr>
    </w:p>
    <w:p w14:paraId="222D4C26">
      <w:pPr>
        <w:rPr>
          <w:rFonts w:hint="default" w:ascii="宋体" w:hAnsi="宋体" w:eastAsia="宋体" w:cs="宋体"/>
          <w:color w:val="FF0000"/>
          <w:highlight w:val="none"/>
          <w:shd w:val="clear" w:color="auto" w:fill="auto"/>
          <w:lang w:val="en-US" w:eastAsia="zh-CN"/>
        </w:rPr>
      </w:pPr>
      <w:r>
        <w:rPr>
          <w:rFonts w:hint="eastAsia" w:ascii="宋体" w:hAnsi="宋体" w:eastAsia="宋体" w:cs="宋体"/>
          <w:b/>
          <w:color w:val="FF0000"/>
          <w:sz w:val="28"/>
          <w:szCs w:val="28"/>
        </w:rPr>
        <w:t>备注：（核心设备的参数中，代</w:t>
      </w:r>
      <w:r>
        <w:rPr>
          <w:rFonts w:hint="eastAsia" w:ascii="宋体" w:hAnsi="宋体" w:eastAsia="宋体" w:cs="宋体"/>
          <w:b/>
          <w:color w:val="FF0000"/>
          <w:sz w:val="28"/>
          <w:szCs w:val="28"/>
          <w:highlight w:val="cyan"/>
        </w:rPr>
        <w:t>★</w:t>
      </w:r>
      <w:r>
        <w:rPr>
          <w:rFonts w:hint="eastAsia" w:ascii="宋体" w:hAnsi="宋体" w:eastAsia="宋体" w:cs="宋体"/>
          <w:b/>
          <w:color w:val="FF0000"/>
          <w:sz w:val="28"/>
          <w:szCs w:val="28"/>
        </w:rPr>
        <w:t>标识的参数不允许负</w:t>
      </w:r>
      <w:r>
        <w:rPr>
          <w:rFonts w:hint="eastAsia" w:ascii="宋体" w:hAnsi="宋体" w:eastAsia="宋体" w:cs="宋体"/>
          <w:b/>
          <w:color w:val="FF0000"/>
          <w:sz w:val="28"/>
          <w:szCs w:val="28"/>
          <w:shd w:val="clear" w:color="auto" w:fill="auto"/>
        </w:rPr>
        <w:t>偏离</w:t>
      </w:r>
      <w:r>
        <w:rPr>
          <w:rFonts w:hint="eastAsia" w:hAnsi="宋体" w:cs="宋体"/>
          <w:b/>
          <w:color w:val="FF0000"/>
          <w:sz w:val="28"/>
          <w:szCs w:val="28"/>
          <w:highlight w:val="none"/>
          <w:shd w:val="clear" w:color="auto" w:fill="auto"/>
          <w:lang w:eastAsia="zh-CN"/>
        </w:rPr>
        <w:t>，</w:t>
      </w:r>
      <w:r>
        <w:rPr>
          <w:rFonts w:hint="eastAsia" w:hAnsi="宋体" w:cs="宋体"/>
          <w:b/>
          <w:color w:val="FF0000"/>
          <w:sz w:val="28"/>
          <w:szCs w:val="28"/>
          <w:highlight w:val="none"/>
          <w:shd w:val="clear" w:color="auto" w:fill="auto"/>
          <w:lang w:val="en-US" w:eastAsia="zh-CN"/>
        </w:rPr>
        <w:t>以上</w:t>
      </w:r>
      <w:r>
        <w:rPr>
          <w:rFonts w:hint="eastAsia" w:hAnsi="宋体" w:cs="宋体"/>
          <w:b/>
          <w:bCs w:val="0"/>
          <w:color w:val="FF0000"/>
          <w:kern w:val="0"/>
          <w:sz w:val="28"/>
          <w:szCs w:val="28"/>
          <w:highlight w:val="none"/>
          <w:shd w:val="clear" w:color="auto" w:fill="auto"/>
          <w:lang w:val="en-US" w:eastAsia="zh-CN"/>
        </w:rPr>
        <w:t>其他未标识为一般参数27项）</w:t>
      </w:r>
    </w:p>
    <w:p w14:paraId="65F0B9F5">
      <w:pPr>
        <w:pStyle w:val="87"/>
        <w:spacing w:line="500" w:lineRule="exact"/>
        <w:jc w:val="center"/>
        <w:rPr>
          <w:rFonts w:hint="eastAsia" w:ascii="宋体" w:hAnsi="宋体" w:eastAsia="宋体" w:cs="宋体"/>
          <w:b/>
          <w:color w:val="auto"/>
          <w:sz w:val="28"/>
          <w:szCs w:val="28"/>
          <w:highlight w:val="none"/>
          <w:shd w:val="clear" w:color="auto" w:fill="auto"/>
        </w:rPr>
      </w:pPr>
    </w:p>
    <w:p w14:paraId="5F1AC850">
      <w:pPr>
        <w:spacing w:line="500" w:lineRule="exact"/>
        <w:rPr>
          <w:rFonts w:hint="eastAsia" w:ascii="宋体" w:hAnsi="宋体" w:eastAsia="宋体" w:cs="宋体"/>
          <w:sz w:val="28"/>
          <w:szCs w:val="28"/>
        </w:rPr>
      </w:pPr>
      <w:r>
        <w:rPr>
          <w:rFonts w:hint="eastAsia" w:ascii="宋体" w:hAnsi="宋体" w:eastAsia="宋体" w:cs="宋体"/>
          <w:b/>
          <w:sz w:val="28"/>
          <w:szCs w:val="28"/>
        </w:rPr>
        <w:br w:type="page"/>
      </w:r>
    </w:p>
    <w:p w14:paraId="21839CE0">
      <w:pPr>
        <w:snapToGrid w:val="0"/>
        <w:spacing w:line="500" w:lineRule="exact"/>
        <w:ind w:left="666" w:leftChars="196"/>
        <w:rPr>
          <w:rFonts w:hint="eastAsia" w:ascii="宋体" w:hAnsi="宋体" w:eastAsia="宋体" w:cs="宋体"/>
          <w:sz w:val="28"/>
          <w:szCs w:val="28"/>
        </w:rPr>
      </w:pPr>
      <w:r>
        <w:rPr>
          <w:rFonts w:hint="eastAsia" w:ascii="宋体" w:hAnsi="宋体" w:eastAsia="宋体" w:cs="宋体"/>
          <w:b/>
          <w:sz w:val="28"/>
          <w:szCs w:val="28"/>
        </w:rPr>
        <w:t>4、品目名称：高温红外烟气分析仪（国产）</w:t>
      </w:r>
    </w:p>
    <w:p w14:paraId="512601DC">
      <w:pPr>
        <w:pStyle w:val="86"/>
        <w:snapToGrid w:val="0"/>
        <w:spacing w:line="50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规格（备注：以下1项参数）：</w:t>
      </w:r>
    </w:p>
    <w:p w14:paraId="3A222F83">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1、主机供电要求：仪器使用电压范围:220VAC;50Hz；电源线长2m以上。</w:t>
      </w:r>
    </w:p>
    <w:p w14:paraId="4C857F38">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详细参数：</w:t>
      </w:r>
    </w:p>
    <w:p w14:paraId="386E5DE3">
      <w:pPr>
        <w:pStyle w:val="86"/>
        <w:snapToGrid w:val="0"/>
        <w:spacing w:line="500" w:lineRule="exact"/>
        <w:ind w:firstLine="649" w:firstLineChars="231"/>
        <w:rPr>
          <w:rFonts w:hint="eastAsia" w:ascii="宋体" w:hAnsi="宋体" w:eastAsia="宋体" w:cs="宋体"/>
          <w:b/>
          <w:bCs/>
          <w:sz w:val="28"/>
          <w:szCs w:val="28"/>
        </w:rPr>
      </w:pPr>
      <w:r>
        <w:rPr>
          <w:rFonts w:hint="eastAsia" w:ascii="宋体" w:hAnsi="宋体" w:eastAsia="宋体" w:cs="宋体"/>
          <w:b/>
          <w:bCs/>
          <w:sz w:val="28"/>
          <w:szCs w:val="28"/>
        </w:rPr>
        <w:t>一、测量原理要求（备注：以下1项参数）</w:t>
      </w:r>
    </w:p>
    <w:p w14:paraId="7D149F6F">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1、O2 采用高温氧化锆原理</w:t>
      </w:r>
    </w:p>
    <w:p w14:paraId="1B355A97">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2、CO 、NO、 NH3 、HCL、CH4 、N2O 采用GFC气体相关过滤红外技术</w:t>
      </w:r>
    </w:p>
    <w:p w14:paraId="68E110AB">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3、H2O、 CO2、 SO2、 NO2 采用IFC单光束双波长红外技术</w:t>
      </w:r>
    </w:p>
    <w:p w14:paraId="1D496AB5">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二、仪器量程和精度要求</w:t>
      </w:r>
      <w:r>
        <w:rPr>
          <w:rFonts w:hint="eastAsia" w:ascii="宋体" w:hAnsi="宋体" w:eastAsia="宋体" w:cs="宋体"/>
          <w:b/>
          <w:bCs/>
          <w:sz w:val="28"/>
          <w:szCs w:val="28"/>
        </w:rPr>
        <w:t>（备注：以下1项参数）</w:t>
      </w:r>
    </w:p>
    <w:p w14:paraId="248F5B87">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1、O2:</w:t>
      </w:r>
      <w:r>
        <w:rPr>
          <w:rFonts w:hint="eastAsia" w:ascii="宋体" w:hAnsi="宋体" w:eastAsia="宋体" w:cs="宋体"/>
          <w:sz w:val="28"/>
          <w:szCs w:val="28"/>
        </w:rPr>
        <w:tab/>
      </w:r>
      <w:r>
        <w:rPr>
          <w:rFonts w:hint="eastAsia" w:ascii="宋体" w:hAnsi="宋体" w:eastAsia="宋体" w:cs="宋体"/>
          <w:sz w:val="28"/>
          <w:szCs w:val="28"/>
        </w:rPr>
        <w:t>0—25%； 精度:±0.2%；分辨率:0.01%；</w:t>
      </w:r>
    </w:p>
    <w:p w14:paraId="2AB6FF3E">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2、H2O:0—40%； 精度:±2%FS；分辨率:0.01%；</w:t>
      </w:r>
    </w:p>
    <w:p w14:paraId="496AC603">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3、CO2：0—20%；0-50%   精度：±2%FS；分辨率:0.01%；</w:t>
      </w:r>
    </w:p>
    <w:p w14:paraId="203B4ECA">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4、CO: 0-500/5000mg/m3 自动切换量程；精度:±2%FS；分辨率:0.01mg/m3</w:t>
      </w:r>
    </w:p>
    <w:p w14:paraId="1E4A4BDD">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5、NO: 0-250/2500mg/m3 自动切换量程；精度:±2%FS；分辨率:0.01mg/m3</w:t>
      </w:r>
    </w:p>
    <w:p w14:paraId="234D24C5">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6、NO2：0-100/1000mg/m3 自动切换量程；精度:±2%FS；分辨率:0.01mg/m3</w:t>
      </w:r>
    </w:p>
    <w:p w14:paraId="618857FB">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7、CH4: 0-50/</w:t>
      </w:r>
      <w:r>
        <w:rPr>
          <w:rFonts w:hint="eastAsia" w:hAnsi="宋体" w:cs="宋体"/>
          <w:sz w:val="28"/>
          <w:szCs w:val="28"/>
        </w:rPr>
        <w:t>1</w:t>
      </w:r>
      <w:r>
        <w:rPr>
          <w:rFonts w:hint="eastAsia" w:ascii="宋体" w:hAnsi="宋体" w:eastAsia="宋体" w:cs="宋体"/>
          <w:sz w:val="28"/>
          <w:szCs w:val="28"/>
        </w:rPr>
        <w:t>500mg/m3 自动切换量程；精度:±2%FS；分辨率:0.01mg/m3</w:t>
      </w:r>
    </w:p>
    <w:p w14:paraId="46A41DC9">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8、SO2:0-500/5000mg/m3 自动切换量程；精度:±2%FS ；分辨率:0.01mg/m3</w:t>
      </w:r>
    </w:p>
    <w:p w14:paraId="21178D8D">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9、NH3:0-50/</w:t>
      </w:r>
      <w:r>
        <w:rPr>
          <w:rFonts w:hint="eastAsia" w:hAnsi="宋体" w:cs="宋体"/>
          <w:sz w:val="28"/>
          <w:szCs w:val="28"/>
        </w:rPr>
        <w:t>1</w:t>
      </w:r>
      <w:r>
        <w:rPr>
          <w:rFonts w:hint="eastAsia" w:ascii="宋体" w:hAnsi="宋体" w:eastAsia="宋体" w:cs="宋体"/>
          <w:sz w:val="28"/>
          <w:szCs w:val="28"/>
        </w:rPr>
        <w:t>500mg/m3 自动切换量程；精度:±2%FS；分辨率:0.01mg/m3</w:t>
      </w:r>
    </w:p>
    <w:p w14:paraId="1F9E126C">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10、HCL:0-45/</w:t>
      </w:r>
      <w:r>
        <w:rPr>
          <w:rFonts w:hint="eastAsia" w:hAnsi="宋体" w:cs="宋体"/>
          <w:sz w:val="28"/>
          <w:szCs w:val="28"/>
        </w:rPr>
        <w:t>2500</w:t>
      </w:r>
      <w:r>
        <w:rPr>
          <w:rFonts w:hint="eastAsia" w:ascii="宋体" w:hAnsi="宋体" w:eastAsia="宋体" w:cs="宋体"/>
          <w:sz w:val="28"/>
          <w:szCs w:val="28"/>
        </w:rPr>
        <w:t>mg/m3 自动切换量程；精度:±2%FS；分辨率:0.01mg/m3</w:t>
      </w:r>
    </w:p>
    <w:p w14:paraId="052842CA">
      <w:pPr>
        <w:pStyle w:val="88"/>
        <w:widowControl/>
        <w:snapToGrid w:val="0"/>
        <w:spacing w:line="500" w:lineRule="exact"/>
        <w:ind w:left="0" w:firstLine="548" w:firstLineChars="196"/>
        <w:rPr>
          <w:rFonts w:hint="eastAsia" w:ascii="宋体" w:hAnsi="宋体" w:eastAsia="宋体" w:cs="宋体"/>
          <w:sz w:val="28"/>
          <w:szCs w:val="28"/>
        </w:rPr>
      </w:pPr>
      <w:r>
        <w:rPr>
          <w:rFonts w:hint="eastAsia" w:ascii="宋体" w:hAnsi="宋体" w:eastAsia="宋体" w:cs="宋体"/>
          <w:sz w:val="28"/>
          <w:szCs w:val="28"/>
        </w:rPr>
        <w:t>11、N2O:0-100/1000mg/m3 自动切换量程；精度:±2%FS；分辨率:0.01mg/m3</w:t>
      </w:r>
    </w:p>
    <w:p w14:paraId="2DFBE85D">
      <w:pPr>
        <w:pStyle w:val="20"/>
        <w:widowControl w:val="0"/>
        <w:snapToGrid w:val="0"/>
        <w:ind w:left="0" w:firstLine="548" w:firstLineChars="196"/>
        <w:rPr>
          <w:rFonts w:hint="eastAsia" w:ascii="宋体" w:hAnsi="宋体" w:eastAsia="宋体" w:cs="宋体"/>
          <w:sz w:val="28"/>
          <w:szCs w:val="28"/>
          <w:highlight w:val="none"/>
          <w:lang w:val="en-US"/>
        </w:rPr>
      </w:pPr>
      <w:r>
        <w:rPr>
          <w:rFonts w:hint="eastAsia" w:ascii="宋体" w:hAnsi="宋体" w:eastAsia="宋体" w:cs="宋体"/>
          <w:kern w:val="0"/>
          <w:sz w:val="28"/>
          <w:szCs w:val="28"/>
          <w:highlight w:val="none"/>
          <w:lang w:val="en-US" w:eastAsia="zh-CN"/>
        </w:rPr>
        <w:t>12、CL2:0-3500mg/m3 自动切换量程；精度:±2%FS；分辨率:0.01mg/m3</w:t>
      </w:r>
    </w:p>
    <w:p w14:paraId="33EB8488">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highlight w:val="none"/>
        </w:rPr>
        <w:t>三、技术要</w:t>
      </w:r>
      <w:r>
        <w:rPr>
          <w:rFonts w:hint="eastAsia" w:ascii="宋体" w:hAnsi="宋体" w:eastAsia="宋体" w:cs="宋体"/>
          <w:sz w:val="28"/>
          <w:szCs w:val="28"/>
        </w:rPr>
        <w:t>求</w:t>
      </w:r>
      <w:r>
        <w:rPr>
          <w:rFonts w:hint="eastAsia" w:ascii="宋体" w:hAnsi="宋体" w:eastAsia="宋体" w:cs="宋体"/>
          <w:b/>
          <w:bCs/>
          <w:sz w:val="28"/>
          <w:szCs w:val="28"/>
        </w:rPr>
        <w:t>（备注：以下1项参数）</w:t>
      </w:r>
    </w:p>
    <w:p w14:paraId="6D4814DE">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1、要求分析仪1台主机可以同时测量不少于12种气体组分，包括但不限于：O2 、CO 、NO、 NH3 、HCL、CH4 、N2O、H2O、CO2、 SO2、 NO2 、CL2。</w:t>
      </w:r>
    </w:p>
    <w:p w14:paraId="01558316">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 xml:space="preserve">2、为保障现场测量数据的精准度，分析仪的检测量程应具有高低量程配置及自动切换功能。 </w:t>
      </w:r>
    </w:p>
    <w:p w14:paraId="48928EFA">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3、为防止样品气分析过程中产生冷凝损失，要求仪器分析全过程不需要气体除湿、干燥、稀释、冷却等前处理过程，避免SO2、NO2、NH3等水溶性气体损失，全程高温≥180℃取样、高温过滤、高温分析热湿态样品气：检测池加热温度不低于180℃。</w:t>
      </w:r>
    </w:p>
    <w:p w14:paraId="3983D833">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4、分析仪采用软件程序进行控制，可通过自身软件实施大屏显示系统的测量状态、操作信息、维护诊断、测量数据，同时具有数据实时记录功能。</w:t>
      </w:r>
    </w:p>
    <w:p w14:paraId="1209F77E">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5、分析仪的测量数据具有干基模式和湿基模式2种供选择，并且可随时进行模式的切换。</w:t>
      </w:r>
    </w:p>
    <w:p w14:paraId="236863E2">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6、为方便仪器的调试、维护以及简单故障的处理，仪器应具有远程控制功能，通过自身软件判别诊断故障及远程控制校准等。</w:t>
      </w:r>
    </w:p>
    <w:p w14:paraId="76CC9709">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7、为方便现场操作、仪器可用环境空气进行自动零点校准。</w:t>
      </w:r>
    </w:p>
    <w:p w14:paraId="21CB2E7B">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8、仪器要求具有完整性，分析仪主机内置采样气泵，避免采样气泵和主机分离，避免除采样管线和探针外仪器分为两部分。避免现场操作繁琐的连接管线给使用和携带上带来不方便。</w:t>
      </w:r>
    </w:p>
    <w:p w14:paraId="0AC2E20E">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9、分析仪采用中文操作系统，可对测量数据进行现场实时绘制。</w:t>
      </w:r>
    </w:p>
    <w:p w14:paraId="7166DD7E">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10、配置便携式高温采样预处理系统1套；采样预处理参数要求：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3CD6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24C23A3">
            <w:pPr>
              <w:keepNext w:val="0"/>
              <w:keepLines w:val="0"/>
              <w:suppressLineNumbers w:val="0"/>
              <w:autoSpaceDE w:val="0"/>
              <w:autoSpaceDN w:val="0"/>
              <w:adjustRightInd w:val="0"/>
              <w:snapToGrid w:val="0"/>
              <w:spacing w:before="0" w:beforeAutospacing="0" w:after="0" w:afterAutospacing="0" w:line="500" w:lineRule="exact"/>
              <w:ind w:left="0" w:right="0" w:firstLine="551" w:firstLineChars="196"/>
              <w:rPr>
                <w:rFonts w:hint="eastAsia" w:ascii="宋体" w:hAnsi="宋体" w:eastAsia="宋体" w:cs="宋体"/>
                <w:b/>
                <w:color w:val="auto"/>
                <w:sz w:val="28"/>
                <w:szCs w:val="28"/>
              </w:rPr>
            </w:pPr>
            <w:r>
              <w:rPr>
                <w:rFonts w:hint="eastAsia" w:ascii="宋体" w:hAnsi="宋体" w:eastAsia="宋体" w:cs="宋体"/>
                <w:b/>
                <w:color w:val="auto"/>
                <w:sz w:val="28"/>
                <w:szCs w:val="28"/>
              </w:rPr>
              <w:t>高温采样探管技术规格</w:t>
            </w:r>
          </w:p>
          <w:p w14:paraId="0DFFD73F">
            <w:pPr>
              <w:keepNext w:val="0"/>
              <w:keepLines w:val="0"/>
              <w:suppressLineNumbers w:val="0"/>
              <w:autoSpaceDE w:val="0"/>
              <w:autoSpaceDN w:val="0"/>
              <w:adjustRightInd w:val="0"/>
              <w:snapToGrid w:val="0"/>
              <w:spacing w:before="0" w:beforeAutospacing="0" w:after="0" w:afterAutospacing="0" w:line="500" w:lineRule="exact"/>
              <w:ind w:left="0" w:right="0"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工作温度：≥180℃   </w:t>
            </w:r>
          </w:p>
          <w:p w14:paraId="2AF133C0">
            <w:pPr>
              <w:keepNext w:val="0"/>
              <w:keepLines w:val="0"/>
              <w:suppressLineNumbers w:val="0"/>
              <w:autoSpaceDE w:val="0"/>
              <w:autoSpaceDN w:val="0"/>
              <w:adjustRightInd w:val="0"/>
              <w:snapToGrid w:val="0"/>
              <w:spacing w:before="0" w:beforeAutospacing="0" w:after="0" w:afterAutospacing="0" w:line="500" w:lineRule="exact"/>
              <w:ind w:left="0" w:right="0"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长度：1.5 m</w:t>
            </w:r>
          </w:p>
          <w:p w14:paraId="025B1882">
            <w:pPr>
              <w:keepNext w:val="0"/>
              <w:keepLines w:val="0"/>
              <w:suppressLineNumbers w:val="0"/>
              <w:autoSpaceDE w:val="0"/>
              <w:autoSpaceDN w:val="0"/>
              <w:adjustRightInd w:val="0"/>
              <w:snapToGrid w:val="0"/>
              <w:spacing w:before="0" w:beforeAutospacing="0" w:after="0" w:afterAutospacing="0" w:line="500" w:lineRule="exact"/>
              <w:ind w:left="0" w:right="0"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材质：316不锈钢</w:t>
            </w:r>
          </w:p>
          <w:p w14:paraId="7BC7D8D6">
            <w:pPr>
              <w:keepNext w:val="0"/>
              <w:keepLines w:val="0"/>
              <w:suppressLineNumbers w:val="0"/>
              <w:autoSpaceDE w:val="0"/>
              <w:autoSpaceDN w:val="0"/>
              <w:adjustRightInd w:val="0"/>
              <w:snapToGrid w:val="0"/>
              <w:spacing w:before="0" w:beforeAutospacing="0" w:after="0" w:afterAutospacing="0" w:line="500" w:lineRule="exact"/>
              <w:ind w:left="0" w:right="0"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与高温采样探头、高温采样管线一体化加热供电及温度控制</w:t>
            </w:r>
          </w:p>
        </w:tc>
      </w:tr>
      <w:tr w14:paraId="70BF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E852570">
            <w:pPr>
              <w:keepNext w:val="0"/>
              <w:keepLines w:val="0"/>
              <w:suppressLineNumbers w:val="0"/>
              <w:autoSpaceDE w:val="0"/>
              <w:autoSpaceDN w:val="0"/>
              <w:adjustRightInd w:val="0"/>
              <w:snapToGrid w:val="0"/>
              <w:spacing w:before="0" w:beforeAutospacing="0" w:after="0" w:afterAutospacing="0" w:line="500" w:lineRule="exact"/>
              <w:ind w:left="0" w:right="0" w:firstLine="551" w:firstLineChars="196"/>
              <w:rPr>
                <w:rFonts w:hint="eastAsia" w:ascii="宋体" w:hAnsi="宋体" w:eastAsia="宋体" w:cs="宋体"/>
                <w:b/>
                <w:color w:val="auto"/>
                <w:sz w:val="28"/>
                <w:szCs w:val="28"/>
              </w:rPr>
            </w:pPr>
            <w:r>
              <w:rPr>
                <w:rFonts w:hint="eastAsia" w:ascii="宋体" w:hAnsi="宋体" w:eastAsia="宋体" w:cs="宋体"/>
                <w:b/>
                <w:color w:val="auto"/>
                <w:sz w:val="28"/>
                <w:szCs w:val="28"/>
              </w:rPr>
              <w:t>加热管线技术规格</w:t>
            </w:r>
          </w:p>
          <w:p w14:paraId="24F9DFE7">
            <w:pPr>
              <w:keepNext w:val="0"/>
              <w:keepLines w:val="0"/>
              <w:suppressLineNumbers w:val="0"/>
              <w:autoSpaceDE w:val="0"/>
              <w:autoSpaceDN w:val="0"/>
              <w:adjustRightInd w:val="0"/>
              <w:snapToGrid w:val="0"/>
              <w:spacing w:before="0" w:beforeAutospacing="0" w:after="0" w:afterAutospacing="0" w:line="500" w:lineRule="exact"/>
              <w:ind w:left="0" w:right="0"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供应电压            </w:t>
            </w:r>
            <w:r>
              <w:rPr>
                <w:rFonts w:hint="eastAsia" w:ascii="宋体" w:hAnsi="宋体" w:eastAsia="宋体" w:cs="宋体"/>
                <w:color w:val="auto"/>
                <w:sz w:val="28"/>
                <w:szCs w:val="28"/>
              </w:rPr>
              <w:tab/>
            </w:r>
            <w:r>
              <w:rPr>
                <w:rFonts w:hint="eastAsia" w:ascii="宋体" w:hAnsi="宋体" w:eastAsia="宋体" w:cs="宋体"/>
                <w:color w:val="auto"/>
                <w:sz w:val="28"/>
                <w:szCs w:val="28"/>
              </w:rPr>
              <w:t>230VAC/60Hz</w:t>
            </w:r>
          </w:p>
          <w:p w14:paraId="210F6CD3">
            <w:pPr>
              <w:keepNext w:val="0"/>
              <w:keepLines w:val="0"/>
              <w:suppressLineNumbers w:val="0"/>
              <w:autoSpaceDE w:val="0"/>
              <w:autoSpaceDN w:val="0"/>
              <w:adjustRightInd w:val="0"/>
              <w:snapToGrid w:val="0"/>
              <w:spacing w:before="0" w:beforeAutospacing="0" w:after="0" w:afterAutospacing="0" w:line="500" w:lineRule="exact"/>
              <w:ind w:left="0" w:right="0"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加热                </w:t>
            </w:r>
            <w:r>
              <w:rPr>
                <w:rFonts w:hint="eastAsia" w:ascii="宋体" w:hAnsi="宋体" w:eastAsia="宋体" w:cs="宋体"/>
                <w:color w:val="auto"/>
                <w:sz w:val="28"/>
                <w:szCs w:val="28"/>
              </w:rPr>
              <w:tab/>
            </w:r>
            <w:r>
              <w:rPr>
                <w:rFonts w:hint="eastAsia" w:ascii="宋体" w:hAnsi="宋体" w:eastAsia="宋体" w:cs="宋体"/>
                <w:color w:val="auto"/>
                <w:sz w:val="28"/>
                <w:szCs w:val="28"/>
              </w:rPr>
              <w:t>集成温控器</w:t>
            </w:r>
          </w:p>
          <w:p w14:paraId="67CE8E33">
            <w:pPr>
              <w:keepNext w:val="0"/>
              <w:keepLines w:val="0"/>
              <w:suppressLineNumbers w:val="0"/>
              <w:autoSpaceDE w:val="0"/>
              <w:autoSpaceDN w:val="0"/>
              <w:adjustRightInd w:val="0"/>
              <w:snapToGrid w:val="0"/>
              <w:spacing w:before="0" w:beforeAutospacing="0" w:after="0" w:afterAutospacing="0" w:line="500" w:lineRule="exact"/>
              <w:ind w:left="0" w:right="0"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工作温度</w:t>
            </w:r>
            <w:r>
              <w:rPr>
                <w:rFonts w:hint="eastAsia" w:ascii="宋体" w:hAnsi="宋体" w:eastAsia="宋体" w:cs="宋体"/>
                <w:color w:val="auto"/>
                <w:sz w:val="28"/>
                <w:szCs w:val="28"/>
              </w:rPr>
              <w:tab/>
            </w:r>
            <w:r>
              <w:rPr>
                <w:rFonts w:hint="eastAsia" w:ascii="宋体" w:hAnsi="宋体" w:eastAsia="宋体" w:cs="宋体"/>
                <w:color w:val="auto"/>
                <w:sz w:val="28"/>
                <w:szCs w:val="28"/>
              </w:rPr>
              <w:t xml:space="preserve">           ≥180℃ </w:t>
            </w:r>
          </w:p>
          <w:p w14:paraId="7A323987">
            <w:pPr>
              <w:keepNext w:val="0"/>
              <w:keepLines w:val="0"/>
              <w:suppressLineNumbers w:val="0"/>
              <w:autoSpaceDE w:val="0"/>
              <w:autoSpaceDN w:val="0"/>
              <w:adjustRightInd w:val="0"/>
              <w:snapToGrid w:val="0"/>
              <w:spacing w:before="0" w:beforeAutospacing="0" w:after="0" w:afterAutospacing="0" w:line="500" w:lineRule="exact"/>
              <w:ind w:left="0" w:right="0"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预热时间</w:t>
            </w:r>
            <w:r>
              <w:rPr>
                <w:rFonts w:hint="eastAsia" w:ascii="宋体" w:hAnsi="宋体" w:eastAsia="宋体" w:cs="宋体"/>
                <w:color w:val="auto"/>
                <w:sz w:val="28"/>
                <w:szCs w:val="28"/>
              </w:rPr>
              <w:tab/>
            </w:r>
            <w:r>
              <w:rPr>
                <w:rFonts w:hint="eastAsia" w:ascii="宋体" w:hAnsi="宋体" w:eastAsia="宋体" w:cs="宋体"/>
                <w:color w:val="auto"/>
                <w:sz w:val="28"/>
                <w:szCs w:val="28"/>
              </w:rPr>
              <w:t xml:space="preserve">            &lt; 15 min</w:t>
            </w:r>
          </w:p>
          <w:p w14:paraId="73D5EBAC">
            <w:pPr>
              <w:keepNext w:val="0"/>
              <w:keepLines w:val="0"/>
              <w:suppressLineNumbers w:val="0"/>
              <w:autoSpaceDE w:val="0"/>
              <w:autoSpaceDN w:val="0"/>
              <w:adjustRightInd w:val="0"/>
              <w:snapToGrid w:val="0"/>
              <w:spacing w:before="0" w:beforeAutospacing="0" w:after="0" w:afterAutospacing="0" w:line="500" w:lineRule="exact"/>
              <w:ind w:left="0" w:right="0"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内芯材质              </w:t>
            </w:r>
            <w:r>
              <w:rPr>
                <w:rFonts w:hint="eastAsia" w:ascii="宋体" w:hAnsi="宋体" w:eastAsia="宋体" w:cs="宋体"/>
                <w:color w:val="auto"/>
                <w:sz w:val="28"/>
                <w:szCs w:val="28"/>
              </w:rPr>
              <w:tab/>
            </w:r>
            <w:r>
              <w:rPr>
                <w:rFonts w:hint="eastAsia" w:ascii="宋体" w:hAnsi="宋体" w:eastAsia="宋体" w:cs="宋体"/>
                <w:color w:val="auto"/>
                <w:sz w:val="28"/>
                <w:szCs w:val="28"/>
              </w:rPr>
              <w:t>聚四氟乙烯（PTFE）</w:t>
            </w:r>
          </w:p>
        </w:tc>
      </w:tr>
      <w:tr w14:paraId="034B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E6C35D2">
            <w:pPr>
              <w:keepNext w:val="0"/>
              <w:keepLines w:val="0"/>
              <w:suppressLineNumbers w:val="0"/>
              <w:autoSpaceDE w:val="0"/>
              <w:autoSpaceDN w:val="0"/>
              <w:adjustRightInd w:val="0"/>
              <w:snapToGrid w:val="0"/>
              <w:spacing w:before="0" w:beforeAutospacing="0" w:after="0" w:afterAutospacing="0" w:line="500" w:lineRule="exact"/>
              <w:ind w:left="0" w:right="0" w:firstLine="551" w:firstLineChars="196"/>
              <w:rPr>
                <w:rFonts w:hint="eastAsia" w:ascii="宋体" w:hAnsi="宋体" w:eastAsia="宋体" w:cs="宋体"/>
                <w:b/>
                <w:sz w:val="28"/>
                <w:szCs w:val="28"/>
              </w:rPr>
            </w:pPr>
            <w:r>
              <w:rPr>
                <w:rFonts w:hint="eastAsia" w:ascii="宋体" w:hAnsi="宋体" w:eastAsia="宋体" w:cs="宋体"/>
                <w:b/>
                <w:sz w:val="28"/>
                <w:szCs w:val="28"/>
              </w:rPr>
              <w:t>便携式采样探头</w:t>
            </w:r>
          </w:p>
          <w:p w14:paraId="4859BC30">
            <w:pPr>
              <w:keepNext w:val="0"/>
              <w:keepLines w:val="0"/>
              <w:suppressLineNumbers w:val="0"/>
              <w:autoSpaceDE w:val="0"/>
              <w:autoSpaceDN w:val="0"/>
              <w:adjustRightInd w:val="0"/>
              <w:snapToGrid w:val="0"/>
              <w:spacing w:before="0" w:beforeAutospacing="0" w:after="0" w:afterAutospacing="0" w:line="500" w:lineRule="exact"/>
              <w:ind w:left="0" w:right="0" w:firstLine="548" w:firstLineChars="196"/>
              <w:rPr>
                <w:rFonts w:hint="eastAsia" w:ascii="宋体" w:hAnsi="宋体" w:eastAsia="宋体" w:cs="宋体"/>
                <w:sz w:val="28"/>
                <w:szCs w:val="28"/>
              </w:rPr>
            </w:pPr>
            <w:r>
              <w:rPr>
                <w:rFonts w:hint="eastAsia" w:ascii="宋体" w:hAnsi="宋体" w:eastAsia="宋体" w:cs="宋体"/>
                <w:sz w:val="28"/>
                <w:szCs w:val="28"/>
              </w:rPr>
              <w:t>内置过滤器              石英纤维滤芯</w:t>
            </w:r>
          </w:p>
          <w:p w14:paraId="359563DE">
            <w:pPr>
              <w:keepNext w:val="0"/>
              <w:keepLines w:val="0"/>
              <w:suppressLineNumbers w:val="0"/>
              <w:autoSpaceDE w:val="0"/>
              <w:autoSpaceDN w:val="0"/>
              <w:adjustRightInd w:val="0"/>
              <w:snapToGrid w:val="0"/>
              <w:spacing w:before="0" w:beforeAutospacing="0" w:after="0" w:afterAutospacing="0" w:line="500" w:lineRule="exact"/>
              <w:ind w:left="0" w:right="0" w:firstLine="548" w:firstLineChars="196"/>
              <w:rPr>
                <w:rFonts w:hint="eastAsia" w:ascii="宋体" w:hAnsi="宋体" w:eastAsia="宋体" w:cs="宋体"/>
                <w:sz w:val="28"/>
                <w:szCs w:val="28"/>
              </w:rPr>
            </w:pPr>
            <w:r>
              <w:rPr>
                <w:rFonts w:hint="eastAsia" w:ascii="宋体" w:hAnsi="宋体" w:eastAsia="宋体" w:cs="宋体"/>
                <w:sz w:val="28"/>
                <w:szCs w:val="28"/>
              </w:rPr>
              <w:t>内置集成温控单元        正常温控185℃</w:t>
            </w:r>
          </w:p>
          <w:p w14:paraId="3F24FABD">
            <w:pPr>
              <w:keepNext w:val="0"/>
              <w:keepLines w:val="0"/>
              <w:suppressLineNumbers w:val="0"/>
              <w:autoSpaceDE w:val="0"/>
              <w:autoSpaceDN w:val="0"/>
              <w:adjustRightInd w:val="0"/>
              <w:snapToGrid w:val="0"/>
              <w:spacing w:before="0" w:beforeAutospacing="0" w:after="0" w:afterAutospacing="0" w:line="500" w:lineRule="exact"/>
              <w:ind w:left="0" w:right="0" w:firstLine="548" w:firstLineChars="196"/>
              <w:rPr>
                <w:rFonts w:hint="eastAsia" w:ascii="宋体" w:hAnsi="宋体" w:eastAsia="宋体" w:cs="宋体"/>
                <w:sz w:val="28"/>
                <w:szCs w:val="28"/>
              </w:rPr>
            </w:pPr>
            <w:r>
              <w:rPr>
                <w:rFonts w:hint="eastAsia" w:ascii="宋体" w:hAnsi="宋体" w:eastAsia="宋体" w:cs="宋体"/>
                <w:sz w:val="28"/>
                <w:szCs w:val="28"/>
              </w:rPr>
              <w:t>过滤滤芯：2只</w:t>
            </w:r>
          </w:p>
          <w:p w14:paraId="08B3FC41">
            <w:pPr>
              <w:keepNext w:val="0"/>
              <w:keepLines w:val="0"/>
              <w:suppressLineNumbers w:val="0"/>
              <w:autoSpaceDE w:val="0"/>
              <w:autoSpaceDN w:val="0"/>
              <w:adjustRightInd w:val="0"/>
              <w:snapToGrid w:val="0"/>
              <w:spacing w:before="0" w:beforeAutospacing="0" w:after="0" w:afterAutospacing="0" w:line="500" w:lineRule="exact"/>
              <w:ind w:left="0" w:right="0" w:firstLine="548" w:firstLineChars="196"/>
              <w:rPr>
                <w:rFonts w:hint="eastAsia" w:ascii="宋体" w:hAnsi="宋体" w:eastAsia="宋体" w:cs="宋体"/>
                <w:sz w:val="28"/>
                <w:szCs w:val="28"/>
              </w:rPr>
            </w:pPr>
            <w:r>
              <w:rPr>
                <w:rFonts w:hint="eastAsia" w:ascii="宋体" w:hAnsi="宋体" w:eastAsia="宋体" w:cs="宋体"/>
                <w:sz w:val="28"/>
                <w:szCs w:val="28"/>
              </w:rPr>
              <w:t>内置标准气校准口（采样的样品口除外）</w:t>
            </w:r>
          </w:p>
          <w:p w14:paraId="7BE10A0C">
            <w:pPr>
              <w:keepNext w:val="0"/>
              <w:keepLines w:val="0"/>
              <w:suppressLineNumbers w:val="0"/>
              <w:autoSpaceDE w:val="0"/>
              <w:autoSpaceDN w:val="0"/>
              <w:adjustRightInd w:val="0"/>
              <w:snapToGrid w:val="0"/>
              <w:spacing w:before="0" w:beforeAutospacing="0" w:after="0" w:afterAutospacing="0" w:line="500" w:lineRule="exact"/>
              <w:ind w:left="0" w:right="0" w:firstLine="548" w:firstLineChars="196"/>
              <w:rPr>
                <w:rFonts w:hint="eastAsia" w:ascii="宋体" w:hAnsi="宋体" w:eastAsia="宋体" w:cs="宋体"/>
                <w:sz w:val="28"/>
                <w:szCs w:val="28"/>
              </w:rPr>
            </w:pPr>
            <w:r>
              <w:rPr>
                <w:rFonts w:hint="eastAsia" w:ascii="宋体" w:hAnsi="宋体" w:eastAsia="宋体" w:cs="宋体"/>
                <w:sz w:val="28"/>
                <w:szCs w:val="28"/>
              </w:rPr>
              <w:t>要求可与高温采样探针和高温采样管线集成温控和电源</w:t>
            </w:r>
          </w:p>
        </w:tc>
      </w:tr>
    </w:tbl>
    <w:p w14:paraId="0113CE19">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highlight w:val="green"/>
        </w:rPr>
        <w:t>▲</w:t>
      </w:r>
      <w:r>
        <w:rPr>
          <w:rFonts w:hint="eastAsia" w:ascii="宋体" w:hAnsi="宋体" w:eastAsia="宋体" w:cs="宋体"/>
          <w:sz w:val="28"/>
          <w:szCs w:val="28"/>
        </w:rPr>
        <w:t>11、分析仪支持扩展组分：C3H8、CH2O组分的测量，并且具有相应的气体间交叉干扰补偿（需提供相应的证明文件）。</w:t>
      </w:r>
    </w:p>
    <w:p w14:paraId="6FD63800">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12、示值误差：≤±1%（以O2、SO2、NO、CO、CO2计，需提供计量院出具测试报告证明）。</w:t>
      </w:r>
    </w:p>
    <w:p w14:paraId="082F3B34">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13、重复性：≤±1%（以O2、SO2、NO、CO、CO2计，需提供计量院单位出具的测试报告证明）。</w:t>
      </w:r>
    </w:p>
    <w:p w14:paraId="16FEED38">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14、稳定性：≤±1%（以O2、SO2、NO、CO、CO2计，需提供计量院单位出具的测试报告证明）。</w:t>
      </w:r>
    </w:p>
    <w:p w14:paraId="4CDF4114">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15、电源适用性检测：供电电压变化±10%，仪器的示值误差≤±1%（以O2、SO2、NO、CO、CO2计，需提供计量院出具测试报告证明）。</w:t>
      </w:r>
    </w:p>
    <w:p w14:paraId="2BD07DE6">
      <w:pPr>
        <w:pStyle w:val="86"/>
        <w:snapToGrid w:val="0"/>
        <w:spacing w:line="500" w:lineRule="exact"/>
        <w:ind w:firstLine="560"/>
        <w:rPr>
          <w:rFonts w:hint="eastAsia" w:ascii="宋体" w:hAnsi="宋体" w:eastAsia="宋体" w:cs="宋体"/>
          <w:sz w:val="28"/>
          <w:szCs w:val="28"/>
        </w:rPr>
      </w:pPr>
      <w:r>
        <w:rPr>
          <w:rFonts w:hint="eastAsia" w:ascii="宋体" w:hAnsi="宋体" w:eastAsia="宋体" w:cs="宋体"/>
          <w:sz w:val="28"/>
          <w:szCs w:val="28"/>
        </w:rPr>
        <w:t>16、高温适用性检测：仪器置于40℃的温箱中，持续试验2小时，试验后仪器能够正常工作并且试验过程中仪器的示值误差≤±1%（以O2、SO2、NO、CO、CO2计，需提供计量院出具测试报告证明）。</w:t>
      </w:r>
    </w:p>
    <w:p w14:paraId="787AAE07">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highlight w:val="green"/>
        </w:rPr>
        <w:t>▲</w:t>
      </w:r>
      <w:r>
        <w:rPr>
          <w:rFonts w:hint="eastAsia" w:ascii="宋体" w:hAnsi="宋体" w:eastAsia="宋体" w:cs="宋体"/>
          <w:sz w:val="28"/>
          <w:szCs w:val="28"/>
        </w:rPr>
        <w:t>17、低温适用性检测：仪器置于0℃的温箱中，持续试验2小时，试验后仪器能够正常工作并且试验过程中仪器的示值误差≤±1%（以O2、SO2、NO、CO、CO2</w:t>
      </w:r>
      <w:r>
        <w:rPr>
          <w:rFonts w:hint="eastAsia" w:ascii="宋体" w:hAnsi="宋体" w:eastAsia="宋体" w:cs="宋体"/>
          <w:sz w:val="28"/>
          <w:szCs w:val="28"/>
        </w:rPr>
        <w:tab/>
      </w:r>
      <w:r>
        <w:rPr>
          <w:rFonts w:hint="eastAsia" w:ascii="宋体" w:hAnsi="宋体" w:eastAsia="宋体" w:cs="宋体"/>
          <w:sz w:val="28"/>
          <w:szCs w:val="28"/>
        </w:rPr>
        <w:t>计，需提供计量院出具测试报告证明）。</w:t>
      </w:r>
    </w:p>
    <w:p w14:paraId="15733BB4">
      <w:pPr>
        <w:pStyle w:val="86"/>
        <w:snapToGrid w:val="0"/>
        <w:spacing w:line="500" w:lineRule="exact"/>
        <w:ind w:firstLine="560"/>
        <w:rPr>
          <w:rFonts w:hint="eastAsia" w:ascii="宋体" w:hAnsi="宋体" w:eastAsia="宋体" w:cs="宋体"/>
          <w:sz w:val="28"/>
          <w:szCs w:val="28"/>
        </w:rPr>
      </w:pPr>
      <w:r>
        <w:rPr>
          <w:rFonts w:hint="eastAsia" w:ascii="宋体" w:hAnsi="宋体" w:eastAsia="宋体" w:cs="宋体"/>
          <w:sz w:val="28"/>
          <w:szCs w:val="28"/>
        </w:rPr>
        <w:t>18、恒定湿热适用性检测：仪器置于40℃、93%RH的试验箱中，持续试验2小时，试验后仪器能够正常工作并且试验过程中仪器的示值误差≤±1%（以O2、SO2、NO、CO、CO2计，需提供计量院出具测试报告证明）。</w:t>
      </w:r>
    </w:p>
    <w:p w14:paraId="00C6374B">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四、配置要求</w:t>
      </w:r>
      <w:r>
        <w:rPr>
          <w:rFonts w:hint="eastAsia" w:ascii="宋体" w:hAnsi="宋体" w:eastAsia="宋体" w:cs="宋体"/>
          <w:b/>
          <w:bCs/>
          <w:sz w:val="28"/>
          <w:szCs w:val="28"/>
        </w:rPr>
        <w:t>（备注：以下1项参数）</w:t>
      </w:r>
    </w:p>
    <w:p w14:paraId="4F43F5FD">
      <w:pPr>
        <w:pStyle w:val="86"/>
        <w:snapToGrid w:val="0"/>
        <w:spacing w:line="50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1、高温红外分析仪主机一台，可测量不少于12种烟气成分</w:t>
      </w:r>
      <w:r>
        <w:rPr>
          <w:rStyle w:val="29"/>
          <w:rFonts w:hint="eastAsia" w:ascii="宋体" w:hAnsi="宋体" w:eastAsia="宋体" w:cs="宋体"/>
          <w:sz w:val="28"/>
          <w:szCs w:val="28"/>
        </w:rPr>
        <w:t>，</w:t>
      </w:r>
      <w:r>
        <w:rPr>
          <w:rFonts w:hint="eastAsia" w:ascii="宋体" w:hAnsi="宋体" w:eastAsia="宋体" w:cs="宋体"/>
          <w:sz w:val="28"/>
          <w:szCs w:val="28"/>
        </w:rPr>
        <w:t>包含但不限于：O2 、H2O、CO2、CO、CH4，NO、NO2、N2O、SO2、HCl、NH3、CL2等气体组份。</w:t>
      </w:r>
    </w:p>
    <w:p w14:paraId="7D40B829">
      <w:pPr>
        <w:pStyle w:val="86"/>
        <w:snapToGrid w:val="0"/>
        <w:spacing w:line="500" w:lineRule="exact"/>
        <w:ind w:firstLine="560"/>
        <w:rPr>
          <w:rFonts w:hint="eastAsia" w:ascii="宋体" w:hAnsi="宋体" w:eastAsia="宋体" w:cs="宋体"/>
          <w:sz w:val="28"/>
          <w:szCs w:val="28"/>
        </w:rPr>
      </w:pPr>
      <w:r>
        <w:rPr>
          <w:rFonts w:hint="eastAsia" w:ascii="宋体" w:hAnsi="宋体" w:eastAsia="宋体" w:cs="宋体"/>
          <w:sz w:val="28"/>
          <w:szCs w:val="28"/>
        </w:rPr>
        <w:t>2、配备数据分析工作站，内置分析仪操控程序</w:t>
      </w:r>
    </w:p>
    <w:p w14:paraId="36E5EC9D">
      <w:pPr>
        <w:pStyle w:val="86"/>
        <w:snapToGrid w:val="0"/>
        <w:spacing w:line="500" w:lineRule="exact"/>
        <w:ind w:firstLine="560"/>
        <w:rPr>
          <w:rFonts w:hint="eastAsia" w:ascii="宋体" w:hAnsi="宋体" w:eastAsia="宋体" w:cs="宋体"/>
          <w:sz w:val="28"/>
          <w:szCs w:val="28"/>
        </w:rPr>
      </w:pPr>
      <w:r>
        <w:rPr>
          <w:rFonts w:hint="eastAsia" w:ascii="宋体" w:hAnsi="宋体" w:eastAsia="宋体" w:cs="宋体"/>
          <w:sz w:val="28"/>
          <w:szCs w:val="28"/>
        </w:rPr>
        <w:t>3、便携式高温采样预处理系统1套（高温取样探管长度1.5米一根、加热采样管线3米一根、便携式高温采样探头一个）。</w:t>
      </w:r>
    </w:p>
    <w:p w14:paraId="2DB31648">
      <w:pPr>
        <w:pStyle w:val="86"/>
        <w:spacing w:line="500" w:lineRule="exact"/>
        <w:ind w:firstLine="560"/>
        <w:rPr>
          <w:rFonts w:hint="eastAsia" w:ascii="宋体" w:hAnsi="宋体" w:eastAsia="宋体" w:cs="宋体"/>
          <w:sz w:val="28"/>
          <w:szCs w:val="28"/>
        </w:rPr>
      </w:pPr>
    </w:p>
    <w:p w14:paraId="4A6A9A6D">
      <w:pPr>
        <w:spacing w:line="500" w:lineRule="exact"/>
        <w:rPr>
          <w:rFonts w:hint="eastAsia" w:ascii="宋体" w:hAnsi="宋体" w:eastAsia="宋体" w:cs="宋体"/>
          <w:sz w:val="28"/>
          <w:szCs w:val="28"/>
        </w:rPr>
      </w:pPr>
      <w:r>
        <w:rPr>
          <w:rFonts w:hint="eastAsia" w:ascii="宋体" w:hAnsi="宋体" w:eastAsia="宋体" w:cs="宋体"/>
          <w:b/>
          <w:sz w:val="28"/>
          <w:szCs w:val="28"/>
        </w:rPr>
        <w:t>备注：以上参数</w:t>
      </w:r>
      <w:r>
        <w:rPr>
          <w:rFonts w:hint="eastAsia" w:hAnsi="宋体" w:cs="宋体"/>
          <w:b/>
          <w:sz w:val="28"/>
          <w:szCs w:val="28"/>
          <w:lang w:val="en-US" w:eastAsia="zh-CN"/>
        </w:rPr>
        <w:t>5</w:t>
      </w:r>
      <w:r>
        <w:rPr>
          <w:rFonts w:hint="eastAsia" w:ascii="宋体" w:hAnsi="宋体" w:eastAsia="宋体" w:cs="宋体"/>
          <w:b/>
          <w:sz w:val="28"/>
          <w:szCs w:val="28"/>
        </w:rPr>
        <w:t>项，均为一般参数项，其中重要参数</w:t>
      </w:r>
      <w:r>
        <w:rPr>
          <w:rFonts w:hint="eastAsia" w:ascii="宋体" w:hAnsi="宋体" w:eastAsia="宋体" w:cs="宋体"/>
          <w:b/>
          <w:sz w:val="28"/>
          <w:szCs w:val="28"/>
          <w:lang w:val="en-US" w:eastAsia="zh-CN"/>
        </w:rPr>
        <w:t>2</w:t>
      </w:r>
      <w:r>
        <w:rPr>
          <w:rFonts w:hint="eastAsia" w:ascii="宋体" w:hAnsi="宋体" w:eastAsia="宋体" w:cs="宋体"/>
          <w:b/>
          <w:sz w:val="28"/>
          <w:szCs w:val="28"/>
        </w:rPr>
        <w:t>项（</w:t>
      </w:r>
      <w:r>
        <w:rPr>
          <w:rFonts w:hint="eastAsia" w:ascii="宋体" w:hAnsi="宋体" w:eastAsia="宋体" w:cs="宋体"/>
          <w:b/>
          <w:sz w:val="28"/>
          <w:szCs w:val="28"/>
          <w:highlight w:val="green"/>
        </w:rPr>
        <w:t>▲</w:t>
      </w:r>
      <w:r>
        <w:rPr>
          <w:rFonts w:hint="eastAsia" w:ascii="宋体" w:hAnsi="宋体" w:eastAsia="宋体" w:cs="宋体"/>
          <w:b/>
          <w:bCs/>
          <w:sz w:val="28"/>
          <w:szCs w:val="28"/>
        </w:rPr>
        <w:t>号项</w:t>
      </w:r>
      <w:r>
        <w:rPr>
          <w:rFonts w:hint="eastAsia" w:ascii="宋体" w:hAnsi="宋体" w:eastAsia="宋体" w:cs="宋体"/>
          <w:b/>
          <w:sz w:val="28"/>
          <w:szCs w:val="28"/>
        </w:rPr>
        <w:t>）。</w:t>
      </w:r>
    </w:p>
    <w:p w14:paraId="76B3325E">
      <w:pPr>
        <w:pStyle w:val="87"/>
        <w:spacing w:line="500" w:lineRule="exact"/>
        <w:jc w:val="center"/>
        <w:rPr>
          <w:rFonts w:hint="eastAsia" w:ascii="宋体" w:hAnsi="宋体" w:eastAsia="宋体" w:cs="宋体"/>
          <w:b/>
          <w:color w:val="auto"/>
          <w:sz w:val="28"/>
          <w:szCs w:val="28"/>
        </w:rPr>
      </w:pPr>
    </w:p>
    <w:p w14:paraId="53A03A21">
      <w:pPr>
        <w:spacing w:line="500" w:lineRule="exact"/>
        <w:rPr>
          <w:rFonts w:hint="eastAsia" w:ascii="宋体" w:hAnsi="宋体" w:eastAsia="宋体" w:cs="宋体"/>
          <w:sz w:val="28"/>
          <w:szCs w:val="28"/>
        </w:rPr>
      </w:pPr>
      <w:r>
        <w:rPr>
          <w:rFonts w:hint="eastAsia" w:ascii="宋体" w:hAnsi="宋体" w:eastAsia="宋体" w:cs="宋体"/>
          <w:b/>
          <w:sz w:val="28"/>
          <w:szCs w:val="28"/>
        </w:rPr>
        <w:br w:type="page"/>
      </w:r>
    </w:p>
    <w:p w14:paraId="44E2F91A">
      <w:pPr>
        <w:snapToGrid w:val="0"/>
        <w:spacing w:line="500" w:lineRule="exact"/>
        <w:ind w:left="644"/>
        <w:rPr>
          <w:rFonts w:hint="eastAsia" w:ascii="宋体" w:hAnsi="宋体" w:eastAsia="宋体" w:cs="宋体"/>
          <w:sz w:val="28"/>
          <w:szCs w:val="28"/>
        </w:rPr>
      </w:pPr>
      <w:r>
        <w:rPr>
          <w:rFonts w:hint="eastAsia" w:ascii="宋体" w:hAnsi="宋体" w:eastAsia="宋体" w:cs="宋体"/>
          <w:b/>
          <w:sz w:val="28"/>
          <w:szCs w:val="28"/>
        </w:rPr>
        <w:t>5、品目名称：原位红外漫反射高温高压表征系统（国产）</w:t>
      </w:r>
    </w:p>
    <w:p w14:paraId="527B309D">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详细参数：</w:t>
      </w:r>
      <w:r>
        <w:rPr>
          <w:rFonts w:hint="eastAsia" w:ascii="宋体" w:hAnsi="宋体" w:eastAsia="宋体" w:cs="宋体"/>
          <w:b/>
          <w:bCs/>
          <w:sz w:val="28"/>
          <w:szCs w:val="28"/>
        </w:rPr>
        <w:t>（备注：以下5项参数）</w:t>
      </w:r>
    </w:p>
    <w:p w14:paraId="5B04CC87">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1、工作条件：电源要求：220V±10%，50/60 Hz；环境温度：15℃～35℃；相对湿度：小于70%；</w:t>
      </w:r>
    </w:p>
    <w:p w14:paraId="0917E505">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技术性能</w:t>
      </w:r>
    </w:p>
    <w:p w14:paraId="15FDEF18">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1.1测定波数范围：8000－350cm</w:t>
      </w:r>
      <w:r>
        <w:rPr>
          <w:rFonts w:hint="eastAsia" w:ascii="宋体" w:hAnsi="宋体" w:eastAsia="宋体" w:cs="宋体"/>
          <w:sz w:val="28"/>
          <w:szCs w:val="28"/>
          <w:vertAlign w:val="superscript"/>
        </w:rPr>
        <w:t>-1</w:t>
      </w:r>
      <w:r>
        <w:rPr>
          <w:rFonts w:hint="eastAsia" w:ascii="宋体" w:hAnsi="宋体" w:eastAsia="宋体" w:cs="宋体"/>
          <w:sz w:val="28"/>
          <w:szCs w:val="28"/>
        </w:rPr>
        <w:t>或更宽。</w:t>
      </w:r>
    </w:p>
    <w:p w14:paraId="49CA2437">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1.2光谱分辨率：≤0.4cm</w:t>
      </w:r>
      <w:r>
        <w:rPr>
          <w:rFonts w:hint="eastAsia" w:ascii="宋体" w:hAnsi="宋体" w:eastAsia="宋体" w:cs="宋体"/>
          <w:sz w:val="28"/>
          <w:szCs w:val="28"/>
          <w:vertAlign w:val="superscript"/>
        </w:rPr>
        <w:t>-1</w:t>
      </w:r>
      <w:r>
        <w:rPr>
          <w:rFonts w:hint="eastAsia" w:ascii="宋体" w:hAnsi="宋体" w:eastAsia="宋体" w:cs="宋体"/>
          <w:sz w:val="28"/>
          <w:szCs w:val="28"/>
        </w:rPr>
        <w:t>。</w:t>
      </w:r>
    </w:p>
    <w:p w14:paraId="6ADC2A2B">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1.3波数准确性：≤0.02cm</w:t>
      </w:r>
      <w:r>
        <w:rPr>
          <w:rFonts w:hint="eastAsia" w:ascii="宋体" w:hAnsi="宋体" w:eastAsia="宋体" w:cs="宋体"/>
          <w:sz w:val="28"/>
          <w:szCs w:val="28"/>
          <w:vertAlign w:val="superscript"/>
        </w:rPr>
        <w:t>-1</w:t>
      </w:r>
      <w:r>
        <w:rPr>
          <w:rFonts w:hint="eastAsia" w:ascii="宋体" w:hAnsi="宋体" w:eastAsia="宋体" w:cs="宋体"/>
          <w:sz w:val="28"/>
          <w:szCs w:val="28"/>
        </w:rPr>
        <w:t>。</w:t>
      </w:r>
    </w:p>
    <w:p w14:paraId="1B4AABCF">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1.4波数重现性：≤0.008cm</w:t>
      </w:r>
      <w:r>
        <w:rPr>
          <w:rFonts w:hint="eastAsia" w:ascii="宋体" w:hAnsi="宋体" w:eastAsia="宋体" w:cs="宋体"/>
          <w:sz w:val="28"/>
          <w:szCs w:val="28"/>
          <w:vertAlign w:val="superscript"/>
        </w:rPr>
        <w:t>-1</w:t>
      </w:r>
      <w:r>
        <w:rPr>
          <w:rFonts w:hint="eastAsia" w:ascii="宋体" w:hAnsi="宋体" w:eastAsia="宋体" w:cs="宋体"/>
          <w:sz w:val="28"/>
          <w:szCs w:val="28"/>
        </w:rPr>
        <w:t>。</w:t>
      </w:r>
    </w:p>
    <w:p w14:paraId="1AADE52A">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1.5信噪比：≤50000：1（1分钟测试，4cm</w:t>
      </w:r>
      <w:r>
        <w:rPr>
          <w:rFonts w:hint="eastAsia" w:ascii="宋体" w:hAnsi="宋体" w:eastAsia="宋体" w:cs="宋体"/>
          <w:sz w:val="28"/>
          <w:szCs w:val="28"/>
          <w:vertAlign w:val="superscript"/>
        </w:rPr>
        <w:t>-1</w:t>
      </w:r>
      <w:r>
        <w:rPr>
          <w:rFonts w:hint="eastAsia" w:ascii="宋体" w:hAnsi="宋体" w:eastAsia="宋体" w:cs="宋体"/>
          <w:sz w:val="28"/>
          <w:szCs w:val="28"/>
        </w:rPr>
        <w:t>分辨率，峰-峰值）；≤15000：1（5秒钟测试，4cm</w:t>
      </w:r>
      <w:r>
        <w:rPr>
          <w:rFonts w:hint="eastAsia" w:ascii="宋体" w:hAnsi="宋体" w:eastAsia="宋体" w:cs="宋体"/>
          <w:sz w:val="28"/>
          <w:szCs w:val="28"/>
          <w:vertAlign w:val="superscript"/>
        </w:rPr>
        <w:t>-1</w:t>
      </w:r>
      <w:r>
        <w:rPr>
          <w:rFonts w:hint="eastAsia" w:ascii="宋体" w:hAnsi="宋体" w:eastAsia="宋体" w:cs="宋体"/>
          <w:sz w:val="28"/>
          <w:szCs w:val="28"/>
        </w:rPr>
        <w:t>分辨率，峰-峰值）。</w:t>
      </w:r>
    </w:p>
    <w:p w14:paraId="1C3D423E">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1.6纵坐标线性度：≤0.05%T（ASTM1421方法，4cm</w:t>
      </w:r>
      <w:r>
        <w:rPr>
          <w:rFonts w:hint="eastAsia" w:ascii="宋体" w:hAnsi="宋体" w:eastAsia="宋体" w:cs="宋体"/>
          <w:sz w:val="28"/>
          <w:szCs w:val="28"/>
          <w:vertAlign w:val="superscript"/>
        </w:rPr>
        <w:t>-1</w:t>
      </w:r>
      <w:r>
        <w:rPr>
          <w:rFonts w:hint="eastAsia" w:ascii="宋体" w:hAnsi="宋体" w:eastAsia="宋体" w:cs="宋体"/>
          <w:sz w:val="28"/>
          <w:szCs w:val="28"/>
        </w:rPr>
        <w:t>光谱分辨率下对0.0%T的偏离）。</w:t>
      </w:r>
    </w:p>
    <w:p w14:paraId="471CD3BE">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2、光学系统</w:t>
      </w:r>
    </w:p>
    <w:p w14:paraId="5D50FE7A">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2.1干涉仪：干涉仪十年质保，无动态错误的干涉仪，无须校正。消除标准干涉仪无法避免的动镜倾斜和切变的影响，无需使用动态调整装置校正，对称设计，消除地心引力的影响和空间垂直分布问题。</w:t>
      </w:r>
    </w:p>
    <w:p w14:paraId="073F6C5C">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2.2红外光源：预准直，用户可自行更换；“热挡板”和电子热点稳定控制技术，提高了测量值的稳定性并延长了光源的使用寿命；恒温高效黑体空腔光源，温度低，能量高，长寿命，按ASTM 0法测定，能量比E4000/Emax&gt;70%。</w:t>
      </w:r>
    </w:p>
    <w:p w14:paraId="272CB753">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2.3分束器：多层KBr分束器。</w:t>
      </w:r>
    </w:p>
    <w:p w14:paraId="7981C3F0">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2.4双检测器：红外DTGS和液氮制冷MCT检测器，</w:t>
      </w:r>
    </w:p>
    <w:p w14:paraId="0246D7C3">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2.5实时扣除空气中干扰实验室结果的气体：硬件层面自动实时扣除空气中干扰实验室结果的气体干扰背景，结合AI，即是在测背景和样品时分别扣除当时测量时的空气中的干扰实验室结果的气体的干扰，确保结果准确；可在开机状态下的单光束能量图中反映出扣除空气中干扰实验室结果的气体的干扰后的仪器背景吸收。</w:t>
      </w:r>
    </w:p>
    <w:p w14:paraId="72CFF3D5">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2.6绝对标准化的仪器功能：以内置的绝对标准来校正谱峰的形状和位置，确保不同仪器和不同附件测出的结果不漂移，保证测量的准确性，及数据在仪器与仪器之间比较和传递的绝对一致性。</w:t>
      </w:r>
    </w:p>
    <w:p w14:paraId="2ECA21BA">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2.7自动性能校验功能：内置有衡量仪器性能的4种标准物质，仪器工作站中包含有符合ASTM等检测标准要求的程序，用户可通过软件，方便地进行仪器各项性能，如波数的精度和准确度、透光率的精度和准确度，信噪比的测定等等；用户并可通过软件自行对偏移的参数进行调节。</w:t>
      </w:r>
    </w:p>
    <w:p w14:paraId="1B7CA3FB">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2.8附件识别功能：一旦被安装进采样区域，仪器自动检测相应的附件及ATR顶板。为所安装的附件自动优化仪器参数。</w:t>
      </w:r>
    </w:p>
    <w:p w14:paraId="17AB8BA2">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2.9仪器状态及样品信息：大尺寸屏幕，无需走到计算机屏幕前即可实时监控仪器状态；查看仪器诊断信息；并能在仪器前直接操作以及SOPs方式测定样品，查看样品信息。</w:t>
      </w:r>
    </w:p>
    <w:p w14:paraId="2B188937">
      <w:pPr>
        <w:adjustRightInd w:val="0"/>
        <w:snapToGrid w:val="0"/>
        <w:spacing w:line="500" w:lineRule="exact"/>
        <w:ind w:left="588" w:leftChars="164" w:hanging="30" w:hangingChars="11"/>
        <w:rPr>
          <w:rFonts w:hint="eastAsia" w:ascii="宋体" w:hAnsi="宋体" w:eastAsia="宋体" w:cs="宋体"/>
          <w:sz w:val="28"/>
          <w:szCs w:val="28"/>
        </w:rPr>
      </w:pPr>
      <w:r>
        <w:rPr>
          <w:rFonts w:hint="eastAsia" w:ascii="宋体" w:hAnsi="宋体" w:eastAsia="宋体" w:cs="宋体"/>
          <w:sz w:val="28"/>
          <w:szCs w:val="28"/>
        </w:rPr>
        <w:t>2.10导入光束窗口：外部导入光束窗口可选。</w:t>
      </w:r>
      <w:r>
        <w:rPr>
          <w:rFonts w:hint="eastAsia" w:ascii="宋体" w:hAnsi="宋体" w:eastAsia="宋体" w:cs="宋体"/>
          <w:sz w:val="28"/>
          <w:szCs w:val="28"/>
        </w:rPr>
        <w:br w:type="textWrapping"/>
      </w:r>
      <w:r>
        <w:rPr>
          <w:rFonts w:hint="eastAsia" w:ascii="宋体" w:hAnsi="宋体" w:eastAsia="宋体" w:cs="宋体"/>
          <w:sz w:val="28"/>
          <w:szCs w:val="28"/>
        </w:rPr>
        <w:t>2.11仪器状态及样品信息：主机具有LCD屏幕及按钮，无需走到计算机屏幕前即可实时监控仪器状态；查看仪器诊断信息；并能在仪器前直接操作测定样品，查看样品信息。</w:t>
      </w:r>
    </w:p>
    <w:p w14:paraId="02A1BE37">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3、数据控制软件系统</w:t>
      </w:r>
    </w:p>
    <w:p w14:paraId="399A84A6">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3.1通讯接口： TCP/IP接口直接连接、无线网络连接，便于手套箱等特殊场合的使用。</w:t>
      </w:r>
    </w:p>
    <w:p w14:paraId="77DFA539">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3.2包含进行红外分析所需的所有功能：仪器控制，数据处理和分析，报告模版。</w:t>
      </w:r>
    </w:p>
    <w:p w14:paraId="59D28280">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3.3用户界面：密码保护的用户登录功能，并支持Windows登录方式。</w:t>
      </w:r>
    </w:p>
    <w:p w14:paraId="7BE56002">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3.4报告：图片、光谱和结果窗口快速打印工具；用户自定义模版生成功能。</w:t>
      </w:r>
    </w:p>
    <w:p w14:paraId="29A12211">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3.5数据处理功能：1-4 阶倒数，平滑，差谱，归一化，A，%T，%R，KM，LOG(1/R)，纵坐标模式，cm-1，nm以及微米，+，-，×，÷，基线校正，解卷积，KK，KM，ATR校正，峰值表，峰高峰面积计算；</w:t>
      </w:r>
    </w:p>
    <w:p w14:paraId="25A4AB09">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3.6源代码汉化的红外光谱工作站，应通过整体认证，即对所有的处理指令均提供了认证，可保证这些光谱处理不会使原始数据反映的信息产生改变。</w:t>
      </w:r>
    </w:p>
    <w:p w14:paraId="39424F56">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3.7可软件设置自动仪器性能认证的时间间隔。</w:t>
      </w:r>
    </w:p>
    <w:p w14:paraId="3FEA72A1">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3.8工作站可以图形直观显示仪器各部分的使用状态，并直接对光路图中的各个光学器件进行参数设置。</w:t>
      </w:r>
    </w:p>
    <w:p w14:paraId="203C62E8">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3.9工作站可直接检索国际权威的萨特勒（SADTLER）谱库，且赠送赠送红外光谱库，含18000张图谱。</w:t>
      </w:r>
    </w:p>
    <w:p w14:paraId="47AB1EA5">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4.原位红外高温漫反射系统</w:t>
      </w:r>
    </w:p>
    <w:p w14:paraId="3D61FF61">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技术指标</w:t>
      </w:r>
    </w:p>
    <w:p w14:paraId="084EDD64">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4.1. 设计温度：0℃-800℃。温度控制精度在±0.5度。</w:t>
      </w:r>
    </w:p>
    <w:p w14:paraId="54900744">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4.2. 设计压力：0℃-500℃（0-3MPA）。</w:t>
      </w:r>
    </w:p>
    <w:p w14:paraId="34738F8D">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4.3. 产品材质： C276。</w:t>
      </w:r>
    </w:p>
    <w:p w14:paraId="5056D183">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4.4. 光照窗片：石英。</w:t>
      </w:r>
    </w:p>
    <w:p w14:paraId="2DB07EC2">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4.5. 红外窗片：ZnSe*2。</w:t>
      </w:r>
    </w:p>
    <w:p w14:paraId="66FBAF17">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4.6.温控装置：程序控温、触摸屏操作（含配套软件）。</w:t>
      </w:r>
    </w:p>
    <w:p w14:paraId="607904A8">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 xml:space="preserve">4.7. 装置设置进出气口，可通入气氛。                             </w:t>
      </w:r>
    </w:p>
    <w:p w14:paraId="1DB4922D">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4.8. 预留水冷接口，并赠送小型水冷机。</w:t>
      </w:r>
    </w:p>
    <w:p w14:paraId="33588677">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4.9.漫反射附件搭配原位漫反射池系统对固体粉末进行漫反射实验，经过多次反射、折射、散射及吸收后返回样品表面的光。</w:t>
      </w:r>
    </w:p>
    <w:p w14:paraId="662B4CF5">
      <w:pPr>
        <w:adjustRightInd w:val="0"/>
        <w:snapToGrid w:val="0"/>
        <w:spacing w:line="500" w:lineRule="exact"/>
        <w:rPr>
          <w:rFonts w:hint="eastAsia" w:ascii="宋体" w:hAnsi="宋体" w:eastAsia="宋体" w:cs="宋体"/>
          <w:sz w:val="28"/>
          <w:szCs w:val="28"/>
        </w:rPr>
      </w:pPr>
      <w:r>
        <w:rPr>
          <w:rFonts w:hint="eastAsia" w:ascii="宋体" w:hAnsi="宋体" w:eastAsia="宋体" w:cs="宋体"/>
          <w:sz w:val="28"/>
          <w:szCs w:val="28"/>
        </w:rPr>
        <w:t>参数：</w:t>
      </w:r>
    </w:p>
    <w:p w14:paraId="26344905">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4.9.1采用两个6.3:1，90°镀金离轴椭球面，能量反射率更高且镜面更耐腐蚀；</w:t>
      </w:r>
    </w:p>
    <w:p w14:paraId="3EE1FB84">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4.9.2可减小镜面反射的影响；</w:t>
      </w:r>
    </w:p>
    <w:p w14:paraId="7E7AC15A">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4.9.3搭配带有滑轨的底板可调节漫反射附件的位置，以便于提高漫反射附件的光通量;</w:t>
      </w:r>
    </w:p>
    <w:p w14:paraId="4658A80F">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4.9.4镀金平面镜偏转调节装置可调节漫反射附件的光通量，减少漫反射光中镜面反射光的分量和相关光谱的失真;</w:t>
      </w:r>
    </w:p>
    <w:p w14:paraId="523425C8">
      <w:pPr>
        <w:adjustRightInd w:val="0"/>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 xml:space="preserve">4.9.5能适配漫反射反应池实现不同环境下研究材料的反应。 </w:t>
      </w:r>
    </w:p>
    <w:p w14:paraId="359A5DCC">
      <w:pPr>
        <w:pStyle w:val="89"/>
        <w:snapToGrid w:val="0"/>
        <w:spacing w:line="500" w:lineRule="exact"/>
        <w:ind w:left="280" w:hanging="280" w:hangingChars="100"/>
        <w:jc w:val="both"/>
        <w:rPr>
          <w:rFonts w:hint="eastAsia" w:ascii="宋体" w:hAnsi="宋体" w:eastAsia="宋体" w:cs="宋体"/>
          <w:sz w:val="28"/>
          <w:szCs w:val="28"/>
        </w:rPr>
      </w:pPr>
      <w:r>
        <w:rPr>
          <w:rFonts w:hint="eastAsia" w:ascii="宋体" w:hAnsi="宋体" w:eastAsia="宋体" w:cs="宋体"/>
          <w:sz w:val="28"/>
          <w:szCs w:val="28"/>
        </w:rPr>
        <w:t>5.配置清单</w:t>
      </w:r>
    </w:p>
    <w:p w14:paraId="7E0D2369">
      <w:pPr>
        <w:pStyle w:val="89"/>
        <w:snapToGrid w:val="0"/>
        <w:spacing w:line="500" w:lineRule="exact"/>
        <w:ind w:firstLine="588" w:firstLineChars="210"/>
        <w:jc w:val="both"/>
        <w:rPr>
          <w:rFonts w:hint="eastAsia" w:ascii="宋体" w:hAnsi="宋体" w:eastAsia="宋体" w:cs="宋体"/>
          <w:sz w:val="28"/>
          <w:szCs w:val="28"/>
        </w:rPr>
      </w:pPr>
      <w:r>
        <w:rPr>
          <w:rFonts w:hint="eastAsia" w:ascii="宋体" w:hAnsi="宋体" w:eastAsia="宋体" w:cs="宋体"/>
          <w:sz w:val="28"/>
          <w:szCs w:val="28"/>
        </w:rPr>
        <w:t>5.1、傅立叶变换红外光谱仪（DTGS及MCT双检测器）1套</w:t>
      </w:r>
    </w:p>
    <w:p w14:paraId="59147E36">
      <w:pPr>
        <w:pStyle w:val="89"/>
        <w:snapToGrid w:val="0"/>
        <w:spacing w:line="500" w:lineRule="exact"/>
        <w:ind w:firstLine="588" w:firstLineChars="210"/>
        <w:jc w:val="both"/>
        <w:rPr>
          <w:rFonts w:hint="eastAsia" w:ascii="宋体" w:hAnsi="宋体" w:eastAsia="宋体" w:cs="宋体"/>
          <w:sz w:val="28"/>
          <w:szCs w:val="28"/>
        </w:rPr>
      </w:pPr>
      <w:r>
        <w:rPr>
          <w:rFonts w:hint="eastAsia" w:ascii="宋体" w:hAnsi="宋体" w:eastAsia="宋体" w:cs="宋体"/>
          <w:sz w:val="28"/>
          <w:szCs w:val="28"/>
        </w:rPr>
        <w:t>5.2、中、英控制软件系统　1套</w:t>
      </w:r>
    </w:p>
    <w:p w14:paraId="023ABC41">
      <w:pPr>
        <w:pStyle w:val="89"/>
        <w:snapToGrid w:val="0"/>
        <w:spacing w:line="500" w:lineRule="exact"/>
        <w:ind w:firstLine="588" w:firstLineChars="210"/>
        <w:jc w:val="both"/>
        <w:rPr>
          <w:rFonts w:hint="eastAsia" w:ascii="宋体" w:hAnsi="宋体" w:eastAsia="宋体" w:cs="宋体"/>
          <w:sz w:val="28"/>
          <w:szCs w:val="28"/>
        </w:rPr>
      </w:pPr>
      <w:r>
        <w:rPr>
          <w:rFonts w:hint="eastAsia" w:ascii="宋体" w:hAnsi="宋体" w:eastAsia="宋体" w:cs="宋体"/>
          <w:sz w:val="28"/>
          <w:szCs w:val="28"/>
        </w:rPr>
        <w:t>5.3、智能型透射附件（适用于固体、液体等样品）1套</w:t>
      </w:r>
    </w:p>
    <w:p w14:paraId="2254CCE7">
      <w:pPr>
        <w:pStyle w:val="89"/>
        <w:snapToGrid w:val="0"/>
        <w:spacing w:line="500" w:lineRule="exact"/>
        <w:ind w:firstLine="588" w:firstLineChars="210"/>
        <w:jc w:val="both"/>
        <w:rPr>
          <w:rFonts w:hint="eastAsia" w:ascii="宋体" w:hAnsi="宋体" w:eastAsia="宋体" w:cs="宋体"/>
          <w:sz w:val="28"/>
          <w:szCs w:val="28"/>
        </w:rPr>
      </w:pPr>
      <w:r>
        <w:rPr>
          <w:rFonts w:hint="eastAsia" w:ascii="宋体" w:hAnsi="宋体" w:eastAsia="宋体" w:cs="宋体"/>
          <w:sz w:val="28"/>
          <w:szCs w:val="28"/>
        </w:rPr>
        <w:t>5.4、赠送工具箱及操作台1套</w:t>
      </w:r>
    </w:p>
    <w:p w14:paraId="2A4571BE">
      <w:pPr>
        <w:pStyle w:val="89"/>
        <w:snapToGrid w:val="0"/>
        <w:spacing w:line="500" w:lineRule="exact"/>
        <w:ind w:firstLine="588" w:firstLineChars="210"/>
        <w:jc w:val="both"/>
        <w:rPr>
          <w:rFonts w:hint="eastAsia" w:ascii="宋体" w:hAnsi="宋体" w:eastAsia="宋体" w:cs="宋体"/>
          <w:sz w:val="28"/>
          <w:szCs w:val="28"/>
        </w:rPr>
      </w:pPr>
      <w:r>
        <w:rPr>
          <w:rFonts w:hint="eastAsia" w:ascii="宋体" w:hAnsi="宋体" w:eastAsia="宋体" w:cs="宋体"/>
          <w:sz w:val="28"/>
          <w:szCs w:val="28"/>
        </w:rPr>
        <w:t>5.5、包含光学附件1套</w:t>
      </w:r>
    </w:p>
    <w:p w14:paraId="45295CDE">
      <w:pPr>
        <w:pStyle w:val="89"/>
        <w:snapToGrid w:val="0"/>
        <w:spacing w:line="500" w:lineRule="exact"/>
        <w:ind w:firstLine="588" w:firstLineChars="210"/>
        <w:jc w:val="both"/>
        <w:rPr>
          <w:rFonts w:hint="eastAsia" w:ascii="宋体" w:hAnsi="宋体" w:eastAsia="宋体" w:cs="宋体"/>
          <w:sz w:val="28"/>
          <w:szCs w:val="28"/>
        </w:rPr>
      </w:pPr>
      <w:r>
        <w:rPr>
          <w:rFonts w:hint="eastAsia" w:ascii="宋体" w:hAnsi="宋体" w:eastAsia="宋体" w:cs="宋体"/>
          <w:sz w:val="28"/>
          <w:szCs w:val="28"/>
        </w:rPr>
        <w:t>5.6、原位红外漫反射池1套</w:t>
      </w:r>
    </w:p>
    <w:p w14:paraId="5EDC7821">
      <w:pPr>
        <w:pStyle w:val="89"/>
        <w:snapToGrid w:val="0"/>
        <w:spacing w:line="500" w:lineRule="exact"/>
        <w:ind w:firstLine="588" w:firstLineChars="210"/>
        <w:jc w:val="both"/>
        <w:rPr>
          <w:rFonts w:hint="eastAsia" w:ascii="宋体" w:hAnsi="宋体" w:eastAsia="宋体" w:cs="宋体"/>
          <w:sz w:val="28"/>
          <w:szCs w:val="28"/>
        </w:rPr>
      </w:pPr>
      <w:r>
        <w:rPr>
          <w:rFonts w:hint="eastAsia" w:ascii="宋体" w:hAnsi="宋体" w:eastAsia="宋体" w:cs="宋体"/>
          <w:sz w:val="28"/>
          <w:szCs w:val="28"/>
        </w:rPr>
        <w:t>5.7、高精度触摸屏温度控制器1套</w:t>
      </w:r>
    </w:p>
    <w:p w14:paraId="4AF96EC4">
      <w:pPr>
        <w:pStyle w:val="89"/>
        <w:snapToGrid w:val="0"/>
        <w:spacing w:line="500" w:lineRule="exact"/>
        <w:ind w:firstLine="588" w:firstLineChars="210"/>
        <w:jc w:val="both"/>
        <w:rPr>
          <w:rFonts w:hint="eastAsia" w:ascii="宋体" w:hAnsi="宋体" w:eastAsia="宋体" w:cs="宋体"/>
          <w:sz w:val="28"/>
          <w:szCs w:val="28"/>
        </w:rPr>
      </w:pPr>
      <w:r>
        <w:rPr>
          <w:rFonts w:hint="eastAsia" w:ascii="宋体" w:hAnsi="宋体" w:eastAsia="宋体" w:cs="宋体"/>
          <w:sz w:val="28"/>
          <w:szCs w:val="28"/>
        </w:rPr>
        <w:t>5.8、小型水冷机1套</w:t>
      </w:r>
    </w:p>
    <w:p w14:paraId="5E1B3ACE">
      <w:pPr>
        <w:spacing w:line="500" w:lineRule="exact"/>
        <w:rPr>
          <w:rFonts w:hint="eastAsia" w:ascii="宋体" w:hAnsi="宋体" w:eastAsia="宋体" w:cs="宋体"/>
          <w:sz w:val="28"/>
          <w:szCs w:val="28"/>
        </w:rPr>
      </w:pPr>
      <w:r>
        <w:rPr>
          <w:rFonts w:hint="eastAsia" w:ascii="宋体" w:hAnsi="宋体" w:eastAsia="宋体" w:cs="宋体"/>
          <w:b/>
          <w:sz w:val="28"/>
          <w:szCs w:val="28"/>
        </w:rPr>
        <w:t>备注：以上参数5项，均为一般参数项。</w:t>
      </w:r>
    </w:p>
    <w:p w14:paraId="55ABD65D">
      <w:pPr>
        <w:pStyle w:val="89"/>
        <w:snapToGrid w:val="0"/>
        <w:spacing w:line="500" w:lineRule="exact"/>
        <w:jc w:val="both"/>
        <w:rPr>
          <w:rFonts w:hint="eastAsia" w:ascii="宋体" w:hAnsi="宋体" w:eastAsia="宋体" w:cs="宋体"/>
          <w:sz w:val="28"/>
          <w:szCs w:val="28"/>
        </w:rPr>
      </w:pPr>
    </w:p>
    <w:p w14:paraId="3C4B8C58">
      <w:pPr>
        <w:pStyle w:val="87"/>
        <w:spacing w:line="500" w:lineRule="exact"/>
        <w:jc w:val="center"/>
        <w:rPr>
          <w:rFonts w:hint="eastAsia" w:ascii="宋体" w:hAnsi="宋体" w:eastAsia="宋体" w:cs="宋体"/>
          <w:b/>
          <w:color w:val="auto"/>
          <w:sz w:val="28"/>
          <w:szCs w:val="28"/>
        </w:rPr>
      </w:pPr>
      <w:bookmarkStart w:id="182" w:name="_Hlk212659565"/>
    </w:p>
    <w:p w14:paraId="3953EEA6">
      <w:pPr>
        <w:spacing w:line="500" w:lineRule="exact"/>
        <w:rPr>
          <w:rFonts w:hint="eastAsia" w:ascii="宋体" w:hAnsi="宋体" w:eastAsia="宋体" w:cs="宋体"/>
          <w:sz w:val="28"/>
          <w:szCs w:val="28"/>
        </w:rPr>
      </w:pPr>
      <w:r>
        <w:rPr>
          <w:rFonts w:hint="eastAsia" w:ascii="宋体" w:hAnsi="宋体" w:eastAsia="宋体" w:cs="宋体"/>
          <w:b/>
          <w:sz w:val="28"/>
          <w:szCs w:val="28"/>
        </w:rPr>
        <w:br w:type="page"/>
      </w:r>
    </w:p>
    <w:p w14:paraId="63F7389C">
      <w:pPr>
        <w:snapToGrid w:val="0"/>
        <w:spacing w:line="500" w:lineRule="exact"/>
        <w:ind w:left="748" w:leftChars="220"/>
        <w:rPr>
          <w:rFonts w:hint="eastAsia" w:ascii="宋体" w:hAnsi="宋体" w:eastAsia="宋体" w:cs="宋体"/>
          <w:sz w:val="28"/>
          <w:szCs w:val="28"/>
        </w:rPr>
      </w:pPr>
      <w:r>
        <w:rPr>
          <w:rFonts w:hint="eastAsia" w:ascii="宋体" w:hAnsi="宋体" w:eastAsia="宋体" w:cs="宋体"/>
          <w:b/>
          <w:sz w:val="28"/>
          <w:szCs w:val="28"/>
        </w:rPr>
        <w:t>6、品目名称：纳米分辨可视化原位力-热耦合测试系统（国产）</w:t>
      </w:r>
    </w:p>
    <w:p w14:paraId="1E439E80">
      <w:pPr>
        <w:numPr>
          <w:ilvl w:val="0"/>
          <w:numId w:val="12"/>
        </w:numPr>
        <w:snapToGrid w:val="0"/>
        <w:spacing w:line="500" w:lineRule="exact"/>
        <w:ind w:left="0" w:firstLine="616" w:firstLineChars="220"/>
        <w:rPr>
          <w:rFonts w:hint="eastAsia" w:ascii="宋体" w:hAnsi="宋体" w:eastAsia="宋体" w:cs="宋体"/>
          <w:sz w:val="28"/>
          <w:szCs w:val="28"/>
        </w:rPr>
      </w:pPr>
      <w:r>
        <w:rPr>
          <w:rFonts w:hint="eastAsia" w:ascii="宋体" w:hAnsi="宋体" w:eastAsia="宋体" w:cs="宋体"/>
          <w:sz w:val="28"/>
          <w:szCs w:val="28"/>
        </w:rPr>
        <w:t>规格</w:t>
      </w:r>
      <w:r>
        <w:rPr>
          <w:rFonts w:hint="eastAsia" w:ascii="宋体" w:hAnsi="宋体" w:eastAsia="宋体" w:cs="宋体"/>
          <w:b/>
          <w:bCs/>
          <w:sz w:val="28"/>
          <w:szCs w:val="28"/>
        </w:rPr>
        <w:t>（备注：以下1项参数）</w:t>
      </w:r>
    </w:p>
    <w:p w14:paraId="23246892">
      <w:pPr>
        <w:numPr>
          <w:ilvl w:val="0"/>
          <w:numId w:val="13"/>
        </w:numPr>
        <w:kinsoku w:val="0"/>
        <w:autoSpaceDE w:val="0"/>
        <w:autoSpaceDN w:val="0"/>
        <w:snapToGrid w:val="0"/>
        <w:spacing w:line="500" w:lineRule="exact"/>
        <w:ind w:left="0" w:firstLine="616" w:firstLineChars="220"/>
        <w:rPr>
          <w:rFonts w:hint="eastAsia" w:ascii="宋体" w:hAnsi="宋体" w:eastAsia="宋体" w:cs="宋体"/>
          <w:sz w:val="28"/>
          <w:szCs w:val="28"/>
        </w:rPr>
      </w:pPr>
      <w:r>
        <w:rPr>
          <w:rFonts w:hint="eastAsia" w:ascii="宋体" w:hAnsi="宋体" w:eastAsia="宋体" w:cs="宋体"/>
          <w:sz w:val="28"/>
          <w:szCs w:val="28"/>
        </w:rPr>
        <w:t>设备对实验室最小空间尺寸要求：4000 mm（长）×5000 mm（宽）×2400 mm（高）；</w:t>
      </w:r>
    </w:p>
    <w:p w14:paraId="46CC7B3C">
      <w:pPr>
        <w:numPr>
          <w:ilvl w:val="0"/>
          <w:numId w:val="13"/>
        </w:numPr>
        <w:kinsoku w:val="0"/>
        <w:autoSpaceDE w:val="0"/>
        <w:autoSpaceDN w:val="0"/>
        <w:snapToGrid w:val="0"/>
        <w:spacing w:line="500" w:lineRule="exact"/>
        <w:ind w:left="0" w:firstLine="616" w:firstLineChars="220"/>
        <w:rPr>
          <w:rFonts w:hint="eastAsia" w:ascii="宋体" w:hAnsi="宋体" w:eastAsia="宋体" w:cs="宋体"/>
          <w:sz w:val="28"/>
          <w:szCs w:val="28"/>
          <w:lang w:val="zh-CN"/>
        </w:rPr>
      </w:pPr>
      <w:r>
        <w:rPr>
          <w:rFonts w:hint="eastAsia" w:ascii="宋体" w:hAnsi="宋体" w:eastAsia="宋体" w:cs="宋体"/>
          <w:sz w:val="28"/>
          <w:szCs w:val="28"/>
        </w:rPr>
        <w:t>实验室</w:t>
      </w:r>
      <w:r>
        <w:rPr>
          <w:rFonts w:hint="eastAsia" w:ascii="宋体" w:hAnsi="宋体" w:eastAsia="宋体" w:cs="宋体"/>
          <w:sz w:val="28"/>
          <w:szCs w:val="28"/>
          <w:lang w:val="zh-CN"/>
        </w:rPr>
        <w:t>门</w:t>
      </w:r>
      <w:r>
        <w:rPr>
          <w:rFonts w:hint="eastAsia" w:ascii="宋体" w:hAnsi="宋体" w:eastAsia="宋体" w:cs="宋体"/>
          <w:sz w:val="28"/>
          <w:szCs w:val="28"/>
        </w:rPr>
        <w:t>：</w:t>
      </w:r>
      <w:r>
        <w:rPr>
          <w:rFonts w:hint="eastAsia" w:ascii="宋体" w:hAnsi="宋体" w:eastAsia="宋体" w:cs="宋体"/>
          <w:sz w:val="28"/>
          <w:szCs w:val="28"/>
          <w:lang w:val="zh-CN"/>
        </w:rPr>
        <w:t>宽≥1.5m，高≥2.4m，无门槛；</w:t>
      </w:r>
    </w:p>
    <w:p w14:paraId="2DA0909A">
      <w:pPr>
        <w:numPr>
          <w:ilvl w:val="0"/>
          <w:numId w:val="13"/>
        </w:numPr>
        <w:kinsoku w:val="0"/>
        <w:autoSpaceDE w:val="0"/>
        <w:autoSpaceDN w:val="0"/>
        <w:snapToGrid w:val="0"/>
        <w:spacing w:line="500" w:lineRule="exact"/>
        <w:ind w:left="0" w:firstLine="616" w:firstLineChars="220"/>
        <w:rPr>
          <w:rFonts w:hint="eastAsia" w:ascii="宋体" w:hAnsi="宋体" w:eastAsia="宋体" w:cs="宋体"/>
          <w:sz w:val="28"/>
          <w:szCs w:val="28"/>
          <w:lang w:val="zh-CN"/>
        </w:rPr>
      </w:pPr>
      <w:r>
        <w:rPr>
          <w:rFonts w:hint="eastAsia" w:ascii="宋体" w:hAnsi="宋体" w:eastAsia="宋体" w:cs="宋体"/>
          <w:sz w:val="28"/>
          <w:szCs w:val="28"/>
          <w:lang w:val="zh-CN"/>
        </w:rPr>
        <w:t>配有温度、湿度控制器：工作温度18～23℃，温度波动＜1℃/h；相对湿度：＜65%；</w:t>
      </w:r>
    </w:p>
    <w:p w14:paraId="03D83BB1">
      <w:pPr>
        <w:numPr>
          <w:ilvl w:val="0"/>
          <w:numId w:val="13"/>
        </w:numPr>
        <w:kinsoku w:val="0"/>
        <w:autoSpaceDE w:val="0"/>
        <w:autoSpaceDN w:val="0"/>
        <w:snapToGrid w:val="0"/>
        <w:spacing w:line="500" w:lineRule="exact"/>
        <w:ind w:left="0" w:firstLine="616" w:firstLineChars="220"/>
        <w:rPr>
          <w:rFonts w:hint="eastAsia" w:ascii="宋体" w:hAnsi="宋体" w:eastAsia="宋体" w:cs="宋体"/>
          <w:sz w:val="28"/>
          <w:szCs w:val="28"/>
          <w:lang w:val="zh-CN"/>
        </w:rPr>
      </w:pPr>
      <w:r>
        <w:rPr>
          <w:rFonts w:hint="eastAsia" w:ascii="宋体" w:hAnsi="宋体" w:eastAsia="宋体" w:cs="宋体"/>
          <w:sz w:val="28"/>
          <w:szCs w:val="28"/>
          <w:lang w:val="zh-CN"/>
        </w:rPr>
        <w:t>环境噪音：全频段范围＜60dB（C）；</w:t>
      </w:r>
    </w:p>
    <w:p w14:paraId="19769D51">
      <w:pPr>
        <w:numPr>
          <w:ilvl w:val="0"/>
          <w:numId w:val="13"/>
        </w:numPr>
        <w:kinsoku w:val="0"/>
        <w:autoSpaceDE w:val="0"/>
        <w:autoSpaceDN w:val="0"/>
        <w:snapToGrid w:val="0"/>
        <w:spacing w:line="500" w:lineRule="exact"/>
        <w:ind w:left="0" w:firstLine="616" w:firstLineChars="220"/>
        <w:rPr>
          <w:rFonts w:hint="eastAsia" w:ascii="宋体" w:hAnsi="宋体" w:eastAsia="宋体" w:cs="宋体"/>
          <w:sz w:val="28"/>
          <w:szCs w:val="28"/>
          <w:lang w:val="zh-CN"/>
        </w:rPr>
      </w:pPr>
      <w:r>
        <w:rPr>
          <w:rFonts w:hint="eastAsia" w:ascii="宋体" w:hAnsi="宋体" w:eastAsia="宋体" w:cs="宋体"/>
          <w:sz w:val="28"/>
          <w:szCs w:val="28"/>
        </w:rPr>
        <w:t>电源：独立供电，220V±5%；频率50Hz±0.5Hz；容量：10 kVA；</w:t>
      </w:r>
      <w:r>
        <w:rPr>
          <w:rFonts w:hint="eastAsia" w:ascii="宋体" w:hAnsi="宋体" w:eastAsia="宋体" w:cs="宋体"/>
          <w:sz w:val="28"/>
          <w:szCs w:val="28"/>
          <w:lang w:val="zh-CN"/>
        </w:rPr>
        <w:t>采用独立接地电阻：＜1.2欧；</w:t>
      </w:r>
    </w:p>
    <w:p w14:paraId="767DDFC0">
      <w:pPr>
        <w:numPr>
          <w:ilvl w:val="0"/>
          <w:numId w:val="13"/>
        </w:numPr>
        <w:kinsoku w:val="0"/>
        <w:autoSpaceDE w:val="0"/>
        <w:autoSpaceDN w:val="0"/>
        <w:snapToGrid w:val="0"/>
        <w:spacing w:line="500" w:lineRule="exact"/>
        <w:ind w:left="0" w:firstLine="616" w:firstLineChars="220"/>
        <w:rPr>
          <w:rFonts w:hint="eastAsia" w:ascii="宋体" w:hAnsi="宋体" w:eastAsia="宋体" w:cs="宋体"/>
          <w:sz w:val="28"/>
          <w:szCs w:val="28"/>
          <w:lang w:val="zh-CN"/>
        </w:rPr>
      </w:pPr>
      <w:r>
        <w:rPr>
          <w:rFonts w:hint="eastAsia" w:ascii="宋体" w:hAnsi="宋体" w:eastAsia="宋体" w:cs="宋体"/>
          <w:sz w:val="28"/>
          <w:szCs w:val="28"/>
          <w:lang w:val="zh-CN"/>
        </w:rPr>
        <w:t>杂散磁场: X/Y方向: &lt;40nT(峰-峰值); Z方向: &lt;100nT(峰-峰值)；</w:t>
      </w:r>
    </w:p>
    <w:p w14:paraId="55FDB2D9">
      <w:pPr>
        <w:numPr>
          <w:ilvl w:val="0"/>
          <w:numId w:val="13"/>
        </w:numPr>
        <w:kinsoku w:val="0"/>
        <w:autoSpaceDE w:val="0"/>
        <w:autoSpaceDN w:val="0"/>
        <w:snapToGrid w:val="0"/>
        <w:spacing w:line="500" w:lineRule="exact"/>
        <w:ind w:left="0" w:firstLine="616" w:firstLineChars="220"/>
        <w:rPr>
          <w:rFonts w:hint="eastAsia" w:ascii="宋体" w:hAnsi="宋体" w:eastAsia="宋体" w:cs="宋体"/>
          <w:sz w:val="28"/>
          <w:szCs w:val="28"/>
          <w:lang w:val="zh-CN"/>
        </w:rPr>
      </w:pPr>
      <w:r>
        <w:rPr>
          <w:rFonts w:hint="eastAsia" w:ascii="宋体" w:hAnsi="宋体" w:eastAsia="宋体" w:cs="宋体"/>
          <w:sz w:val="28"/>
          <w:szCs w:val="28"/>
          <w:lang w:val="zh-CN"/>
        </w:rPr>
        <w:t>振动: 30 Hz 以下&lt; 5μm/s；30 Hz 以上&lt;10μm/s；</w:t>
      </w:r>
    </w:p>
    <w:p w14:paraId="00C31078">
      <w:pPr>
        <w:numPr>
          <w:ilvl w:val="0"/>
          <w:numId w:val="13"/>
        </w:numPr>
        <w:kinsoku w:val="0"/>
        <w:autoSpaceDE w:val="0"/>
        <w:autoSpaceDN w:val="0"/>
        <w:snapToGrid w:val="0"/>
        <w:spacing w:line="500" w:lineRule="exact"/>
        <w:ind w:left="0" w:firstLine="616" w:firstLineChars="220"/>
        <w:rPr>
          <w:rFonts w:hint="eastAsia" w:ascii="宋体" w:hAnsi="宋体" w:eastAsia="宋体" w:cs="宋体"/>
          <w:sz w:val="28"/>
          <w:szCs w:val="28"/>
          <w:lang w:val="zh-CN"/>
        </w:rPr>
      </w:pPr>
      <w:r>
        <w:rPr>
          <w:rFonts w:hint="eastAsia" w:ascii="宋体" w:hAnsi="宋体" w:eastAsia="宋体" w:cs="宋体"/>
          <w:sz w:val="28"/>
          <w:szCs w:val="28"/>
          <w:lang w:val="zh-CN"/>
        </w:rPr>
        <w:t>实验室洁净度：10万级；</w:t>
      </w:r>
    </w:p>
    <w:p w14:paraId="565B72B5">
      <w:pPr>
        <w:numPr>
          <w:ilvl w:val="0"/>
          <w:numId w:val="13"/>
        </w:numPr>
        <w:kinsoku w:val="0"/>
        <w:autoSpaceDE w:val="0"/>
        <w:autoSpaceDN w:val="0"/>
        <w:snapToGrid w:val="0"/>
        <w:spacing w:line="500" w:lineRule="exact"/>
        <w:ind w:left="0" w:firstLine="616" w:firstLineChars="220"/>
        <w:rPr>
          <w:rFonts w:hint="eastAsia" w:ascii="宋体" w:hAnsi="宋体" w:eastAsia="宋体" w:cs="宋体"/>
          <w:sz w:val="28"/>
          <w:szCs w:val="28"/>
          <w:lang w:val="zh-CN"/>
        </w:rPr>
      </w:pPr>
      <w:r>
        <w:rPr>
          <w:rFonts w:hint="eastAsia" w:ascii="宋体" w:hAnsi="宋体" w:eastAsia="宋体" w:cs="宋体"/>
          <w:sz w:val="28"/>
          <w:szCs w:val="28"/>
          <w:lang w:val="zh-CN"/>
        </w:rPr>
        <w:t>氮气：压力0.5 x 10</w:t>
      </w:r>
      <w:r>
        <w:rPr>
          <w:rFonts w:hint="eastAsia" w:ascii="宋体" w:hAnsi="宋体" w:eastAsia="宋体" w:cs="宋体"/>
          <w:sz w:val="28"/>
          <w:szCs w:val="28"/>
          <w:vertAlign w:val="superscript"/>
          <w:lang w:val="zh-CN"/>
        </w:rPr>
        <w:t xml:space="preserve">5 </w:t>
      </w:r>
      <w:r>
        <w:rPr>
          <w:rFonts w:hint="eastAsia" w:ascii="宋体" w:hAnsi="宋体" w:eastAsia="宋体" w:cs="宋体"/>
          <w:sz w:val="28"/>
          <w:szCs w:val="28"/>
          <w:lang w:val="zh-CN"/>
        </w:rPr>
        <w:t>Pa到0.8 x 10</w:t>
      </w:r>
      <w:r>
        <w:rPr>
          <w:rFonts w:hint="eastAsia" w:ascii="宋体" w:hAnsi="宋体" w:eastAsia="宋体" w:cs="宋体"/>
          <w:sz w:val="28"/>
          <w:szCs w:val="28"/>
          <w:vertAlign w:val="superscript"/>
          <w:lang w:val="zh-CN"/>
        </w:rPr>
        <w:t>5</w:t>
      </w:r>
      <w:r>
        <w:rPr>
          <w:rFonts w:hint="eastAsia" w:ascii="宋体" w:hAnsi="宋体" w:eastAsia="宋体" w:cs="宋体"/>
          <w:sz w:val="28"/>
          <w:szCs w:val="28"/>
          <w:lang w:val="zh-CN"/>
        </w:rPr>
        <w:t xml:space="preserve"> Pa，配置加压阀(0.05 x 10</w:t>
      </w:r>
      <w:r>
        <w:rPr>
          <w:rFonts w:hint="eastAsia" w:ascii="宋体" w:hAnsi="宋体" w:eastAsia="宋体" w:cs="宋体"/>
          <w:sz w:val="28"/>
          <w:szCs w:val="28"/>
          <w:vertAlign w:val="superscript"/>
          <w:lang w:val="zh-CN"/>
        </w:rPr>
        <w:t>5</w:t>
      </w:r>
      <w:r>
        <w:rPr>
          <w:rFonts w:hint="eastAsia" w:ascii="宋体" w:hAnsi="宋体" w:eastAsia="宋体" w:cs="宋体"/>
          <w:sz w:val="28"/>
          <w:szCs w:val="28"/>
          <w:lang w:val="zh-CN"/>
        </w:rPr>
        <w:t xml:space="preserve"> Pa到0.3 x 10</w:t>
      </w:r>
      <w:r>
        <w:rPr>
          <w:rFonts w:hint="eastAsia" w:ascii="宋体" w:hAnsi="宋体" w:eastAsia="宋体" w:cs="宋体"/>
          <w:sz w:val="28"/>
          <w:szCs w:val="28"/>
          <w:vertAlign w:val="superscript"/>
          <w:lang w:val="zh-CN"/>
        </w:rPr>
        <w:t>5</w:t>
      </w:r>
      <w:r>
        <w:rPr>
          <w:rFonts w:hint="eastAsia" w:ascii="宋体" w:hAnsi="宋体" w:eastAsia="宋体" w:cs="宋体"/>
          <w:sz w:val="28"/>
          <w:szCs w:val="28"/>
          <w:lang w:val="zh-CN"/>
        </w:rPr>
        <w:t xml:space="preserve"> Pa)；</w:t>
      </w:r>
    </w:p>
    <w:p w14:paraId="30021B84">
      <w:pPr>
        <w:pStyle w:val="86"/>
        <w:snapToGrid w:val="0"/>
        <w:spacing w:line="500" w:lineRule="exact"/>
        <w:ind w:left="748" w:leftChars="220" w:firstLine="0" w:firstLineChars="0"/>
        <w:rPr>
          <w:rFonts w:hint="eastAsia" w:ascii="宋体" w:hAnsi="宋体" w:eastAsia="宋体" w:cs="宋体"/>
          <w:sz w:val="28"/>
          <w:szCs w:val="28"/>
        </w:rPr>
      </w:pPr>
      <w:r>
        <w:rPr>
          <w:rFonts w:hint="eastAsia" w:ascii="宋体" w:hAnsi="宋体" w:eastAsia="宋体" w:cs="宋体"/>
          <w:sz w:val="28"/>
          <w:szCs w:val="28"/>
        </w:rPr>
        <w:t>详细参数</w:t>
      </w:r>
      <w:r>
        <w:rPr>
          <w:rFonts w:hint="eastAsia" w:ascii="宋体" w:hAnsi="宋体" w:eastAsia="宋体" w:cs="宋体"/>
          <w:b/>
          <w:bCs/>
          <w:sz w:val="28"/>
          <w:szCs w:val="28"/>
        </w:rPr>
        <w:t>（备注：以下10项参数）</w:t>
      </w:r>
    </w:p>
    <w:p w14:paraId="45876783">
      <w:pPr>
        <w:pStyle w:val="86"/>
        <w:numPr>
          <w:ilvl w:val="0"/>
          <w:numId w:val="14"/>
        </w:numPr>
        <w:snapToGrid w:val="0"/>
        <w:spacing w:line="500" w:lineRule="exact"/>
        <w:ind w:left="0" w:firstLine="616" w:firstLineChars="220"/>
        <w:rPr>
          <w:rFonts w:hint="eastAsia" w:ascii="宋体" w:hAnsi="宋体" w:eastAsia="宋体" w:cs="宋体"/>
          <w:sz w:val="28"/>
          <w:szCs w:val="28"/>
        </w:rPr>
      </w:pPr>
      <w:r>
        <w:rPr>
          <w:rFonts w:hint="eastAsia" w:ascii="宋体" w:hAnsi="宋体" w:eastAsia="宋体" w:cs="宋体"/>
          <w:sz w:val="28"/>
          <w:szCs w:val="28"/>
        </w:rPr>
        <w:t>电子光学系统：</w:t>
      </w:r>
    </w:p>
    <w:p w14:paraId="769AE1B5">
      <w:pPr>
        <w:pStyle w:val="86"/>
        <w:numPr>
          <w:ilvl w:val="0"/>
          <w:numId w:val="15"/>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肖特基场发射电子枪；</w:t>
      </w:r>
    </w:p>
    <w:p w14:paraId="2ED1C3C8">
      <w:pPr>
        <w:pStyle w:val="86"/>
        <w:numPr>
          <w:ilvl w:val="0"/>
          <w:numId w:val="15"/>
        </w:numPr>
        <w:shd w:val="clear" w:fill="FFFFFF" w:themeFill="background1"/>
        <w:snapToGrid w:val="0"/>
        <w:spacing w:line="500" w:lineRule="exact"/>
        <w:ind w:firstLine="616" w:firstLineChars="220"/>
        <w:rPr>
          <w:rFonts w:hint="eastAsia" w:ascii="宋体" w:hAnsi="宋体" w:eastAsia="宋体" w:cs="宋体"/>
          <w:sz w:val="28"/>
          <w:szCs w:val="28"/>
          <w:shd w:val="clear" w:color="auto" w:fill="auto"/>
        </w:rPr>
      </w:pPr>
      <w:r>
        <w:rPr>
          <w:rFonts w:hint="eastAsia" w:ascii="宋体" w:hAnsi="宋体" w:eastAsia="宋体" w:cs="宋体"/>
          <w:sz w:val="28"/>
          <w:szCs w:val="28"/>
        </w:rPr>
        <w:t>S</w:t>
      </w:r>
      <w:r>
        <w:rPr>
          <w:rFonts w:hint="eastAsia" w:ascii="宋体" w:hAnsi="宋体" w:eastAsia="宋体" w:cs="宋体"/>
          <w:sz w:val="28"/>
          <w:szCs w:val="28"/>
          <w:shd w:val="clear" w:color="auto" w:fill="auto"/>
        </w:rPr>
        <w:t>E分辨率：≤10nm（常温状态）；</w:t>
      </w:r>
    </w:p>
    <w:p w14:paraId="4050A034">
      <w:pPr>
        <w:pStyle w:val="86"/>
        <w:numPr>
          <w:ilvl w:val="0"/>
          <w:numId w:val="15"/>
        </w:numPr>
        <w:shd w:val="clear" w:fill="FFFFFF" w:themeFill="background1"/>
        <w:snapToGrid w:val="0"/>
        <w:spacing w:line="500" w:lineRule="exact"/>
        <w:ind w:firstLine="616" w:firstLineChars="220"/>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工作距离≥10mm，1000℃分辨率≤20nm，1400℃分辨率≤40nm；</w:t>
      </w:r>
    </w:p>
    <w:p w14:paraId="701ECED8">
      <w:pPr>
        <w:pStyle w:val="86"/>
        <w:numPr>
          <w:ilvl w:val="0"/>
          <w:numId w:val="15"/>
        </w:numPr>
        <w:shd w:val="clear" w:fill="FFFFFF" w:themeFill="background1"/>
        <w:snapToGrid w:val="0"/>
        <w:spacing w:line="500" w:lineRule="exact"/>
        <w:ind w:firstLine="616" w:firstLineChars="220"/>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放大倍率范围：10x～1,000,000x；</w:t>
      </w:r>
    </w:p>
    <w:p w14:paraId="68F21A25">
      <w:pPr>
        <w:pStyle w:val="86"/>
        <w:numPr>
          <w:ilvl w:val="0"/>
          <w:numId w:val="15"/>
        </w:numPr>
        <w:shd w:val="clear" w:fill="FFFFFF" w:themeFill="background1"/>
        <w:snapToGrid w:val="0"/>
        <w:spacing w:line="500" w:lineRule="exact"/>
        <w:ind w:firstLine="616" w:firstLineChars="220"/>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加速电压：≥200v~30kv，连续可调；</w:t>
      </w:r>
    </w:p>
    <w:p w14:paraId="2AE1EA04">
      <w:pPr>
        <w:pStyle w:val="86"/>
        <w:numPr>
          <w:ilvl w:val="0"/>
          <w:numId w:val="15"/>
        </w:numPr>
        <w:shd w:val="clear" w:fill="FFFFFF" w:themeFill="background1"/>
        <w:snapToGrid w:val="0"/>
        <w:spacing w:line="500" w:lineRule="exact"/>
        <w:ind w:firstLine="616" w:firstLineChars="220"/>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束流范围：最大探针电流不低于20nA，束流稳定性优于0.2%/h；</w:t>
      </w:r>
    </w:p>
    <w:p w14:paraId="37DB567F">
      <w:pPr>
        <w:pStyle w:val="86"/>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2）原位高温力学测试系统：</w:t>
      </w:r>
    </w:p>
    <w:p w14:paraId="74922511">
      <w:pPr>
        <w:pStyle w:val="86"/>
        <w:numPr>
          <w:ilvl w:val="0"/>
          <w:numId w:val="16"/>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原位力学测试系统模块最高载荷≥5000N；</w:t>
      </w:r>
    </w:p>
    <w:p w14:paraId="25A502B3">
      <w:pPr>
        <w:pStyle w:val="86"/>
        <w:numPr>
          <w:ilvl w:val="0"/>
          <w:numId w:val="16"/>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力传感精度：≤±1N；</w:t>
      </w:r>
    </w:p>
    <w:p w14:paraId="46655AE1">
      <w:pPr>
        <w:pStyle w:val="86"/>
        <w:numPr>
          <w:ilvl w:val="0"/>
          <w:numId w:val="16"/>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加载行程：≥45mm；</w:t>
      </w:r>
    </w:p>
    <w:p w14:paraId="395C3903">
      <w:pPr>
        <w:pStyle w:val="86"/>
        <w:numPr>
          <w:ilvl w:val="0"/>
          <w:numId w:val="16"/>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加载速率：0.1～10μm/s，连续可调；</w:t>
      </w:r>
    </w:p>
    <w:p w14:paraId="220408AD">
      <w:pPr>
        <w:pStyle w:val="86"/>
        <w:numPr>
          <w:ilvl w:val="0"/>
          <w:numId w:val="16"/>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位移分辨率：±100nm；</w:t>
      </w:r>
    </w:p>
    <w:p w14:paraId="0FCD8D7F">
      <w:pPr>
        <w:pStyle w:val="86"/>
        <w:numPr>
          <w:ilvl w:val="0"/>
          <w:numId w:val="16"/>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可在室温~1200℃温度范围内开展拉伸试验；</w:t>
      </w:r>
    </w:p>
    <w:p w14:paraId="5BBA00E6">
      <w:pPr>
        <w:pStyle w:val="86"/>
        <w:numPr>
          <w:ilvl w:val="0"/>
          <w:numId w:val="16"/>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控温精度：≤ ±2℃，加热区域：≥Φ7.5mm；温度采集：不低于三通道高精度数据采集；</w:t>
      </w:r>
    </w:p>
    <w:p w14:paraId="09C16780">
      <w:pPr>
        <w:pStyle w:val="86"/>
        <w:numPr>
          <w:ilvl w:val="0"/>
          <w:numId w:val="16"/>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加热部件:陶瓷加热芯；</w:t>
      </w:r>
    </w:p>
    <w:p w14:paraId="5BAC5B36">
      <w:pPr>
        <w:pStyle w:val="86"/>
        <w:numPr>
          <w:ilvl w:val="0"/>
          <w:numId w:val="16"/>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标配夹具：拉伸夹具、压缩夹具、三点弯曲夹具；</w:t>
      </w:r>
    </w:p>
    <w:p w14:paraId="7E340BEB">
      <w:pPr>
        <w:pStyle w:val="86"/>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3）原位疲劳测试系统模块：</w:t>
      </w:r>
    </w:p>
    <w:p w14:paraId="2DBA2664">
      <w:pPr>
        <w:pStyle w:val="86"/>
        <w:numPr>
          <w:ilvl w:val="0"/>
          <w:numId w:val="17"/>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疲劳频率≤5Hz（载荷范围≤1000N）；</w:t>
      </w:r>
    </w:p>
    <w:p w14:paraId="595F9315">
      <w:pPr>
        <w:pStyle w:val="86"/>
        <w:numPr>
          <w:ilvl w:val="0"/>
          <w:numId w:val="17"/>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疲劳测试模式拉-拉疲劳，应力比0~1；</w:t>
      </w:r>
    </w:p>
    <w:p w14:paraId="429A74C8">
      <w:pPr>
        <w:pStyle w:val="86"/>
        <w:numPr>
          <w:ilvl w:val="0"/>
          <w:numId w:val="17"/>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可在室温~1200℃温度范围下开展疲劳试验，控温精度：≤ ±2℃；加热区域：≥Φ7.5mm；</w:t>
      </w:r>
    </w:p>
    <w:p w14:paraId="3A7EE291">
      <w:pPr>
        <w:pStyle w:val="86"/>
        <w:numPr>
          <w:ilvl w:val="0"/>
          <w:numId w:val="17"/>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加热部件:陶瓷加热芯</w:t>
      </w:r>
    </w:p>
    <w:p w14:paraId="30C69A36">
      <w:pPr>
        <w:pStyle w:val="86"/>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4）原位高温测试系统模块：</w:t>
      </w:r>
    </w:p>
    <w:p w14:paraId="4E16D2AC">
      <w:pPr>
        <w:pStyle w:val="86"/>
        <w:numPr>
          <w:ilvl w:val="0"/>
          <w:numId w:val="18"/>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加热温度室温～1400℃(单加热)；</w:t>
      </w:r>
    </w:p>
    <w:p w14:paraId="5C9CEE25">
      <w:pPr>
        <w:pStyle w:val="86"/>
        <w:numPr>
          <w:ilvl w:val="0"/>
          <w:numId w:val="18"/>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加热区域范围：≥1x0.6x0.45mm，加热样品尺寸0.7mm×0.4mm×0.4mm（L×W×H）；</w:t>
      </w:r>
    </w:p>
    <w:p w14:paraId="0B68DD3B">
      <w:pPr>
        <w:pStyle w:val="86"/>
        <w:numPr>
          <w:ilvl w:val="0"/>
          <w:numId w:val="18"/>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控温精度：±5℃；可以施加偏压电场，抑制热电子的扩散；</w:t>
      </w:r>
    </w:p>
    <w:p w14:paraId="50FBE777">
      <w:pPr>
        <w:pStyle w:val="86"/>
        <w:numPr>
          <w:ilvl w:val="0"/>
          <w:numId w:val="18"/>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测温精度：测量值的±1%（500℃～1400℃）；</w:t>
      </w:r>
    </w:p>
    <w:p w14:paraId="6AEBA18F">
      <w:pPr>
        <w:pStyle w:val="86"/>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5）探测器系统：</w:t>
      </w:r>
    </w:p>
    <w:p w14:paraId="6CA1E947">
      <w:pPr>
        <w:pStyle w:val="86"/>
        <w:numPr>
          <w:ilvl w:val="0"/>
          <w:numId w:val="19"/>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配备样品室内SE探测器；</w:t>
      </w:r>
    </w:p>
    <w:p w14:paraId="1A7F2C3A">
      <w:pPr>
        <w:pStyle w:val="86"/>
        <w:numPr>
          <w:ilvl w:val="0"/>
          <w:numId w:val="19"/>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配备独立的镜筒内SE探测器；</w:t>
      </w:r>
    </w:p>
    <w:p w14:paraId="1BD0620C">
      <w:pPr>
        <w:pStyle w:val="86"/>
        <w:numPr>
          <w:ilvl w:val="0"/>
          <w:numId w:val="19"/>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配备红外CCD摄像头，用于实时观察样品室内情况；</w:t>
      </w:r>
    </w:p>
    <w:p w14:paraId="244E29F2">
      <w:pPr>
        <w:pStyle w:val="86"/>
        <w:snapToGrid w:val="0"/>
        <w:spacing w:line="500" w:lineRule="exact"/>
        <w:ind w:firstLine="616" w:firstLineChars="220"/>
        <w:rPr>
          <w:rFonts w:hint="eastAsia" w:ascii="宋体" w:hAnsi="宋体" w:eastAsia="宋体" w:cs="宋体"/>
          <w:sz w:val="28"/>
          <w:szCs w:val="28"/>
          <w:shd w:val="clear" w:color="auto" w:fill="auto"/>
        </w:rPr>
      </w:pPr>
      <w:r>
        <w:rPr>
          <w:rFonts w:hint="eastAsia" w:ascii="宋体" w:hAnsi="宋体" w:eastAsia="宋体" w:cs="宋体"/>
          <w:sz w:val="28"/>
          <w:szCs w:val="28"/>
        </w:rPr>
        <w:t>6）样品</w:t>
      </w:r>
      <w:r>
        <w:rPr>
          <w:rFonts w:hint="eastAsia" w:ascii="宋体" w:hAnsi="宋体" w:eastAsia="宋体" w:cs="宋体"/>
          <w:sz w:val="28"/>
          <w:szCs w:val="28"/>
          <w:shd w:val="clear" w:color="auto" w:fill="auto"/>
        </w:rPr>
        <w:t>室和样品台：</w:t>
      </w:r>
    </w:p>
    <w:p w14:paraId="65ABFC9B">
      <w:pPr>
        <w:pStyle w:val="86"/>
        <w:numPr>
          <w:ilvl w:val="0"/>
          <w:numId w:val="20"/>
        </w:numPr>
        <w:snapToGrid w:val="0"/>
        <w:spacing w:line="500" w:lineRule="exact"/>
        <w:ind w:firstLine="616" w:firstLineChars="220"/>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最大移动行程：X≥110mm；Y≥110mm；Z≥50mm，360°连续旋转；</w:t>
      </w:r>
    </w:p>
    <w:p w14:paraId="1206C265">
      <w:pPr>
        <w:pStyle w:val="86"/>
        <w:numPr>
          <w:ilvl w:val="0"/>
          <w:numId w:val="20"/>
        </w:numPr>
        <w:snapToGrid w:val="0"/>
        <w:spacing w:line="500" w:lineRule="exact"/>
        <w:ind w:firstLine="616" w:firstLineChars="220"/>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样品室接口数量≥10个；样品台最大载重：1kg（可旋转）、5kg（不可旋转）；</w:t>
      </w:r>
    </w:p>
    <w:p w14:paraId="285C4860">
      <w:pPr>
        <w:pStyle w:val="86"/>
        <w:snapToGrid w:val="0"/>
        <w:spacing w:line="500" w:lineRule="exact"/>
        <w:ind w:firstLine="616" w:firstLineChars="220"/>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7）真空系统：</w:t>
      </w:r>
    </w:p>
    <w:p w14:paraId="775160BD">
      <w:pPr>
        <w:pStyle w:val="86"/>
        <w:numPr>
          <w:ilvl w:val="0"/>
          <w:numId w:val="21"/>
        </w:numPr>
        <w:snapToGrid w:val="0"/>
        <w:spacing w:line="500" w:lineRule="exact"/>
        <w:ind w:firstLine="616" w:firstLineChars="220"/>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样品室真空：1×10</w:t>
      </w:r>
      <w:r>
        <w:rPr>
          <w:rFonts w:hint="eastAsia" w:ascii="宋体" w:hAnsi="宋体" w:eastAsia="宋体" w:cs="宋体"/>
          <w:sz w:val="28"/>
          <w:szCs w:val="28"/>
          <w:shd w:val="clear" w:color="auto" w:fill="auto"/>
          <w:vertAlign w:val="superscript"/>
        </w:rPr>
        <w:t>-3</w:t>
      </w:r>
      <w:r>
        <w:rPr>
          <w:rFonts w:hint="eastAsia" w:ascii="宋体" w:hAnsi="宋体" w:eastAsia="宋体" w:cs="宋体"/>
          <w:sz w:val="28"/>
          <w:szCs w:val="28"/>
          <w:shd w:val="clear" w:color="auto" w:fill="auto"/>
        </w:rPr>
        <w:t>Pa，常规静态测试更换样品后抽真空到开电子枪的时间≤10min；</w:t>
      </w:r>
    </w:p>
    <w:p w14:paraId="07F93903">
      <w:pPr>
        <w:pStyle w:val="86"/>
        <w:numPr>
          <w:ilvl w:val="0"/>
          <w:numId w:val="21"/>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分子泵≥1个，无油机械泵≥ 1个，离子泵≥1个；</w:t>
      </w:r>
    </w:p>
    <w:p w14:paraId="7F0CCF6C">
      <w:pPr>
        <w:pStyle w:val="86"/>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8）专用实验软件</w:t>
      </w:r>
    </w:p>
    <w:p w14:paraId="297E704D">
      <w:pPr>
        <w:numPr>
          <w:ilvl w:val="0"/>
          <w:numId w:val="22"/>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中文一体化集成实验软件，电子光学和原位加载控制可在同一软件界面实现，功能齐全简洁易操作；</w:t>
      </w:r>
    </w:p>
    <w:p w14:paraId="72A6FC6E">
      <w:pPr>
        <w:numPr>
          <w:ilvl w:val="0"/>
          <w:numId w:val="22"/>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微观组织图像与原位性能数据实时显示；</w:t>
      </w:r>
    </w:p>
    <w:p w14:paraId="0B2F0C96">
      <w:pPr>
        <w:numPr>
          <w:ilvl w:val="0"/>
          <w:numId w:val="22"/>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快捷操作面板可快速调整电镜参数，如聚焦、倍率调整、对比度、亮度、消像散等；自动消像散、自动对比度亮度及自动聚焦；</w:t>
      </w:r>
    </w:p>
    <w:p w14:paraId="27029D73">
      <w:pPr>
        <w:pStyle w:val="86"/>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9）EBSD晶体学分析系统：</w:t>
      </w:r>
    </w:p>
    <w:p w14:paraId="2A5F1F24">
      <w:pPr>
        <w:pStyle w:val="86"/>
        <w:numPr>
          <w:ilvl w:val="0"/>
          <w:numId w:val="23"/>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高速高灵敏CMOS相机，花样采集速度：最大采集速度不小于525点/秒；探测器倾斜角度调节：可在原位进行垂直方向+/-4.5度角倾斜，电子传感器自动读取倾斜角；</w:t>
      </w:r>
    </w:p>
    <w:p w14:paraId="1E3A842B">
      <w:pPr>
        <w:pStyle w:val="86"/>
        <w:numPr>
          <w:ilvl w:val="0"/>
          <w:numId w:val="23"/>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无需存储原始花样即可进行离线物相重新标定和数据分析，衍射花样的离线再处理速度不低于54000花样/秒；</w:t>
      </w:r>
    </w:p>
    <w:p w14:paraId="45ED222A">
      <w:pPr>
        <w:pStyle w:val="86"/>
        <w:numPr>
          <w:ilvl w:val="0"/>
          <w:numId w:val="23"/>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软件可支持多种SEM图像类型（二次电子像、背散射电子像），电子背散射衍射仪最大电子图像尺寸不低于 4096×4096像素；</w:t>
      </w:r>
    </w:p>
    <w:p w14:paraId="3544761B">
      <w:pPr>
        <w:pStyle w:val="86"/>
        <w:numPr>
          <w:ilvl w:val="0"/>
          <w:numId w:val="23"/>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软件功能全面，用户界面直观易用操作方便，包含以下功能：花样质量分布图、施密特因子图、相分布图、极图和反极图、取向分布函数图ODF、GAM图、KAM图、相鉴定等；配置高温磷屏用户可现场自行更换；</w:t>
      </w:r>
    </w:p>
    <w:p w14:paraId="1E73C346">
      <w:pPr>
        <w:pStyle w:val="86"/>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10）能谱仪（EDS）：</w:t>
      </w:r>
    </w:p>
    <w:p w14:paraId="5A17299F">
      <w:pPr>
        <w:pStyle w:val="86"/>
        <w:numPr>
          <w:ilvl w:val="0"/>
          <w:numId w:val="24"/>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硅漂移（SDD）电制冷探测器，采用场效应管（FET）一体化集成设计的高速SDD芯片，芯片面积≥132mm2，活区面积≥100mm2，超薄窗设计，独立真空；</w:t>
      </w:r>
    </w:p>
    <w:p w14:paraId="45A4A6C2">
      <w:pPr>
        <w:pStyle w:val="86"/>
        <w:numPr>
          <w:ilvl w:val="0"/>
          <w:numId w:val="24"/>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元素分析范围：Be4～Cf98；处理器单元与计算机采用分立式设计，系统最大输出计数率≥600000cps；</w:t>
      </w:r>
    </w:p>
    <w:p w14:paraId="589E2CD4">
      <w:pPr>
        <w:pStyle w:val="86"/>
        <w:numPr>
          <w:ilvl w:val="0"/>
          <w:numId w:val="24"/>
        </w:num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配备完善而精准的原子数据库，包含所有的分析线系(K，L，M和N线系)；集成1-30kV连续电压共2200条数据库，实现精确的定量分析。</w:t>
      </w:r>
    </w:p>
    <w:bookmarkEnd w:id="182"/>
    <w:p w14:paraId="472A9E60">
      <w:pPr>
        <w:pStyle w:val="87"/>
        <w:spacing w:line="500" w:lineRule="exact"/>
        <w:jc w:val="center"/>
        <w:rPr>
          <w:rFonts w:hint="eastAsia" w:ascii="宋体" w:hAnsi="宋体" w:eastAsia="宋体" w:cs="宋体"/>
          <w:b/>
          <w:color w:val="auto"/>
          <w:sz w:val="28"/>
          <w:szCs w:val="28"/>
        </w:rPr>
      </w:pPr>
    </w:p>
    <w:p w14:paraId="490AAF27">
      <w:pPr>
        <w:spacing w:line="500" w:lineRule="exact"/>
        <w:rPr>
          <w:rFonts w:hint="eastAsia" w:ascii="宋体" w:hAnsi="宋体" w:eastAsia="宋体" w:cs="宋体"/>
          <w:sz w:val="28"/>
          <w:szCs w:val="28"/>
        </w:rPr>
      </w:pPr>
      <w:r>
        <w:rPr>
          <w:rFonts w:hint="eastAsia" w:ascii="宋体" w:hAnsi="宋体" w:eastAsia="宋体" w:cs="宋体"/>
          <w:b/>
          <w:sz w:val="28"/>
          <w:szCs w:val="28"/>
        </w:rPr>
        <w:t>备注：以上参数11项目，均为一般参数项。</w:t>
      </w:r>
    </w:p>
    <w:p w14:paraId="39EE42AF">
      <w:pPr>
        <w:spacing w:line="500" w:lineRule="exact"/>
        <w:rPr>
          <w:rFonts w:hint="eastAsia" w:ascii="宋体" w:hAnsi="宋体" w:eastAsia="宋体" w:cs="宋体"/>
          <w:b/>
          <w:sz w:val="28"/>
          <w:szCs w:val="28"/>
        </w:rPr>
      </w:pPr>
    </w:p>
    <w:p w14:paraId="04811369">
      <w:pPr>
        <w:rPr>
          <w:rFonts w:hint="eastAsia" w:ascii="宋体" w:hAnsi="宋体" w:eastAsia="宋体" w:cs="宋体"/>
          <w:b/>
          <w:sz w:val="28"/>
          <w:szCs w:val="28"/>
        </w:rPr>
      </w:pPr>
      <w:r>
        <w:rPr>
          <w:rFonts w:hint="eastAsia" w:ascii="宋体" w:hAnsi="宋体" w:eastAsia="宋体" w:cs="宋体"/>
          <w:b/>
          <w:sz w:val="28"/>
          <w:szCs w:val="28"/>
        </w:rPr>
        <w:br w:type="page"/>
      </w:r>
    </w:p>
    <w:p w14:paraId="32E46670">
      <w:pPr>
        <w:pStyle w:val="90"/>
        <w:spacing w:before="0" w:beforeAutospacing="0" w:after="0" w:afterAutospacing="0" w:line="500" w:lineRule="exact"/>
        <w:ind w:left="686"/>
        <w:jc w:val="both"/>
        <w:rPr>
          <w:rFonts w:hint="eastAsia" w:ascii="宋体" w:hAnsi="宋体" w:eastAsia="宋体" w:cs="宋体"/>
        </w:rPr>
      </w:pPr>
      <w:r>
        <w:rPr>
          <w:rFonts w:hint="eastAsia" w:ascii="宋体" w:hAnsi="宋体" w:eastAsia="宋体" w:cs="宋体"/>
          <w:b/>
          <w:bCs/>
          <w:color w:val="000000"/>
          <w:sz w:val="28"/>
          <w:szCs w:val="28"/>
        </w:rPr>
        <w:t>7、品目名称：草酸酯合成反应及精馏装置</w:t>
      </w:r>
    </w:p>
    <w:p w14:paraId="7F3AB206">
      <w:pPr>
        <w:pStyle w:val="90"/>
        <w:spacing w:before="0" w:beforeAutospacing="0" w:after="0" w:afterAutospacing="0" w:line="500" w:lineRule="exact"/>
        <w:ind w:firstLine="630"/>
        <w:jc w:val="both"/>
        <w:rPr>
          <w:rFonts w:hint="eastAsia" w:ascii="宋体" w:hAnsi="宋体" w:eastAsia="宋体" w:cs="宋体"/>
        </w:rPr>
      </w:pPr>
      <w:r>
        <w:rPr>
          <w:rFonts w:hint="eastAsia" w:ascii="宋体" w:hAnsi="宋体" w:eastAsia="宋体" w:cs="宋体"/>
          <w:b/>
          <w:bCs/>
          <w:color w:val="000000"/>
          <w:sz w:val="28"/>
          <w:szCs w:val="28"/>
        </w:rPr>
        <w:t>装置说明</w:t>
      </w:r>
    </w:p>
    <w:p w14:paraId="09CC7A22">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草酸酯合成反应及精馏装置是一套集成固定床催化合成与精馏分离的百吨级中试平台，适用于以草酸二甲酯为原料制备草酸酯的工艺开发与优化。系统由反应单元、精馏分离单元、公用工程单元及智能控制系统组成，支持催化反应与连续精馏耦合操作。装置可实现对反应温度、压力、空速及原料配比的精确调控，模拟工业级反应环境，用于研究反应路径并获取关键工艺参数。精馏单元集成高效填料塔与回流控制系统，能实现粗产物中草酸酯的高纯度分离与提纯，同时支持催化精馏耦合工艺研究，助力探究反应-分离协同强化机制。该装置可为本项目草酸酯合成工艺放大、催化剂性能评估及反应动力学研究提供可靠中试支撑，推动科研成果向工业化应用转化。</w:t>
      </w:r>
    </w:p>
    <w:p w14:paraId="047617D6">
      <w:pPr>
        <w:pStyle w:val="90"/>
        <w:spacing w:before="0" w:beforeAutospacing="0" w:after="0" w:afterAutospacing="0" w:line="500" w:lineRule="exact"/>
        <w:ind w:firstLine="630"/>
        <w:jc w:val="both"/>
        <w:rPr>
          <w:rFonts w:hint="eastAsia" w:ascii="宋体" w:hAnsi="宋体" w:eastAsia="宋体" w:cs="宋体"/>
        </w:rPr>
      </w:pPr>
      <w:r>
        <w:rPr>
          <w:rFonts w:hint="eastAsia" w:ascii="宋体" w:hAnsi="宋体" w:eastAsia="宋体" w:cs="宋体"/>
          <w:b/>
          <w:bCs/>
          <w:color w:val="000000"/>
          <w:sz w:val="28"/>
          <w:szCs w:val="28"/>
        </w:rPr>
        <w:t>一、技术参数要求（备注：以下5项参数）</w:t>
      </w:r>
    </w:p>
    <w:p w14:paraId="417D2A09">
      <w:pPr>
        <w:pStyle w:val="90"/>
        <w:spacing w:before="0" w:beforeAutospacing="0" w:after="0" w:afterAutospacing="0" w:line="500" w:lineRule="exact"/>
        <w:ind w:firstLine="630"/>
        <w:jc w:val="both"/>
        <w:rPr>
          <w:rFonts w:hint="eastAsia" w:ascii="宋体" w:hAnsi="宋体" w:eastAsia="宋体" w:cs="宋体"/>
        </w:rPr>
      </w:pPr>
      <w:r>
        <w:rPr>
          <w:rFonts w:hint="eastAsia" w:ascii="宋体" w:hAnsi="宋体" w:eastAsia="宋体" w:cs="宋体"/>
          <w:b/>
          <w:bCs/>
          <w:color w:val="000000"/>
          <w:sz w:val="28"/>
          <w:szCs w:val="28"/>
        </w:rPr>
        <w:t>1.反应单元技术参数</w:t>
      </w:r>
    </w:p>
    <w:p w14:paraId="79C26512">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1.1催化剂装填量：约为草酸二甲酯进料量 3% 的质量比，具体装填量需要投标人根据市场上通用催化剂性能和转化率结合实际工艺需求确定，装填量要确保满足项目要求。</w:t>
      </w:r>
    </w:p>
    <w:p w14:paraId="31AC6085">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1.2工作温度：正常工作温度范围为70-150℃，需配置程序升温功能，温度控制精度不低于±1℃，且在整个温度区间内均能稳定保持该控制精度，避免因温度波动影响反应效果。</w:t>
      </w:r>
    </w:p>
    <w:p w14:paraId="3CFFA742">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1.3反应压力：常规工作压力为常压，设备最大承压≥0.5MPa。设备具备良好的压力承载能力及压力稳定性，能应对反应过程中可能出现的轻微压力波动。</w:t>
      </w:r>
    </w:p>
    <w:p w14:paraId="36C059C2">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1.4处理能力：按100吨/7200h草酸二乙酯产量核算，进料量不低于22kg/h，其中草酸二甲酯进料量不低于 11kg/h，需配备循环进料管路，且循环管路设计需满足物料循环效率要求，确保物料充分反应。</w:t>
      </w:r>
    </w:p>
    <w:p w14:paraId="0C402598">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1.5停留时间：物料在反应器内的总停留时间约为3h，可根据实际反应需求在合理范围内进行微调，以保证反应充分性及产物收率。</w:t>
      </w:r>
    </w:p>
    <w:p w14:paraId="13EF01F4">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1.6设备材料：需具备良好的化学稳定性，且能有效抵抗常见酸（草酸）碱腐蚀，符合要求的材料，材料具体规格及性能参数需满足相关行业标准。</w:t>
      </w:r>
    </w:p>
    <w:p w14:paraId="532A96ED">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1.7泄漏检测与防护：反应器在常温和大气压下工作时，需具备优异的密封性能，防止反应物泄漏。需设置完善的泄漏检测机制，同时需配备相应的防护措施，避免泄漏物料对环境及人员造成危害。</w:t>
      </w:r>
    </w:p>
    <w:p w14:paraId="23ECDF29">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1.8防爆设计：鉴于反应过程中可能存在的安全风险，需采取必要的防爆措施，确保装置在正常运行及异常工况下均能保障人员及设备安全。</w:t>
      </w:r>
    </w:p>
    <w:p w14:paraId="5139F24C">
      <w:pPr>
        <w:pStyle w:val="90"/>
        <w:spacing w:before="0" w:beforeAutospacing="0" w:after="0" w:afterAutospacing="0" w:line="500" w:lineRule="exact"/>
        <w:ind w:firstLine="630"/>
        <w:jc w:val="both"/>
        <w:rPr>
          <w:rFonts w:hint="eastAsia" w:ascii="宋体" w:hAnsi="宋体" w:eastAsia="宋体" w:cs="宋体"/>
        </w:rPr>
      </w:pPr>
      <w:r>
        <w:rPr>
          <w:rFonts w:hint="eastAsia" w:ascii="宋体" w:hAnsi="宋体" w:eastAsia="宋体" w:cs="宋体"/>
          <w:b/>
          <w:bCs/>
          <w:color w:val="000000"/>
          <w:sz w:val="28"/>
          <w:szCs w:val="28"/>
        </w:rPr>
        <w:t>2、精馏分离单元技术参数</w:t>
      </w:r>
    </w:p>
    <w:p w14:paraId="3711359C">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2.1工作方式：采用先进的分级反应和分级分离工艺，各段精馏塔的连接方式及操作协同性需满足工艺要求，确保实现高效分离。</w:t>
      </w:r>
    </w:p>
    <w:p w14:paraId="2A428002">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2.2处理能力：投标人须根据装置年产量和市场通用型催化剂的参数性能、转化率等核算产物的组成及处理能力，且在该处理能力下，精馏塔需能稳定运行，分离效果不受影响。</w:t>
      </w:r>
    </w:p>
    <w:p w14:paraId="54359A80">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2.3分离要求：分离单元的工艺需采用先进的分级分离工艺，分离单元设备的布置应满足分级分离的工艺流程需求，分离产物包括：甲醇、乙醇、草酸二甲酯、草酸甲乙酯、草酸二乙酯，且纯度符合中试行业标准。</w:t>
      </w:r>
    </w:p>
    <w:p w14:paraId="27750F2C">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2.4操作条件：采用减压精馏方式，操作负压不高于 15kPa，在该负压条件下，精馏系统需具备良好的密封性及稳定性，避免因压力波动影响分离效率及产物纯度。</w:t>
      </w:r>
    </w:p>
    <w:p w14:paraId="50D3C953">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2.5塔体材料：需具备良好的化学稳定性，能胜任严苛的温度、压力及物料腐蚀性环境，塔体材料应选用316L不锈钢或同等水平及以上材质。</w:t>
      </w:r>
    </w:p>
    <w:p w14:paraId="67DF53C9">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highlight w:val="green"/>
          <w:shd w:val="clear" w:color="auto" w:fill="FF0000"/>
        </w:rPr>
        <w:t>▲</w:t>
      </w:r>
      <w:r>
        <w:rPr>
          <w:rFonts w:hint="eastAsia" w:ascii="宋体" w:hAnsi="宋体" w:eastAsia="宋体" w:cs="宋体"/>
          <w:color w:val="000000"/>
          <w:sz w:val="28"/>
          <w:szCs w:val="28"/>
        </w:rPr>
        <w:t>2.6根据以上工艺参数各投标人需提供满足条件的 P&amp;ID 流程图，同时需明确各工艺参数的控制范围及检测点，确保流程图能准确反映装置的工艺流程及控制逻辑。</w:t>
      </w:r>
    </w:p>
    <w:p w14:paraId="7D9E2FAA">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highlight w:val="green"/>
          <w:shd w:val="clear" w:color="auto" w:fill="FF0000"/>
        </w:rPr>
        <w:t>▲</w:t>
      </w:r>
      <w:r>
        <w:rPr>
          <w:rFonts w:hint="eastAsia" w:ascii="宋体" w:hAnsi="宋体" w:eastAsia="宋体" w:cs="宋体"/>
          <w:color w:val="000000"/>
          <w:sz w:val="28"/>
          <w:szCs w:val="28"/>
        </w:rPr>
        <w:t>2.7投标人按照市场通用型催化剂的性能指标和反应转化率计算并核算反应器参数，并提供符合要求的反应器图纸和设备布局图。</w:t>
      </w:r>
    </w:p>
    <w:p w14:paraId="3897914F">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highlight w:val="green"/>
          <w:shd w:val="clear" w:color="auto" w:fill="FF0000"/>
        </w:rPr>
        <w:t>▲</w:t>
      </w:r>
      <w:r>
        <w:rPr>
          <w:rFonts w:hint="eastAsia" w:ascii="宋体" w:hAnsi="宋体" w:eastAsia="宋体" w:cs="宋体"/>
          <w:color w:val="000000"/>
          <w:sz w:val="28"/>
          <w:szCs w:val="28"/>
        </w:rPr>
        <w:t>2.8投标人应根据市场通用型催化剂的性能和转化率核算并列出各个部件的选型和性能参数等。</w:t>
      </w:r>
    </w:p>
    <w:p w14:paraId="29AE439D">
      <w:pPr>
        <w:pStyle w:val="90"/>
        <w:spacing w:before="0" w:beforeAutospacing="0" w:after="0" w:afterAutospacing="0" w:line="500" w:lineRule="exact"/>
        <w:ind w:firstLine="630"/>
        <w:jc w:val="both"/>
        <w:rPr>
          <w:rFonts w:hint="eastAsia" w:ascii="宋体" w:hAnsi="宋体" w:eastAsia="宋体" w:cs="宋体"/>
        </w:rPr>
      </w:pPr>
      <w:r>
        <w:rPr>
          <w:rFonts w:hint="eastAsia" w:ascii="宋体" w:hAnsi="宋体" w:eastAsia="宋体" w:cs="宋体"/>
          <w:b/>
          <w:bCs/>
          <w:color w:val="000000"/>
          <w:sz w:val="28"/>
          <w:szCs w:val="28"/>
        </w:rPr>
        <w:t>3、控制系统要求</w:t>
      </w:r>
    </w:p>
    <w:p w14:paraId="1D64B58E">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3.1控制和过程显示系统：系统采用PLC与专用控制终端联合控制模式，专用控制终端需具备足够的运算能力及存储容量，能实现100%仪表功能操作，包括但不限于实时读取测量值、给定值、设置参数、自动/手动切换、启动运行/停止程序等功能；同时需具备完善的数据存储和导出功能，数据存储容量需满足至少10年的历史数据存储需求，数据导出格式需支持常见的数据处理软件（如Excel等），便于数据的后续分析与处理。</w:t>
      </w:r>
    </w:p>
    <w:p w14:paraId="3B95C20E">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3.2过程监视控制：需实现对反应器温度、气体流量的精确控制和实时显示，同时需实现对反应过程中压力和反应器床层温度的实时监视，床层温度测量点数量需根据反应器结构及工艺需求合理设置，确保能全面反映床层温度分布情况。</w:t>
      </w:r>
    </w:p>
    <w:p w14:paraId="7B427923">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highlight w:val="green"/>
          <w:shd w:val="clear" w:color="auto" w:fill="FF0000"/>
        </w:rPr>
        <w:t>▲</w:t>
      </w:r>
      <w:r>
        <w:rPr>
          <w:rFonts w:hint="eastAsia" w:ascii="宋体" w:hAnsi="宋体" w:eastAsia="宋体" w:cs="宋体"/>
          <w:color w:val="000000"/>
          <w:sz w:val="28"/>
          <w:szCs w:val="28"/>
        </w:rPr>
        <w:t>3.3投标人应提供切实可行的安全性设计方案，方案需涵盖温度、压力等关键参数的安全控制措施，具体包括但不限于：温度超温报警及联锁保护、压力超压报警及泄压保护、物料泄漏报警及应急处理措施、设备故障诊断及自动停机保护等内容，确保装置在异常工况下能及时采取有效措施，保障人员及设备安全。</w:t>
      </w:r>
    </w:p>
    <w:p w14:paraId="402E1CB1">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3.4现场显示：反应器进口处需设置压力检测点，配备数显压力传感器及显示控制屏，用于实时显示当前反应器的反应压力，且显示数据需与控制系统中的压力数据保持一致，便于现场操作人员实时掌握反应器压力情况。</w:t>
      </w:r>
    </w:p>
    <w:p w14:paraId="440F7835">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3.5控制界面：投标人须提供满足要求的装置自控软件控制界面，界面设计需简洁直观、操作便捷，具备良好的人机交互性。控制界面需包含带控制点的控制流程图、参数设置表、程序升温设置界面、报警窗口、历史数据查询界面以及各控制点的实时曲线和历史曲线显示界面；其中历史曲线保留时间需为永久，曲线显示分辨率需能清晰反映参数的变化趋势，支持对历史曲线的缩放、平移、查询等操作，便于操作人员分析工艺过程及设备运行状态。</w:t>
      </w:r>
    </w:p>
    <w:p w14:paraId="20837527">
      <w:pPr>
        <w:pStyle w:val="90"/>
        <w:spacing w:before="0" w:beforeAutospacing="0" w:after="0" w:afterAutospacing="0" w:line="500" w:lineRule="exact"/>
        <w:ind w:firstLine="630"/>
        <w:jc w:val="both"/>
        <w:rPr>
          <w:rFonts w:hint="eastAsia" w:ascii="宋体" w:hAnsi="宋体" w:eastAsia="宋体" w:cs="宋体"/>
        </w:rPr>
      </w:pPr>
      <w:r>
        <w:rPr>
          <w:rFonts w:hint="eastAsia" w:ascii="宋体" w:hAnsi="宋体" w:eastAsia="宋体" w:cs="宋体"/>
          <w:b/>
          <w:bCs/>
          <w:color w:val="000000"/>
          <w:sz w:val="28"/>
          <w:szCs w:val="28"/>
        </w:rPr>
        <w:t>4、设备公用工程要求</w:t>
      </w:r>
    </w:p>
    <w:p w14:paraId="6E322238">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设备总功率不低于140KW，包含电加热设备、冷冻机组等公用工程设备。其中电加热设备的加热功率需根据反应器的升温速率及保温需求合理配置，确保能满足反应器的温度控制要求；冷冻机组的制冷量需根据装置的冷却需求合理确定，确保能满足精馏单元及其他需冷却设备的冷却要求。</w:t>
      </w:r>
    </w:p>
    <w:p w14:paraId="1457C25F">
      <w:pPr>
        <w:pStyle w:val="90"/>
        <w:spacing w:before="0" w:beforeAutospacing="0" w:after="0" w:afterAutospacing="0" w:line="500" w:lineRule="exact"/>
        <w:ind w:firstLine="630"/>
        <w:jc w:val="both"/>
        <w:rPr>
          <w:rFonts w:hint="eastAsia" w:ascii="宋体" w:hAnsi="宋体" w:eastAsia="宋体" w:cs="宋体"/>
        </w:rPr>
      </w:pPr>
      <w:r>
        <w:rPr>
          <w:rFonts w:hint="eastAsia" w:ascii="宋体" w:hAnsi="宋体" w:eastAsia="宋体" w:cs="宋体"/>
          <w:b/>
          <w:bCs/>
          <w:color w:val="000000"/>
          <w:sz w:val="28"/>
          <w:szCs w:val="28"/>
        </w:rPr>
        <w:t>5、分析系统</w:t>
      </w:r>
    </w:p>
    <w:p w14:paraId="05C86C17">
      <w:pPr>
        <w:pStyle w:val="90"/>
        <w:spacing w:before="0" w:beforeAutospacing="0" w:after="0" w:afterAutospacing="0" w:line="500" w:lineRule="exact"/>
        <w:ind w:firstLine="480"/>
        <w:jc w:val="both"/>
        <w:rPr>
          <w:rFonts w:hint="eastAsia" w:ascii="宋体" w:hAnsi="宋体" w:eastAsia="宋体" w:cs="宋体"/>
        </w:rPr>
      </w:pPr>
      <w:r>
        <w:rPr>
          <w:rFonts w:hint="eastAsia" w:ascii="宋体" w:hAnsi="宋体" w:eastAsia="宋体" w:cs="宋体"/>
          <w:color w:val="000000"/>
          <w:sz w:val="28"/>
          <w:szCs w:val="28"/>
        </w:rPr>
        <w:t>产品分析系统需满足试验装置对甲醇、草酸酯等产品纯度的分析需求，以及抽样检测催化剂活性的需求。</w:t>
      </w:r>
    </w:p>
    <w:p w14:paraId="74E75CF5">
      <w:pPr>
        <w:pStyle w:val="90"/>
        <w:spacing w:before="0" w:beforeAutospacing="0" w:after="0" w:afterAutospacing="0" w:line="500" w:lineRule="exact"/>
        <w:jc w:val="both"/>
        <w:rPr>
          <w:rFonts w:hint="eastAsia" w:ascii="宋体" w:hAnsi="宋体" w:eastAsia="宋体" w:cs="宋体"/>
        </w:rPr>
      </w:pPr>
      <w:r>
        <w:rPr>
          <w:rFonts w:hint="eastAsia" w:ascii="宋体" w:hAnsi="宋体" w:eastAsia="宋体" w:cs="宋体"/>
          <w:color w:val="000000"/>
          <w:sz w:val="28"/>
          <w:szCs w:val="28"/>
        </w:rPr>
        <w:t> </w:t>
      </w:r>
    </w:p>
    <w:p w14:paraId="39F4F168">
      <w:pPr>
        <w:spacing w:line="500" w:lineRule="exact"/>
        <w:rPr>
          <w:rFonts w:hint="eastAsia" w:ascii="宋体" w:hAnsi="宋体" w:eastAsia="宋体" w:cs="宋体"/>
          <w:sz w:val="28"/>
          <w:szCs w:val="28"/>
        </w:rPr>
      </w:pPr>
      <w:r>
        <w:rPr>
          <w:rFonts w:hint="eastAsia" w:ascii="宋体" w:hAnsi="宋体" w:eastAsia="宋体" w:cs="宋体"/>
          <w:b/>
          <w:sz w:val="28"/>
          <w:szCs w:val="28"/>
        </w:rPr>
        <w:t>备注：以上5项参数，其中重要参数项（</w:t>
      </w:r>
      <w:r>
        <w:rPr>
          <w:rFonts w:hint="eastAsia" w:ascii="宋体" w:hAnsi="宋体" w:eastAsia="宋体" w:cs="宋体"/>
          <w:b/>
          <w:sz w:val="28"/>
          <w:szCs w:val="28"/>
          <w:highlight w:val="green"/>
        </w:rPr>
        <w:t>▲</w:t>
      </w:r>
      <w:r>
        <w:rPr>
          <w:rFonts w:hint="eastAsia" w:ascii="宋体" w:hAnsi="宋体" w:eastAsia="宋体" w:cs="宋体"/>
          <w:b/>
          <w:bCs/>
          <w:sz w:val="28"/>
          <w:szCs w:val="28"/>
        </w:rPr>
        <w:t>号项</w:t>
      </w:r>
      <w:r>
        <w:rPr>
          <w:rFonts w:hint="eastAsia" w:ascii="宋体" w:hAnsi="宋体" w:eastAsia="宋体" w:cs="宋体"/>
          <w:b/>
          <w:sz w:val="28"/>
          <w:szCs w:val="28"/>
        </w:rPr>
        <w:t>）</w:t>
      </w:r>
      <w:r>
        <w:rPr>
          <w:rFonts w:hint="eastAsia" w:ascii="宋体" w:hAnsi="宋体" w:eastAsia="宋体" w:cs="宋体"/>
          <w:b/>
          <w:bCs/>
          <w:sz w:val="28"/>
          <w:szCs w:val="28"/>
        </w:rPr>
        <w:t>4</w:t>
      </w:r>
      <w:r>
        <w:rPr>
          <w:rFonts w:hint="eastAsia" w:ascii="宋体" w:hAnsi="宋体" w:eastAsia="宋体" w:cs="宋体"/>
          <w:b/>
          <w:sz w:val="28"/>
          <w:szCs w:val="28"/>
        </w:rPr>
        <w:t>项。其他非</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号项和非</w:t>
      </w:r>
      <w:r>
        <w:rPr>
          <w:rFonts w:hint="eastAsia" w:ascii="宋体" w:hAnsi="宋体" w:eastAsia="宋体" w:cs="宋体"/>
          <w:b/>
          <w:sz w:val="28"/>
          <w:szCs w:val="28"/>
          <w:highlight w:val="green"/>
        </w:rPr>
        <w:t>▲</w:t>
      </w:r>
      <w:r>
        <w:rPr>
          <w:rFonts w:hint="eastAsia" w:ascii="宋体" w:hAnsi="宋体" w:eastAsia="宋体" w:cs="宋体"/>
          <w:b/>
          <w:bCs/>
          <w:sz w:val="28"/>
          <w:szCs w:val="28"/>
        </w:rPr>
        <w:t>号项为一般参数项（5项）,2.1-2.5合并到2、精馏分离单元技术参数按1项参数计取，按3.1-3.2、3.4-3.5合并到3、控制系统要求按1项参数计取。</w:t>
      </w:r>
    </w:p>
    <w:p w14:paraId="16EE931D">
      <w:pPr>
        <w:rPr>
          <w:rFonts w:hint="eastAsia" w:ascii="宋体" w:hAnsi="宋体" w:eastAsia="宋体" w:cs="宋体"/>
          <w:sz w:val="28"/>
          <w:szCs w:val="28"/>
        </w:rPr>
      </w:pPr>
    </w:p>
    <w:p w14:paraId="7B4C3152">
      <w:pPr>
        <w:rPr>
          <w:rFonts w:hint="eastAsia" w:ascii="宋体" w:hAnsi="宋体" w:eastAsia="宋体" w:cs="宋体"/>
          <w:sz w:val="28"/>
          <w:szCs w:val="28"/>
        </w:rPr>
      </w:pPr>
      <w:r>
        <w:rPr>
          <w:rFonts w:hint="eastAsia" w:ascii="宋体" w:hAnsi="宋体" w:eastAsia="宋体" w:cs="宋体"/>
          <w:b/>
          <w:sz w:val="28"/>
          <w:szCs w:val="28"/>
        </w:rPr>
        <w:br w:type="page"/>
      </w:r>
    </w:p>
    <w:p w14:paraId="350D229B">
      <w:pPr>
        <w:snapToGrid w:val="0"/>
        <w:spacing w:line="500" w:lineRule="exact"/>
        <w:ind w:left="711" w:leftChars="209"/>
        <w:rPr>
          <w:rFonts w:hint="eastAsia" w:ascii="宋体" w:hAnsi="宋体" w:eastAsia="宋体" w:cs="宋体"/>
          <w:sz w:val="28"/>
          <w:szCs w:val="28"/>
        </w:rPr>
      </w:pPr>
      <w:r>
        <w:rPr>
          <w:rFonts w:hint="eastAsia" w:ascii="宋体" w:hAnsi="宋体" w:eastAsia="宋体" w:cs="宋体"/>
          <w:b/>
          <w:sz w:val="28"/>
          <w:szCs w:val="28"/>
        </w:rPr>
        <w:t>8、品目名称：15公斤电热法制电石装置</w:t>
      </w:r>
    </w:p>
    <w:p w14:paraId="53F56C0C">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一、规格：定制设备</w:t>
      </w:r>
    </w:p>
    <w:p w14:paraId="7330D5CD">
      <w:pPr>
        <w:pStyle w:val="90"/>
        <w:spacing w:before="0" w:beforeAutospacing="0" w:after="0" w:afterAutospacing="0" w:line="500" w:lineRule="exact"/>
        <w:ind w:firstLine="630"/>
        <w:jc w:val="both"/>
        <w:rPr>
          <w:rFonts w:hint="eastAsia" w:ascii="宋体" w:hAnsi="宋体" w:eastAsia="宋体" w:cs="宋体"/>
          <w:sz w:val="28"/>
          <w:szCs w:val="28"/>
        </w:rPr>
      </w:pPr>
      <w:r>
        <w:rPr>
          <w:rFonts w:hint="eastAsia" w:ascii="宋体" w:hAnsi="宋体" w:eastAsia="宋体" w:cs="宋体"/>
          <w:sz w:val="28"/>
          <w:szCs w:val="28"/>
        </w:rPr>
        <w:t>详细参数：</w:t>
      </w:r>
    </w:p>
    <w:p w14:paraId="508081C5">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1.原料处理系统，研磨机，进料粒度≤80mm，电机功率:≥3kw，额定电压：380v，出料粒度：≤15mm，整机尺寸：≥770x420x800mm，产品重量：≥100kg，1套。</w:t>
      </w:r>
    </w:p>
    <w:p w14:paraId="6CFF4CAA">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2.供电系统，电网系统，系统参数：电网电压：380V±0.5，频率：50HZ±0.5，相数：3。</w:t>
      </w:r>
    </w:p>
    <w:p w14:paraId="192CF764">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整流保护接地方式：直接接地，1套。</w:t>
      </w:r>
    </w:p>
    <w:p w14:paraId="6D1B84E0">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3.辅助电源，控制回路电压单相：AC220V，DC220V，动力三相，380V，50Hz，1套。</w:t>
      </w:r>
    </w:p>
    <w:p w14:paraId="53C58580">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4.整流机组，额定参数，单机组直流额定电压：Vdn≥50V，单机组直流额定电流：Idn≥3000A。</w:t>
      </w:r>
    </w:p>
    <w:p w14:paraId="5B9F70B7">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单柜脉波数：6，总脉波数：P∑=1×12=12，1套。</w:t>
      </w:r>
    </w:p>
    <w:p w14:paraId="0EB407EE">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5.整流变压器技术要求：整流变压器额定容量：80KVA，整流变压器类型：干式整流变压器带温控自冷，1套。</w:t>
      </w:r>
    </w:p>
    <w:p w14:paraId="2BA0FB12">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6.电石炉，炉壳，材质：合金钢，直径≥800mm，高度≥500mm，采用全密封式的冷却水套，确保冷却水不会泄漏，避免爆炸危险，1套。</w:t>
      </w:r>
    </w:p>
    <w:p w14:paraId="59CCB190">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7.装置配置一氧化碳传感器，监测环境一氧化碳浓度，避免中毒危险。</w:t>
      </w:r>
    </w:p>
    <w:p w14:paraId="1CC4BADB">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8.配备专用炉嘴清理单元。</w:t>
      </w:r>
    </w:p>
    <w:p w14:paraId="4241195B">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9.炉体支架材质：合金钢，1套。</w:t>
      </w:r>
    </w:p>
    <w:p w14:paraId="5676A1EE">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10.电极，石墨单电极，1套。</w:t>
      </w:r>
    </w:p>
    <w:p w14:paraId="202F1A8E">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11.熔池，直径≥400mm，深度≥400mm，1套。</w:t>
      </w:r>
    </w:p>
    <w:p w14:paraId="4A1A6D10">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12.立柱，单立柱形式，长度≥2500mm，1套。</w:t>
      </w:r>
    </w:p>
    <w:p w14:paraId="72D6D07B">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13.导电横臂，Q235材质，长度≥1350mm，1套。</w:t>
      </w:r>
    </w:p>
    <w:p w14:paraId="3608FE70">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14.水冷电缆，大电流加热设备的特种电缆，1套。</w:t>
      </w:r>
    </w:p>
    <w:p w14:paraId="1215DCFE">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15.倾覆机构，以倾倒方式倒出炉渣及电石熔体，1套。</w:t>
      </w:r>
    </w:p>
    <w:p w14:paraId="6BCBA8A1">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16.电极升降系统电机加齿条升降系统，1套。</w:t>
      </w:r>
    </w:p>
    <w:p w14:paraId="7F1116B4">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17.炉衬，碳质材料，黏土质耐火材料等，1套。</w:t>
      </w:r>
    </w:p>
    <w:p w14:paraId="4DA0FF16">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18.温度传感器，杆式，测温点炉底加炉壁，温度控制区间：0--2500℃，1套。</w:t>
      </w:r>
    </w:p>
    <w:p w14:paraId="3466C709">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19.炉内压力传感器，测压仪，1套。</w:t>
      </w:r>
    </w:p>
    <w:p w14:paraId="65EE6827">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20.气相分子重整反应器，出口管路，材质：不锈钢310S耐高温材料1套（提供技术设计方案）。</w:t>
      </w:r>
    </w:p>
    <w:p w14:paraId="061E8FBD">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21.燃气质子平衡器，材质：不锈钢310S耐高温材料，尺寸≥Ø108×400mm，1套。</w:t>
      </w:r>
    </w:p>
    <w:p w14:paraId="5D7D0AE4">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22.尾气喷淋器，材质：不锈钢材质。</w:t>
      </w:r>
    </w:p>
    <w:p w14:paraId="2117C6BD">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≥Ø219×800mm，上部有液体分布器。1套。</w:t>
      </w:r>
    </w:p>
    <w:p w14:paraId="28300871">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23.碱液吸收塔材质：PVC材料，</w:t>
      </w:r>
    </w:p>
    <w:p w14:paraId="55C0B157">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≥Ø108×1800mm，内含陶瓷填料，1套。</w:t>
      </w:r>
    </w:p>
    <w:p w14:paraId="5C602BB9">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24.尾气检测系统一氧化碳浓度检测，4-20mA远传，1套。</w:t>
      </w:r>
    </w:p>
    <w:p w14:paraId="707A3F3B">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25.温度传感器，k型热电偶，2个。</w:t>
      </w:r>
    </w:p>
    <w:p w14:paraId="1CD8B146">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26.液位传感器，4-20mA远传，2台。</w:t>
      </w:r>
    </w:p>
    <w:p w14:paraId="40158134">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27.废液处理系统，收集池，材质：PE，容积：≥100L，含高低液位自控，1套。</w:t>
      </w:r>
    </w:p>
    <w:p w14:paraId="140A7944">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28.耐腐蚀提升泵Q≥30L；PVC耐腐蚀泵头；1套。</w:t>
      </w:r>
    </w:p>
    <w:p w14:paraId="70DAE337">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29.气浮混凝搅拌系统，组合型，1套。</w:t>
      </w:r>
    </w:p>
    <w:p w14:paraId="184BBA0E">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30.中和加药装置，1套。</w:t>
      </w:r>
    </w:p>
    <w:p w14:paraId="2C2D7557">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31.计量泵≥0-6L，N≥35w，1套。</w:t>
      </w:r>
    </w:p>
    <w:p w14:paraId="66FB64AB">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32.储药箱，材质：PE，容积：≥15L，1套。</w:t>
      </w:r>
    </w:p>
    <w:p w14:paraId="5551DAB2">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33.PH在线检测仪，测量范围：0-14PPM，1套。</w:t>
      </w:r>
    </w:p>
    <w:p w14:paraId="403FD20E">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34.竖流沉淀器，容积：≥30L1套。</w:t>
      </w:r>
    </w:p>
    <w:p w14:paraId="6B6A326F">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35.综合处理系统，超声重金属捕捉、高低电位差微电解、填充床光催化反应、污泥干化器、催化氧化反应、有机生物活性吸附，1套。</w:t>
      </w:r>
    </w:p>
    <w:p w14:paraId="641DB3E0">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36.增压泵，功率：≥0.25KW；1台。</w:t>
      </w:r>
    </w:p>
    <w:p w14:paraId="628A7369">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37.搅拌泵，功率：≥25W，1台。</w:t>
      </w:r>
    </w:p>
    <w:p w14:paraId="747A7795">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38.阀门管件，球阀，不锈钢，与工艺管道相匹配，1批。</w:t>
      </w:r>
    </w:p>
    <w:p w14:paraId="194A7350">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39.截止阀，不锈钢，与工艺管道相匹配，1批。</w:t>
      </w:r>
    </w:p>
    <w:p w14:paraId="583671FE">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40.过滤器，不锈钢，与工艺管道相匹配，1批。</w:t>
      </w:r>
    </w:p>
    <w:p w14:paraId="3BC00460">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41.管件，不锈钢弯头、三通等，与工艺管道相匹配，1批。</w:t>
      </w:r>
    </w:p>
    <w:p w14:paraId="5074AE51">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42.管道，不锈钢，与工艺管道相匹配，1批。</w:t>
      </w:r>
    </w:p>
    <w:p w14:paraId="2750324B">
      <w:pPr>
        <w:snapToGrid w:val="0"/>
        <w:spacing w:line="500" w:lineRule="exact"/>
        <w:ind w:firstLine="587" w:firstLineChars="209"/>
        <w:rPr>
          <w:rFonts w:hint="eastAsia" w:ascii="宋体" w:hAnsi="宋体" w:eastAsia="宋体" w:cs="宋体"/>
          <w:sz w:val="28"/>
          <w:szCs w:val="28"/>
        </w:rPr>
      </w:pPr>
      <w:r>
        <w:rPr>
          <w:rFonts w:hint="eastAsia" w:ascii="宋体" w:hAnsi="宋体" w:eastAsia="宋体" w:cs="宋体"/>
          <w:b/>
          <w:sz w:val="28"/>
          <w:szCs w:val="28"/>
          <w:highlight w:val="cyan"/>
        </w:rPr>
        <w:t>★</w:t>
      </w:r>
      <w:r>
        <w:rPr>
          <w:rFonts w:hint="eastAsia" w:ascii="宋体" w:hAnsi="宋体" w:eastAsia="宋体" w:cs="宋体"/>
          <w:sz w:val="28"/>
          <w:szCs w:val="28"/>
        </w:rPr>
        <w:t>43.控制系统采用全数字软件调节触发控制系统，以主从控制方式满足12相整流柜可靠控制的要求，数字装置不受外部磁场干扰，三相电流平衡，变压器动静小，输出谐波少,工程控制机，1台（提供详细技术方案）。</w:t>
      </w:r>
    </w:p>
    <w:p w14:paraId="4AA62B0E">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44.DCS软件，工程师站、操作员站、数据库软件1套。</w:t>
      </w:r>
    </w:p>
    <w:p w14:paraId="63CEA0AF">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45.DCS硬件，控制器卡件、控制器底座、I/O卡件、通用I/0底座、电源卡件、通讯卡件，1套。</w:t>
      </w:r>
    </w:p>
    <w:p w14:paraId="08F7494C">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46.DCS控制柜，整机尺寸：≥2200x800x600内含配套电器元件，1套。</w:t>
      </w:r>
    </w:p>
    <w:p w14:paraId="11C3956B">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47.电气系统，操作台钢质喷塑，嵌入式下位微机位；接触器、继电器、空气开关、按钮等，1个。</w:t>
      </w:r>
    </w:p>
    <w:p w14:paraId="1747F52D">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48.操作面板，工程控制机安装嵌在操作控制台面1个。</w:t>
      </w:r>
    </w:p>
    <w:p w14:paraId="3E9587E1">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49.线缆所有仪表及指示灯的电源线通过线槽、电源接线端子标准配线，配线两端按国标标注线标，1批。</w:t>
      </w:r>
    </w:p>
    <w:p w14:paraId="098A95FD">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50.接线端子，仪表盘内设置安全保险装置，设置接线端子，电源端子和信号端子应有明显的区分标记，1批。</w:t>
      </w:r>
    </w:p>
    <w:p w14:paraId="24A8B6D2">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51.电路板，盘后设置各种架装继电器的备用安装位置，1套。</w:t>
      </w:r>
    </w:p>
    <w:p w14:paraId="777A5AB2">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52.线槽，设置足够的线槽保证增加盘装仪表，1批。</w:t>
      </w:r>
    </w:p>
    <w:p w14:paraId="2BF658A6">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53.安全保护，安装漏电保护开关，急停开关保护，1套。</w:t>
      </w:r>
    </w:p>
    <w:p w14:paraId="24B3A70E">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54.框架主体框架不锈钢框架与操作平台应包括立柱、主梁、次梁、加固横梁、花纹板楼梯平台、护栏、防滑板、扶梯、踏步板、地脚板等主要构件。装置局部含有二层平台。框架与操作平台须牢固、美观、上下通行安全、方便。</w:t>
      </w:r>
    </w:p>
    <w:p w14:paraId="1B1C9A42">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提供框架三维图纸。</w:t>
      </w:r>
    </w:p>
    <w:p w14:paraId="3356851C">
      <w:pPr>
        <w:snapToGrid w:val="0"/>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装置尺寸：≥3×2.4×3m，1套。</w:t>
      </w:r>
    </w:p>
    <w:p w14:paraId="193D4051">
      <w:pPr>
        <w:pStyle w:val="22"/>
        <w:tabs>
          <w:tab w:val="left" w:pos="3075"/>
        </w:tabs>
        <w:spacing w:line="500" w:lineRule="exact"/>
        <w:ind w:firstLine="585" w:firstLineChars="209"/>
        <w:rPr>
          <w:rFonts w:hint="eastAsia" w:ascii="宋体" w:hAnsi="宋体" w:eastAsia="宋体" w:cs="宋体"/>
          <w:sz w:val="28"/>
          <w:szCs w:val="28"/>
        </w:rPr>
      </w:pPr>
      <w:r>
        <w:rPr>
          <w:rFonts w:hint="eastAsia" w:ascii="宋体" w:hAnsi="宋体" w:eastAsia="宋体" w:cs="宋体"/>
          <w:sz w:val="28"/>
          <w:szCs w:val="28"/>
        </w:rPr>
        <w:t>55.提供装置功能详细叙述、工艺流程图、静设备加工图、布局图、主要工艺参数测控点、控制逻辑及联锁方案。</w:t>
      </w:r>
    </w:p>
    <w:p w14:paraId="5DD91F4B">
      <w:pPr>
        <w:pStyle w:val="87"/>
        <w:spacing w:line="500" w:lineRule="exact"/>
        <w:jc w:val="center"/>
        <w:rPr>
          <w:rFonts w:hint="eastAsia" w:ascii="宋体" w:hAnsi="宋体" w:eastAsia="宋体" w:cs="宋体"/>
          <w:b/>
          <w:color w:val="auto"/>
          <w:sz w:val="28"/>
          <w:szCs w:val="28"/>
        </w:rPr>
      </w:pPr>
    </w:p>
    <w:p w14:paraId="23576700">
      <w:pPr>
        <w:spacing w:line="500" w:lineRule="exact"/>
        <w:rPr>
          <w:rFonts w:hint="eastAsia" w:ascii="宋体" w:hAnsi="宋体" w:eastAsia="宋体" w:cs="宋体"/>
          <w:sz w:val="28"/>
          <w:szCs w:val="28"/>
        </w:rPr>
      </w:pPr>
    </w:p>
    <w:p w14:paraId="409E89E8">
      <w:pPr>
        <w:spacing w:line="500" w:lineRule="exact"/>
        <w:rPr>
          <w:rFonts w:hint="eastAsia" w:ascii="宋体" w:hAnsi="宋体" w:eastAsia="宋体" w:cs="宋体"/>
          <w:sz w:val="28"/>
          <w:szCs w:val="28"/>
        </w:rPr>
      </w:pPr>
      <w:r>
        <w:rPr>
          <w:rFonts w:hint="eastAsia" w:ascii="宋体" w:hAnsi="宋体" w:eastAsia="宋体" w:cs="宋体"/>
          <w:b/>
          <w:sz w:val="28"/>
          <w:szCs w:val="28"/>
        </w:rPr>
        <w:t>备注：以上55项参数，其中重要参数项（</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w:t>
      </w:r>
      <w:r>
        <w:rPr>
          <w:rFonts w:hint="eastAsia" w:ascii="宋体" w:hAnsi="宋体" w:eastAsia="宋体" w:cs="宋体"/>
          <w:b/>
          <w:sz w:val="28"/>
          <w:szCs w:val="28"/>
        </w:rPr>
        <w:t>）</w:t>
      </w:r>
      <w:r>
        <w:rPr>
          <w:rFonts w:hint="eastAsia" w:ascii="宋体" w:hAnsi="宋体" w:eastAsia="宋体" w:cs="宋体"/>
          <w:b/>
          <w:bCs/>
          <w:sz w:val="28"/>
          <w:szCs w:val="28"/>
        </w:rPr>
        <w:t>1</w:t>
      </w:r>
      <w:r>
        <w:rPr>
          <w:rFonts w:hint="eastAsia" w:ascii="宋体" w:hAnsi="宋体" w:eastAsia="宋体" w:cs="宋体"/>
          <w:b/>
          <w:sz w:val="28"/>
          <w:szCs w:val="28"/>
        </w:rPr>
        <w:t>项。其他非</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号项和非</w:t>
      </w:r>
      <w:r>
        <w:rPr>
          <w:rFonts w:hint="eastAsia" w:ascii="宋体" w:hAnsi="宋体" w:eastAsia="宋体" w:cs="宋体"/>
          <w:b/>
          <w:sz w:val="28"/>
          <w:szCs w:val="28"/>
          <w:highlight w:val="green"/>
        </w:rPr>
        <w:t>▲</w:t>
      </w:r>
      <w:r>
        <w:rPr>
          <w:rFonts w:hint="eastAsia" w:ascii="宋体" w:hAnsi="宋体" w:eastAsia="宋体" w:cs="宋体"/>
          <w:b/>
          <w:bCs/>
          <w:sz w:val="28"/>
          <w:szCs w:val="28"/>
        </w:rPr>
        <w:t>号项为一般参数项（54项）</w:t>
      </w:r>
    </w:p>
    <w:p w14:paraId="6B173CE5">
      <w:pPr>
        <w:rPr>
          <w:rFonts w:hint="eastAsia" w:ascii="宋体" w:hAnsi="宋体" w:eastAsia="宋体" w:cs="宋体"/>
          <w:sz w:val="28"/>
          <w:szCs w:val="28"/>
        </w:rPr>
      </w:pPr>
      <w:r>
        <w:rPr>
          <w:rFonts w:hint="eastAsia" w:ascii="宋体" w:hAnsi="宋体" w:eastAsia="宋体" w:cs="宋体"/>
          <w:b/>
          <w:sz w:val="28"/>
          <w:szCs w:val="28"/>
        </w:rPr>
        <w:br w:type="page"/>
      </w:r>
    </w:p>
    <w:p w14:paraId="75880B7C">
      <w:pPr>
        <w:snapToGrid w:val="0"/>
        <w:spacing w:line="500" w:lineRule="exact"/>
        <w:ind w:left="694" w:leftChars="204"/>
        <w:rPr>
          <w:rFonts w:hint="eastAsia" w:ascii="宋体" w:hAnsi="宋体" w:eastAsia="宋体" w:cs="宋体"/>
          <w:sz w:val="28"/>
          <w:szCs w:val="28"/>
        </w:rPr>
      </w:pPr>
      <w:r>
        <w:rPr>
          <w:rFonts w:hint="eastAsia" w:ascii="宋体" w:hAnsi="宋体" w:eastAsia="宋体" w:cs="宋体"/>
          <w:b/>
          <w:sz w:val="28"/>
          <w:szCs w:val="28"/>
        </w:rPr>
        <w:t>9、品目名称：数字智能化催化剂制备放大平台</w:t>
      </w:r>
    </w:p>
    <w:p w14:paraId="7F2D7C45">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1）规格：定制设备</w:t>
      </w:r>
    </w:p>
    <w:p w14:paraId="0F055662">
      <w:pPr>
        <w:snapToGrid w:val="0"/>
        <w:spacing w:line="500" w:lineRule="exact"/>
        <w:ind w:firstLine="630"/>
        <w:rPr>
          <w:rFonts w:hint="eastAsia" w:ascii="宋体" w:hAnsi="宋体" w:eastAsia="宋体" w:cs="宋体"/>
          <w:sz w:val="28"/>
          <w:szCs w:val="28"/>
        </w:rPr>
      </w:pPr>
      <w:r>
        <w:rPr>
          <w:rFonts w:hint="eastAsia" w:ascii="宋体" w:hAnsi="宋体" w:eastAsia="宋体" w:cs="宋体"/>
          <w:sz w:val="28"/>
          <w:szCs w:val="28"/>
        </w:rPr>
        <w:t>2）详细参数：</w:t>
      </w:r>
      <w:r>
        <w:rPr>
          <w:rFonts w:hint="eastAsia" w:ascii="宋体" w:hAnsi="宋体" w:eastAsia="宋体" w:cs="宋体"/>
          <w:b/>
          <w:bCs/>
          <w:sz w:val="28"/>
          <w:szCs w:val="28"/>
        </w:rPr>
        <w:t>（备注：以下参数67项）</w:t>
      </w:r>
    </w:p>
    <w:p w14:paraId="5ACFB60E">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1、计量泵，性能稳定，可调节，无泄漏，耐腐蚀，高精准，高压力，1台。</w:t>
      </w:r>
    </w:p>
    <w:p w14:paraId="6D8829B9">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2、蠕动泵，采用步进电机，精准控制转动角度，正反可逆，多种可控，旋钮调节或外控，数码管显示当前转速，RS485通讯，多种流量可选，工作电压：220V，流量范围：1台。</w:t>
      </w:r>
    </w:p>
    <w:p w14:paraId="1BB59AF7">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3、离心泵，304不锈钢泵头，铜芯电机，经久耐用，防锈防腐，高扬程，大流量，材质：304不锈钢，工作电压：380V，功率：≥0.25kw，扬程：≥18m，最大流量：2M</w:t>
      </w:r>
      <w:r>
        <w:rPr>
          <w:rFonts w:hint="eastAsia" w:ascii="宋体" w:hAnsi="宋体" w:eastAsia="宋体" w:cs="宋体"/>
          <w:sz w:val="28"/>
          <w:szCs w:val="28"/>
          <w:vertAlign w:val="superscript"/>
        </w:rPr>
        <w:t>3</w:t>
      </w:r>
      <w:r>
        <w:rPr>
          <w:rFonts w:hint="eastAsia" w:ascii="宋体" w:hAnsi="宋体" w:eastAsia="宋体" w:cs="宋体"/>
          <w:sz w:val="28"/>
          <w:szCs w:val="28"/>
        </w:rPr>
        <w:t>/H，1台。</w:t>
      </w:r>
    </w:p>
    <w:p w14:paraId="2106B9D8">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4、齿轮泵，耐磨磁力驱动齿轮泵，传动平稳，无脉冲，高精度，零泄漏，耐腐蚀，材质：304不锈钢，工作电压：380V，转速：100-3000r/min，1台。</w:t>
      </w:r>
    </w:p>
    <w:p w14:paraId="1A144B38">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5、浆料泵，纯铜电机，304不锈钢泵体，耐酸碱，耐磨，耐油，耐温特质叶轮，材质：304不锈钢，工作电压：380V，功率：≥0.37kw，扬程：≥13m，最大流量：30L/min，1台。</w:t>
      </w:r>
    </w:p>
    <w:p w14:paraId="17965C38">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6、混合罐搅拌电机，恒扭矩，体积小，调速广，堵转保护，启停快，操作简单，工作电压：220V，电机功率：≥750w，调速范围：100-3000r/min，速比：1:10，4台。</w:t>
      </w:r>
    </w:p>
    <w:p w14:paraId="7E5C7EA5">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7、反应釜1搅拌电机，恒扭矩，体积小，调速广，堵转保护，启停快，操作简单，工作电压：220V，电机功率：≥1000w，调速范围：100-3000r/min，速比：1:10，4台。</w:t>
      </w:r>
    </w:p>
    <w:p w14:paraId="3D7389E3">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8、洗净罐搅拌电机，恒扭矩，体积小，调速广，堵转保护，启停快，操作简单，工作电压：220V，电机功率：≥600w，调速范围：100-3000r/min，速比：1:10，4台。</w:t>
      </w:r>
    </w:p>
    <w:p w14:paraId="147D8C61">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9、清洗罐搅拌电机，恒扭矩，体积小，调速广，堵转保护，启停快，操作简单，工作电压：220V，电机功率：≥600w，调速范围：100-3000r/min，速比：1:10，4台。</w:t>
      </w:r>
    </w:p>
    <w:p w14:paraId="2F7F2095">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10、反应釜2搅拌电机，恒扭矩，体积小，调速广，堵转保护，启停快，操作简单，工作电压：220V，电机功率：≥1000w，调速范围：100-3000r/min，速比：1:10，4台。</w:t>
      </w:r>
    </w:p>
    <w:p w14:paraId="3B11C893">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11、混合输送泵，纯铜电机，304不锈钢泵体，耐酸碱，耐磨，耐油，耐温特质叶轮，材质：304不锈钢，工作电压：380V，功率：≥0.37kw，扬程：≥13m，最大流量：30L/min，1台。</w:t>
      </w:r>
    </w:p>
    <w:p w14:paraId="34487E14">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12、反应输送泵，纯铜电机，304不锈钢泵体，耐酸碱，耐磨，耐油，耐温特质叶轮，材质：304不锈钢，工作电压：380V，功率：≥0.37kw，扬程：≥13m，最大流量：30L/min1台。</w:t>
      </w:r>
    </w:p>
    <w:p w14:paraId="5C199477">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13、再生剂泵，304不锈钢泵头，铜芯电机，经久耐用，防锈防腐，高扬程，大流量，材质：316不锈钢，工作电压：380V，功率：≥0.25kw，扬程：≥18m，最大流量：2M</w:t>
      </w:r>
      <w:r>
        <w:rPr>
          <w:rFonts w:hint="eastAsia" w:ascii="宋体" w:hAnsi="宋体" w:eastAsia="宋体" w:cs="宋体"/>
          <w:sz w:val="28"/>
          <w:szCs w:val="28"/>
          <w:vertAlign w:val="superscript"/>
        </w:rPr>
        <w:t>3</w:t>
      </w:r>
      <w:r>
        <w:rPr>
          <w:rFonts w:hint="eastAsia" w:ascii="宋体" w:hAnsi="宋体" w:eastAsia="宋体" w:cs="宋体"/>
          <w:sz w:val="28"/>
          <w:szCs w:val="28"/>
        </w:rPr>
        <w:t>/H1台。</w:t>
      </w:r>
    </w:p>
    <w:p w14:paraId="5C6172D8">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14、离子交换剂泵，304不锈钢泵头，铜芯电机，经久耐用，防锈防腐，高扬程，大流量，材质：316不锈钢，工作电压：380V，功率：≥0.25kw，扬程：≥18m，最大流量：2M</w:t>
      </w:r>
      <w:r>
        <w:rPr>
          <w:rFonts w:hint="eastAsia" w:ascii="宋体" w:hAnsi="宋体" w:eastAsia="宋体" w:cs="宋体"/>
          <w:sz w:val="28"/>
          <w:szCs w:val="28"/>
          <w:vertAlign w:val="superscript"/>
        </w:rPr>
        <w:t>3</w:t>
      </w:r>
      <w:r>
        <w:rPr>
          <w:rFonts w:hint="eastAsia" w:ascii="宋体" w:hAnsi="宋体" w:eastAsia="宋体" w:cs="宋体"/>
          <w:sz w:val="28"/>
          <w:szCs w:val="28"/>
        </w:rPr>
        <w:t>/H，1台。</w:t>
      </w:r>
    </w:p>
    <w:p w14:paraId="217FAB9A">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15、喷雾干燥进料泵，采用步进电机，精准控制转动角度，正反可逆，多种可控，旋钮调节或外控，数码管显示当前转速，RS485通讯，多种流量可选，工作电压：220V，流量范围：0-30ml/min，1台。</w:t>
      </w:r>
    </w:p>
    <w:p w14:paraId="39E6F256">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16、喷雾进气泵，全铜电机，高效节能，工作电压：380V，电机功率：≥0.55kw，最大风量：≥5.6m</w:t>
      </w:r>
      <w:r>
        <w:rPr>
          <w:rFonts w:hint="eastAsia" w:ascii="宋体" w:hAnsi="宋体" w:eastAsia="宋体" w:cs="宋体"/>
          <w:sz w:val="28"/>
          <w:szCs w:val="28"/>
          <w:vertAlign w:val="superscript"/>
        </w:rPr>
        <w:t>3</w:t>
      </w:r>
      <w:r>
        <w:rPr>
          <w:rFonts w:hint="eastAsia" w:ascii="宋体" w:hAnsi="宋体" w:eastAsia="宋体" w:cs="宋体"/>
          <w:sz w:val="28"/>
          <w:szCs w:val="28"/>
        </w:rPr>
        <w:t>/min，最大风压：1020pa，转速2800r/min1台。</w:t>
      </w:r>
    </w:p>
    <w:p w14:paraId="6BEB9A57">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17、洗净输送泵，纯铜电机，304不锈钢泵体，耐酸碱，耐磨，耐油，耐温特质叶轮，材质：304不锈钢，工作电压：380V，功率：≥0.37kw，扬程：≥13m，最大流量：30L/min，1台。</w:t>
      </w:r>
    </w:p>
    <w:p w14:paraId="488CF849">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18、原料液罐A/B/C/D，材质：304不锈钢，容积：不小于5L、10L、20L、30L，带液位控制，氮封，尾气放空处理、加料口、排污阀（316），4台。</w:t>
      </w:r>
    </w:p>
    <w:p w14:paraId="631DEBF3">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19、连续强化混合器：材质SuS304；功率；≥0.75KW；规格≥5L，1台。</w:t>
      </w:r>
    </w:p>
    <w:p w14:paraId="0DF1A48B">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20、混合罐A/B/C/D，材质：304不锈钢，容积：不小于10L、20L、30L、50L混合罐，带温度控制、搅拌控制、液位显示，放空阀、加料口、排污阀。4台。</w:t>
      </w:r>
    </w:p>
    <w:p w14:paraId="0A42251E">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highlight w:val="cyan"/>
        </w:rPr>
        <w:t>★</w:t>
      </w:r>
      <w:r>
        <w:rPr>
          <w:rFonts w:hint="eastAsia" w:ascii="宋体" w:hAnsi="宋体" w:eastAsia="宋体" w:cs="宋体"/>
          <w:sz w:val="28"/>
          <w:szCs w:val="28"/>
        </w:rPr>
        <w:t>21、反应釜1、材质：316不锈钢，容积不小于5L、10L、20L、30L，温度不小于300℃，压力≥1.0MPa，带有夹套升温控制系统，夹套冷却控制系统，自动调速功能，压力控制系统，实时显示转速、温度、工作时间，可自动恒温，具有自动起降，方便拆卸，4台。</w:t>
      </w:r>
    </w:p>
    <w:p w14:paraId="2696A15A">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22、冷凝器A/B/C/D，列管冷凝器，材质：316不锈钢，换热面积不小于0.01m</w:t>
      </w:r>
      <w:r>
        <w:rPr>
          <w:rFonts w:hint="eastAsia" w:ascii="宋体" w:hAnsi="宋体" w:eastAsia="宋体" w:cs="宋体"/>
          <w:sz w:val="28"/>
          <w:szCs w:val="28"/>
          <w:vertAlign w:val="superscript"/>
        </w:rPr>
        <w:t>2</w:t>
      </w:r>
      <w:r>
        <w:rPr>
          <w:rFonts w:hint="eastAsia" w:ascii="宋体" w:hAnsi="宋体" w:eastAsia="宋体" w:cs="宋体"/>
          <w:sz w:val="28"/>
          <w:szCs w:val="28"/>
        </w:rPr>
        <w:t>，传热效率高，4台。</w:t>
      </w:r>
    </w:p>
    <w:p w14:paraId="7BB8CF09">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23、冷凝液罐A/B/C/D，材质：316不锈钢，容积不小于2L、5L、10L、15L，配备液位显示，放空阀、加料口、排污阀（316），4台。</w:t>
      </w:r>
    </w:p>
    <w:p w14:paraId="7BEB8833">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24、再生剂罐A/B，材质：316不锈钢，容积50L，配备液位显示，放空阀、加料口、排污阀，2台。</w:t>
      </w:r>
    </w:p>
    <w:p w14:paraId="15D4F727">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25、离子交换剂罐A/B，材质：316不锈钢，容积≥50L，配备液位显示，放空阀、加料口、排污阀（316），2台。</w:t>
      </w:r>
    </w:p>
    <w:p w14:paraId="261A58EE">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26、离子交换柱A/B，高硼硅玻璃离子交换柱≥Ø89×2000mm，配置流量计、泵、管路、阀门，2台。</w:t>
      </w:r>
    </w:p>
    <w:p w14:paraId="5BD25A0E">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27、中间液罐，材质：316不锈钢，容积≥50L，配备液位显示，放空阀、加料口、排污阀（316），1台。</w:t>
      </w:r>
    </w:p>
    <w:p w14:paraId="2FD5C2BF">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28、洗净罐，材质：316不锈钢，容积不小于5L、10L、20L、30L。清洗罐，带有喷淋、搅拌控制、加热控制、液位控制、输送泵、管路、阀门、流量计，4台。</w:t>
      </w:r>
    </w:p>
    <w:p w14:paraId="369CF64C">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29、清洗罐A/B/C/D，高硼硅玻璃清洗罐，配置不小于5L、10L、20L、30L，带搅拌控制、喷淋设备、氮封、尾气放空处理，放空阀、加料口、排污阀（316），4台。</w:t>
      </w:r>
    </w:p>
    <w:p w14:paraId="3EA1A471">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30、反应釜2，材质：316不锈钢，容积不小于5L、10L、20L、30L，温度不小于300℃，压力≥1.0MPa，带有夹套升温控制系统，夹套冷却控制系统，自动调速功能，压力控制系统，实时显示转速、温度、工作时间，可自动恒温，具有自动起降，方便拆卸，4台。</w:t>
      </w:r>
    </w:p>
    <w:p w14:paraId="5A2E4CEE">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31、旋转干燥器，调速范围广，可任意角度停车，温控系统精确稳定（可在温度范围内任意设定温度点），温度可在40-140℃之间，热效率高，加热为电加热，筒体采用304不锈钢，在动力驱动下，罐体作缓慢旋转，罐内物料不断地混合，从而达到强化干燥的目的。电机功率≥0.55kw，1台。</w:t>
      </w:r>
    </w:p>
    <w:p w14:paraId="3D4A240C">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32、真空干燥机、容积：≥50L，控温范围：10-250℃，温度波动度±1℃，载物托盘：2个，1台。</w:t>
      </w:r>
    </w:p>
    <w:p w14:paraId="6055B52D">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33、板框过滤机，不锈钢板框过滤器，304材质，过滤直径≥φ200mm，过滤膜要求孔径微米，层数≥10层,配压力表，排气阀，不锈钢阀门，1寸宝塔接头，1台。</w:t>
      </w:r>
    </w:p>
    <w:p w14:paraId="531470DD">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34、高速离心机，落地式高速冷冻离心机，显示方式：LCD液晶显示，转速范围：100-2300rpm，最大离心力：35500，最大容量：4*750ml，离心腔规格：直径≥Ø420mm，整机功率：≥1300w，1台。</w:t>
      </w:r>
    </w:p>
    <w:p w14:paraId="523AAF3E">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35、喷淋式滚筒筛，材质，304不锈钢，布局形式：卧式，搅拌鼓形状形状：鼓桶型，工作电压220V，电机功率≥1.1kw，风机功率≥500w，1台。</w:t>
      </w:r>
    </w:p>
    <w:p w14:paraId="3061B903">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36、摇床，回旋频率范围：30-300RPM，回旋频率精度：±1RPM，摇板摆振幅度≥126mm，标准配置≥500ml*28，托盘尺寸≥920*510，定时范围0-9999min，LCD液晶屏显示，托盘数量1块，外形尺寸：≥1200*740*800，电源220V，超低速启动，1台。</w:t>
      </w:r>
    </w:p>
    <w:p w14:paraId="3003799D">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37、喷雾干燥塔，彩色LCD触摸屏参数显示，全自动控制，设有喷咀清洁器，关机保护功能，整个系统均为不锈钢材料制造，使干燥过程在无污染的环境下进行，干燥温度控制的设计上采用实时调控PID恒温控制技术，使全温区控温准确，加热控温精度±1℃，进风温度控制：30℃～300℃，出风温度控制：30℃～140℃，蒸发水量：1500ml/h～3000ml/h，1台。</w:t>
      </w:r>
    </w:p>
    <w:p w14:paraId="105D477E">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38、空气加热器，304不锈钢材质，加热功率：≥5kw，1台。</w:t>
      </w:r>
    </w:p>
    <w:p w14:paraId="658C5CE0">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39、热成型机，压力范围：0-10T/0.01t，活塞直径Ø65mm，最大活塞行程：&lt;60mm，手动加压，≥7寸触摸液晶屏，压力显示，温控系统，数据系统，中英文界面互换，每段均可设置不同的保温时间，双平板加热，室温-300℃，设备电源220V，1台。</w:t>
      </w:r>
    </w:p>
    <w:p w14:paraId="54D3EEBE">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40、自动压片机压力范围：0.3-30T/0.1t，活塞直径Ø110，加压方式：自动加压，加压制样过程：自动加压，自动保压，精准补压，定时泄压，加压段数：5段任意设置，每段均可设置不同的保压时间，≥7寸触摸液晶屏，压力显示，数据管理系统，中英文界面互换，设备电源220V，1台</w:t>
      </w:r>
    </w:p>
    <w:p w14:paraId="617AC20B">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41、挤压造粒机，材质：304不锈钢，螺杆直径：电机功率：≥7.5kw，转速11-110rpm，颗粒直径1.2-15mm，螺杆挤压，1台。</w:t>
      </w:r>
    </w:p>
    <w:p w14:paraId="3D7303BA">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42、振动筛，有效筛分直径Ø540mm，有效筛分面积0.2289m2，筛网规格：2-500目，层数1-5层，电机功率：0.55kw，底筒外径530mm，1台。</w:t>
      </w:r>
    </w:p>
    <w:p w14:paraId="0062C759">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43、气流筛，材质：304不锈钢材质，筛网规格：80-350目，电机功率≥1.5kw，转速1050r/min，1台。</w:t>
      </w:r>
    </w:p>
    <w:p w14:paraId="68864D76">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44、高温焙烧炉，额定温度：1200℃，控温精度±1℃，工作温度：1100℃，工作电压：380V，加热原件：HRE合金电阻丝，配套坩埚钳、高温手套，1台。</w:t>
      </w:r>
    </w:p>
    <w:p w14:paraId="0356A78D">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45、温度，输入信号:K型热电偶，测量间距：10℃以上任何温度范围，基本误差:±0.5%，温度漂移:±0.1%/10℃，传输方式:两线制传输，11台。</w:t>
      </w:r>
    </w:p>
    <w:p w14:paraId="2E667B81">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46.压力，量程：按各检测点工艺确定，准确度等级0.5级，回差0.1%FS，温度影响±0.1%/10℃，工作电压DC13V～30V，稳定性±0.2%，信号输出4～20mA，允许过压量程200%，最大压力量程200%，3台。</w:t>
      </w:r>
    </w:p>
    <w:p w14:paraId="2C9CCEF1">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47、流量，输出信号4-20mA，二线制、供电24VDC，量程：按各检测点工艺，远传4—20mA，精度：±1.0%，公称通径：多种，测量介质：多种，8台。</w:t>
      </w:r>
    </w:p>
    <w:p w14:paraId="16BBCD8B">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48、液位，最大量程：按各检测点工艺确定，介质密度：按各检测点工艺确定，介质粘度：按各检测点工艺确定，介质压力：按各检测点工艺确定，测量精度：±10mm，安装方式：法兰式，标准法兰：DN20、DN25，介质温度按工艺，材质：按工艺，输出信号：4～20mA，4台。</w:t>
      </w:r>
    </w:p>
    <w:p w14:paraId="3DC906BE">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49、智能仪表，采用模块化技术的多路测量显示仪及运算器，配合各种输入模块，可支持2个可编程测量输入回路，配合不同的输入模块，可以输入2路热电偶、电压或电流信号。可定义通道编号，显示直观方便。适合在DCS计算机监控系统或PLC控制系统中做模拟量数据采集模块或温度变送器，为上位机提供输入规格丰富、高精度高稳定性、智能化编程的高性价比模拟量采集数据；还可提供开关量输入或输出接口给上位机，上位机可通过它执行开关量操作。具有100-240VAC范围输入的开关电源或24VDC电源供电及多种安装尺寸；其电源及全部I/O端子均通过了4KV的群脉冲抗干扰测试，能在强干扰环境下可靠工作。使用高性能的元器件，大大降低温度漂移并使得2个通道之间相互干扰降低，使多路测量在精度及抗干扰性能上也达到了与单路测量仪表相当的水准。内建开方、加法器、减法器、乘法器、最大值、最小值等运算功能及干湿球法测量湿度功能。最多可有2个相互隔离的变送电流输出，可将任意通道的测量值从OUTP端口变送输出，或将2个通道轮流变送输出，可以编程作为二进二出或一进二型变送器使用。支持新一代E5型DIN导轨外型，可直接用连线连接手持显示器进行编程，使用更方便。齐全的输入规格，各路输入可以使用不同的信号规格。当输入为线性电压、电流或电阻时，各回路可独立定义刻度及小数点位置，当输入为热电偶或热电阻等温度传感器时，可独立进行平移修正及选择0.1/1℃指示分辨率。各输入回路均具备数字滤波，且滤波强度可以独立调整或取消滤波。热电偶测量可支持冰点补偿、铜电阻补偿及恒温槽补偿等各种高精度补偿功能。具备定点/自动巡回测量显示功能，并有2种巡检速度可以选择。每个回路都具备独立的上、下限报警功能，并且其报警输出位置可以编程指定。不同输入回路的上限或下限报警信号即可编程为从同一报警通道输出，也可从不同的通道输出。最多可有7路报警输出。作为计算机下位机时，可为计算机提供开关量输入/输出端口，最多可有7路开关量输入或输出。具备先进的计算机通讯功能，1套。</w:t>
      </w:r>
    </w:p>
    <w:p w14:paraId="6414782B">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50、阀门，球阀、截止阀，单向阀，加压阀，安全阀，疏水阀等，材质：不锈钢304，规格型号：DN20、DN15等，1批。</w:t>
      </w:r>
    </w:p>
    <w:p w14:paraId="0052FEF7">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51、控制系统，控制器，电源模块，以太网模块，模拟量输入模块，模拟量输出模块，数字量输入模块，数字量输出模块，模拟量输出底座单元，1套。</w:t>
      </w:r>
    </w:p>
    <w:p w14:paraId="0B0BE814">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52、软件，工程师站软件，操作员站软件，历史趋势软件，操作权限软件，数据交换软件，批量处理软件，1套</w:t>
      </w:r>
    </w:p>
    <w:p w14:paraId="62D31065">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53、电气，钢质喷塑，嵌入式下位微机位；接触器、继电器、空气开关、按钮等。仪表面板开孔包括常见仪表开孔尺寸。所有仪表及指示灯的220V电源线通过线槽、电源接线端子标准配线，配线两端按国标标注线标。仪表盘内设置安全保险装置，设置接线端子，电源端子和信号端子应有明显的区分标记。盘后设置各种架装继电器的备用安装位置。设置足够的线槽保证增加盘装仪表。安装漏电保护开关，急停开关保护。材质：钢质喷塑，1套。</w:t>
      </w:r>
    </w:p>
    <w:p w14:paraId="5628E5B2">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54、框架，按工艺进行框架与操作平台的设计与制作。框架与操作平台应包括立柱、主梁、次梁、加固横梁、花纹板楼梯平台、护栏、防滑板、扶梯、踏步板、地脚板等主要构件，表面涂覆环氧树脂油漆。装置之间具有分区标识并留有安全通道及通道标识。每套装置须含有二层平台。框架与操作平台须牢固、美观、上下通行安全、方便。1套</w:t>
      </w:r>
    </w:p>
    <w:p w14:paraId="7A00C79C">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55、离心泵，泵功率：≥250w,流量≥2.4m</w:t>
      </w:r>
      <w:r>
        <w:rPr>
          <w:rFonts w:hint="eastAsia" w:ascii="宋体" w:hAnsi="宋体" w:eastAsia="宋体" w:cs="宋体"/>
          <w:sz w:val="28"/>
          <w:szCs w:val="28"/>
          <w:vertAlign w:val="superscript"/>
        </w:rPr>
        <w:t>3</w:t>
      </w:r>
      <w:r>
        <w:rPr>
          <w:rFonts w:hint="eastAsia" w:ascii="宋体" w:hAnsi="宋体" w:eastAsia="宋体" w:cs="宋体"/>
          <w:sz w:val="28"/>
          <w:szCs w:val="28"/>
        </w:rPr>
        <w:t>/h，储水罐，换热塔，管路阀门等，1套。</w:t>
      </w:r>
    </w:p>
    <w:p w14:paraId="0AF6A5BC">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56、制冷机，制冷量≥2.94kw/hr，能将循环冷却水降温至10℃以下，循环泵功率≥250w,流量≥2.4m</w:t>
      </w:r>
      <w:r>
        <w:rPr>
          <w:rFonts w:hint="eastAsia" w:ascii="宋体" w:hAnsi="宋体" w:eastAsia="宋体" w:cs="宋体"/>
          <w:sz w:val="28"/>
          <w:szCs w:val="28"/>
          <w:vertAlign w:val="superscript"/>
        </w:rPr>
        <w:t>3</w:t>
      </w:r>
      <w:r>
        <w:rPr>
          <w:rFonts w:hint="eastAsia" w:ascii="宋体" w:hAnsi="宋体" w:eastAsia="宋体" w:cs="宋体"/>
          <w:sz w:val="28"/>
          <w:szCs w:val="28"/>
        </w:rPr>
        <w:t>/h，管路阀门等，1套。</w:t>
      </w:r>
    </w:p>
    <w:p w14:paraId="3340CCBA">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57、纯水机，流量≥0.25m</w:t>
      </w:r>
      <w:r>
        <w:rPr>
          <w:rFonts w:hint="eastAsia" w:ascii="宋体" w:hAnsi="宋体" w:eastAsia="宋体" w:cs="宋体"/>
          <w:sz w:val="28"/>
          <w:szCs w:val="28"/>
          <w:vertAlign w:val="superscript"/>
        </w:rPr>
        <w:t>3</w:t>
      </w:r>
      <w:r>
        <w:rPr>
          <w:rFonts w:hint="eastAsia" w:ascii="宋体" w:hAnsi="宋体" w:eastAsia="宋体" w:cs="宋体"/>
          <w:sz w:val="28"/>
          <w:szCs w:val="28"/>
        </w:rPr>
        <w:t>/h，储水罐容积≥0.5m</w:t>
      </w:r>
      <w:r>
        <w:rPr>
          <w:rFonts w:hint="eastAsia" w:ascii="宋体" w:hAnsi="宋体" w:eastAsia="宋体" w:cs="宋体"/>
          <w:sz w:val="28"/>
          <w:szCs w:val="28"/>
          <w:vertAlign w:val="superscript"/>
        </w:rPr>
        <w:t>3</w:t>
      </w:r>
      <w:r>
        <w:rPr>
          <w:rFonts w:hint="eastAsia" w:ascii="宋体" w:hAnsi="宋体" w:eastAsia="宋体" w:cs="宋体"/>
          <w:sz w:val="28"/>
          <w:szCs w:val="28"/>
        </w:rPr>
        <w:t>，离心泵，功率：≥250w,流量≥2.4m</w:t>
      </w:r>
      <w:r>
        <w:rPr>
          <w:rFonts w:hint="eastAsia" w:ascii="宋体" w:hAnsi="宋体" w:eastAsia="宋体" w:cs="宋体"/>
          <w:sz w:val="28"/>
          <w:szCs w:val="28"/>
          <w:vertAlign w:val="superscript"/>
        </w:rPr>
        <w:t>3</w:t>
      </w:r>
      <w:r>
        <w:rPr>
          <w:rFonts w:hint="eastAsia" w:ascii="宋体" w:hAnsi="宋体" w:eastAsia="宋体" w:cs="宋体"/>
          <w:sz w:val="28"/>
          <w:szCs w:val="28"/>
        </w:rPr>
        <w:t>/h，管路阀门等1套，</w:t>
      </w:r>
    </w:p>
    <w:p w14:paraId="57FAD496">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58、离心泵，功率：≥250w,流量≥2.4m</w:t>
      </w:r>
      <w:r>
        <w:rPr>
          <w:rFonts w:hint="eastAsia" w:ascii="宋体" w:hAnsi="宋体" w:eastAsia="宋体" w:cs="宋体"/>
          <w:sz w:val="28"/>
          <w:szCs w:val="28"/>
          <w:vertAlign w:val="superscript"/>
        </w:rPr>
        <w:t>3</w:t>
      </w:r>
      <w:r>
        <w:rPr>
          <w:rFonts w:hint="eastAsia" w:ascii="宋体" w:hAnsi="宋体" w:eastAsia="宋体" w:cs="宋体"/>
          <w:sz w:val="28"/>
          <w:szCs w:val="28"/>
        </w:rPr>
        <w:t>/h，储水罐，管路阀门等1套。</w:t>
      </w:r>
    </w:p>
    <w:p w14:paraId="4CBA503D">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59、真空泵，真空缓冲罐，管道阀门，不锈钢管道，DN15,DN25等尺寸，1套。</w:t>
      </w:r>
    </w:p>
    <w:p w14:paraId="22A51485">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60、螺杆空压机功率≥7.5kW，空气储罐≥1.0m</w:t>
      </w:r>
      <w:r>
        <w:rPr>
          <w:rFonts w:hint="eastAsia" w:ascii="宋体" w:hAnsi="宋体" w:eastAsia="宋体" w:cs="宋体"/>
          <w:sz w:val="28"/>
          <w:szCs w:val="28"/>
          <w:vertAlign w:val="superscript"/>
        </w:rPr>
        <w:t>3</w:t>
      </w:r>
      <w:r>
        <w:rPr>
          <w:rFonts w:hint="eastAsia" w:ascii="宋体" w:hAnsi="宋体" w:eastAsia="宋体" w:cs="宋体"/>
          <w:sz w:val="28"/>
          <w:szCs w:val="28"/>
        </w:rPr>
        <w:t>，管道阀门，不锈钢管道，DN15,DN25等尺寸1套。</w:t>
      </w:r>
    </w:p>
    <w:p w14:paraId="3210FC6C">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61、制氮机，不锈钢管路阀门等1套。</w:t>
      </w:r>
    </w:p>
    <w:p w14:paraId="50B0875C">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62、蒸汽发生器，蒸汽分配器，不锈钢管路阀门等1套。</w:t>
      </w:r>
    </w:p>
    <w:p w14:paraId="1F45C33E">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63、要求提供装置安全性工作站：要求实现自动操作，提供自动数据存储，并提供设计方案、证明文件。</w:t>
      </w:r>
    </w:p>
    <w:p w14:paraId="525FEDCD">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64、防爆声光报警器工作电压：DC24V±25%，工作电流：≤100mA，光强：≥2400±200mcd，声音强度：≥85dB，防护等级：≥IP66，出线孔连接螺纹：G3/4＂管螺纹（外）</w:t>
      </w:r>
    </w:p>
    <w:p w14:paraId="4532A7DD">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65、要求配备分析系统，1套。</w:t>
      </w:r>
    </w:p>
    <w:p w14:paraId="435EB3AF">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66、要求气、液、固三废处理满足排放标准，并提供方案。</w:t>
      </w:r>
    </w:p>
    <w:p w14:paraId="232017B8">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67、提供装置详细功能叙述、装置工艺流程图、装置静设备加工图、装置布局图、主要工艺参数测控点、控制逻辑及联锁方案。</w:t>
      </w:r>
    </w:p>
    <w:p w14:paraId="213AAAD6">
      <w:pPr>
        <w:pStyle w:val="87"/>
        <w:spacing w:line="500" w:lineRule="exact"/>
        <w:jc w:val="center"/>
        <w:rPr>
          <w:rFonts w:hint="eastAsia" w:ascii="宋体" w:hAnsi="宋体" w:eastAsia="宋体" w:cs="宋体"/>
          <w:b/>
          <w:color w:val="auto"/>
          <w:sz w:val="28"/>
          <w:szCs w:val="28"/>
        </w:rPr>
      </w:pPr>
    </w:p>
    <w:p w14:paraId="44991922">
      <w:pPr>
        <w:spacing w:line="500" w:lineRule="exact"/>
        <w:rPr>
          <w:rFonts w:hint="eastAsia" w:ascii="宋体" w:hAnsi="宋体" w:eastAsia="宋体" w:cs="宋体"/>
          <w:sz w:val="28"/>
          <w:szCs w:val="28"/>
        </w:rPr>
      </w:pPr>
      <w:r>
        <w:rPr>
          <w:rFonts w:hint="eastAsia" w:ascii="宋体" w:hAnsi="宋体" w:eastAsia="宋体" w:cs="宋体"/>
          <w:b/>
          <w:sz w:val="28"/>
          <w:szCs w:val="28"/>
        </w:rPr>
        <w:t>备注：以上67项参数，其中实质性参数项（</w:t>
      </w:r>
      <w:r>
        <w:rPr>
          <w:rFonts w:hint="eastAsia" w:ascii="宋体" w:hAnsi="宋体" w:eastAsia="宋体" w:cs="宋体"/>
          <w:b/>
          <w:sz w:val="28"/>
          <w:szCs w:val="28"/>
          <w:highlight w:val="cyan"/>
        </w:rPr>
        <w:t>★</w:t>
      </w:r>
      <w:r>
        <w:rPr>
          <w:rFonts w:hint="eastAsia" w:ascii="宋体" w:hAnsi="宋体" w:eastAsia="宋体" w:cs="宋体"/>
          <w:b/>
          <w:bCs/>
          <w:sz w:val="28"/>
          <w:szCs w:val="28"/>
        </w:rPr>
        <w:t>号项</w:t>
      </w:r>
      <w:r>
        <w:rPr>
          <w:rFonts w:hint="eastAsia" w:ascii="宋体" w:hAnsi="宋体" w:eastAsia="宋体" w:cs="宋体"/>
          <w:b/>
          <w:sz w:val="28"/>
          <w:szCs w:val="28"/>
        </w:rPr>
        <w:t>）</w:t>
      </w:r>
      <w:r>
        <w:rPr>
          <w:rFonts w:hint="eastAsia" w:ascii="宋体" w:hAnsi="宋体" w:eastAsia="宋体" w:cs="宋体"/>
          <w:b/>
          <w:bCs/>
          <w:sz w:val="28"/>
          <w:szCs w:val="28"/>
        </w:rPr>
        <w:t>1</w:t>
      </w:r>
      <w:r>
        <w:rPr>
          <w:rFonts w:hint="eastAsia" w:ascii="宋体" w:hAnsi="宋体" w:eastAsia="宋体" w:cs="宋体"/>
          <w:b/>
          <w:sz w:val="28"/>
          <w:szCs w:val="28"/>
        </w:rPr>
        <w:t>项，不允许负偏离。其他非</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号项和非</w:t>
      </w:r>
      <w:r>
        <w:rPr>
          <w:rFonts w:hint="eastAsia" w:ascii="宋体" w:hAnsi="宋体" w:eastAsia="宋体" w:cs="宋体"/>
          <w:b/>
          <w:sz w:val="28"/>
          <w:szCs w:val="28"/>
          <w:highlight w:val="green"/>
        </w:rPr>
        <w:t>▲</w:t>
      </w:r>
      <w:r>
        <w:rPr>
          <w:rFonts w:hint="eastAsia" w:ascii="宋体" w:hAnsi="宋体" w:eastAsia="宋体" w:cs="宋体"/>
          <w:b/>
          <w:bCs/>
          <w:sz w:val="28"/>
          <w:szCs w:val="28"/>
        </w:rPr>
        <w:t>号项为一般参数项（66项）。</w:t>
      </w:r>
    </w:p>
    <w:p w14:paraId="6113485F">
      <w:pPr>
        <w:rPr>
          <w:rFonts w:hint="eastAsia" w:ascii="宋体" w:hAnsi="宋体" w:eastAsia="宋体" w:cs="宋体"/>
          <w:sz w:val="28"/>
          <w:szCs w:val="28"/>
        </w:rPr>
      </w:pPr>
      <w:r>
        <w:rPr>
          <w:rFonts w:hint="eastAsia" w:ascii="宋体" w:hAnsi="宋体" w:eastAsia="宋体" w:cs="宋体"/>
          <w:b/>
          <w:sz w:val="28"/>
          <w:szCs w:val="28"/>
        </w:rPr>
        <w:br w:type="page"/>
      </w:r>
    </w:p>
    <w:p w14:paraId="3BCC3BF4">
      <w:pPr>
        <w:snapToGrid w:val="0"/>
        <w:spacing w:line="500" w:lineRule="exact"/>
        <w:ind w:left="658"/>
        <w:rPr>
          <w:rFonts w:hint="eastAsia" w:ascii="宋体" w:hAnsi="宋体" w:eastAsia="宋体" w:cs="宋体"/>
          <w:sz w:val="28"/>
          <w:szCs w:val="28"/>
        </w:rPr>
      </w:pPr>
      <w:r>
        <w:rPr>
          <w:rFonts w:hint="eastAsia" w:ascii="宋体" w:hAnsi="宋体" w:eastAsia="宋体" w:cs="宋体"/>
          <w:b/>
          <w:sz w:val="28"/>
          <w:szCs w:val="28"/>
        </w:rPr>
        <w:t>10、品目名称：数字智能化催化加氢反应装置</w:t>
      </w:r>
    </w:p>
    <w:p w14:paraId="2524D882">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1）规格：定制设备</w:t>
      </w:r>
    </w:p>
    <w:p w14:paraId="1192B70A">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2）详细参数：</w:t>
      </w:r>
      <w:r>
        <w:rPr>
          <w:rFonts w:hint="eastAsia" w:ascii="宋体" w:hAnsi="宋体" w:eastAsia="宋体" w:cs="宋体"/>
          <w:b/>
          <w:bCs/>
          <w:sz w:val="28"/>
          <w:szCs w:val="28"/>
        </w:rPr>
        <w:t>（备注：以下参数78项）</w:t>
      </w:r>
    </w:p>
    <w:p w14:paraId="4484BCDF">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1.原料罐不锈钢316L材质，配备远传液位检测，温度检测，2个。</w:t>
      </w:r>
    </w:p>
    <w:p w14:paraId="334E805E">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2.原料混合罐不锈钢316L材质，耐压≥7.5MPa，配备放空、排水、泄压阀、远程压力检测，1个。</w:t>
      </w:r>
    </w:p>
    <w:p w14:paraId="659F6951">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3.循环热水储罐不锈钢316L材质，耐压≥1MPa，耐高温≥150℃，配备远传液位检测，温度检测，1个。</w:t>
      </w:r>
    </w:p>
    <w:p w14:paraId="2F983A18">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4.压缩机缓冲罐不锈钢316L材质，耐压≥7.5MPa，配备放空、排水、泄压阀、远程压力检测，2个。</w:t>
      </w:r>
    </w:p>
    <w:p w14:paraId="7DF9733F">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5.产品罐不锈钢316L材质，耐压≥7.5MPa，配备放空、排水、泄压阀、远程压力检测，远传液位检测，远传温度检测，2个。</w:t>
      </w:r>
    </w:p>
    <w:p w14:paraId="65C7317E">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6.气液分离器不锈钢316L材质，耐压≥7.5MPa，2个。</w:t>
      </w:r>
    </w:p>
    <w:p w14:paraId="25C2A77C">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7.固定床反应器不锈钢316L材质，耐压≥7.5MPa，耐高温≥400℃，配备放空、排水、泄压阀、冷热水系统，远程压力检测，远传温度检测，1个。</w:t>
      </w:r>
    </w:p>
    <w:p w14:paraId="37A00B6D">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8.流化床反应器不锈钢316L材质，耐压≥7.5MPa，耐高温≥400℃，配备放空、排水、泄压阀、冷热水系统，远程压力检测，远传温度检测，1个。</w:t>
      </w:r>
    </w:p>
    <w:p w14:paraId="11E3241A">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9.一级冷凝器不锈钢316L材质，列管内耐压≥7.5MPa，耐高温≥400℃，进出口配备远传温度检测，1个。</w:t>
      </w:r>
    </w:p>
    <w:p w14:paraId="51ECA235">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10.二级冷凝器不锈钢316L材质，列管内耐压≥7.5MPa，耐高温≥300℃，进出口配备远传温度检测，1个。</w:t>
      </w:r>
    </w:p>
    <w:p w14:paraId="7E179DE5">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11.三级冷凝器不锈钢316L材质，列管内耐压≥7.5MPa，耐高温≥300℃，进出口配备远传温度检测，1个。</w:t>
      </w:r>
    </w:p>
    <w:p w14:paraId="6B1167CE">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12.蒸汽冷凝器不锈钢316L材质，耐高温≥200℃，进出口配备远传温度检测，1个。</w:t>
      </w:r>
    </w:p>
    <w:p w14:paraId="15C82F5E">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13.原料加热器不锈钢316L材质，耐压≥7.5MPa，耐高温≥500℃，电加热，1个。</w:t>
      </w:r>
    </w:p>
    <w:p w14:paraId="3BCDE16C">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14.原料泵出口压力不小于6MPa，2台。</w:t>
      </w:r>
    </w:p>
    <w:p w14:paraId="644DAF85">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15.热水泵耐高温≥120℃，2台。</w:t>
      </w:r>
    </w:p>
    <w:p w14:paraId="13535F81">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16.循环压缩机出口压力≥5MPa，1套。</w:t>
      </w:r>
    </w:p>
    <w:p w14:paraId="008397B5">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阀门、传感器等</w:t>
      </w:r>
    </w:p>
    <w:p w14:paraId="535FA4F0">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17.温度传感器4-20mA，0-200℃，0-800℃，温度检测点，温度传感器带远传，一批。</w:t>
      </w:r>
    </w:p>
    <w:p w14:paraId="17476F25">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18.压力传感器4-20mA，0-1MPa，0-10MPa，压力检测点，压力传感器带远传，一批。</w:t>
      </w:r>
    </w:p>
    <w:p w14:paraId="2A7FA939">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19.质量流量控制器4-20mA，耐压0-10MPa，可调节流量，3个。</w:t>
      </w:r>
    </w:p>
    <w:p w14:paraId="7E8BADD2">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20.液位计4-20mA，液位计带远传，精度≤0.75%，达到精确控制，一批。</w:t>
      </w:r>
    </w:p>
    <w:p w14:paraId="4F984162">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21.减压阀不锈钢316L材质，输入0-25MPa，输出0-6MPa，4个。</w:t>
      </w:r>
    </w:p>
    <w:p w14:paraId="1F111C41">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22.背压阀不锈钢316L材质，输出0-6MPa，2个。</w:t>
      </w:r>
    </w:p>
    <w:p w14:paraId="6E75A04F">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23.流量计涡轮流量计，转子流量计，一批。</w:t>
      </w:r>
    </w:p>
    <w:p w14:paraId="3193E778">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24.过滤器不锈钢316L材质，一批。</w:t>
      </w:r>
    </w:p>
    <w:p w14:paraId="1223A84F">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25.球阀一批。</w:t>
      </w:r>
    </w:p>
    <w:p w14:paraId="7CFC9DA3">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26.截止阀一批。</w:t>
      </w:r>
    </w:p>
    <w:p w14:paraId="0238663D">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27.疏水阀一批。</w:t>
      </w:r>
    </w:p>
    <w:p w14:paraId="48B6D48D">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28.管道、连接件一批。</w:t>
      </w:r>
    </w:p>
    <w:p w14:paraId="29050D61">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29.气动调节阀一批。</w:t>
      </w:r>
    </w:p>
    <w:p w14:paraId="41DEF8C9">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30.气动球阀一批。</w:t>
      </w:r>
    </w:p>
    <w:p w14:paraId="21FB19DA">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31.原料罐不锈钢316L材质，配备远传液位检测，1个。</w:t>
      </w:r>
    </w:p>
    <w:p w14:paraId="391B8A13">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32.原料混合罐不锈钢316L材质，耐压≥1MPa，配备放空、排污、泄压阀、远程压力检测，1个。</w:t>
      </w:r>
    </w:p>
    <w:p w14:paraId="708CD87C">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33.产品缓冲罐不锈钢316L材质，耐压≥1MPa，配备放空、排污、泄压阀、远程压力检测，1个。</w:t>
      </w:r>
    </w:p>
    <w:p w14:paraId="665A083A">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34.浆态床反应器不锈钢316L材质，耐压≥1MPa，耐高温≥200℃，配备放空、排污、泄压阀、冷却升温系统、搅拌系统、远程压力检测，远传温度检测，远传液位检测，1个。</w:t>
      </w:r>
    </w:p>
    <w:p w14:paraId="26FA8A97">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35.智能脉冲微粒子隔离栅10μm-5mm/10ms，配置反应强化系统（需提供详细技术方案），1套。</w:t>
      </w:r>
    </w:p>
    <w:p w14:paraId="74A37D72">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36.轻相中间罐不锈钢316L材质，耐压≥1MPa，配备放空、排污、远程液位检测，1个。</w:t>
      </w:r>
    </w:p>
    <w:p w14:paraId="3F108044">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37.溶剂储罐不锈钢316L材质，耐压≥1MPa，配备放空、排污、远程液位检测，远传温度检测，1个。</w:t>
      </w:r>
    </w:p>
    <w:p w14:paraId="7715824C">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38.副产物罐不锈钢316L材质，耐压≥1MPa，耐高温≥200℃，配备放空、排污、远程液位检测，远传温度检测，1个。</w:t>
      </w:r>
    </w:p>
    <w:p w14:paraId="0F349666">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39.蒸发器不锈钢316L材质，耐压≥1MPa，耐高温≥200℃，配备放空、排污、远程液位检测，远传温度检测，远传压力检测，1个。</w:t>
      </w:r>
    </w:p>
    <w:p w14:paraId="6F7A7309">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40.预热器不锈钢316L材质，耐压≥1MPa，耐高温≥200℃，进出口配备远传温度检测，1个。</w:t>
      </w:r>
    </w:p>
    <w:p w14:paraId="479C1203">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41.产品冷却器不锈钢316L材质，耐压≥1MPa，耐高温≥200℃，进出口配备远传温度检测，1个。</w:t>
      </w:r>
    </w:p>
    <w:p w14:paraId="496BCCBD">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42.塔顶轻相冷凝器不锈钢316L材质，耐压≥1MPa，耐高温≥200℃，进出口配备远传温度检测，1个。</w:t>
      </w:r>
    </w:p>
    <w:p w14:paraId="479A4BB9">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43.蒸发加热器不锈钢316L材质，耐压≥1MPa，耐高温≥200℃，进出口配备远传温度检测，1个。</w:t>
      </w:r>
    </w:p>
    <w:p w14:paraId="0557C29D">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44.原料泵恒流泵，出口压力≥1MPa，1台。</w:t>
      </w:r>
    </w:p>
    <w:p w14:paraId="12D1C2AD">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45.溶剂泵离心泵，1台。</w:t>
      </w:r>
    </w:p>
    <w:p w14:paraId="14261ED2">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46.溶剂采出泵耐高温≥200℃，1台。</w:t>
      </w:r>
    </w:p>
    <w:p w14:paraId="15792C11">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阀门、传感器等</w:t>
      </w:r>
    </w:p>
    <w:p w14:paraId="649C507B">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47.温度传感器4-20mA，0-200℃，温度检测点，温度传感器带远传一批。</w:t>
      </w:r>
    </w:p>
    <w:p w14:paraId="5BC86363">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48.压力传感器4-20mA，0-1MPa，0-2MPa，压力检测点，压力传感器带远传一批。</w:t>
      </w:r>
    </w:p>
    <w:p w14:paraId="3199AB9A">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49.质量流量控制器4-20mA，耐压≥2MPa，可调节流量，2个。</w:t>
      </w:r>
    </w:p>
    <w:p w14:paraId="6F58F63A">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50.液位计4-20mA，液位计带远传，精度≤0.75%，达到精确控制，一批。</w:t>
      </w:r>
    </w:p>
    <w:p w14:paraId="42EB139E">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51.减压阀不锈钢316L材质，输出0-1MPa，3台。</w:t>
      </w:r>
    </w:p>
    <w:p w14:paraId="4F5C7AAD">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52.背压阀不锈钢316L材质，输出0-1MPa，1台。</w:t>
      </w:r>
    </w:p>
    <w:p w14:paraId="29DB165E">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53.流量计涡轮流量计，转子流量计一批。</w:t>
      </w:r>
    </w:p>
    <w:p w14:paraId="54F5CD9E">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54.过滤器不锈钢316L材质一批。</w:t>
      </w:r>
    </w:p>
    <w:p w14:paraId="74DE0C73">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55.球阀一批。</w:t>
      </w:r>
    </w:p>
    <w:p w14:paraId="059080C1">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56.截止阀一批。</w:t>
      </w:r>
    </w:p>
    <w:p w14:paraId="13A83206">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57.疏水阀一批。</w:t>
      </w:r>
    </w:p>
    <w:p w14:paraId="3693D5B7">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58.管道、连接件一批。</w:t>
      </w:r>
    </w:p>
    <w:p w14:paraId="607A9689">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59.气动调节阀一批。</w:t>
      </w:r>
    </w:p>
    <w:p w14:paraId="59EDE36E">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60.气动球阀一批。</w:t>
      </w:r>
    </w:p>
    <w:p w14:paraId="163ACEC0">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公用工程</w:t>
      </w:r>
    </w:p>
    <w:p w14:paraId="691A62C8">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61.常温水循环系统，离心泵，≥250w,≥2.4m</w:t>
      </w:r>
      <w:r>
        <w:rPr>
          <w:rFonts w:hint="eastAsia" w:ascii="宋体" w:hAnsi="宋体" w:eastAsia="宋体" w:cs="宋体"/>
          <w:sz w:val="28"/>
          <w:szCs w:val="28"/>
          <w:vertAlign w:val="superscript"/>
        </w:rPr>
        <w:t>3</w:t>
      </w:r>
      <w:r>
        <w:rPr>
          <w:rFonts w:hint="eastAsia" w:ascii="宋体" w:hAnsi="宋体" w:eastAsia="宋体" w:cs="宋体"/>
          <w:sz w:val="28"/>
          <w:szCs w:val="28"/>
        </w:rPr>
        <w:t>/h，储水罐，换热塔，管路阀门等，1套。</w:t>
      </w:r>
    </w:p>
    <w:p w14:paraId="344C73FD">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62.低温冷却水循环系统，制冷机，制冷量≥2.94kw/hr，能将循环冷却水降温至10℃以下，循环泵≥250w,≥2.4m</w:t>
      </w:r>
      <w:r>
        <w:rPr>
          <w:rFonts w:hint="eastAsia" w:ascii="宋体" w:hAnsi="宋体" w:eastAsia="宋体" w:cs="宋体"/>
          <w:sz w:val="28"/>
          <w:szCs w:val="28"/>
          <w:vertAlign w:val="superscript"/>
        </w:rPr>
        <w:t>3</w:t>
      </w:r>
      <w:r>
        <w:rPr>
          <w:rFonts w:hint="eastAsia" w:ascii="宋体" w:hAnsi="宋体" w:eastAsia="宋体" w:cs="宋体"/>
          <w:sz w:val="28"/>
          <w:szCs w:val="28"/>
        </w:rPr>
        <w:t>/h，管路阀门等，1套。</w:t>
      </w:r>
    </w:p>
    <w:p w14:paraId="740A88E0">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63.纯水机≥0.25m</w:t>
      </w:r>
      <w:r>
        <w:rPr>
          <w:rFonts w:hint="eastAsia" w:ascii="宋体" w:hAnsi="宋体" w:eastAsia="宋体" w:cs="宋体"/>
          <w:sz w:val="28"/>
          <w:szCs w:val="28"/>
          <w:vertAlign w:val="superscript"/>
        </w:rPr>
        <w:t>3</w:t>
      </w:r>
      <w:r>
        <w:rPr>
          <w:rFonts w:hint="eastAsia" w:ascii="宋体" w:hAnsi="宋体" w:eastAsia="宋体" w:cs="宋体"/>
          <w:sz w:val="28"/>
          <w:szCs w:val="28"/>
        </w:rPr>
        <w:t>/h，储水罐≥0.5m</w:t>
      </w:r>
      <w:r>
        <w:rPr>
          <w:rFonts w:hint="eastAsia" w:ascii="宋体" w:hAnsi="宋体" w:eastAsia="宋体" w:cs="宋体"/>
          <w:sz w:val="28"/>
          <w:szCs w:val="28"/>
          <w:vertAlign w:val="superscript"/>
        </w:rPr>
        <w:t>3</w:t>
      </w:r>
      <w:r>
        <w:rPr>
          <w:rFonts w:hint="eastAsia" w:ascii="宋体" w:hAnsi="宋体" w:eastAsia="宋体" w:cs="宋体"/>
          <w:sz w:val="28"/>
          <w:szCs w:val="28"/>
        </w:rPr>
        <w:t>，离心泵，≥250w,≥2.4m</w:t>
      </w:r>
      <w:r>
        <w:rPr>
          <w:rFonts w:hint="eastAsia" w:ascii="宋体" w:hAnsi="宋体" w:eastAsia="宋体" w:cs="宋体"/>
          <w:sz w:val="28"/>
          <w:szCs w:val="28"/>
          <w:vertAlign w:val="superscript"/>
        </w:rPr>
        <w:t>3</w:t>
      </w:r>
      <w:r>
        <w:rPr>
          <w:rFonts w:hint="eastAsia" w:ascii="宋体" w:hAnsi="宋体" w:eastAsia="宋体" w:cs="宋体"/>
          <w:sz w:val="28"/>
          <w:szCs w:val="28"/>
        </w:rPr>
        <w:t>/h，管路阀门等，1套。</w:t>
      </w:r>
    </w:p>
    <w:p w14:paraId="5331DCA7">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64.冲洗水系统离心泵，≥250w,≥2.4m</w:t>
      </w:r>
      <w:r>
        <w:rPr>
          <w:rFonts w:hint="eastAsia" w:ascii="宋体" w:hAnsi="宋体" w:eastAsia="宋体" w:cs="宋体"/>
          <w:sz w:val="28"/>
          <w:szCs w:val="28"/>
          <w:vertAlign w:val="superscript"/>
        </w:rPr>
        <w:t>3</w:t>
      </w:r>
      <w:r>
        <w:rPr>
          <w:rFonts w:hint="eastAsia" w:ascii="宋体" w:hAnsi="宋体" w:eastAsia="宋体" w:cs="宋体"/>
          <w:sz w:val="28"/>
          <w:szCs w:val="28"/>
        </w:rPr>
        <w:t>/h，储水罐，管路阀门等，1套。</w:t>
      </w:r>
    </w:p>
    <w:p w14:paraId="3AEAE66F">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65.螺杆空压机≥7.5kW，空气储罐≥1.0m</w:t>
      </w:r>
      <w:r>
        <w:rPr>
          <w:rFonts w:hint="eastAsia" w:ascii="宋体" w:hAnsi="宋体" w:eastAsia="宋体" w:cs="宋体"/>
          <w:sz w:val="28"/>
          <w:szCs w:val="28"/>
          <w:vertAlign w:val="superscript"/>
        </w:rPr>
        <w:t>3</w:t>
      </w:r>
      <w:r>
        <w:rPr>
          <w:rFonts w:hint="eastAsia" w:ascii="宋体" w:hAnsi="宋体" w:eastAsia="宋体" w:cs="宋体"/>
          <w:sz w:val="28"/>
          <w:szCs w:val="28"/>
        </w:rPr>
        <w:t>，管道阀门，不锈钢管道，DN15,DN25等尺寸，1套。</w:t>
      </w:r>
    </w:p>
    <w:p w14:paraId="6096FC26">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66.制氮机，不锈钢管路阀门等，1套。</w:t>
      </w:r>
    </w:p>
    <w:p w14:paraId="1B54371E">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67.蒸汽发生器，蒸汽分配器，蒸汽过热器，不锈钢管路阀门等，1套。</w:t>
      </w:r>
    </w:p>
    <w:p w14:paraId="08D3304D">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68.真空泵，真空缓冲罐，管道阀门，不锈钢管道，DN15,DN25等尺寸，1套。</w:t>
      </w:r>
    </w:p>
    <w:p w14:paraId="28F0A881">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69.分析系统，气相色谱及附属设备，色谱工作站：柱箱：温度范围：室温～400℃；双路后开门装置，从250℃降到50℃时间小于5分钟；程序升温：16阶；升温速率：0.1℃～50℃/分。注样器箱：室温～400℃，双火焰方式：适用于大进样量或痕量样品的检测单火焰方式：可提高对硫检测的灵敏度，直接输出：对磷或硫检测，平方根输出：对硫检测，漏光保护：漏光电流≥12μA时自动切断高压，最高设定温度：≤400℃，检测限：［N］≤2×10-13g/s(偶氮苯)，［P］≤1×10-13g/s(马拉硫磷)，线性范围：［N］：105；［P］：1041。</w:t>
      </w:r>
    </w:p>
    <w:p w14:paraId="337D2EFC">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70.控制系统，控制柜，机柜正面装配控制器单元（DPU）和各种信号处理单元（I/O模块）及底座。机柜背面装配供电单元和I/O单元，安装一些辅助设备（如安全栅，继电器，端子，空开等）。控制系统，主机DELL（1）控制器（2）4-20mA模拟量输入模块（3）4-20mA模拟量HART输入模块（4）4-20mA模拟量输出模块（5）开关量输入模块（6）开关量输出模块（7）Modbus通讯模块（8）ProfibusDP通讯模块(9)继电器输出底座(10)通用双槽底座(11)通用单槽底座(12)24v查询电源分配模块(13)工程管理器软件(14)图形编辑器软件(15)在线运行软件(16)控制算法软件(17)服务器软件(18)通讯软件(19)百兆交换机(20)工程师组态软件，含加密狗(21)学员站1套。</w:t>
      </w:r>
    </w:p>
    <w:p w14:paraId="64805662">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71.软件，工程师站软件，操作员站软件，历史趋势软件，操作权限软件，数据交换软件，批量处理软件，1套</w:t>
      </w:r>
    </w:p>
    <w:p w14:paraId="2A7EC977">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72.电气，钢质喷塑，嵌入式下位微机位；接触器、继电器、空气开关、按钮等。仪表面板开孔包括常见仪表开孔尺寸。所有仪表及指示灯的220V电源线通过线槽、电源接线端子标准配线，配线两端按国标标注线标。PC机显示器安装嵌在操作控制台面上。仪表盘内设置安全保险装置，设置接线端子，电源端子和信号端子应有明显的区分标记。盘后设置各种架装继电器的备用安装位置。设置足够的线槽保证增加盘装仪表。安装漏电保护开关，急停开关保护。材质：钢质喷塑，1套。</w:t>
      </w:r>
    </w:p>
    <w:p w14:paraId="5D03A83B">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73.框架，按工艺进行框架与操作平台的设计与制作。框架与操作平台应包括立柱、主梁、次梁、加固横梁、花纹板楼梯平台、护栏、防滑板、扶梯、踏步板、地脚板等主要构件，表面涂覆环氧树脂油漆。装置之间具有分区标识并留有安全通道及通道标识。每套装置须含有二层平台。框架与操作平台须牢固、美观、上下通行安全、方便，1套。</w:t>
      </w:r>
    </w:p>
    <w:p w14:paraId="7059BCA4">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74.GDS系统，可燃气体探测器检测气体：可燃气体：丙烷、丁烷、氢气、甲烷、甲醇、甲酸甲酯、甲苯、均四甲苯、甲醇叔丁基醚、戊烷、壬烷、异戊烷、二异丙醚、石脑油、酚、乙炔、乙醇1套。</w:t>
      </w:r>
    </w:p>
    <w:p w14:paraId="3DA6DE48">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75.有毒有害气体探测器检测气体：氢气、氧气、氨气、硫化氢、一氧化碳、苯。探测范围：氧气：0-25%VOL；氨气：0-200ppm；硫化氢：0-50ppm；一氧化碳：0-500ppm苯：0-100ppm。</w:t>
      </w:r>
    </w:p>
    <w:p w14:paraId="45AA4FFD">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76.防爆声光报警器工作电压：DC24V±25%，工作电流：100mA，光强：2400±200mcd，声音强度：85dB，防爆标志：ExdmBⅡCT6，防护等级：IP66，出线孔连接螺纹：G3/4＂管螺纹（外）。</w:t>
      </w:r>
    </w:p>
    <w:p w14:paraId="31CB82F7">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77.三废处理系统，处理实验产生的废气、废水和固体废弃物的综合治理系统1套。</w:t>
      </w:r>
    </w:p>
    <w:p w14:paraId="676C0057">
      <w:pPr>
        <w:snapToGrid w:val="0"/>
        <w:spacing w:line="500" w:lineRule="exact"/>
        <w:ind w:firstLine="658"/>
        <w:rPr>
          <w:rFonts w:hint="eastAsia" w:ascii="宋体" w:hAnsi="宋体" w:eastAsia="宋体" w:cs="宋体"/>
          <w:sz w:val="28"/>
          <w:szCs w:val="28"/>
        </w:rPr>
      </w:pPr>
      <w:r>
        <w:rPr>
          <w:rFonts w:hint="eastAsia" w:ascii="宋体" w:hAnsi="宋体" w:eastAsia="宋体" w:cs="宋体"/>
          <w:sz w:val="28"/>
          <w:szCs w:val="28"/>
        </w:rPr>
        <w:t>78.提供装置详细功能叙述、装置工艺流程图、装置静设备加工图、装置布局图、主要工艺参数测控点、控制逻辑及联锁方案。</w:t>
      </w:r>
    </w:p>
    <w:p w14:paraId="3555F5CE">
      <w:pPr>
        <w:spacing w:line="500" w:lineRule="exact"/>
        <w:rPr>
          <w:rFonts w:hint="eastAsia" w:ascii="宋体" w:hAnsi="宋体" w:eastAsia="宋体" w:cs="宋体"/>
          <w:sz w:val="28"/>
          <w:szCs w:val="28"/>
        </w:rPr>
      </w:pPr>
    </w:p>
    <w:p w14:paraId="1D4E2123">
      <w:pPr>
        <w:spacing w:line="500" w:lineRule="exact"/>
        <w:rPr>
          <w:rFonts w:hint="eastAsia" w:ascii="宋体" w:hAnsi="宋体" w:eastAsia="宋体" w:cs="宋体"/>
          <w:sz w:val="28"/>
          <w:szCs w:val="28"/>
        </w:rPr>
      </w:pPr>
      <w:r>
        <w:rPr>
          <w:rFonts w:hint="eastAsia" w:ascii="宋体" w:hAnsi="宋体" w:eastAsia="宋体" w:cs="宋体"/>
          <w:b/>
          <w:sz w:val="28"/>
          <w:szCs w:val="28"/>
        </w:rPr>
        <w:t>备注：以上78项参数，均</w:t>
      </w:r>
      <w:r>
        <w:rPr>
          <w:rFonts w:hint="eastAsia" w:ascii="宋体" w:hAnsi="宋体" w:eastAsia="宋体" w:cs="宋体"/>
          <w:b/>
          <w:bCs/>
          <w:sz w:val="28"/>
          <w:szCs w:val="28"/>
        </w:rPr>
        <w:t>为一般参数项。</w:t>
      </w:r>
    </w:p>
    <w:p w14:paraId="14A0A299">
      <w:pPr>
        <w:spacing w:line="500" w:lineRule="exact"/>
        <w:rPr>
          <w:rFonts w:hint="eastAsia" w:ascii="宋体" w:hAnsi="宋体" w:eastAsia="宋体" w:cs="宋体"/>
          <w:sz w:val="28"/>
          <w:szCs w:val="28"/>
        </w:rPr>
      </w:pPr>
      <w:r>
        <w:rPr>
          <w:rFonts w:hint="eastAsia" w:ascii="宋体" w:hAnsi="宋体" w:eastAsia="宋体" w:cs="宋体"/>
          <w:b/>
          <w:sz w:val="28"/>
          <w:szCs w:val="28"/>
        </w:rPr>
        <w:br w:type="page"/>
      </w:r>
    </w:p>
    <w:p w14:paraId="718A7E80">
      <w:pPr>
        <w:snapToGrid w:val="0"/>
        <w:spacing w:line="500" w:lineRule="exact"/>
        <w:ind w:left="714"/>
        <w:rPr>
          <w:rFonts w:hint="eastAsia" w:ascii="宋体" w:hAnsi="宋体" w:eastAsia="宋体" w:cs="宋体"/>
          <w:color w:val="FF0000"/>
          <w:sz w:val="28"/>
          <w:szCs w:val="28"/>
          <w:highlight w:val="none"/>
        </w:rPr>
      </w:pPr>
      <w:r>
        <w:rPr>
          <w:rFonts w:hint="eastAsia" w:ascii="宋体" w:hAnsi="宋体" w:eastAsia="宋体" w:cs="宋体"/>
          <w:b/>
          <w:color w:val="FF0000"/>
          <w:sz w:val="28"/>
          <w:szCs w:val="28"/>
        </w:rPr>
        <w:t>11、品目名称：数字智能化醋酸乙烯酯和</w:t>
      </w:r>
      <w:r>
        <w:rPr>
          <w:rFonts w:hint="eastAsia" w:ascii="宋体" w:hAnsi="宋体" w:eastAsia="宋体" w:cs="宋体"/>
          <w:b/>
          <w:color w:val="FF0000"/>
          <w:sz w:val="28"/>
          <w:szCs w:val="28"/>
          <w:highlight w:val="none"/>
        </w:rPr>
        <w:t>氯乙烯装置</w:t>
      </w:r>
      <w:r>
        <w:rPr>
          <w:rFonts w:hint="eastAsia" w:ascii="宋体" w:hAnsi="宋体" w:eastAsia="宋体" w:cs="宋体"/>
          <w:b/>
          <w:bCs w:val="0"/>
          <w:color w:val="FF0000"/>
          <w:sz w:val="28"/>
          <w:szCs w:val="28"/>
          <w:highlight w:val="none"/>
          <w:lang w:val="en-US" w:eastAsia="zh-CN"/>
        </w:rPr>
        <w:t>（核心产品，带★标识的参数不允许负偏离</w:t>
      </w:r>
      <w:r>
        <w:rPr>
          <w:rFonts w:hint="eastAsia" w:hAnsi="宋体" w:cs="宋体"/>
          <w:b/>
          <w:bCs w:val="0"/>
          <w:color w:val="FF0000"/>
          <w:sz w:val="28"/>
          <w:szCs w:val="28"/>
          <w:highlight w:val="none"/>
          <w:lang w:val="en-US" w:eastAsia="zh-CN"/>
        </w:rPr>
        <w:t>，其他未标识项为一般参数项</w:t>
      </w:r>
      <w:r>
        <w:rPr>
          <w:rFonts w:hint="eastAsia" w:ascii="宋体" w:hAnsi="宋体" w:eastAsia="宋体" w:cs="宋体"/>
          <w:b/>
          <w:bCs w:val="0"/>
          <w:color w:val="FF0000"/>
          <w:sz w:val="28"/>
          <w:szCs w:val="28"/>
          <w:highlight w:val="none"/>
          <w:lang w:val="en-US" w:eastAsia="zh-CN"/>
        </w:rPr>
        <w:t>）</w:t>
      </w:r>
    </w:p>
    <w:p w14:paraId="6923FA2B">
      <w:pPr>
        <w:snapToGrid w:val="0"/>
        <w:spacing w:line="500" w:lineRule="exact"/>
        <w:ind w:firstLine="714"/>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1）规格：定制设备</w:t>
      </w:r>
    </w:p>
    <w:p w14:paraId="244145A0">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highlight w:val="none"/>
        </w:rPr>
        <w:t>2）详细参数：</w:t>
      </w:r>
      <w:r>
        <w:rPr>
          <w:rFonts w:hint="eastAsia" w:ascii="宋体" w:hAnsi="宋体" w:eastAsia="宋体" w:cs="宋体"/>
          <w:b/>
          <w:bCs/>
          <w:color w:val="FF0000"/>
          <w:sz w:val="28"/>
          <w:szCs w:val="28"/>
          <w:highlight w:val="none"/>
        </w:rPr>
        <w:t>（备注：</w:t>
      </w:r>
      <w:r>
        <w:rPr>
          <w:rFonts w:hint="eastAsia" w:hAnsi="宋体" w:cs="宋体"/>
          <w:b/>
          <w:bCs w:val="0"/>
          <w:color w:val="FF0000"/>
          <w:sz w:val="28"/>
          <w:szCs w:val="28"/>
          <w:highlight w:val="none"/>
          <w:lang w:val="en-US" w:eastAsia="zh-CN"/>
        </w:rPr>
        <w:t>其他未标识般参数项</w:t>
      </w:r>
      <w:r>
        <w:rPr>
          <w:rFonts w:hint="eastAsia" w:hAnsi="宋体" w:cs="宋体"/>
          <w:b/>
          <w:bCs/>
          <w:color w:val="FF0000"/>
          <w:sz w:val="28"/>
          <w:szCs w:val="28"/>
          <w:highlight w:val="none"/>
          <w:lang w:val="en-US" w:eastAsia="zh-CN"/>
        </w:rPr>
        <w:t>59</w:t>
      </w:r>
      <w:r>
        <w:rPr>
          <w:rFonts w:hint="eastAsia" w:ascii="宋体" w:hAnsi="宋体" w:eastAsia="宋体" w:cs="宋体"/>
          <w:b/>
          <w:bCs/>
          <w:color w:val="FF0000"/>
          <w:sz w:val="28"/>
          <w:szCs w:val="28"/>
          <w:highlight w:val="none"/>
        </w:rPr>
        <w:t>项</w:t>
      </w:r>
      <w:r>
        <w:rPr>
          <w:rFonts w:hint="eastAsia" w:ascii="宋体" w:hAnsi="宋体" w:eastAsia="宋体" w:cs="宋体"/>
          <w:b/>
          <w:bCs/>
          <w:color w:val="FF0000"/>
          <w:sz w:val="28"/>
          <w:szCs w:val="28"/>
        </w:rPr>
        <w:t>）</w:t>
      </w:r>
    </w:p>
    <w:p w14:paraId="7718C438">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1、进料泵，要求进料最大流量200ml/min，出口压力≥2.0MPa，工作电压220V，材质不锈钢316，智能人机交互界面，全彩屏，清晰观测各种数据，实时压力曲线显示，可选RS232和RS485接口，配置多协议，通信畅通无阻，1套。</w:t>
      </w:r>
    </w:p>
    <w:p w14:paraId="0C2C81EC">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2、原料储罐，材质不锈钢316，尺寸≥Ø219*500，配备液位显示，放空阀、加料口、排污阀（316），1台。</w:t>
      </w:r>
    </w:p>
    <w:p w14:paraId="2280EBAA">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3、预热器，材质不锈钢316，设计温度≥250℃，K型热电偶测温，电加热控温，带保温（316），2台。</w:t>
      </w:r>
    </w:p>
    <w:p w14:paraId="46DDA3B0">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highlight w:val="cyan"/>
        </w:rPr>
        <w:t>★</w:t>
      </w:r>
      <w:r>
        <w:rPr>
          <w:rFonts w:hint="eastAsia" w:ascii="宋体" w:hAnsi="宋体" w:eastAsia="宋体" w:cs="宋体"/>
          <w:color w:val="FF0000"/>
          <w:sz w:val="28"/>
          <w:szCs w:val="28"/>
        </w:rPr>
        <w:t>4、反应器1，材质不锈钢316，设计温度≥300℃，方便拆卸，更换催化剂，测温预埋管，K型热电偶测温，测温点，电加热控温，设计压力1.5MPa，2台。</w:t>
      </w:r>
    </w:p>
    <w:p w14:paraId="3FDD62FD">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highlight w:val="cyan"/>
        </w:rPr>
        <w:t>★</w:t>
      </w:r>
      <w:r>
        <w:rPr>
          <w:rFonts w:hint="eastAsia" w:ascii="宋体" w:hAnsi="宋体" w:eastAsia="宋体" w:cs="宋体"/>
          <w:color w:val="FF0000"/>
          <w:sz w:val="28"/>
          <w:szCs w:val="28"/>
        </w:rPr>
        <w:t>5、反应器2，材质不锈钢316，设计温度≥300℃，方便拆卸，更换催化剂，测温预埋管，K型热电偶测温，测温点，电加热控温，设计压力≥1.5MPa，2台。</w:t>
      </w:r>
    </w:p>
    <w:p w14:paraId="2B2B6BC3">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6、冷凝器，材质不锈钢316，换热面积≥1m</w:t>
      </w:r>
      <w:r>
        <w:rPr>
          <w:rFonts w:hint="eastAsia" w:ascii="宋体" w:hAnsi="宋体" w:eastAsia="宋体" w:cs="宋体"/>
          <w:color w:val="FF0000"/>
          <w:sz w:val="28"/>
          <w:szCs w:val="28"/>
          <w:vertAlign w:val="superscript"/>
        </w:rPr>
        <w:t>2</w:t>
      </w:r>
      <w:r>
        <w:rPr>
          <w:rFonts w:hint="eastAsia" w:ascii="宋体" w:hAnsi="宋体" w:eastAsia="宋体" w:cs="宋体"/>
          <w:color w:val="FF0000"/>
          <w:sz w:val="28"/>
          <w:szCs w:val="28"/>
        </w:rPr>
        <w:t>，（316），2台。</w:t>
      </w:r>
    </w:p>
    <w:p w14:paraId="3BD1E83D">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7、气液分离器，材质不锈钢316，尺寸≥Ø108*400，2台。</w:t>
      </w:r>
    </w:p>
    <w:p w14:paraId="7EC7422D">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8、产品罐，材质不锈钢316，尺寸≥Ø219*500，2台</w:t>
      </w:r>
    </w:p>
    <w:p w14:paraId="3D42A645">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9、质量流量控制器乙炔气，最大30升/min，耐压≥3MPa，精度高、线性好，流量精度不受气体压力、环境温度影响，2台。</w:t>
      </w:r>
    </w:p>
    <w:p w14:paraId="40F16A86">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10、质量流量控制器，氮气，最大30升/min，耐压≥3MPa，精度高、线性好，流量精度不受气体压力、环境温度影响，2台。</w:t>
      </w:r>
    </w:p>
    <w:p w14:paraId="08907F22">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11、质量流量控制器，氯化氢，最大30升/min，耐压≥3MPa，精度高、线性好，流量精度不受气体压力、环境温度影响，1台。</w:t>
      </w:r>
    </w:p>
    <w:p w14:paraId="2A69F6C5">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12、质量流量计，乙炔气，最大30升/min，耐压≥3MPa，测量精准，流量精度不受气体压力、环境温度影响，1台。</w:t>
      </w:r>
    </w:p>
    <w:p w14:paraId="3E2CBEFB">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13、质量流量计，氯乙烯，最大30升/min，耐压≥3MPa，测量精度高，流量精度不受气体压力、环境温度影响，1台。</w:t>
      </w:r>
    </w:p>
    <w:p w14:paraId="55A76DBC">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14、压力传感器0-3MPa，24伏供电，4-20mA,0.075%，带现场显示，1批。</w:t>
      </w:r>
    </w:p>
    <w:p w14:paraId="1329BB3D">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15、温度传感器K型热电偶，测量精度高，灵敏度高、稳定性好，1批。</w:t>
      </w:r>
    </w:p>
    <w:p w14:paraId="4300C2E4">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16、阀门，材质不锈钢316，抗压耐腐蚀、使用性好，1批。</w:t>
      </w:r>
    </w:p>
    <w:p w14:paraId="0F41735B">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17、减压阀，材质不锈钢316，精度高，输出压力稳定，0-2MPa，4台。</w:t>
      </w:r>
    </w:p>
    <w:p w14:paraId="5CF32B52">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18、背压阀，材质不锈钢316，精度高，输出压力稳定，0-2MPa2台。</w:t>
      </w:r>
    </w:p>
    <w:p w14:paraId="77D1CAA4">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19、六通阀，材质不锈钢316，操作方便，结构紧凑，使用寿命长，1台。</w:t>
      </w:r>
    </w:p>
    <w:p w14:paraId="4657FE52">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20、取样器，材质不锈钢316，操作方便，结构紧凑，使用寿命长，1台。</w:t>
      </w:r>
    </w:p>
    <w:p w14:paraId="38C47CA9">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21、阀门管件，球阀，不锈钢，与工艺管道相匹配，1批。</w:t>
      </w:r>
    </w:p>
    <w:p w14:paraId="64EF364F">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22.截止阀，不锈钢，与工艺管道相匹配，1批。</w:t>
      </w:r>
    </w:p>
    <w:p w14:paraId="48036983">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23.过滤器，不锈钢，与工艺管道相匹配，1批。</w:t>
      </w:r>
    </w:p>
    <w:p w14:paraId="45F3A73F">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24.管件，不锈钢弯头、三通等，与工艺管道相匹配，1批。</w:t>
      </w:r>
    </w:p>
    <w:p w14:paraId="2F6401DE">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25.管道不锈钢，与工艺管道相匹配，1批。</w:t>
      </w:r>
    </w:p>
    <w:p w14:paraId="2AA85D4B">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26、框架，主体框架不锈钢框架与操作平台应包括立柱、主梁、次梁、加固横梁、花纹板楼梯平台、护栏、防滑板、扶梯、踏步板、地脚板等主要构件。装置局部含有二层平台。框架与操作平台须牢固、美观、上下通行安全、方便。1台。</w:t>
      </w:r>
    </w:p>
    <w:p w14:paraId="180FD034">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27、冷却系统，微电脑控制，中文液晶显示，智能恒温、持续储冷，快速制冷、控温精准，低温至5℃，1台。</w:t>
      </w:r>
    </w:p>
    <w:p w14:paraId="31B31915">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28、分析系统，气相色谱及附属设备，色谱工作站：柱箱：温度范围：室温～400℃；双路后开门装置，从250℃降到50℃时间小于5分钟；程序升温：16阶；升温速率：0.1℃～50℃/分。注样器箱：室温～400℃，双火焰方式：适用于大进样量或痕量样品的检测单火焰方式：可提高对硫检测的灵敏度，直接输出：对磷或硫检测，平方根输出：对硫检测，漏光保护：漏光电流≥12μA时自动切断高压，最高设定温度：≥400℃，检测限：［N］≤2×10-13g/s(偶氮苯)，［P］≤1×10-13g/s(马拉硫磷)，线性范围：［N］：105；［P］：1041。</w:t>
      </w:r>
    </w:p>
    <w:p w14:paraId="3ED60B54">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29、控制系统，控制柜，机柜正面装配控制器单元（DPU）和各种信号处理单元（I/O模块）及底座。机柜背面装配供电单元和I/O单元，安装一些辅助设备（如安全栅，继电器，端子，空开等）。控制系统，主机DELL（1）控制器（2）4-20mA模拟量输入模块（3）4-20mA模拟量HART输入模块（4）4-20mA模拟量输出模块（5）开关量输入模块（6）开关量输出模块（7）Modbus通讯模块（8）ProfibusDP通讯模块(9)继电器输出底座(10)通用双槽底座(11)通用单槽底座(12)24v查询电源分配模块(13)工程管理器软件(14)图形编辑器软件(15)在线运行软件(16)控制算法软件(17)服务器软件(18)通讯软件(19)百兆交换机(20)工程师组态软件，含加密狗(21)学员站，1套。</w:t>
      </w:r>
    </w:p>
    <w:p w14:paraId="347D610B">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30、电气系统，操作台，钢质喷塑；接触器、继电器、空气开关、按钮等。1个。</w:t>
      </w:r>
    </w:p>
    <w:p w14:paraId="4900C06E">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31.操作面板安装嵌在操作控制台面1个。</w:t>
      </w:r>
    </w:p>
    <w:p w14:paraId="3CE32935">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32.线缆所有仪表及指示灯的电源线通过线槽、电源接线端子标准配线，配线两端按国标标注线标，1批。</w:t>
      </w:r>
    </w:p>
    <w:p w14:paraId="71B0A9A5">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33.接线端子仪表盘内设置安全保险装置，设置接线端子，电源端子和信号端子应有明显的区分标记，1批。</w:t>
      </w:r>
    </w:p>
    <w:p w14:paraId="21692584">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34.电路板盘后设置各种架装继电器的备用安装位置，1套。</w:t>
      </w:r>
    </w:p>
    <w:p w14:paraId="59D0F51F">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35.线槽，设置足够的线槽保证增加盘装仪表，1批。</w:t>
      </w:r>
    </w:p>
    <w:p w14:paraId="40587AA2">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36.安全保护，安装漏电保护开关，急停开关保护，1套。</w:t>
      </w:r>
    </w:p>
    <w:p w14:paraId="1D65608F">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37、智能仪表，采用模块化技术的多路测量显示仪及运算器，配合各种输入模块，可支持2个可编程测量输入回路，配合不同的输入模块，可以输入2路热电偶、电压或电流信号。</w:t>
      </w:r>
    </w:p>
    <w:p w14:paraId="55362145">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38、可定义通道编号，显示直观方便。适合在监控系统或控制系统中做模拟量数据采集模块或温度变送器，为上位机提供输入规格丰富、高精度高稳定性、智能化编程的高性价比模拟量采集数据；还可提供开关量输入或输出接口给上位机，上位机可通过它执行开关量操作。</w:t>
      </w:r>
    </w:p>
    <w:p w14:paraId="18A72D4F">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39、具有100-240VAC范围输入的开关电源或24VDC电源供电及多种安装尺寸；其电源及全部I/O端子均通过了4KV的群脉冲抗干扰测试，能在强干扰环境下可靠工作。使用高性能的元器件，大大降低温度漂移并使得2个通道之间相互干扰降低，使多路测量在精度及抗干扰性能上也达到了与单路测量仪表相当的水准。内建开方、加法器、减法器、乘法器、最大值、最小值等运算功能及干湿球法测量湿度功能。最多可有2个相互隔离的变送电流输出，可将任意通道的测量值从OUTP端口变送输出，或将2个通道轮流变送输出，可以编程作为二进二出或一进二型变送器使用。</w:t>
      </w:r>
    </w:p>
    <w:p w14:paraId="6081EFFC">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40、支持新一代E5型DIN导轨外型，可直接用连线连接手持显示器进行编程，使用更方便。齐全的输入规格，各路输入可以使用不同的信号规格。当输入为线性电压、电流或电阻时，各回路可独立定义刻度及小数点位置，当输入为热电偶或热电阻等温度传感器时，可独立进行平移修正及选择0.1/1℃指示分辨率。各输入回路均具备数字滤波，且滤波强度可以独立调整或取消滤波。热电偶测量可支持冰点补偿、铜电阻补偿及恒温槽补偿等各种高精度补偿功能。</w:t>
      </w:r>
    </w:p>
    <w:p w14:paraId="73E090E7">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41、具备定点/自动巡回测量显示功能，并有2种巡检速度可以选择。每个回路都具备独立的上、下限报警功能，并且其报警输出位置可以编程指定。不同输入回路的上限或下限报警信号即可编程为从同一报警通道输出，也可从不同的通道输出。最多可有7路报警输出。作为计算机下位机时，可为计算机提供开关量输入/输出端口，最多可有7路开关量输入或输出。具备先进的计算机通讯功能。</w:t>
      </w:r>
    </w:p>
    <w:p w14:paraId="0923DF83">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42、离心泵，功率：≥250w,流量≥2.4m</w:t>
      </w:r>
      <w:r>
        <w:rPr>
          <w:rFonts w:hint="eastAsia" w:ascii="宋体" w:hAnsi="宋体" w:eastAsia="宋体" w:cs="宋体"/>
          <w:color w:val="FF0000"/>
          <w:sz w:val="28"/>
          <w:szCs w:val="28"/>
          <w:vertAlign w:val="superscript"/>
        </w:rPr>
        <w:t>3</w:t>
      </w:r>
      <w:r>
        <w:rPr>
          <w:rFonts w:hint="eastAsia" w:ascii="宋体" w:hAnsi="宋体" w:eastAsia="宋体" w:cs="宋体"/>
          <w:color w:val="FF0000"/>
          <w:sz w:val="28"/>
          <w:szCs w:val="28"/>
        </w:rPr>
        <w:t>/h，1套。</w:t>
      </w:r>
    </w:p>
    <w:p w14:paraId="40426627">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43、储水罐，管路阀门等，1套。</w:t>
      </w:r>
    </w:p>
    <w:p w14:paraId="4E55BD89">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44、制冷机，制冷量≥2.94kw/hr，能将循环冷却水降温至10℃以下、1套。</w:t>
      </w:r>
    </w:p>
    <w:p w14:paraId="4A5502AA">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45、循环泵，功率≥250w,流量≥2.4m</w:t>
      </w:r>
      <w:r>
        <w:rPr>
          <w:rFonts w:hint="eastAsia" w:ascii="宋体" w:hAnsi="宋体" w:eastAsia="宋体" w:cs="宋体"/>
          <w:color w:val="FF0000"/>
          <w:sz w:val="28"/>
          <w:szCs w:val="28"/>
          <w:vertAlign w:val="superscript"/>
        </w:rPr>
        <w:t>3</w:t>
      </w:r>
      <w:r>
        <w:rPr>
          <w:rFonts w:hint="eastAsia" w:ascii="宋体" w:hAnsi="宋体" w:eastAsia="宋体" w:cs="宋体"/>
          <w:color w:val="FF0000"/>
          <w:sz w:val="28"/>
          <w:szCs w:val="28"/>
        </w:rPr>
        <w:t>/h，管路阀门等，1套。</w:t>
      </w:r>
    </w:p>
    <w:p w14:paraId="3A54220E">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46、纯水机0.25m</w:t>
      </w:r>
      <w:r>
        <w:rPr>
          <w:rFonts w:hint="eastAsia" w:ascii="宋体" w:hAnsi="宋体" w:eastAsia="宋体" w:cs="宋体"/>
          <w:color w:val="FF0000"/>
          <w:sz w:val="28"/>
          <w:szCs w:val="28"/>
          <w:vertAlign w:val="superscript"/>
        </w:rPr>
        <w:t>3</w:t>
      </w:r>
      <w:r>
        <w:rPr>
          <w:rFonts w:hint="eastAsia" w:ascii="宋体" w:hAnsi="宋体" w:eastAsia="宋体" w:cs="宋体"/>
          <w:color w:val="FF0000"/>
          <w:sz w:val="28"/>
          <w:szCs w:val="28"/>
        </w:rPr>
        <w:t>/h，1套。</w:t>
      </w:r>
    </w:p>
    <w:p w14:paraId="48AB34F3">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47、储水罐容量≥0.5m</w:t>
      </w:r>
      <w:r>
        <w:rPr>
          <w:rFonts w:hint="eastAsia" w:ascii="宋体" w:hAnsi="宋体" w:eastAsia="宋体" w:cs="宋体"/>
          <w:color w:val="FF0000"/>
          <w:sz w:val="28"/>
          <w:szCs w:val="28"/>
          <w:vertAlign w:val="superscript"/>
        </w:rPr>
        <w:t>3</w:t>
      </w:r>
      <w:r>
        <w:rPr>
          <w:rFonts w:hint="eastAsia" w:ascii="宋体" w:hAnsi="宋体" w:eastAsia="宋体" w:cs="宋体"/>
          <w:color w:val="FF0000"/>
          <w:sz w:val="28"/>
          <w:szCs w:val="28"/>
        </w:rPr>
        <w:t>，离心泵，功率≥250w,流量≥2.4m</w:t>
      </w:r>
      <w:r>
        <w:rPr>
          <w:rFonts w:hint="eastAsia" w:ascii="宋体" w:hAnsi="宋体" w:eastAsia="宋体" w:cs="宋体"/>
          <w:color w:val="FF0000"/>
          <w:sz w:val="28"/>
          <w:szCs w:val="28"/>
          <w:vertAlign w:val="superscript"/>
        </w:rPr>
        <w:t>3</w:t>
      </w:r>
      <w:r>
        <w:rPr>
          <w:rFonts w:hint="eastAsia" w:ascii="宋体" w:hAnsi="宋体" w:eastAsia="宋体" w:cs="宋体"/>
          <w:color w:val="FF0000"/>
          <w:sz w:val="28"/>
          <w:szCs w:val="28"/>
        </w:rPr>
        <w:t>/h，管路阀门等1套。</w:t>
      </w:r>
    </w:p>
    <w:p w14:paraId="6B1B1B27">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48、离心泵，功率：≥250w,流量≥2.4m</w:t>
      </w:r>
      <w:r>
        <w:rPr>
          <w:rFonts w:hint="eastAsia" w:ascii="宋体" w:hAnsi="宋体" w:eastAsia="宋体" w:cs="宋体"/>
          <w:color w:val="FF0000"/>
          <w:sz w:val="28"/>
          <w:szCs w:val="28"/>
          <w:vertAlign w:val="superscript"/>
        </w:rPr>
        <w:t>3</w:t>
      </w:r>
      <w:r>
        <w:rPr>
          <w:rFonts w:hint="eastAsia" w:ascii="宋体" w:hAnsi="宋体" w:eastAsia="宋体" w:cs="宋体"/>
          <w:color w:val="FF0000"/>
          <w:sz w:val="28"/>
          <w:szCs w:val="28"/>
        </w:rPr>
        <w:t>/h，储水罐，管路阀门等1套。</w:t>
      </w:r>
    </w:p>
    <w:p w14:paraId="09ED8EF3">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49、真空泵，1台。</w:t>
      </w:r>
    </w:p>
    <w:p w14:paraId="7991A36A">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50、真空缓冲罐，管道阀门，不锈钢管道，DN15,DN25等尺寸，1套。</w:t>
      </w:r>
    </w:p>
    <w:p w14:paraId="633720FA">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51、螺杆空压机，功率≥7.5kW，1套。</w:t>
      </w:r>
    </w:p>
    <w:p w14:paraId="54F9003E">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52、空气储罐容积≥1.0m</w:t>
      </w:r>
      <w:r>
        <w:rPr>
          <w:rFonts w:hint="eastAsia" w:ascii="宋体" w:hAnsi="宋体" w:eastAsia="宋体" w:cs="宋体"/>
          <w:color w:val="FF0000"/>
          <w:sz w:val="28"/>
          <w:szCs w:val="28"/>
          <w:vertAlign w:val="superscript"/>
        </w:rPr>
        <w:t>3</w:t>
      </w:r>
      <w:r>
        <w:rPr>
          <w:rFonts w:hint="eastAsia" w:ascii="宋体" w:hAnsi="宋体" w:eastAsia="宋体" w:cs="宋体"/>
          <w:color w:val="FF0000"/>
          <w:sz w:val="28"/>
          <w:szCs w:val="28"/>
        </w:rPr>
        <w:t>，管道阀门，不锈钢管道，DN15,DN25等尺寸1套。</w:t>
      </w:r>
    </w:p>
    <w:p w14:paraId="6F8B3A2A">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53、制氮机，不锈钢管路阀门等1套。</w:t>
      </w:r>
    </w:p>
    <w:p w14:paraId="4B434FD3">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54、蒸汽发生器，380V，1套。</w:t>
      </w:r>
    </w:p>
    <w:p w14:paraId="705A2126">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55、蒸汽分配器，不锈钢管路阀门等1套。</w:t>
      </w:r>
    </w:p>
    <w:p w14:paraId="4CB6A44B">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56、安全保护系统。1套。</w:t>
      </w:r>
    </w:p>
    <w:p w14:paraId="15C9A3E5">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57、要求提供装置安全性工作站：要求实现自动操作，提供自动数据存储，并提供设计方案、证明文件。1套。</w:t>
      </w:r>
    </w:p>
    <w:p w14:paraId="73A14914">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58、防爆声光报警器工作电压：DC24V±25%，工作电流：≤100mA，光强：2400±200mcd，声音强度：≥85dB，防护等级：≥IP66，出线孔连接螺纹：G3/4＂管螺纹（外）</w:t>
      </w:r>
    </w:p>
    <w:p w14:paraId="0D7D69A6">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59、要求配备分析系统，1套。</w:t>
      </w:r>
    </w:p>
    <w:p w14:paraId="1F4AAFA4">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60、要求气、液、固三废处理满足排放标准，并提供方案。</w:t>
      </w:r>
    </w:p>
    <w:p w14:paraId="0F40F21C">
      <w:pPr>
        <w:snapToGrid w:val="0"/>
        <w:spacing w:line="500" w:lineRule="exact"/>
        <w:ind w:firstLine="714"/>
        <w:rPr>
          <w:rFonts w:hint="eastAsia" w:ascii="宋体" w:hAnsi="宋体" w:eastAsia="宋体" w:cs="宋体"/>
          <w:color w:val="FF0000"/>
          <w:sz w:val="28"/>
          <w:szCs w:val="28"/>
        </w:rPr>
      </w:pPr>
      <w:r>
        <w:rPr>
          <w:rFonts w:hint="eastAsia" w:ascii="宋体" w:hAnsi="宋体" w:eastAsia="宋体" w:cs="宋体"/>
          <w:color w:val="FF0000"/>
          <w:sz w:val="28"/>
          <w:szCs w:val="28"/>
        </w:rPr>
        <w:t>61、提供装置详细功能叙述、装置工艺流程图、装置静设备加工图、装置布局图、主要工艺参数测控点、控制逻辑及联锁方案。</w:t>
      </w:r>
    </w:p>
    <w:p w14:paraId="4994D33E">
      <w:pPr>
        <w:pStyle w:val="87"/>
        <w:spacing w:line="500" w:lineRule="exact"/>
        <w:jc w:val="center"/>
        <w:rPr>
          <w:rFonts w:hint="eastAsia" w:ascii="宋体" w:hAnsi="宋体" w:eastAsia="宋体" w:cs="宋体"/>
          <w:b/>
          <w:color w:val="FF0000"/>
          <w:sz w:val="28"/>
          <w:szCs w:val="28"/>
        </w:rPr>
      </w:pPr>
    </w:p>
    <w:p w14:paraId="384F3D72">
      <w:pPr>
        <w:spacing w:line="500" w:lineRule="exact"/>
        <w:rPr>
          <w:rFonts w:hint="eastAsia" w:ascii="宋体" w:hAnsi="宋体" w:eastAsia="宋体" w:cs="宋体"/>
          <w:sz w:val="28"/>
          <w:szCs w:val="28"/>
        </w:rPr>
      </w:pPr>
      <w:r>
        <w:rPr>
          <w:rFonts w:hint="eastAsia" w:ascii="宋体" w:hAnsi="宋体" w:eastAsia="宋体" w:cs="宋体"/>
          <w:b/>
          <w:color w:val="FF0000"/>
          <w:sz w:val="28"/>
          <w:szCs w:val="28"/>
        </w:rPr>
        <w:t>备注：</w:t>
      </w:r>
      <w:r>
        <w:rPr>
          <w:rFonts w:hint="eastAsia" w:ascii="宋体" w:hAnsi="宋体" w:eastAsia="宋体" w:cs="宋体"/>
          <w:b/>
          <w:sz w:val="28"/>
          <w:szCs w:val="28"/>
        </w:rPr>
        <w:t>以上</w:t>
      </w:r>
      <w:r>
        <w:rPr>
          <w:rFonts w:hint="eastAsia" w:hAnsi="宋体" w:cs="宋体"/>
          <w:b/>
          <w:sz w:val="28"/>
          <w:szCs w:val="28"/>
          <w:lang w:val="en-US" w:eastAsia="zh-CN"/>
        </w:rPr>
        <w:t>61</w:t>
      </w:r>
      <w:r>
        <w:rPr>
          <w:rFonts w:hint="eastAsia" w:ascii="宋体" w:hAnsi="宋体" w:eastAsia="宋体" w:cs="宋体"/>
          <w:b/>
          <w:sz w:val="28"/>
          <w:szCs w:val="28"/>
        </w:rPr>
        <w:t>项参数，其中实质性参数项（</w:t>
      </w:r>
      <w:r>
        <w:rPr>
          <w:rFonts w:hint="eastAsia" w:ascii="宋体" w:hAnsi="宋体" w:eastAsia="宋体" w:cs="宋体"/>
          <w:b/>
          <w:sz w:val="28"/>
          <w:szCs w:val="28"/>
          <w:highlight w:val="cyan"/>
        </w:rPr>
        <w:t>★</w:t>
      </w:r>
      <w:r>
        <w:rPr>
          <w:rFonts w:hint="eastAsia" w:ascii="宋体" w:hAnsi="宋体" w:eastAsia="宋体" w:cs="宋体"/>
          <w:b/>
          <w:bCs/>
          <w:sz w:val="28"/>
          <w:szCs w:val="28"/>
        </w:rPr>
        <w:t>号项</w:t>
      </w:r>
      <w:r>
        <w:rPr>
          <w:rFonts w:hint="eastAsia" w:ascii="宋体" w:hAnsi="宋体" w:eastAsia="宋体" w:cs="宋体"/>
          <w:b/>
          <w:sz w:val="28"/>
          <w:szCs w:val="28"/>
        </w:rPr>
        <w:t>）</w:t>
      </w:r>
      <w:r>
        <w:rPr>
          <w:rFonts w:hint="eastAsia" w:hAnsi="宋体" w:cs="宋体"/>
          <w:b/>
          <w:bCs/>
          <w:sz w:val="28"/>
          <w:szCs w:val="28"/>
          <w:lang w:val="en-US" w:eastAsia="zh-CN"/>
        </w:rPr>
        <w:t>2</w:t>
      </w:r>
      <w:r>
        <w:rPr>
          <w:rFonts w:hint="eastAsia" w:ascii="宋体" w:hAnsi="宋体" w:eastAsia="宋体" w:cs="宋体"/>
          <w:b/>
          <w:sz w:val="28"/>
          <w:szCs w:val="28"/>
        </w:rPr>
        <w:t>项，不允许负偏离。其他非</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号项和非</w:t>
      </w:r>
      <w:r>
        <w:rPr>
          <w:rFonts w:hint="eastAsia" w:ascii="宋体" w:hAnsi="宋体" w:eastAsia="宋体" w:cs="宋体"/>
          <w:b/>
          <w:sz w:val="28"/>
          <w:szCs w:val="28"/>
          <w:highlight w:val="green"/>
        </w:rPr>
        <w:t>▲</w:t>
      </w:r>
      <w:r>
        <w:rPr>
          <w:rFonts w:hint="eastAsia" w:ascii="宋体" w:hAnsi="宋体" w:eastAsia="宋体" w:cs="宋体"/>
          <w:b/>
          <w:bCs/>
          <w:sz w:val="28"/>
          <w:szCs w:val="28"/>
        </w:rPr>
        <w:t>号项为一般参数项（</w:t>
      </w:r>
      <w:r>
        <w:rPr>
          <w:rFonts w:hint="eastAsia" w:hAnsi="宋体" w:cs="宋体"/>
          <w:b/>
          <w:bCs/>
          <w:sz w:val="28"/>
          <w:szCs w:val="28"/>
          <w:lang w:val="en-US" w:eastAsia="zh-CN"/>
        </w:rPr>
        <w:t>59</w:t>
      </w:r>
      <w:r>
        <w:rPr>
          <w:rFonts w:hint="eastAsia" w:ascii="宋体" w:hAnsi="宋体" w:eastAsia="宋体" w:cs="宋体"/>
          <w:b/>
          <w:bCs/>
          <w:sz w:val="28"/>
          <w:szCs w:val="28"/>
        </w:rPr>
        <w:t>项）。</w:t>
      </w:r>
    </w:p>
    <w:p w14:paraId="0B433C86">
      <w:pPr>
        <w:spacing w:line="500" w:lineRule="exact"/>
        <w:rPr>
          <w:rFonts w:hint="eastAsia" w:ascii="宋体" w:hAnsi="宋体" w:eastAsia="宋体" w:cs="宋体"/>
          <w:sz w:val="28"/>
          <w:szCs w:val="28"/>
        </w:rPr>
      </w:pPr>
      <w:r>
        <w:rPr>
          <w:rFonts w:hint="eastAsia" w:ascii="宋体" w:hAnsi="宋体" w:eastAsia="宋体" w:cs="宋体"/>
          <w:b/>
          <w:color w:val="FF0000"/>
          <w:sz w:val="28"/>
          <w:szCs w:val="28"/>
        </w:rPr>
        <w:t>（核心设备的参数中，代</w:t>
      </w:r>
      <w:r>
        <w:rPr>
          <w:rFonts w:hint="eastAsia" w:ascii="宋体" w:hAnsi="宋体" w:eastAsia="宋体" w:cs="宋体"/>
          <w:b/>
          <w:color w:val="FF0000"/>
          <w:sz w:val="28"/>
          <w:szCs w:val="28"/>
          <w:highlight w:val="cyan"/>
        </w:rPr>
        <w:t>★</w:t>
      </w:r>
      <w:r>
        <w:rPr>
          <w:rFonts w:hint="eastAsia" w:ascii="宋体" w:hAnsi="宋体" w:eastAsia="宋体" w:cs="宋体"/>
          <w:b/>
          <w:color w:val="FF0000"/>
          <w:sz w:val="28"/>
          <w:szCs w:val="28"/>
        </w:rPr>
        <w:t>标识的参数不允许负偏离）</w:t>
      </w:r>
    </w:p>
    <w:p w14:paraId="147003A7">
      <w:pPr>
        <w:rPr>
          <w:rFonts w:hint="eastAsia" w:ascii="宋体" w:hAnsi="宋体" w:eastAsia="宋体" w:cs="宋体"/>
          <w:sz w:val="28"/>
          <w:szCs w:val="28"/>
        </w:rPr>
      </w:pPr>
      <w:r>
        <w:rPr>
          <w:rFonts w:hint="eastAsia" w:ascii="宋体" w:hAnsi="宋体" w:eastAsia="宋体" w:cs="宋体"/>
          <w:b/>
          <w:sz w:val="28"/>
          <w:szCs w:val="28"/>
        </w:rPr>
        <w:br w:type="page"/>
      </w:r>
    </w:p>
    <w:p w14:paraId="60BD1581">
      <w:pPr>
        <w:snapToGrid w:val="0"/>
        <w:spacing w:line="500" w:lineRule="exact"/>
        <w:ind w:left="714"/>
        <w:rPr>
          <w:rFonts w:hint="eastAsia" w:ascii="宋体" w:hAnsi="宋体" w:eastAsia="宋体" w:cs="宋体"/>
          <w:color w:val="FF0000"/>
          <w:sz w:val="28"/>
          <w:szCs w:val="28"/>
          <w:highlight w:val="none"/>
        </w:rPr>
      </w:pPr>
      <w:bookmarkStart w:id="183" w:name="OLE_LINK15"/>
      <w:r>
        <w:rPr>
          <w:rFonts w:hint="eastAsia" w:ascii="宋体" w:hAnsi="宋体" w:eastAsia="宋体" w:cs="宋体"/>
          <w:b/>
          <w:color w:val="FF0000"/>
          <w:sz w:val="28"/>
          <w:szCs w:val="28"/>
        </w:rPr>
        <w:t>12、品目名称：数字智能化共聚物制</w:t>
      </w:r>
      <w:r>
        <w:rPr>
          <w:rFonts w:hint="eastAsia" w:ascii="宋体" w:hAnsi="宋体" w:eastAsia="宋体" w:cs="宋体"/>
          <w:b/>
          <w:color w:val="FF0000"/>
          <w:sz w:val="28"/>
          <w:szCs w:val="28"/>
          <w:highlight w:val="none"/>
        </w:rPr>
        <w:t>备反应装置</w:t>
      </w:r>
      <w:bookmarkEnd w:id="183"/>
      <w:r>
        <w:rPr>
          <w:rFonts w:hint="eastAsia" w:ascii="宋体" w:hAnsi="宋体" w:eastAsia="宋体" w:cs="宋体"/>
          <w:b/>
          <w:bCs w:val="0"/>
          <w:color w:val="FF0000"/>
          <w:sz w:val="28"/>
          <w:szCs w:val="28"/>
          <w:highlight w:val="none"/>
          <w:lang w:val="en-US" w:eastAsia="zh-CN"/>
        </w:rPr>
        <w:t>（核心产品，带★标识的参数不允许负偏离</w:t>
      </w:r>
      <w:r>
        <w:rPr>
          <w:rFonts w:hint="eastAsia" w:hAnsi="宋体" w:cs="宋体"/>
          <w:b/>
          <w:bCs w:val="0"/>
          <w:color w:val="FF0000"/>
          <w:sz w:val="28"/>
          <w:szCs w:val="28"/>
          <w:highlight w:val="none"/>
          <w:lang w:val="en-US" w:eastAsia="zh-CN"/>
        </w:rPr>
        <w:t>，其他未标识项为一般参数项</w:t>
      </w:r>
      <w:r>
        <w:rPr>
          <w:rFonts w:hint="eastAsia" w:ascii="宋体" w:hAnsi="宋体" w:eastAsia="宋体" w:cs="宋体"/>
          <w:b/>
          <w:bCs w:val="0"/>
          <w:color w:val="FF0000"/>
          <w:sz w:val="28"/>
          <w:szCs w:val="28"/>
          <w:highlight w:val="none"/>
          <w:lang w:val="en-US" w:eastAsia="zh-CN"/>
        </w:rPr>
        <w:t>）</w:t>
      </w:r>
    </w:p>
    <w:p w14:paraId="0EE50F16">
      <w:pPr>
        <w:snapToGrid w:val="0"/>
        <w:spacing w:line="500" w:lineRule="exact"/>
        <w:ind w:firstLine="644"/>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1）规格：定制设备</w:t>
      </w:r>
    </w:p>
    <w:p w14:paraId="04808714">
      <w:pPr>
        <w:snapToGrid w:val="0"/>
        <w:spacing w:line="500" w:lineRule="exact"/>
        <w:ind w:firstLine="644"/>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2）详细参数：</w:t>
      </w:r>
      <w:r>
        <w:rPr>
          <w:rFonts w:hint="eastAsia" w:ascii="宋体" w:hAnsi="宋体" w:eastAsia="宋体" w:cs="宋体"/>
          <w:b/>
          <w:bCs/>
          <w:color w:val="FF0000"/>
          <w:sz w:val="28"/>
          <w:szCs w:val="28"/>
          <w:highlight w:val="none"/>
        </w:rPr>
        <w:t>（备注：</w:t>
      </w:r>
      <w:r>
        <w:rPr>
          <w:rFonts w:hint="eastAsia" w:hAnsi="宋体" w:cs="宋体"/>
          <w:b/>
          <w:bCs w:val="0"/>
          <w:color w:val="FF0000"/>
          <w:sz w:val="28"/>
          <w:szCs w:val="28"/>
          <w:highlight w:val="none"/>
          <w:lang w:val="en-US" w:eastAsia="zh-CN"/>
        </w:rPr>
        <w:t>其他未标识一般参数项</w:t>
      </w:r>
      <w:r>
        <w:rPr>
          <w:rFonts w:hint="eastAsia" w:ascii="宋体" w:hAnsi="宋体" w:eastAsia="宋体" w:cs="宋体"/>
          <w:b/>
          <w:bCs/>
          <w:color w:val="FF0000"/>
          <w:sz w:val="28"/>
          <w:szCs w:val="28"/>
          <w:highlight w:val="none"/>
        </w:rPr>
        <w:t>7</w:t>
      </w:r>
      <w:r>
        <w:rPr>
          <w:rFonts w:hint="eastAsia" w:hAnsi="宋体" w:cs="宋体"/>
          <w:b/>
          <w:bCs/>
          <w:color w:val="FF0000"/>
          <w:sz w:val="28"/>
          <w:szCs w:val="28"/>
          <w:highlight w:val="none"/>
          <w:lang w:val="en-US" w:eastAsia="zh-CN"/>
        </w:rPr>
        <w:t>5</w:t>
      </w:r>
      <w:r>
        <w:rPr>
          <w:rFonts w:hint="eastAsia" w:ascii="宋体" w:hAnsi="宋体" w:eastAsia="宋体" w:cs="宋体"/>
          <w:b/>
          <w:bCs/>
          <w:color w:val="FF0000"/>
          <w:sz w:val="28"/>
          <w:szCs w:val="28"/>
          <w:highlight w:val="none"/>
        </w:rPr>
        <w:t>项）</w:t>
      </w:r>
    </w:p>
    <w:p w14:paraId="51CAB3B3">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1、聚合釜容积：≥10L,材质:316+304不锈钢夹套，带液位计，工作压力：≥1.2MPa，温度范围：20~120℃，配备搅拌电机，变频搅拌（0-600rpm），锚式搅拌桨  1套。</w:t>
      </w:r>
    </w:p>
    <w:p w14:paraId="685CC506">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2、醋酸乙烯罐 容积：≥10L，材质：316L   1套。</w:t>
      </w:r>
    </w:p>
    <w:p w14:paraId="49FF5FB4">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3、催化剂罐容积：≥100mL，材质：304衬四氟，带氩气充填阀和真空接口，使用前预冷至-20℃（防甲苯挥发） 1套。</w:t>
      </w:r>
    </w:p>
    <w:p w14:paraId="65076523">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4、链转移剂罐 容积：≥50mL，材质：304衬四氟，带冷凝回流管（-5℃冷阱），顶部活性炭吸附罐（防硫醇逸散） 1套。</w:t>
      </w:r>
    </w:p>
    <w:p w14:paraId="67BFED5E">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5、终止剂罐 容积：≥100mL，材质：304衬四氟，磁力密封盖（不低于IP67防护） + 泄压膜（阈值≥0.15MPa） 1套。</w:t>
      </w:r>
    </w:p>
    <w:p w14:paraId="49022071">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6、抗氧剂罐 容积：≥200mL，材质：304衬四氟+304夹套，可外接循环水，控温50±2℃ 1套。</w:t>
      </w:r>
    </w:p>
    <w:p w14:paraId="71A35B1A">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7、脱氧剂柱 尺寸不小于Φ50mm×250mm,材质：304  1套。</w:t>
      </w:r>
    </w:p>
    <w:p w14:paraId="22EADC4C">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8、冷凝水罐 容积：≥10L，材质：316L  1套。</w:t>
      </w:r>
    </w:p>
    <w:p w14:paraId="27122029">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9、母液罐 容积：≥10L，材质：316L  1套。</w:t>
      </w:r>
    </w:p>
    <w:p w14:paraId="7D68827B">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10、聚合釜冷凝器 列管换热器，换热面积不小于0.1m</w:t>
      </w:r>
      <w:r>
        <w:rPr>
          <w:rFonts w:hint="eastAsia" w:ascii="宋体" w:hAnsi="宋体" w:eastAsia="宋体" w:cs="宋体"/>
          <w:color w:val="FF0000"/>
          <w:sz w:val="28"/>
          <w:szCs w:val="28"/>
          <w:vertAlign w:val="superscript"/>
        </w:rPr>
        <w:t>2</w:t>
      </w:r>
      <w:r>
        <w:rPr>
          <w:rFonts w:hint="eastAsia" w:ascii="宋体" w:hAnsi="宋体" w:eastAsia="宋体" w:cs="宋体"/>
          <w:color w:val="FF0000"/>
          <w:sz w:val="28"/>
          <w:szCs w:val="28"/>
        </w:rPr>
        <w:t>，壳体：304不锈钢，列管：316L不锈钢  1套。</w:t>
      </w:r>
    </w:p>
    <w:p w14:paraId="2D62B4BA">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11、醋酸乙烯泵 计量泵  1台。</w:t>
      </w:r>
    </w:p>
    <w:p w14:paraId="3EBC09C7">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12、辅料泵 注射泵  1台。</w:t>
      </w:r>
    </w:p>
    <w:p w14:paraId="4ECFF8B3">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13、聚合釜出料泵 隔膜泵  1台。</w:t>
      </w:r>
    </w:p>
    <w:p w14:paraId="1B84C9F7">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14、离心机  1台。</w:t>
      </w:r>
    </w:p>
    <w:p w14:paraId="5044C187">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15、真空干燥箱  1台。</w:t>
      </w:r>
    </w:p>
    <w:p w14:paraId="78C125BE">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16、聚乙烯醇溶解釜 容积：≥5L,材质:玻璃、316L，工作压力：≥0.3MPa，温度范围：20~120℃，配备搅拌电机，搅拌功率：≥0.5kW,夹套蒸汽加热，锚式搅拌（转速0~200rpm），全罐无死角喷淋自动清洗，1套。</w:t>
      </w:r>
    </w:p>
    <w:p w14:paraId="24D1D1BA">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highlight w:val="cyan"/>
        </w:rPr>
        <w:t>★</w:t>
      </w:r>
      <w:r>
        <w:rPr>
          <w:rFonts w:hint="eastAsia" w:ascii="宋体" w:hAnsi="宋体" w:eastAsia="宋体" w:cs="宋体"/>
          <w:color w:val="FF0000"/>
          <w:sz w:val="28"/>
          <w:szCs w:val="28"/>
        </w:rPr>
        <w:t>17、聚合釜 容积：≥10L,材质:玻璃、316L，工作压力：≥0.3MPa，温度范围：20~120℃，配备搅拌电机，搅拌功率：≥1.5kW,夹套蒸汽加热并可以冷水冷却，锚式刮壁桨，高剪切乳化搅拌（转速5000~15000rpm），全罐无死角喷淋自动清洗，1套。</w:t>
      </w:r>
    </w:p>
    <w:p w14:paraId="20678F09">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18、软水计量槽 容积：≥5L,材质:304，带液位计  1套。</w:t>
      </w:r>
    </w:p>
    <w:p w14:paraId="3FE7042B">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19、聚乙烯醇粉末储罐 容积：≥500mL,锥底，材质:304，常压，常温  1套。</w:t>
      </w:r>
    </w:p>
    <w:p w14:paraId="1C97AC6E">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20、聚乙烯醇过滤器 袋式过滤器，壳体：316L不锈钢，立式圆筒结构，顶部快开法兰（DN50），底部锥形排渣口  1个。</w:t>
      </w:r>
    </w:p>
    <w:p w14:paraId="01BEC464">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过滤元件：多层聚酯纤维滤袋（耐温≥120℃），过滤精度≤50μm  1个。</w:t>
      </w:r>
    </w:p>
    <w:p w14:paraId="0E80EE4C">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密封方式：氟橡胶O型圈（耐高温、耐酸碱），1个。</w:t>
      </w:r>
    </w:p>
    <w:p w14:paraId="03429569">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21、增塑剂槽 容积：≥100mL,材质:304，带液位计，常压，常温  1套。</w:t>
      </w:r>
    </w:p>
    <w:p w14:paraId="2C6A7F50">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22、引发剂槽 容积：≥100mL,材质:316L，带液位计，常压，常温  1套。</w:t>
      </w:r>
    </w:p>
    <w:p w14:paraId="0CA2F350">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23、PH调节剂槽 容积：≥100mL,材质:316L，带液位计，常压，常温  1套。</w:t>
      </w:r>
    </w:p>
    <w:p w14:paraId="625D06F9">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24、醋酸乙烯槽 容积：≥5L,材质:304，带液位计，常压，常温  1套。</w:t>
      </w:r>
    </w:p>
    <w:p w14:paraId="25E1602A">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25、聚醋酸乙烯过滤器 袋式过滤器  1套。</w:t>
      </w:r>
    </w:p>
    <w:p w14:paraId="5232FFB4">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壳体：316L不锈钢，卧式双筒结构，可在线切换清洗  1个。</w:t>
      </w:r>
    </w:p>
    <w:p w14:paraId="09886B12">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过滤元件：烧结金属滤芯（材质316L，孔径≤20μm），内衬支撑骨架  1个。</w:t>
      </w:r>
    </w:p>
    <w:p w14:paraId="51803A60">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反吹系统：集成压缩空气反吹口（0.4~0.6MPa）  1个。</w:t>
      </w:r>
    </w:p>
    <w:p w14:paraId="3F4C4E7D">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26、聚醋酸乙烯醇罐槽 容积：≥20L,材质:316L（内壁抛光至≤0.4μm)，带液位计，冷却夹套（温度小于25度）+低速搅（拌转速10rpm，间歇运行）  1个。</w:t>
      </w:r>
    </w:p>
    <w:p w14:paraId="6D6BF48A">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27、回流冷却器列管换热器，换热面积不小于0.1m</w:t>
      </w:r>
      <w:r>
        <w:rPr>
          <w:rFonts w:hint="eastAsia" w:ascii="宋体" w:hAnsi="宋体" w:eastAsia="宋体" w:cs="宋体"/>
          <w:color w:val="FF0000"/>
          <w:sz w:val="28"/>
          <w:szCs w:val="28"/>
          <w:vertAlign w:val="superscript"/>
        </w:rPr>
        <w:t>2</w:t>
      </w:r>
      <w:r>
        <w:rPr>
          <w:rFonts w:hint="eastAsia" w:ascii="宋体" w:hAnsi="宋体" w:eastAsia="宋体" w:cs="宋体"/>
          <w:color w:val="FF0000"/>
          <w:sz w:val="28"/>
          <w:szCs w:val="28"/>
        </w:rPr>
        <w:t>，壳体：304不锈钢，列管：316L不锈钢  1个。</w:t>
      </w:r>
    </w:p>
    <w:p w14:paraId="619137E2">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28、软水泵 计量泵  1台 。</w:t>
      </w:r>
    </w:p>
    <w:p w14:paraId="1B19CCB8">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29、聚乙烯醇泵 隔膜泵（四氟隔膜）  1台 。</w:t>
      </w:r>
    </w:p>
    <w:p w14:paraId="47CF6CBC">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30、醋酸乙烯泵 氟塑料磁力泵  1台。</w:t>
      </w:r>
    </w:p>
    <w:p w14:paraId="7B8B437B">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32、聚合釜 容积：≥10L,材质:玻璃、316L，工作压力：≥0.3MPa，温度范围：20~120℃，配备搅拌电机，搅拌功率：≥1.5kW,夹套蒸汽加热并可以冷水冷却，锚式刮壁桨，高剪切乳化搅拌（转速0~1000rpm）  1套。</w:t>
      </w:r>
    </w:p>
    <w:p w14:paraId="28A8C810">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33、去离子水槽 容积：≥10L,材质:304，带液位计  1套。</w:t>
      </w:r>
    </w:p>
    <w:p w14:paraId="6E0FC362">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34、引发剂罐 容积：≥100mL，材质：316L，密闭储罐，带夹套冷却至4℃  1套35、分散剂槽（V103） 容积：≥100mL，材质：316L，带保温层储罐，配备双层锚式搅拌器  1套。</w:t>
      </w:r>
    </w:p>
    <w:p w14:paraId="6DC781EE">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36、终止剂槽 容积：≥100mL,材质：316L，氮气保护  1套。</w:t>
      </w:r>
    </w:p>
    <w:p w14:paraId="19D08711">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37、消泡剂槽 容积：≥100mL,材质：316L， 1套。</w:t>
      </w:r>
    </w:p>
    <w:p w14:paraId="6FDA5789">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38、PH调节剂槽 容积：≥100L,材质：316L，粉末计量罐  1套。</w:t>
      </w:r>
    </w:p>
    <w:p w14:paraId="265D2419">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39、PVC槽 容积：≥10L,材质:316L，带液位计  1套。</w:t>
      </w:r>
    </w:p>
    <w:p w14:paraId="5E3E9A56">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40、塔顶冷凝器槽 容积：≥5L,材质:316L，带液位计  1套。</w:t>
      </w:r>
    </w:p>
    <w:p w14:paraId="22B3CB7B">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41、母液槽 容积：≥10L,材质:316L，带液位计  1套。</w:t>
      </w:r>
    </w:p>
    <w:p w14:paraId="6691F949">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42、PVC汽提塔 材质:316L，总高：≥1 m，塔径≥108mm，规整填料  1套。</w:t>
      </w:r>
    </w:p>
    <w:p w14:paraId="091549ED">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43、塔外冷凝器（列管换热器，换热面积不小于0.1m</w:t>
      </w:r>
      <w:r>
        <w:rPr>
          <w:rFonts w:hint="eastAsia" w:ascii="宋体" w:hAnsi="宋体" w:eastAsia="宋体" w:cs="宋体"/>
          <w:color w:val="FF0000"/>
          <w:sz w:val="28"/>
          <w:szCs w:val="28"/>
          <w:vertAlign w:val="superscript"/>
        </w:rPr>
        <w:t>2</w:t>
      </w:r>
      <w:r>
        <w:rPr>
          <w:rFonts w:hint="eastAsia" w:ascii="宋体" w:hAnsi="宋体" w:eastAsia="宋体" w:cs="宋体"/>
          <w:color w:val="FF0000"/>
          <w:sz w:val="28"/>
          <w:szCs w:val="28"/>
        </w:rPr>
        <w:t>，壳体：304不锈钢，列管：316L不锈钢  1套。</w:t>
      </w:r>
    </w:p>
    <w:p w14:paraId="10C1CBDD">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44、汽提塔换热器 螺旋板式换热器，材质:316L，换热面积不小于0.1m</w:t>
      </w:r>
      <w:r>
        <w:rPr>
          <w:rFonts w:hint="eastAsia" w:ascii="宋体" w:hAnsi="宋体" w:eastAsia="宋体" w:cs="宋体"/>
          <w:color w:val="FF0000"/>
          <w:sz w:val="28"/>
          <w:szCs w:val="28"/>
          <w:vertAlign w:val="superscript"/>
        </w:rPr>
        <w:t>2</w:t>
      </w:r>
      <w:r>
        <w:rPr>
          <w:rFonts w:hint="eastAsia" w:ascii="宋体" w:hAnsi="宋体" w:eastAsia="宋体" w:cs="宋体"/>
          <w:color w:val="FF0000"/>
          <w:sz w:val="28"/>
          <w:szCs w:val="28"/>
        </w:rPr>
        <w:t xml:space="preserve">  1套。</w:t>
      </w:r>
    </w:p>
    <w:p w14:paraId="75B68AB0">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45、塔顶冷凝器 列管换热器，换热面积0.1m</w:t>
      </w:r>
      <w:r>
        <w:rPr>
          <w:rFonts w:hint="eastAsia" w:ascii="宋体" w:hAnsi="宋体" w:eastAsia="宋体" w:cs="宋体"/>
          <w:color w:val="FF0000"/>
          <w:sz w:val="28"/>
          <w:szCs w:val="28"/>
          <w:vertAlign w:val="superscript"/>
        </w:rPr>
        <w:t>2</w:t>
      </w:r>
      <w:r>
        <w:rPr>
          <w:rFonts w:hint="eastAsia" w:ascii="宋体" w:hAnsi="宋体" w:eastAsia="宋体" w:cs="宋体"/>
          <w:color w:val="FF0000"/>
          <w:sz w:val="28"/>
          <w:szCs w:val="28"/>
        </w:rPr>
        <w:t>，壳体：304不锈钢，列管：316L不锈钢  1套。</w:t>
      </w:r>
    </w:p>
    <w:p w14:paraId="76F384FC">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46、去离子水泵 计量泵  1台 。</w:t>
      </w:r>
    </w:p>
    <w:p w14:paraId="7741ABE8">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47、PVC聚合釜出料泵 隔膜泵  1台。</w:t>
      </w:r>
    </w:p>
    <w:p w14:paraId="2D6CE6EF">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48、汽提塔出料泵 隔膜泵  1台。</w:t>
      </w:r>
    </w:p>
    <w:p w14:paraId="45E417D8">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49、辅料泵 注射泵  1台。</w:t>
      </w:r>
    </w:p>
    <w:p w14:paraId="5A739C13">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50、离心机  1台。</w:t>
      </w:r>
    </w:p>
    <w:p w14:paraId="2037603E">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51、干燥系统  1套。</w:t>
      </w:r>
    </w:p>
    <w:p w14:paraId="0773EE1D">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52、聚醋酸乙烯泵 螺杆泵  1套。</w:t>
      </w:r>
    </w:p>
    <w:p w14:paraId="05827BDF">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52、控制系统 控制器，电源模块，以太网模块，模拟量输入模块，模拟量输出模块，数字量输入模块，数字量输出模块，模拟量输出底座单元， 1套 。</w:t>
      </w:r>
    </w:p>
    <w:p w14:paraId="79D6C95D">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53、软件 工程师站软件，操作员站软件，历史趋势软件，操作权限软件，数据交换软件，批量处理软件， 1套。</w:t>
      </w:r>
    </w:p>
    <w:p w14:paraId="3FF7ED32">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54、电气 钢质喷塑，嵌入式下位微机位；接触器、继电器、空气开关、按钮等。仪表面板开孔包括常见仪表开孔尺寸。所有仪表及指示灯的220V电源线通过线槽、电源接线端子标准配线，配线两端按国标标注线标。安装嵌在操作控制台面上。仪表盘内设置安全保险装置，设置接线端子，电源端子和信号端子应有明显的区分标记。盘后设置各种架装继电器的备用安装位置。设置足够的线槽保证增加盘装仪表。安装漏电保护开关，急停开关保护。材质：钢质喷塑，1套。</w:t>
      </w:r>
    </w:p>
    <w:p w14:paraId="25536D1C">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55、框架，按工艺进行框架与操作平台的设计与制作。框架与操作平台应包括立柱、主梁、次梁、加固横梁、花纹板楼梯平台、护栏、防滑板、扶梯、踏步板、地脚板等主要构件，表面涂覆环氧树脂油漆。装置之间具有分区标识并留有安全通道及通道标识。每套装置须含有二层平台。框架与操作平台须牢固、美观、上下通行安全、方便，1套。</w:t>
      </w:r>
    </w:p>
    <w:p w14:paraId="0C8D8BC3">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56、智能仪表，采用模块化技术的多路测量显示仪及运算器，配合各种输入模块，可支持2个可编程测量输入回路，配合不同的输入模块，可以输入2路热电偶、电压或电流信号。可定义通道编号，显示直观方便。适合在DCS监控系统或PLC控制系统中做模拟量数据采集模块或温度变送器，为上位机提供输入规格丰富、高精度高稳定性、智能化编程的高性价比模拟量采集数据；还可提供开关量输入或输出接口给上位机，上位机可通过它执行开关量操作。具有100-240VAC范围输入的开关电源或24VDC电源供电及多种安装尺寸；其电源及全部I/O端子均通过了4KV的群脉冲抗干扰测试，能在强干扰环境下可靠工作。使用高性能的元器件，大大降低温度漂移并使得2个通道之间相互干扰降低，使多路测量在精度及抗干扰性能上也达到了与单路测量仪表相当的水准。内建开方、加法器、减法器、乘法器、最大值、最小值等运算功能及干湿球法测量湿度功能。最多可有2个相互隔离的变送电流输出，可将任意通道的测量值从OUTP端口变送输出，或将2个通道轮流变送输出，可以编程作为二进二出或一进二型变送器使用。支持新一代E5型DIN导轨外型，可直接用连线连接手持显示器进行编程，使用更方便。齐全的输入规格，各路输入可以使用不同的信号规格。当输入为线性电压、电流或电阻时，各回路可独立定义刻度及小数点位置，当输入为热电偶或热电阻等温度传感器时，可独立进行平移修正及选择0.1/1℃指示分辨率。各输入回路均具备数字滤波，且滤波强度可以独立调整或取消滤波。热电偶测量可支持冰点补偿、铜电阻补偿及恒温槽补偿等各种高精度补偿功能。具备定点/自动巡回测量显示功能，并有2种巡检速度可以选择。每个回路都具备独立的上、下限报警功能，并且其报警输出位置可以编程指定。不同输入回路的上限或下限报警信号即可编程为从同一报警通道输出，也可从不同的通道输出。最多可有7路报警输出。作为下位机时，可提供开关量输入/输出端口，最多可有7路开关量输入或输出。具备先进的通讯功能，1套。</w:t>
      </w:r>
    </w:p>
    <w:p w14:paraId="2D378159">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57、阀门，球阀、截止阀，单向阀，加压阀，安全阀，疏水阀等，材质：不锈钢304，规格型号：DN20、DN15等 1批。</w:t>
      </w:r>
    </w:p>
    <w:p w14:paraId="4569EE13">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58、温度，输入信号:K型热电偶，测量间距：10℃以上任何温度范围，基本误差:±0.5%，温度漂移:±0.1%/10℃，传输方式:两线制传输 1组。</w:t>
      </w:r>
    </w:p>
    <w:p w14:paraId="0BDF3854">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59、压力，量程：按各检测点工艺确定，准确度等级 0.5级，回 差 0.1%FS ，温度影响 ±0.1%/10℃ ，工作电压 DC 13V～30V ，稳定性 ±0.2% ，信号输出 4～20mA ，允许过压量程200% ，最大压力 量程200%  1组。</w:t>
      </w:r>
    </w:p>
    <w:p w14:paraId="0D80B7CD">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60、流量，输出信号4-20mA ，二线制、供电24VDC，量程：按各检测点工艺，远传4—20mA，精度：±1.0%，公称通径：多种，测量介质：多种 1组。</w:t>
      </w:r>
    </w:p>
    <w:p w14:paraId="1E17D950">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61、液位，最大量程：按各检测点工艺确定，介质密度：按各检测点工艺确定，介质粘度：按各检测点工艺确定，介质压力：按各检测点工艺确定，测量精度：±10mm ，安装方式：法兰式，标准法兰：DN20、DN25，介质温度按工艺，材质：按工艺 ，输出信号：4～20mA  1组。</w:t>
      </w:r>
    </w:p>
    <w:p w14:paraId="13F8A17D">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 xml:space="preserve">62、GDS系统，可燃气体探测器 检测气体：可燃气体：丙烷、丁烷、氢气、甲烷、甲醇、甲酸甲酯、甲苯、均四甲苯、甲醇叔丁基醚、戊烷、壬烷、异戊烷、二异丙醚、石脑油、酚、乙炔、乙醇 1套。 </w:t>
      </w:r>
    </w:p>
    <w:p w14:paraId="44580091">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63、有毒有害气体探测器 检测气体：氧气、氨气、硫化氢、一氧化碳、苯。探测范围：氧气：0-25%VOL；氨气：0-200ppm；硫化氢：0-50ppm；一氧化碳：0-500ppm   苯：0-100ppm。</w:t>
      </w:r>
    </w:p>
    <w:p w14:paraId="7F1A9170">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64、防爆声光报警器 工作电压：DC24V±25%，工作电流：100mA，光强：2400±200mcd，声音强度：≤85dB，防爆标志：不小于ExdmBⅡCT6，防护等级：不小于IP66，出线孔连接螺纹：G3/4＂管螺纹（外） 1套。</w:t>
      </w:r>
    </w:p>
    <w:p w14:paraId="394A82EE">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65、常温水循环系统，离心泵，型号：功率≥250W,流量≥2.4m</w:t>
      </w:r>
      <w:r>
        <w:rPr>
          <w:rFonts w:hint="eastAsia" w:ascii="宋体" w:hAnsi="宋体" w:eastAsia="宋体" w:cs="宋体"/>
          <w:color w:val="FF0000"/>
          <w:sz w:val="28"/>
          <w:szCs w:val="28"/>
          <w:vertAlign w:val="superscript"/>
        </w:rPr>
        <w:t>3</w:t>
      </w:r>
      <w:r>
        <w:rPr>
          <w:rFonts w:hint="eastAsia" w:ascii="宋体" w:hAnsi="宋体" w:eastAsia="宋体" w:cs="宋体"/>
          <w:color w:val="FF0000"/>
          <w:sz w:val="28"/>
          <w:szCs w:val="28"/>
        </w:rPr>
        <w:t xml:space="preserve">/h，储水罐，换热塔，管路阀门等 1套。 </w:t>
      </w:r>
    </w:p>
    <w:p w14:paraId="7A8DA712">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66、低温冷却水循环系统， 制冷机， 制冷量≥2.94kW/hr，能将循环冷却水降温至10℃以下，循环泵功率≥250W,流量≥2.4m</w:t>
      </w:r>
      <w:r>
        <w:rPr>
          <w:rFonts w:hint="eastAsia" w:ascii="宋体" w:hAnsi="宋体" w:eastAsia="宋体" w:cs="宋体"/>
          <w:color w:val="FF0000"/>
          <w:sz w:val="28"/>
          <w:szCs w:val="28"/>
          <w:vertAlign w:val="superscript"/>
        </w:rPr>
        <w:t>3</w:t>
      </w:r>
      <w:r>
        <w:rPr>
          <w:rFonts w:hint="eastAsia" w:ascii="宋体" w:hAnsi="宋体" w:eastAsia="宋体" w:cs="宋体"/>
          <w:color w:val="FF0000"/>
          <w:sz w:val="28"/>
          <w:szCs w:val="28"/>
        </w:rPr>
        <w:t>/h，管路阀门等 1套。</w:t>
      </w:r>
    </w:p>
    <w:p w14:paraId="274F49BD">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67、纯净水系统 纯水机 流量≥0.25m</w:t>
      </w:r>
      <w:r>
        <w:rPr>
          <w:rFonts w:hint="eastAsia" w:ascii="宋体" w:hAnsi="宋体" w:eastAsia="宋体" w:cs="宋体"/>
          <w:color w:val="FF0000"/>
          <w:sz w:val="28"/>
          <w:szCs w:val="28"/>
          <w:vertAlign w:val="superscript"/>
        </w:rPr>
        <w:t>3</w:t>
      </w:r>
      <w:r>
        <w:rPr>
          <w:rFonts w:hint="eastAsia" w:ascii="宋体" w:hAnsi="宋体" w:eastAsia="宋体" w:cs="宋体"/>
          <w:color w:val="FF0000"/>
          <w:sz w:val="28"/>
          <w:szCs w:val="28"/>
        </w:rPr>
        <w:t>/h，储水罐≥0.5m</w:t>
      </w:r>
      <w:r>
        <w:rPr>
          <w:rFonts w:hint="eastAsia" w:ascii="宋体" w:hAnsi="宋体" w:eastAsia="宋体" w:cs="宋体"/>
          <w:color w:val="FF0000"/>
          <w:sz w:val="28"/>
          <w:szCs w:val="28"/>
          <w:vertAlign w:val="superscript"/>
        </w:rPr>
        <w:t>3</w:t>
      </w:r>
      <w:r>
        <w:rPr>
          <w:rFonts w:hint="eastAsia" w:ascii="宋体" w:hAnsi="宋体" w:eastAsia="宋体" w:cs="宋体"/>
          <w:color w:val="FF0000"/>
          <w:sz w:val="28"/>
          <w:szCs w:val="28"/>
        </w:rPr>
        <w:t>，离心泵，型号：功率≥250W,流量≥2.4m</w:t>
      </w:r>
      <w:r>
        <w:rPr>
          <w:rFonts w:hint="eastAsia" w:ascii="宋体" w:hAnsi="宋体" w:eastAsia="宋体" w:cs="宋体"/>
          <w:color w:val="FF0000"/>
          <w:sz w:val="28"/>
          <w:szCs w:val="28"/>
          <w:vertAlign w:val="superscript"/>
        </w:rPr>
        <w:t>3</w:t>
      </w:r>
      <w:r>
        <w:rPr>
          <w:rFonts w:hint="eastAsia" w:ascii="宋体" w:hAnsi="宋体" w:eastAsia="宋体" w:cs="宋体"/>
          <w:color w:val="FF0000"/>
          <w:sz w:val="28"/>
          <w:szCs w:val="28"/>
        </w:rPr>
        <w:t>/h，管路阀门等 1套。</w:t>
      </w:r>
    </w:p>
    <w:p w14:paraId="27CC963A">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68、冲洗水系统 离心泵，型号：功率≥250w,流量≥2.4m</w:t>
      </w:r>
      <w:r>
        <w:rPr>
          <w:rFonts w:hint="eastAsia" w:ascii="宋体" w:hAnsi="宋体" w:eastAsia="宋体" w:cs="宋体"/>
          <w:color w:val="FF0000"/>
          <w:sz w:val="28"/>
          <w:szCs w:val="28"/>
          <w:vertAlign w:val="superscript"/>
        </w:rPr>
        <w:t>3</w:t>
      </w:r>
      <w:r>
        <w:rPr>
          <w:rFonts w:hint="eastAsia" w:ascii="宋体" w:hAnsi="宋体" w:eastAsia="宋体" w:cs="宋体"/>
          <w:color w:val="FF0000"/>
          <w:sz w:val="28"/>
          <w:szCs w:val="28"/>
        </w:rPr>
        <w:t>/h，储水罐，管路阀门等 1套。</w:t>
      </w:r>
    </w:p>
    <w:p w14:paraId="6EABFC3E">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69、真空系统 真空泵，真空缓冲罐，管道阀门，不锈钢管道，DN15等尺寸 1套。</w:t>
      </w:r>
    </w:p>
    <w:p w14:paraId="56F8DA2C">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70、氮气系统 制氮机，氮气缓冲罐，管道阀门，不锈钢管道，DN15等尺寸 1套。</w:t>
      </w:r>
    </w:p>
    <w:p w14:paraId="23D6A95F">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71、压缩空气系统 空压机，空气缓冲罐，管道阀门，不锈钢管道，DN15等尺寸 1套。</w:t>
      </w:r>
    </w:p>
    <w:p w14:paraId="7D2C5DC0">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72、锅炉水系统，热水罐，能水加热到100℃，循环泵功率≥250W,流量≥2.4m</w:t>
      </w:r>
      <w:r>
        <w:rPr>
          <w:rFonts w:hint="eastAsia" w:ascii="宋体" w:hAnsi="宋体" w:eastAsia="宋体" w:cs="宋体"/>
          <w:color w:val="FF0000"/>
          <w:sz w:val="28"/>
          <w:szCs w:val="28"/>
          <w:vertAlign w:val="superscript"/>
        </w:rPr>
        <w:t>3</w:t>
      </w:r>
      <w:r>
        <w:rPr>
          <w:rFonts w:hint="eastAsia" w:ascii="宋体" w:hAnsi="宋体" w:eastAsia="宋体" w:cs="宋体"/>
          <w:color w:val="FF0000"/>
          <w:sz w:val="28"/>
          <w:szCs w:val="28"/>
        </w:rPr>
        <w:t>/h，管路阀门等 1套。</w:t>
      </w:r>
    </w:p>
    <w:p w14:paraId="2A159074">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73、蒸汽系统，蒸汽发生器3/6KW，能将蒸汽加热到不小于0.4mPa，管路阀门等 1套。</w:t>
      </w:r>
    </w:p>
    <w:p w14:paraId="185375CE">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74、内部分解拆装模型演示 3D 仿真系统软件操作系统主界面打开成功后，会显示仿真模式选择界面，包含：点击模型列表，用户可以选择所需的仿真操作的模式，本软件包含板式精馏塔、列管换热器、浮头式换热器、 螺旋板换热器、翅片式换热器、微通道换热器、升膜蒸发器、脉冲萃取塔、填料塔、板框压滤机、离心泵、齿轮泵、活塞式往复泵、多级泵、隔膜泵、螺杆泵、水环真空泵、轴流式风机、蒸汽喷射泵、罗茨鼓风机、多级透平泵、液环压缩机、文丘里流量计、转子流量计、测速管、U 管压差计、孔板流量计总计二十七个字菜单选项。点击对应仿真模型的按钮，即可选择相应的仿真模型，跳转至该模型演示的专属演示界面，1套。</w:t>
      </w:r>
    </w:p>
    <w:p w14:paraId="54DB1423">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75、要求提供气路系统完整性验证工作站：要求具备气路系统完整性验证功能，包含 1 个不锈钢体验证核心主件加 4 个验证核心副件，要求验证工作站能利用外部压力介质通过比例调节、压力精准控制等过程对气路系统完整性进行验证，并且具备超压泄压功能，压力可设定。要求提供设计方案、设计图纸等证明文件，1套。</w:t>
      </w:r>
    </w:p>
    <w:p w14:paraId="73A0544F">
      <w:pPr>
        <w:snapToGrid w:val="0"/>
        <w:spacing w:line="500" w:lineRule="exact"/>
        <w:ind w:firstLine="644"/>
        <w:rPr>
          <w:rFonts w:hint="eastAsia" w:ascii="宋体" w:hAnsi="宋体" w:eastAsia="宋体" w:cs="宋体"/>
          <w:color w:val="FF0000"/>
          <w:sz w:val="28"/>
          <w:szCs w:val="28"/>
        </w:rPr>
      </w:pPr>
      <w:r>
        <w:rPr>
          <w:rFonts w:hint="eastAsia" w:ascii="宋体" w:hAnsi="宋体" w:eastAsia="宋体" w:cs="宋体"/>
          <w:color w:val="FF0000"/>
          <w:sz w:val="28"/>
          <w:szCs w:val="28"/>
        </w:rPr>
        <w:t>76、提供装置详细功能叙述、装置工艺流程图、装置静设备加工图、装置布局图、主要工艺参数测控点、控制逻辑及联锁方案。</w:t>
      </w:r>
    </w:p>
    <w:p w14:paraId="68CF537B">
      <w:pPr>
        <w:snapToGrid w:val="0"/>
        <w:spacing w:line="500" w:lineRule="exact"/>
        <w:ind w:firstLine="644"/>
        <w:rPr>
          <w:rFonts w:hint="eastAsia" w:ascii="宋体" w:hAnsi="宋体" w:eastAsia="宋体" w:cs="宋体"/>
          <w:color w:val="FF0000"/>
          <w:sz w:val="28"/>
          <w:szCs w:val="28"/>
        </w:rPr>
      </w:pPr>
    </w:p>
    <w:p w14:paraId="74C28E64">
      <w:pPr>
        <w:pStyle w:val="87"/>
        <w:spacing w:line="500" w:lineRule="exact"/>
        <w:jc w:val="center"/>
        <w:rPr>
          <w:rFonts w:hint="eastAsia" w:ascii="宋体" w:hAnsi="宋体" w:eastAsia="宋体" w:cs="宋体"/>
          <w:b/>
          <w:color w:val="FF0000"/>
          <w:sz w:val="28"/>
          <w:szCs w:val="28"/>
        </w:rPr>
      </w:pPr>
    </w:p>
    <w:p w14:paraId="7DB49FB3">
      <w:pPr>
        <w:spacing w:line="500" w:lineRule="exact"/>
        <w:rPr>
          <w:rFonts w:hint="eastAsia" w:ascii="宋体" w:hAnsi="宋体" w:eastAsia="宋体" w:cs="宋体"/>
          <w:b/>
          <w:color w:val="FF0000"/>
          <w:sz w:val="28"/>
          <w:szCs w:val="28"/>
        </w:rPr>
      </w:pPr>
      <w:r>
        <w:rPr>
          <w:rFonts w:hint="eastAsia" w:ascii="宋体" w:hAnsi="宋体" w:eastAsia="宋体" w:cs="宋体"/>
          <w:b/>
          <w:color w:val="FF0000"/>
          <w:sz w:val="28"/>
          <w:szCs w:val="28"/>
        </w:rPr>
        <w:t>备注：</w:t>
      </w:r>
      <w:r>
        <w:rPr>
          <w:rFonts w:hint="eastAsia" w:ascii="宋体" w:hAnsi="宋体" w:eastAsia="宋体" w:cs="宋体"/>
          <w:b/>
          <w:sz w:val="28"/>
          <w:szCs w:val="28"/>
        </w:rPr>
        <w:t>以上</w:t>
      </w:r>
      <w:r>
        <w:rPr>
          <w:rFonts w:hint="eastAsia" w:hAnsi="宋体" w:cs="宋体"/>
          <w:b/>
          <w:sz w:val="28"/>
          <w:szCs w:val="28"/>
          <w:lang w:val="en-US" w:eastAsia="zh-CN"/>
        </w:rPr>
        <w:t>76</w:t>
      </w:r>
      <w:r>
        <w:rPr>
          <w:rFonts w:hint="eastAsia" w:ascii="宋体" w:hAnsi="宋体" w:eastAsia="宋体" w:cs="宋体"/>
          <w:b/>
          <w:sz w:val="28"/>
          <w:szCs w:val="28"/>
        </w:rPr>
        <w:t>项参数，其中实质性参数项（</w:t>
      </w:r>
      <w:r>
        <w:rPr>
          <w:rFonts w:hint="eastAsia" w:ascii="宋体" w:hAnsi="宋体" w:eastAsia="宋体" w:cs="宋体"/>
          <w:b/>
          <w:sz w:val="28"/>
          <w:szCs w:val="28"/>
          <w:highlight w:val="cyan"/>
        </w:rPr>
        <w:t>★</w:t>
      </w:r>
      <w:r>
        <w:rPr>
          <w:rFonts w:hint="eastAsia" w:ascii="宋体" w:hAnsi="宋体" w:eastAsia="宋体" w:cs="宋体"/>
          <w:b/>
          <w:bCs/>
          <w:sz w:val="28"/>
          <w:szCs w:val="28"/>
        </w:rPr>
        <w:t>号项</w:t>
      </w:r>
      <w:r>
        <w:rPr>
          <w:rFonts w:hint="eastAsia" w:ascii="宋体" w:hAnsi="宋体" w:eastAsia="宋体" w:cs="宋体"/>
          <w:b/>
          <w:sz w:val="28"/>
          <w:szCs w:val="28"/>
        </w:rPr>
        <w:t>）</w:t>
      </w:r>
      <w:r>
        <w:rPr>
          <w:rFonts w:hint="eastAsia" w:hAnsi="宋体" w:cs="宋体"/>
          <w:b/>
          <w:bCs/>
          <w:sz w:val="28"/>
          <w:szCs w:val="28"/>
          <w:lang w:val="en-US" w:eastAsia="zh-CN"/>
        </w:rPr>
        <w:t>1</w:t>
      </w:r>
      <w:r>
        <w:rPr>
          <w:rFonts w:hint="eastAsia" w:ascii="宋体" w:hAnsi="宋体" w:eastAsia="宋体" w:cs="宋体"/>
          <w:b/>
          <w:sz w:val="28"/>
          <w:szCs w:val="28"/>
        </w:rPr>
        <w:t>项，不允许负偏离。其他非</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号项和非</w:t>
      </w:r>
      <w:r>
        <w:rPr>
          <w:rFonts w:hint="eastAsia" w:ascii="宋体" w:hAnsi="宋体" w:eastAsia="宋体" w:cs="宋体"/>
          <w:b/>
          <w:sz w:val="28"/>
          <w:szCs w:val="28"/>
          <w:highlight w:val="green"/>
        </w:rPr>
        <w:t>▲</w:t>
      </w:r>
      <w:r>
        <w:rPr>
          <w:rFonts w:hint="eastAsia" w:ascii="宋体" w:hAnsi="宋体" w:eastAsia="宋体" w:cs="宋体"/>
          <w:b/>
          <w:bCs/>
          <w:sz w:val="28"/>
          <w:szCs w:val="28"/>
        </w:rPr>
        <w:t>号项为一般参数项（</w:t>
      </w:r>
      <w:r>
        <w:rPr>
          <w:rFonts w:hint="eastAsia" w:hAnsi="宋体" w:cs="宋体"/>
          <w:b/>
          <w:bCs/>
          <w:sz w:val="28"/>
          <w:szCs w:val="28"/>
          <w:lang w:val="en-US" w:eastAsia="zh-CN"/>
        </w:rPr>
        <w:t>75</w:t>
      </w:r>
      <w:r>
        <w:rPr>
          <w:rFonts w:hint="eastAsia" w:ascii="宋体" w:hAnsi="宋体" w:eastAsia="宋体" w:cs="宋体"/>
          <w:b/>
          <w:bCs/>
          <w:sz w:val="28"/>
          <w:szCs w:val="28"/>
        </w:rPr>
        <w:t>项）。</w:t>
      </w:r>
    </w:p>
    <w:p w14:paraId="469D9420">
      <w:pPr>
        <w:spacing w:line="500" w:lineRule="exact"/>
        <w:rPr>
          <w:rFonts w:hint="eastAsia" w:ascii="宋体" w:hAnsi="宋体" w:eastAsia="宋体" w:cs="宋体"/>
          <w:color w:val="FF0000"/>
          <w:sz w:val="28"/>
          <w:szCs w:val="28"/>
        </w:rPr>
      </w:pPr>
      <w:r>
        <w:rPr>
          <w:rFonts w:hint="eastAsia" w:ascii="宋体" w:hAnsi="宋体" w:eastAsia="宋体" w:cs="宋体"/>
          <w:b/>
          <w:color w:val="FF0000"/>
          <w:sz w:val="28"/>
          <w:szCs w:val="28"/>
        </w:rPr>
        <w:t>（核心设备的参数中，代</w:t>
      </w:r>
      <w:r>
        <w:rPr>
          <w:rFonts w:hint="eastAsia" w:ascii="宋体" w:hAnsi="宋体" w:eastAsia="宋体" w:cs="宋体"/>
          <w:b/>
          <w:color w:val="FF0000"/>
          <w:sz w:val="28"/>
          <w:szCs w:val="28"/>
          <w:highlight w:val="cyan"/>
        </w:rPr>
        <w:t>★</w:t>
      </w:r>
      <w:r>
        <w:rPr>
          <w:rFonts w:hint="eastAsia" w:ascii="宋体" w:hAnsi="宋体" w:eastAsia="宋体" w:cs="宋体"/>
          <w:b/>
          <w:color w:val="FF0000"/>
          <w:sz w:val="28"/>
          <w:szCs w:val="28"/>
        </w:rPr>
        <w:t>标识的参数不允许负偏离</w:t>
      </w:r>
      <w:r>
        <w:rPr>
          <w:rFonts w:hint="eastAsia" w:hAnsi="宋体" w:cs="宋体"/>
          <w:b/>
          <w:color w:val="FF0000"/>
          <w:sz w:val="28"/>
          <w:szCs w:val="28"/>
          <w:lang w:eastAsia="zh-CN"/>
        </w:rPr>
        <w:t>）</w:t>
      </w:r>
    </w:p>
    <w:p w14:paraId="5B207630">
      <w:pPr>
        <w:rPr>
          <w:rFonts w:hint="eastAsia" w:ascii="宋体" w:hAnsi="宋体" w:eastAsia="宋体" w:cs="宋体"/>
          <w:b/>
          <w:sz w:val="28"/>
          <w:szCs w:val="28"/>
        </w:rPr>
      </w:pPr>
      <w:r>
        <w:rPr>
          <w:rFonts w:hint="eastAsia" w:ascii="宋体" w:hAnsi="宋体" w:eastAsia="宋体" w:cs="宋体"/>
          <w:b/>
          <w:sz w:val="28"/>
          <w:szCs w:val="28"/>
        </w:rPr>
        <w:br w:type="page"/>
      </w:r>
    </w:p>
    <w:p w14:paraId="0762EC81">
      <w:pPr>
        <w:spacing w:line="500" w:lineRule="exact"/>
        <w:ind w:left="-420"/>
        <w:rPr>
          <w:rFonts w:hint="eastAsia" w:ascii="宋体" w:hAnsi="宋体" w:eastAsia="宋体" w:cs="宋体"/>
          <w:b/>
          <w:sz w:val="28"/>
          <w:szCs w:val="28"/>
        </w:rPr>
      </w:pPr>
      <w:r>
        <w:rPr>
          <w:rFonts w:hint="eastAsia" w:ascii="宋体" w:hAnsi="宋体" w:eastAsia="宋体" w:cs="宋体"/>
          <w:b/>
          <w:sz w:val="28"/>
          <w:szCs w:val="28"/>
        </w:rPr>
        <w:t>13、品目名</w:t>
      </w:r>
      <w:bookmarkStart w:id="184" w:name="OLE_LINK2"/>
      <w:r>
        <w:rPr>
          <w:rFonts w:hint="eastAsia" w:ascii="宋体" w:hAnsi="宋体" w:eastAsia="宋体" w:cs="宋体"/>
          <w:b/>
          <w:sz w:val="28"/>
          <w:szCs w:val="28"/>
        </w:rPr>
        <w:t>称：高效合成BDO全流程模</w:t>
      </w:r>
      <w:bookmarkEnd w:id="184"/>
      <w:r>
        <w:rPr>
          <w:rFonts w:hint="eastAsia" w:ascii="宋体" w:hAnsi="宋体" w:eastAsia="宋体" w:cs="宋体"/>
          <w:b/>
          <w:sz w:val="28"/>
          <w:szCs w:val="28"/>
        </w:rPr>
        <w:t>试装置（国产）</w:t>
      </w:r>
    </w:p>
    <w:p w14:paraId="7917B4E7">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一、装置介绍</w:t>
      </w:r>
    </w:p>
    <w:p w14:paraId="1D83E9EC">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高效合成BDO全流程模试装置是面向1,4-丁二醇（BDO）工业化应用的中试级成套工艺验证平台，系统集成炔化反应单元、一步加氢单元、二步加氢单元、产物分离与精制单元四大核心模块，聚焦炔醛法BDO合成路径，可开展固定床催化反应全流程实验研究。装置支持精准调控反应温度、压力、空速等关键参数，模拟工业级连续生产环境，用于测试催化剂在乙炔-甲醛炔化反应及多级加氢反应中的活性、选择性与稳定性，助力催化剂筛选与工艺优化，提升BDO收率与品质。同时，装置集成多级提纯技术，可高效脱除粗BDO中的杂质，并支持炔化-加氢反应动力学、反应历程及多相催化耦合机制研究，为BDO工艺放大与工业化应用提供可靠的中试数据支撑。</w:t>
      </w:r>
    </w:p>
    <w:p w14:paraId="68B1BAB4">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二、技术规格</w:t>
      </w:r>
      <w:r>
        <w:rPr>
          <w:rFonts w:hint="eastAsia" w:ascii="宋体" w:hAnsi="宋体" w:eastAsia="宋体" w:cs="宋体"/>
          <w:b/>
          <w:bCs/>
          <w:sz w:val="28"/>
          <w:szCs w:val="28"/>
        </w:rPr>
        <w:t>（备注：以下参数4项）</w:t>
      </w:r>
    </w:p>
    <w:p w14:paraId="05547F89">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1.装置规格</w:t>
      </w:r>
    </w:p>
    <w:p w14:paraId="15AD4CB7">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装置为定制化设计，集成四大功能单元：炔化、一步加氢、二步加氢、分离精制，满足BDO工艺开发需求。</w:t>
      </w:r>
    </w:p>
    <w:p w14:paraId="3464C6D2">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2.详细技术参数</w:t>
      </w:r>
    </w:p>
    <w:p w14:paraId="7799EEE7">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2.1炔化反应单元：</w:t>
      </w:r>
    </w:p>
    <w:p w14:paraId="525CFB62">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2.1.1反应器类型：浆态床反应器，有效容积：30-50L；催化剂装填量：0.75-1.5kg；原料：甲醛溶液、乙炔气体；反应温度：90-100℃，控制精度±1℃；反应压力：80-120kPa</w:t>
      </w:r>
    </w:p>
    <w:p w14:paraId="5424BCC9">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2.1.2搅拌系统：机械搅拌或磁力搅拌，转速范围100-1500rpm，转速可调节，桨叶类型可选锚式、桨式或涡轮式。</w:t>
      </w:r>
    </w:p>
    <w:p w14:paraId="206B5139">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2.1.3材质：316L不锈钢或哈氏合金C276等，具有良好的耐腐蚀性和耐高温高压性能；</w:t>
      </w:r>
    </w:p>
    <w:p w14:paraId="5017C841">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2.2尾气循环系统：</w:t>
      </w:r>
    </w:p>
    <w:p w14:paraId="3B6A4991">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2.2.1为确保炔化反应单元中乙炔等气体原料在液相体系中的高效溶解与反应活性，同时精准研究压力对反应平衡及产物分布的影响，本装置采用气体增压泵与背压阀组合的闭环压力控制系统；投标人提供的尾气循环系统方案需考虑乙炔气体的易燃易爆性能，并支持梯度压力条件模拟，可复现不同工业生产压力场景，为工业化装置的压力设计及操作参数优化提供直接支撑。</w:t>
      </w:r>
    </w:p>
    <w:p w14:paraId="7795255A">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2.3一步加氢单元：​</w:t>
      </w:r>
    </w:p>
    <w:p w14:paraId="2FC6DA31">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2.3.1反应器类型：固定床反应器，需具备耐高温高压及氢脆性能；催化剂装填量：300-700g​原料：1,4-丁炔二醇、氢气；反应温度：300-400℃，控制精度±1℃，采用多区控温；反应压力：1-3MPa</w:t>
      </w:r>
    </w:p>
    <w:p w14:paraId="7AAD643C">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2.4二步加氢单元：</w:t>
      </w:r>
    </w:p>
    <w:p w14:paraId="68EB5B37">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反应器类型：固定床反应器，需具备耐高温高压及氢脆性能；</w:t>
      </w:r>
    </w:p>
    <w:p w14:paraId="28172BEB">
      <w:pPr>
        <w:snapToGrid w:val="0"/>
        <w:spacing w:line="500" w:lineRule="exact"/>
        <w:rPr>
          <w:rFonts w:hint="eastAsia" w:ascii="宋体" w:hAnsi="宋体" w:eastAsia="宋体" w:cs="宋体"/>
          <w:sz w:val="28"/>
          <w:szCs w:val="28"/>
        </w:rPr>
      </w:pPr>
      <w:r>
        <w:rPr>
          <w:rFonts w:hint="eastAsia" w:ascii="宋体" w:hAnsi="宋体" w:eastAsia="宋体" w:cs="宋体"/>
          <w:sz w:val="28"/>
          <w:szCs w:val="28"/>
        </w:rPr>
        <w:t>催化剂装填量：500-1000g；原料：1,4-丁烯二醇、氢气；反应温度：250-350℃，控制精度±1℃，采用多区控温；反应压力：10-20MPa；</w:t>
      </w:r>
    </w:p>
    <w:p w14:paraId="1BFC8F2B">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2.5产物分离与精制单元：</w:t>
      </w:r>
    </w:p>
    <w:p w14:paraId="430D3252">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​2.5.1分离塔配置：</w:t>
      </w:r>
    </w:p>
    <w:p w14:paraId="6C505B7D">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为保证产品分离效果分离单元应至少包含以下设备，乙炔蒸馏塔、脱轻塔、脱重塔，每级塔体独立集成塔顶冷凝器、塔顶分离器、塔顶回流单元、塔釜冷凝器与精准采出系统等；</w:t>
      </w:r>
    </w:p>
    <w:p w14:paraId="61D2B33C">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​2.5.2精馏塔性能：</w:t>
      </w:r>
    </w:p>
    <w:p w14:paraId="6B32E321">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理论塔板数：10-30块</w:t>
      </w:r>
    </w:p>
    <w:p w14:paraId="1A405D21">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操作压力：5-100kPa（绝压）；</w:t>
      </w:r>
    </w:p>
    <w:p w14:paraId="32418372">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2.5.3蒸馏控制：通过精确调控塔顶温度（40-150°C）、塔釜温度（80-200°C）与回流比（1-10），实现BDO与水、未反应原料、副产物的初步分离，最终BDO产品纯度≥99.9%（GC检测），杂质含量≤10ppm（ICP-MS检测）。</w:t>
      </w:r>
    </w:p>
    <w:p w14:paraId="165C78B2">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2.6投标人应根据以上技术规格要求，按照市场上通用型炔化法合成BDO催化剂性能核算各段反应器参数，提供反应器图纸和整体的设备布局图。</w:t>
      </w:r>
    </w:p>
    <w:p w14:paraId="748EF4B1">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2.7根据以上工艺参数各投标人需提供满足条件的 P&amp;ID 流程图，同时需明确各工艺参数的控制范围及检测点，确保流程图能准确反映装置的工艺流程及控制逻辑。</w:t>
      </w:r>
    </w:p>
    <w:p w14:paraId="2B4E14B3">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2.8投标人应根据市场通用型催化剂的性能和转化率核算并列出各个部件的选型和性能参数等。</w:t>
      </w:r>
    </w:p>
    <w:p w14:paraId="1BC4D8A8">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3.控制与安全系统</w:t>
      </w:r>
    </w:p>
    <w:p w14:paraId="6CC9CAF9">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3.1控制系统：PLC+计算机联合控制，可在计算机上实现100%仪表功能操作，实时读取测量值/给定值/参数设置，自动/手动模式无缝切换，数据存储容量≥1TB，支持历史数据导出与历史曲线回溯。</w:t>
      </w:r>
    </w:p>
    <w:p w14:paraId="147CAD44">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3.2实时监测反应器温度、气体流量、反应器压力、床层温度，同步显示于控制系统人机交互界面上；</w:t>
      </w:r>
    </w:p>
    <w:p w14:paraId="0E0FD875">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3.3考虑到反应压力对反应过程的影响，反应器进口处配置高精度压力传感器及现场精密压力表（精度≥0.25级），实时显示当前反应器反应压力，并与控制系统压力信号同步校准，确保操作人员直观掌握压力状态并快速响应异常工况。</w:t>
      </w:r>
    </w:p>
    <w:p w14:paraId="10EFB050">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3.4投标人须根据工艺流程和设备特点给出合理可行的安全性设计方案。</w:t>
      </w:r>
    </w:p>
    <w:p w14:paraId="564B9C31">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4.设备公用工程要求</w:t>
      </w:r>
    </w:p>
    <w:p w14:paraId="2DB3E74F">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​4.1总功率：≥40kW（含加热、搅拌、压缩机等负载）</w:t>
      </w:r>
    </w:p>
    <w:p w14:paraId="69BD7D91">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防爆与防腐：装置放置于新疆新业能源化工有限公司中试基地（易燃易爆环境），所有电气设备满足ExdIICT4防爆等级，接触BDO/甲醛的部件采用316L不锈钢（耐醛腐蚀）或镍基合金（耐氢脆）；管道密封件为全氟醚橡胶（FFKM）或聚四氟乙烯（PTFE），确保无泄漏风险。</w:t>
      </w:r>
    </w:p>
    <w:p w14:paraId="25870289">
      <w:pPr>
        <w:pStyle w:val="87"/>
        <w:spacing w:line="500" w:lineRule="exact"/>
        <w:jc w:val="center"/>
        <w:rPr>
          <w:rFonts w:hint="eastAsia" w:ascii="宋体" w:hAnsi="宋体" w:eastAsia="宋体" w:cs="宋体"/>
          <w:b/>
          <w:color w:val="auto"/>
          <w:sz w:val="28"/>
          <w:szCs w:val="28"/>
        </w:rPr>
      </w:pPr>
    </w:p>
    <w:p w14:paraId="42D73E3F">
      <w:pPr>
        <w:spacing w:line="500" w:lineRule="exact"/>
        <w:rPr>
          <w:rFonts w:hint="eastAsia" w:ascii="宋体" w:hAnsi="宋体" w:eastAsia="宋体" w:cs="宋体"/>
          <w:sz w:val="28"/>
          <w:szCs w:val="28"/>
        </w:rPr>
      </w:pPr>
      <w:r>
        <w:rPr>
          <w:rFonts w:hint="eastAsia" w:ascii="宋体" w:hAnsi="宋体" w:eastAsia="宋体" w:cs="宋体"/>
          <w:b/>
          <w:sz w:val="28"/>
          <w:szCs w:val="28"/>
        </w:rPr>
        <w:t>备注：以上4项参数，均</w:t>
      </w:r>
      <w:r>
        <w:rPr>
          <w:rFonts w:hint="eastAsia" w:ascii="宋体" w:hAnsi="宋体" w:eastAsia="宋体" w:cs="宋体"/>
          <w:b/>
          <w:bCs/>
          <w:sz w:val="28"/>
          <w:szCs w:val="28"/>
        </w:rPr>
        <w:t>为一般参数项。</w:t>
      </w:r>
    </w:p>
    <w:p w14:paraId="0BE5C431">
      <w:pPr>
        <w:spacing w:line="500" w:lineRule="exact"/>
        <w:rPr>
          <w:rFonts w:hint="eastAsia" w:ascii="宋体" w:hAnsi="宋体" w:eastAsia="宋体" w:cs="宋体"/>
          <w:b/>
          <w:bCs/>
          <w:sz w:val="28"/>
          <w:szCs w:val="28"/>
        </w:rPr>
      </w:pPr>
      <w:r>
        <w:rPr>
          <w:rFonts w:hint="eastAsia" w:ascii="宋体" w:hAnsi="宋体" w:eastAsia="宋体" w:cs="宋体"/>
          <w:b/>
          <w:bCs/>
          <w:sz w:val="28"/>
          <w:szCs w:val="28"/>
        </w:rPr>
        <w:br w:type="page"/>
      </w:r>
    </w:p>
    <w:p w14:paraId="08A44CC4">
      <w:pPr>
        <w:snapToGrid w:val="0"/>
        <w:spacing w:line="500" w:lineRule="exact"/>
        <w:ind w:left="686"/>
        <w:rPr>
          <w:rFonts w:hint="eastAsia" w:ascii="宋体" w:hAnsi="宋体" w:eastAsia="宋体" w:cs="宋体"/>
          <w:b/>
          <w:bCs/>
          <w:sz w:val="28"/>
          <w:szCs w:val="28"/>
        </w:rPr>
      </w:pPr>
      <w:r>
        <w:rPr>
          <w:rFonts w:hint="eastAsia" w:ascii="宋体" w:hAnsi="宋体" w:eastAsia="宋体" w:cs="宋体"/>
          <w:b/>
          <w:bCs/>
          <w:sz w:val="28"/>
          <w:szCs w:val="28"/>
        </w:rPr>
        <w:t>14、品目名称：醋酸乙烯氢甲酰化单管实验装置（国产）</w:t>
      </w:r>
    </w:p>
    <w:p w14:paraId="2221C130">
      <w:pPr>
        <w:snapToGrid w:val="0"/>
        <w:spacing w:line="500" w:lineRule="exact"/>
        <w:ind w:firstLine="573" w:firstLineChars="204"/>
        <w:rPr>
          <w:rFonts w:hint="eastAsia" w:ascii="宋体" w:hAnsi="宋体" w:eastAsia="宋体" w:cs="宋体"/>
          <w:b/>
          <w:bCs/>
          <w:sz w:val="28"/>
          <w:szCs w:val="28"/>
        </w:rPr>
      </w:pPr>
      <w:r>
        <w:rPr>
          <w:rFonts w:hint="eastAsia" w:ascii="宋体" w:hAnsi="宋体" w:eastAsia="宋体" w:cs="宋体"/>
          <w:b/>
          <w:bCs/>
          <w:sz w:val="28"/>
          <w:szCs w:val="28"/>
        </w:rPr>
        <w:t>一、装置介绍</w:t>
      </w:r>
    </w:p>
    <w:p w14:paraId="03FD1AF1">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醋酸乙烯氢甲酰化模试实验装置是面向醋酸乙烯氢甲酰化合成工艺开发的中试级成套验证平台，系统集成一级釜式反应系统、二级釜式反应系统、进料系统、预热系统、冷却系统、精馏分离系统、分析系统、控制系统及公用工程系统九大核心模块，聚焦醋酸乙烯氢甲酰化两步法合成路径，可开展釜式催化反应全流程实验研究。装置支持精准调控反应温度、压力、搅拌速率等关键参数，模拟工业级连续生产环境，用于测试催化剂在醋酸乙烯氢甲酰化反应及后续加氢/转化反应中的活性、选择性与稳定性，助力催化剂筛选与工艺优化，提升目标产物收率与品质。同时，装置集成多级分离与在线分析技术，可高效分离粗产物中的目标组分与杂质，并支持反应动力学、反应历程及多相催化耦合机制研究，为醋酸乙烯氢甲酰化工艺放大与工业化应用提供可靠的中试数据支撑。</w:t>
      </w:r>
    </w:p>
    <w:p w14:paraId="1FFF547D">
      <w:pPr>
        <w:snapToGrid w:val="0"/>
        <w:spacing w:line="500" w:lineRule="exact"/>
        <w:ind w:firstLine="573" w:firstLineChars="204"/>
        <w:rPr>
          <w:rFonts w:hint="eastAsia" w:ascii="宋体" w:hAnsi="宋体" w:eastAsia="宋体" w:cs="宋体"/>
          <w:b/>
          <w:bCs/>
          <w:sz w:val="28"/>
          <w:szCs w:val="28"/>
        </w:rPr>
      </w:pPr>
      <w:r>
        <w:rPr>
          <w:rFonts w:hint="eastAsia" w:ascii="宋体" w:hAnsi="宋体" w:eastAsia="宋体" w:cs="宋体"/>
          <w:b/>
          <w:bCs/>
          <w:sz w:val="28"/>
          <w:szCs w:val="28"/>
        </w:rPr>
        <w:t>二、技术规格</w:t>
      </w:r>
    </w:p>
    <w:p w14:paraId="2158F716">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 装置规格</w:t>
      </w:r>
      <w:r>
        <w:rPr>
          <w:rFonts w:hint="eastAsia" w:ascii="宋体" w:hAnsi="宋体" w:eastAsia="宋体" w:cs="宋体"/>
          <w:b/>
          <w:bCs/>
          <w:sz w:val="28"/>
          <w:szCs w:val="28"/>
        </w:rPr>
        <w:t>（备注：以下参数1项）</w:t>
      </w:r>
    </w:p>
    <w:p w14:paraId="6D0BB8E4">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定制化设计，集成九大功能单元：一级釜式反应、二级釜式反应、进料、预热、冷却、精馏分离、分析、控制和公用工程单元，满足醋酸乙烯氢甲酰化工艺开发需求。</w:t>
      </w:r>
    </w:p>
    <w:p w14:paraId="75C101FA">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 详细技术参数</w:t>
      </w:r>
      <w:r>
        <w:rPr>
          <w:rFonts w:hint="eastAsia" w:ascii="宋体" w:hAnsi="宋体" w:eastAsia="宋体" w:cs="宋体"/>
          <w:b/>
          <w:bCs/>
          <w:sz w:val="28"/>
          <w:szCs w:val="28"/>
        </w:rPr>
        <w:t>（备注：以下参数12项）</w:t>
      </w:r>
    </w:p>
    <w:p w14:paraId="0875DD78">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2.1 一级釜式反应系统</w:t>
      </w:r>
    </w:p>
    <w:p w14:paraId="2CBDEBA2">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反应器类型：釜式反应器</w:t>
      </w:r>
    </w:p>
    <w:p w14:paraId="0D0571AF">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反应器材料：316L不锈钢或哈氏合金C276等，材质需耐高压/耐催化剂腐蚀；</w:t>
      </w:r>
    </w:p>
    <w:p w14:paraId="24E6F329">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原料：甲苯、氢甲酰化催化剂、三苯基磷、醋酸乙烯、氢气、一氧化碳；</w:t>
      </w:r>
    </w:p>
    <w:p w14:paraId="4B0B224B">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反应温度：≥50℃；</w:t>
      </w:r>
    </w:p>
    <w:p w14:paraId="052F6C25">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反应压力：≥12.5MPa；</w:t>
      </w:r>
    </w:p>
    <w:p w14:paraId="07547334">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搅拌转速：≥800rpm，搅拌桨叶可选锚式/桨式/涡轮式，适配液-气-固多相混合需求；</w:t>
      </w:r>
    </w:p>
    <w:p w14:paraId="4DD4485D">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2.2 二级釜式反应系统</w:t>
      </w:r>
    </w:p>
    <w:p w14:paraId="63E8F3A5">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反应器类型：釜式反应器</w:t>
      </w:r>
    </w:p>
    <w:p w14:paraId="7AD7F54D">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反应器材料：316L不锈钢或哈氏合金C276等，材质需耐高压/耐催化剂腐蚀；</w:t>
      </w:r>
    </w:p>
    <w:p w14:paraId="49EA8E8C">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原料：甲苯、3-乙酰氧基丙醛、雷尼镍、氢气；</w:t>
      </w:r>
    </w:p>
    <w:p w14:paraId="466B6933">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反应温度：≥70℃；</w:t>
      </w:r>
    </w:p>
    <w:p w14:paraId="21AFA94A">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反应压力：≥5.0MPa；</w:t>
      </w:r>
    </w:p>
    <w:p w14:paraId="6AFE349A">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搅拌转速：≥600rpm，搅拌桨叶可选锚式/桨式/涡轮式，适配液-气-固多相混合需求；</w:t>
      </w:r>
    </w:p>
    <w:p w14:paraId="3534E50B">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2.3 进料系统</w:t>
      </w:r>
    </w:p>
    <w:p w14:paraId="49439C74">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气体进料：采用质量流量计（精度</w:t>
      </w:r>
      <w:r>
        <w:rPr>
          <w:rFonts w:hint="eastAsia" w:ascii="宋体" w:hAnsi="宋体" w:eastAsia="宋体" w:cs="宋体"/>
          <w:sz w:val="28"/>
          <w:szCs w:val="28"/>
          <w:lang w:val="zh-TW"/>
        </w:rPr>
        <w:t>≥</w:t>
      </w:r>
      <w:r>
        <w:rPr>
          <w:rFonts w:hint="eastAsia" w:ascii="宋体" w:hAnsi="宋体" w:eastAsia="宋体" w:cs="宋体"/>
          <w:sz w:val="28"/>
          <w:szCs w:val="28"/>
        </w:rPr>
        <w:t>±1% FS）、减压阀、压力表、过滤器，确保氢气/一氧化碳等气体原料的精准计量与洁净输送；</w:t>
      </w:r>
    </w:p>
    <w:p w14:paraId="41D5F697">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液相进料：采用高精度计量泵，原料罐配置电子天平称量，实时监测原料投加量；</w:t>
      </w:r>
    </w:p>
    <w:p w14:paraId="4861E0A3">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2.4 预热系统与冷却系统</w:t>
      </w:r>
    </w:p>
    <w:p w14:paraId="6DF3A8A0">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预热系统：采用电加热夹套或盘管，确保原料预热至目标温度；</w:t>
      </w:r>
    </w:p>
    <w:p w14:paraId="3798F30B">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冷却系统：配备循环冷却机组（制冷量根据反应放热量需求配置），用于反应后物料的快速降温；</w:t>
      </w:r>
    </w:p>
    <w:p w14:paraId="01B0BCA6">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2.5 精馏分离系统</w:t>
      </w:r>
    </w:p>
    <w:p w14:paraId="7441E300">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为保证高效分离精馏分离系统设备组成至少包含精馏塔、塔顶冷凝器、塔顶回流单元、塔釜采出单元等；</w:t>
      </w:r>
    </w:p>
    <w:p w14:paraId="1EAE67C6">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2.6 分析系统</w:t>
      </w:r>
    </w:p>
    <w:p w14:paraId="23CFC935">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分析系统核心设备性能参数不低于气相色谱仪或性能优于该指标，设备需配备FID氢火焰离子化检测器、TCD热导检测器，用于产物组成分析；氢气发生器（纯度≥99.999%），为色谱仪提供载气；配套专业控制软件，支持数据实时采集、谱图分析及报告生成；</w:t>
      </w:r>
    </w:p>
    <w:p w14:paraId="7566CB85">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2.7 控制系统</w:t>
      </w:r>
    </w:p>
    <w:p w14:paraId="039AA249">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​PLC+计算机联合控制，可在计算机上实现100%仪表功能操作，实时读取测量值/给定值/参数设置，自动/手动模式无缝切换，数据存储容量≥1TB，支持历史数据导出与历史曲线回溯。</w:t>
      </w:r>
    </w:p>
    <w:p w14:paraId="5E506C76">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实时监测反应器温度、气体流量、反应器压力、床层温度，同步显示于控制系统人机交互界面上；</w:t>
      </w:r>
    </w:p>
    <w:p w14:paraId="4E5DCF92">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​控制界面有带控制点的工艺流程图、参数设置表、程序升温设置、报警窗口、历史数据查询及各控制点实时和历史曲线，历史曲线保留时间永久；</w:t>
      </w:r>
    </w:p>
    <w:p w14:paraId="7FF0F2AB">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2.8 公用工程与防爆设计</w:t>
      </w:r>
    </w:p>
    <w:p w14:paraId="599A9A22">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​设备放置环境：装置安装于新疆新业能源化工有限公司中试基地，所有电气设备需满足Exd IICT4防爆等级，接触醋酸乙烯/甲醛等活性物料的部件采用316L不锈钢或镍基合金；管道密封确保无泄漏风险；</w:t>
      </w:r>
    </w:p>
    <w:p w14:paraId="1B17E8B0">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2.9 投标人应根据以上技术规格要求，按照市场上通用型醋酸乙烯氢甲酰化反应催化剂性能核算各级反应器参数。</w:t>
      </w:r>
    </w:p>
    <w:p w14:paraId="7F4675B6">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2.10 根据以上工艺参数各投标人需提供满足条件的 P&amp;ID 流程图，同时需明确各工艺参数的控制范围及检测点，确保流程图能准确反映装置的工艺流程及控制逻辑。</w:t>
      </w:r>
    </w:p>
    <w:p w14:paraId="4D1EB5C9">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2.11投标人应根据市场通用型催化剂的性能和转化率核算并列出各个部件的选型和性能参数等。</w:t>
      </w:r>
    </w:p>
    <w:p w14:paraId="2E30C4CD">
      <w:pPr>
        <w:snapToGrid w:val="0"/>
        <w:spacing w:line="500" w:lineRule="exact"/>
        <w:ind w:firstLine="571" w:firstLineChars="204"/>
        <w:rPr>
          <w:rFonts w:hint="eastAsia" w:ascii="宋体" w:hAnsi="宋体" w:eastAsia="宋体" w:cs="宋体"/>
          <w:sz w:val="28"/>
          <w:szCs w:val="28"/>
        </w:rPr>
      </w:pPr>
      <w:r>
        <w:rPr>
          <w:rFonts w:hint="eastAsia" w:ascii="宋体" w:hAnsi="宋体" w:eastAsia="宋体" w:cs="宋体"/>
          <w:sz w:val="28"/>
          <w:szCs w:val="28"/>
        </w:rPr>
        <w:t>2.12投标人须根据工艺流程和设备特点给出合理可行的安全性设计方案。</w:t>
      </w:r>
    </w:p>
    <w:p w14:paraId="1FFAABB7">
      <w:pPr>
        <w:pStyle w:val="87"/>
        <w:spacing w:line="500" w:lineRule="exact"/>
        <w:jc w:val="center"/>
        <w:rPr>
          <w:rFonts w:hint="eastAsia" w:ascii="宋体" w:hAnsi="宋体" w:eastAsia="宋体" w:cs="宋体"/>
          <w:b/>
          <w:color w:val="auto"/>
          <w:sz w:val="28"/>
          <w:szCs w:val="28"/>
        </w:rPr>
      </w:pPr>
    </w:p>
    <w:p w14:paraId="3D1633D3">
      <w:pPr>
        <w:spacing w:line="500" w:lineRule="exact"/>
        <w:rPr>
          <w:rFonts w:hint="eastAsia" w:ascii="宋体" w:hAnsi="宋体" w:eastAsia="宋体" w:cs="宋体"/>
          <w:sz w:val="28"/>
          <w:szCs w:val="28"/>
        </w:rPr>
      </w:pPr>
      <w:r>
        <w:rPr>
          <w:rFonts w:hint="eastAsia" w:ascii="宋体" w:hAnsi="宋体" w:eastAsia="宋体" w:cs="宋体"/>
          <w:b/>
          <w:sz w:val="28"/>
          <w:szCs w:val="28"/>
        </w:rPr>
        <w:t>备注：以上13项参数，均</w:t>
      </w:r>
      <w:r>
        <w:rPr>
          <w:rFonts w:hint="eastAsia" w:ascii="宋体" w:hAnsi="宋体" w:eastAsia="宋体" w:cs="宋体"/>
          <w:b/>
          <w:bCs/>
          <w:sz w:val="28"/>
          <w:szCs w:val="28"/>
        </w:rPr>
        <w:t>为一般参数项。</w:t>
      </w:r>
    </w:p>
    <w:p w14:paraId="0725DB96">
      <w:pPr>
        <w:spacing w:line="500" w:lineRule="exact"/>
        <w:rPr>
          <w:rFonts w:hint="eastAsia" w:ascii="宋体" w:hAnsi="宋体" w:eastAsia="宋体" w:cs="宋体"/>
          <w:sz w:val="28"/>
          <w:szCs w:val="28"/>
        </w:rPr>
      </w:pPr>
    </w:p>
    <w:p w14:paraId="302E7A81">
      <w:pPr>
        <w:spacing w:line="500" w:lineRule="exact"/>
        <w:rPr>
          <w:rFonts w:hint="eastAsia" w:ascii="宋体" w:hAnsi="宋体" w:eastAsia="宋体" w:cs="宋体"/>
          <w:b/>
          <w:sz w:val="28"/>
          <w:szCs w:val="28"/>
        </w:rPr>
      </w:pPr>
      <w:r>
        <w:rPr>
          <w:rFonts w:hint="eastAsia" w:ascii="宋体" w:hAnsi="宋体" w:eastAsia="宋体" w:cs="宋体"/>
          <w:b/>
          <w:sz w:val="28"/>
          <w:szCs w:val="28"/>
        </w:rPr>
        <w:br w:type="page"/>
      </w:r>
    </w:p>
    <w:p w14:paraId="021E6356">
      <w:pPr>
        <w:snapToGrid w:val="0"/>
        <w:spacing w:line="500" w:lineRule="exact"/>
        <w:ind w:left="770"/>
        <w:rPr>
          <w:rFonts w:hint="eastAsia" w:ascii="宋体" w:hAnsi="宋体" w:eastAsia="宋体" w:cs="宋体"/>
          <w:b/>
          <w:sz w:val="28"/>
          <w:szCs w:val="28"/>
        </w:rPr>
      </w:pPr>
      <w:r>
        <w:rPr>
          <w:rFonts w:hint="eastAsia" w:ascii="宋体" w:hAnsi="宋体" w:eastAsia="宋体" w:cs="宋体"/>
          <w:b/>
          <w:sz w:val="28"/>
          <w:szCs w:val="28"/>
        </w:rPr>
        <w:t>15、品目名称：固体废弃物建材制备系统</w:t>
      </w:r>
    </w:p>
    <w:p w14:paraId="29C1248D">
      <w:pPr>
        <w:snapToGrid w:val="0"/>
        <w:spacing w:line="500" w:lineRule="exact"/>
        <w:ind w:left="770"/>
        <w:rPr>
          <w:rFonts w:hint="eastAsia" w:ascii="宋体" w:hAnsi="宋体" w:eastAsia="宋体" w:cs="宋体"/>
          <w:b/>
          <w:sz w:val="28"/>
          <w:szCs w:val="28"/>
          <w:highlight w:val="none"/>
        </w:rPr>
      </w:pPr>
      <w:bookmarkStart w:id="185" w:name="_Hlk195035970"/>
      <w:r>
        <w:rPr>
          <w:rFonts w:hint="eastAsia" w:ascii="宋体" w:hAnsi="宋体" w:eastAsia="宋体" w:cs="宋体"/>
          <w:b/>
          <w:sz w:val="28"/>
          <w:szCs w:val="28"/>
        </w:rPr>
        <w:t>（备注：</w:t>
      </w:r>
      <w:r>
        <w:rPr>
          <w:rFonts w:hint="eastAsia" w:ascii="宋体" w:hAnsi="宋体" w:eastAsia="宋体" w:cs="宋体"/>
          <w:b/>
          <w:sz w:val="28"/>
          <w:szCs w:val="28"/>
          <w:highlight w:val="none"/>
        </w:rPr>
        <w:t>以下</w:t>
      </w:r>
      <w:r>
        <w:rPr>
          <w:rFonts w:hint="eastAsia" w:hAnsi="宋体" w:cs="宋体"/>
          <w:b/>
          <w:bCs w:val="0"/>
          <w:color w:val="auto"/>
          <w:kern w:val="0"/>
          <w:sz w:val="28"/>
          <w:szCs w:val="28"/>
          <w:highlight w:val="none"/>
          <w:lang w:val="en-US" w:eastAsia="zh-CN"/>
        </w:rPr>
        <w:t>其他未标识为一般参数8项</w:t>
      </w:r>
      <w:r>
        <w:rPr>
          <w:rFonts w:hint="eastAsia" w:ascii="宋体" w:hAnsi="宋体" w:eastAsia="宋体" w:cs="宋体"/>
          <w:b/>
          <w:sz w:val="28"/>
          <w:szCs w:val="28"/>
          <w:highlight w:val="none"/>
        </w:rPr>
        <w:t>）</w:t>
      </w:r>
    </w:p>
    <w:p w14:paraId="62D57DC2">
      <w:pPr>
        <w:numPr>
          <w:ilvl w:val="0"/>
          <w:numId w:val="25"/>
        </w:numPr>
        <w:snapToGrid w:val="0"/>
        <w:spacing w:line="500" w:lineRule="exact"/>
        <w:ind w:left="0" w:firstLine="770"/>
        <w:rPr>
          <w:rFonts w:hint="eastAsia" w:ascii="宋体" w:hAnsi="宋体" w:eastAsia="宋体" w:cs="宋体"/>
          <w:b/>
          <w:sz w:val="28"/>
          <w:szCs w:val="28"/>
        </w:rPr>
      </w:pPr>
      <w:r>
        <w:rPr>
          <w:rFonts w:hint="eastAsia" w:ascii="宋体" w:hAnsi="宋体" w:eastAsia="宋体" w:cs="宋体"/>
          <w:b/>
          <w:sz w:val="28"/>
          <w:szCs w:val="28"/>
        </w:rPr>
        <w:t>蒸压模块：</w:t>
      </w:r>
    </w:p>
    <w:p w14:paraId="33465911">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详细参数：</w:t>
      </w:r>
    </w:p>
    <w:p w14:paraId="2CD3A6A3">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1.  釜体容积≥10L</w:t>
      </w:r>
    </w:p>
    <w:p w14:paraId="4EAC7D4D">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2.  最高工作压力：一般为2.5MPa（可人工调整）</w:t>
      </w:r>
    </w:p>
    <w:p w14:paraId="4A4FD4C1">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3.  标准升压时间：从0到2MPa的升压时间约为45分钟到65分钟</w:t>
      </w:r>
    </w:p>
    <w:p w14:paraId="73A1CB86">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4.  安全阀开启压力：一般为3.0MPa</w:t>
      </w:r>
    </w:p>
    <w:p w14:paraId="2109C499">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5.  压力自动控制的波动范围： ≤±0.05MPa</w:t>
      </w:r>
    </w:p>
    <w:p w14:paraId="0EC7F13C">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6.  保压时间设定范围： 1到99小时</w:t>
      </w:r>
    </w:p>
    <w:p w14:paraId="277E417F">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7.  额定电压：220V</w:t>
      </w:r>
    </w:p>
    <w:p w14:paraId="31A36F8B">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8.  额定功率： 1200W到1800W</w:t>
      </w:r>
    </w:p>
    <w:p w14:paraId="65FAE922">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9.  外形尺寸： ≥1000×660× 1320mm</w:t>
      </w:r>
    </w:p>
    <w:p w14:paraId="65CE9BAF">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10. 重量：约120kg到180kg</w:t>
      </w:r>
    </w:p>
    <w:p w14:paraId="42377CB7">
      <w:pPr>
        <w:numPr>
          <w:ilvl w:val="0"/>
          <w:numId w:val="25"/>
        </w:numPr>
        <w:snapToGrid w:val="0"/>
        <w:spacing w:line="500" w:lineRule="exact"/>
        <w:ind w:left="0" w:firstLine="770"/>
        <w:rPr>
          <w:rFonts w:hint="eastAsia" w:ascii="宋体" w:hAnsi="宋体" w:eastAsia="宋体" w:cs="宋体"/>
          <w:sz w:val="28"/>
          <w:szCs w:val="28"/>
        </w:rPr>
      </w:pPr>
      <w:r>
        <w:rPr>
          <w:rFonts w:hint="eastAsia" w:ascii="宋体" w:hAnsi="宋体" w:eastAsia="宋体" w:cs="宋体"/>
          <w:b/>
          <w:sz w:val="28"/>
          <w:szCs w:val="28"/>
        </w:rPr>
        <w:t>高速搅拌模块：</w:t>
      </w:r>
    </w:p>
    <w:p w14:paraId="65B840C9">
      <w:pPr>
        <w:numPr>
          <w:ilvl w:val="0"/>
          <w:numId w:val="26"/>
        </w:numPr>
        <w:snapToGrid w:val="0"/>
        <w:spacing w:line="500" w:lineRule="exact"/>
        <w:ind w:left="0" w:firstLine="770"/>
        <w:rPr>
          <w:rFonts w:hint="eastAsia" w:ascii="宋体" w:hAnsi="宋体" w:eastAsia="宋体" w:cs="宋体"/>
          <w:sz w:val="28"/>
          <w:szCs w:val="28"/>
        </w:rPr>
      </w:pPr>
      <w:r>
        <w:rPr>
          <w:rFonts w:hint="eastAsia" w:ascii="宋体" w:hAnsi="宋体" w:eastAsia="宋体" w:cs="宋体"/>
          <w:sz w:val="28"/>
          <w:szCs w:val="28"/>
        </w:rPr>
        <w:t>详细参数：</w:t>
      </w:r>
    </w:p>
    <w:p w14:paraId="689A43B9">
      <w:pPr>
        <w:pStyle w:val="91"/>
        <w:snapToGrid w:val="0"/>
        <w:spacing w:before="0" w:after="0" w:line="500" w:lineRule="exact"/>
        <w:ind w:firstLine="770"/>
        <w:jc w:val="both"/>
        <w:rPr>
          <w:rFonts w:hint="eastAsia" w:ascii="宋体" w:hAnsi="宋体" w:eastAsia="宋体" w:cs="宋体"/>
          <w:bCs w:val="0"/>
          <w:spacing w:val="0"/>
          <w:sz w:val="28"/>
          <w:szCs w:val="28"/>
          <w:lang w:val="zh-TW" w:eastAsia="zh-TW"/>
        </w:rPr>
      </w:pPr>
      <w:r>
        <w:rPr>
          <w:rFonts w:hint="eastAsia" w:ascii="宋体" w:hAnsi="宋体" w:eastAsia="宋体" w:cs="宋体"/>
          <w:bCs w:val="0"/>
          <w:spacing w:val="0"/>
          <w:sz w:val="28"/>
          <w:szCs w:val="28"/>
          <w:lang w:val="zh-TW" w:eastAsia="zh-TW"/>
        </w:rPr>
        <w:t>1.转速：</w:t>
      </w:r>
      <w:r>
        <w:rPr>
          <w:rFonts w:hint="eastAsia" w:ascii="宋体" w:hAnsi="宋体" w:eastAsia="宋体" w:cs="宋体"/>
          <w:bCs w:val="0"/>
          <w:spacing w:val="0"/>
          <w:sz w:val="28"/>
          <w:szCs w:val="28"/>
        </w:rPr>
        <w:t>低速自转140±2</w:t>
      </w:r>
      <w:r>
        <w:rPr>
          <w:rFonts w:hint="eastAsia" w:ascii="宋体" w:hAnsi="宋体" w:eastAsia="宋体" w:cs="宋体"/>
          <w:bCs w:val="0"/>
          <w:spacing w:val="0"/>
          <w:sz w:val="28"/>
          <w:szCs w:val="28"/>
          <w:lang w:val="zh-TW" w:eastAsia="zh-TW"/>
        </w:rPr>
        <w:t>rpm</w:t>
      </w:r>
      <w:r>
        <w:rPr>
          <w:rFonts w:hint="eastAsia" w:ascii="宋体" w:hAnsi="宋体" w:eastAsia="宋体" w:cs="宋体"/>
          <w:bCs w:val="0"/>
          <w:spacing w:val="0"/>
          <w:sz w:val="28"/>
          <w:szCs w:val="28"/>
          <w:lang w:val="zh-TW"/>
        </w:rPr>
        <w:t>、</w:t>
      </w:r>
      <w:r>
        <w:rPr>
          <w:rFonts w:hint="eastAsia" w:ascii="宋体" w:hAnsi="宋体" w:eastAsia="宋体" w:cs="宋体"/>
          <w:bCs w:val="0"/>
          <w:spacing w:val="0"/>
          <w:sz w:val="28"/>
          <w:szCs w:val="28"/>
        </w:rPr>
        <w:t>公转62±2</w:t>
      </w:r>
      <w:r>
        <w:rPr>
          <w:rFonts w:hint="eastAsia" w:ascii="宋体" w:hAnsi="宋体" w:eastAsia="宋体" w:cs="宋体"/>
          <w:bCs w:val="0"/>
          <w:spacing w:val="0"/>
          <w:sz w:val="28"/>
          <w:szCs w:val="28"/>
          <w:lang w:val="zh-TW" w:eastAsia="zh-TW"/>
        </w:rPr>
        <w:t>rpm</w:t>
      </w:r>
      <w:r>
        <w:rPr>
          <w:rFonts w:hint="eastAsia" w:ascii="宋体" w:hAnsi="宋体" w:eastAsia="宋体" w:cs="宋体"/>
          <w:bCs w:val="0"/>
          <w:spacing w:val="0"/>
          <w:sz w:val="28"/>
          <w:szCs w:val="28"/>
          <w:lang w:val="zh-TW"/>
        </w:rPr>
        <w:t>；</w:t>
      </w:r>
      <w:r>
        <w:rPr>
          <w:rFonts w:hint="eastAsia" w:ascii="宋体" w:hAnsi="宋体" w:eastAsia="宋体" w:cs="宋体"/>
          <w:bCs w:val="0"/>
          <w:spacing w:val="0"/>
          <w:sz w:val="28"/>
          <w:szCs w:val="28"/>
          <w:lang w:val="zh-TW" w:eastAsia="zh-TW"/>
        </w:rPr>
        <w:t>快速</w:t>
      </w:r>
      <w:r>
        <w:rPr>
          <w:rFonts w:hint="eastAsia" w:ascii="宋体" w:hAnsi="宋体" w:eastAsia="宋体" w:cs="宋体"/>
          <w:bCs w:val="0"/>
          <w:spacing w:val="0"/>
          <w:sz w:val="28"/>
          <w:szCs w:val="28"/>
        </w:rPr>
        <w:t>低速自转285±3</w:t>
      </w:r>
      <w:r>
        <w:rPr>
          <w:rFonts w:hint="eastAsia" w:ascii="宋体" w:hAnsi="宋体" w:eastAsia="宋体" w:cs="宋体"/>
          <w:bCs w:val="0"/>
          <w:spacing w:val="0"/>
          <w:sz w:val="28"/>
          <w:szCs w:val="28"/>
          <w:lang w:val="zh-TW" w:eastAsia="zh-TW"/>
        </w:rPr>
        <w:t>rpm</w:t>
      </w:r>
      <w:r>
        <w:rPr>
          <w:rFonts w:hint="eastAsia" w:ascii="宋体" w:hAnsi="宋体" w:eastAsia="宋体" w:cs="宋体"/>
          <w:bCs w:val="0"/>
          <w:spacing w:val="0"/>
          <w:sz w:val="28"/>
          <w:szCs w:val="28"/>
          <w:lang w:val="zh-TW"/>
        </w:rPr>
        <w:t>、</w:t>
      </w:r>
      <w:r>
        <w:rPr>
          <w:rFonts w:hint="eastAsia" w:ascii="宋体" w:hAnsi="宋体" w:eastAsia="宋体" w:cs="宋体"/>
          <w:bCs w:val="0"/>
          <w:spacing w:val="0"/>
          <w:sz w:val="28"/>
          <w:szCs w:val="28"/>
        </w:rPr>
        <w:t>公转125±3</w:t>
      </w:r>
      <w:r>
        <w:rPr>
          <w:rFonts w:hint="eastAsia" w:ascii="宋体" w:hAnsi="宋体" w:eastAsia="宋体" w:cs="宋体"/>
          <w:bCs w:val="0"/>
          <w:spacing w:val="0"/>
          <w:sz w:val="28"/>
          <w:szCs w:val="28"/>
          <w:lang w:val="zh-TW" w:eastAsia="zh-TW"/>
        </w:rPr>
        <w:t>rpm</w:t>
      </w:r>
      <w:r>
        <w:rPr>
          <w:rFonts w:hint="eastAsia" w:ascii="宋体" w:hAnsi="宋体" w:eastAsia="宋体" w:cs="宋体"/>
          <w:bCs w:val="0"/>
          <w:spacing w:val="0"/>
          <w:sz w:val="28"/>
          <w:szCs w:val="28"/>
          <w:lang w:val="zh-TW"/>
        </w:rPr>
        <w:t>；</w:t>
      </w:r>
    </w:p>
    <w:p w14:paraId="0124EED8">
      <w:pPr>
        <w:pStyle w:val="91"/>
        <w:snapToGrid w:val="0"/>
        <w:spacing w:before="0" w:after="0" w:line="500" w:lineRule="exact"/>
        <w:ind w:firstLine="770"/>
        <w:jc w:val="both"/>
        <w:rPr>
          <w:rFonts w:hint="eastAsia" w:ascii="宋体" w:hAnsi="宋体" w:eastAsia="宋体" w:cs="宋体"/>
          <w:bCs w:val="0"/>
          <w:spacing w:val="0"/>
          <w:sz w:val="28"/>
          <w:szCs w:val="28"/>
          <w:lang w:val="zh-TW" w:eastAsia="zh-TW"/>
        </w:rPr>
      </w:pPr>
      <w:r>
        <w:rPr>
          <w:rFonts w:hint="eastAsia" w:ascii="宋体" w:hAnsi="宋体" w:eastAsia="宋体" w:cs="宋体"/>
          <w:bCs w:val="0"/>
          <w:spacing w:val="0"/>
          <w:sz w:val="28"/>
          <w:szCs w:val="28"/>
          <w:lang w:val="zh-TW" w:eastAsia="zh-TW"/>
        </w:rPr>
        <w:t>2.搅拌叶宽度： ≥135mm</w:t>
      </w:r>
    </w:p>
    <w:p w14:paraId="00EB97C2">
      <w:pPr>
        <w:pStyle w:val="91"/>
        <w:snapToGrid w:val="0"/>
        <w:spacing w:before="0" w:after="0" w:line="500" w:lineRule="exact"/>
        <w:ind w:firstLine="770"/>
        <w:jc w:val="both"/>
        <w:rPr>
          <w:rFonts w:hint="eastAsia" w:ascii="宋体" w:hAnsi="宋体" w:eastAsia="宋体" w:cs="宋体"/>
          <w:bCs w:val="0"/>
          <w:spacing w:val="0"/>
          <w:sz w:val="28"/>
          <w:szCs w:val="28"/>
          <w:lang w:val="zh-TW"/>
        </w:rPr>
      </w:pPr>
      <w:r>
        <w:rPr>
          <w:rFonts w:hint="eastAsia" w:ascii="宋体" w:hAnsi="宋体" w:eastAsia="宋体" w:cs="宋体"/>
          <w:bCs w:val="0"/>
          <w:spacing w:val="0"/>
          <w:sz w:val="28"/>
          <w:szCs w:val="28"/>
          <w:lang w:val="zh-TW"/>
        </w:rPr>
        <w:t>3.搅拌叶联结：使用快接（可随时拆装叶片）</w:t>
      </w:r>
    </w:p>
    <w:p w14:paraId="6929A54C">
      <w:pPr>
        <w:pStyle w:val="91"/>
        <w:snapToGrid w:val="0"/>
        <w:spacing w:before="0" w:after="0" w:line="500" w:lineRule="exact"/>
        <w:ind w:firstLine="770"/>
        <w:jc w:val="both"/>
        <w:rPr>
          <w:rFonts w:hint="eastAsia" w:ascii="宋体" w:hAnsi="宋体" w:eastAsia="宋体" w:cs="宋体"/>
          <w:bCs w:val="0"/>
          <w:spacing w:val="0"/>
          <w:sz w:val="28"/>
          <w:szCs w:val="28"/>
        </w:rPr>
      </w:pPr>
      <w:r>
        <w:rPr>
          <w:rFonts w:hint="eastAsia" w:ascii="宋体" w:hAnsi="宋体" w:eastAsia="宋体" w:cs="宋体"/>
          <w:bCs w:val="0"/>
          <w:spacing w:val="0"/>
          <w:sz w:val="28"/>
          <w:szCs w:val="28"/>
          <w:lang w:val="zh-TW"/>
        </w:rPr>
        <w:t>4.搅拌叶容器： ≥5L，</w:t>
      </w:r>
      <w:r>
        <w:rPr>
          <w:rFonts w:hint="eastAsia" w:ascii="宋体" w:hAnsi="宋体" w:eastAsia="宋体" w:cs="宋体"/>
          <w:bCs w:val="0"/>
          <w:spacing w:val="0"/>
          <w:sz w:val="28"/>
          <w:szCs w:val="28"/>
        </w:rPr>
        <w:t>壁厚≥1.5mm</w:t>
      </w:r>
    </w:p>
    <w:p w14:paraId="7DB7464F">
      <w:pPr>
        <w:pStyle w:val="91"/>
        <w:snapToGrid w:val="0"/>
        <w:spacing w:before="0" w:after="0" w:line="500" w:lineRule="exact"/>
        <w:ind w:firstLine="770"/>
        <w:jc w:val="both"/>
        <w:rPr>
          <w:rFonts w:hint="eastAsia" w:ascii="宋体" w:hAnsi="宋体" w:eastAsia="宋体" w:cs="宋体"/>
          <w:bCs w:val="0"/>
          <w:spacing w:val="0"/>
          <w:sz w:val="28"/>
          <w:szCs w:val="28"/>
          <w:lang w:val="zh-TW"/>
        </w:rPr>
      </w:pPr>
      <w:r>
        <w:rPr>
          <w:rFonts w:hint="eastAsia" w:ascii="宋体" w:hAnsi="宋体" w:eastAsia="宋体" w:cs="宋体"/>
          <w:bCs w:val="0"/>
          <w:spacing w:val="0"/>
          <w:sz w:val="28"/>
          <w:szCs w:val="28"/>
          <w:lang w:val="zh-TW"/>
        </w:rPr>
        <w:t>5.工作间隙：搅拌叶与搅拌锅的工作间隙为3</w:t>
      </w:r>
      <w:r>
        <w:rPr>
          <w:rFonts w:hint="eastAsia" w:ascii="宋体" w:hAnsi="宋体" w:eastAsia="宋体" w:cs="宋体"/>
          <w:bCs w:val="0"/>
          <w:spacing w:val="0"/>
          <w:sz w:val="28"/>
          <w:szCs w:val="28"/>
        </w:rPr>
        <w:t>±1</w:t>
      </w:r>
      <w:r>
        <w:rPr>
          <w:rFonts w:hint="eastAsia" w:ascii="宋体" w:hAnsi="宋体" w:eastAsia="宋体" w:cs="宋体"/>
          <w:bCs w:val="0"/>
          <w:spacing w:val="0"/>
          <w:sz w:val="28"/>
          <w:szCs w:val="28"/>
          <w:lang w:val="zh-TW"/>
        </w:rPr>
        <w:t>mm</w:t>
      </w:r>
    </w:p>
    <w:p w14:paraId="7B11334A">
      <w:pPr>
        <w:pStyle w:val="91"/>
        <w:snapToGrid w:val="0"/>
        <w:spacing w:before="0" w:after="0" w:line="500" w:lineRule="exact"/>
        <w:ind w:firstLine="770"/>
        <w:jc w:val="both"/>
        <w:rPr>
          <w:rFonts w:hint="eastAsia" w:ascii="宋体" w:hAnsi="宋体" w:eastAsia="宋体" w:cs="宋体"/>
          <w:bCs w:val="0"/>
          <w:spacing w:val="0"/>
          <w:sz w:val="28"/>
          <w:szCs w:val="28"/>
          <w:lang w:val="zh-TW"/>
        </w:rPr>
      </w:pPr>
      <w:r>
        <w:rPr>
          <w:rFonts w:hint="eastAsia" w:ascii="宋体" w:hAnsi="宋体" w:eastAsia="宋体" w:cs="宋体"/>
          <w:bCs w:val="0"/>
          <w:spacing w:val="0"/>
          <w:sz w:val="28"/>
          <w:szCs w:val="28"/>
          <w:lang w:val="zh-TW"/>
        </w:rPr>
        <w:t>6.电动机功率 ：≥0.75kW</w:t>
      </w:r>
    </w:p>
    <w:p w14:paraId="5DE9A1FB">
      <w:pPr>
        <w:pStyle w:val="91"/>
        <w:snapToGrid w:val="0"/>
        <w:spacing w:before="0" w:after="0" w:line="500" w:lineRule="exact"/>
        <w:ind w:firstLine="770"/>
        <w:jc w:val="both"/>
        <w:rPr>
          <w:rFonts w:hint="eastAsia" w:ascii="宋体" w:hAnsi="宋体" w:eastAsia="宋体" w:cs="宋体"/>
          <w:bCs w:val="0"/>
          <w:sz w:val="28"/>
          <w:szCs w:val="28"/>
        </w:rPr>
      </w:pPr>
      <w:r>
        <w:rPr>
          <w:rFonts w:hint="eastAsia" w:ascii="宋体" w:hAnsi="宋体" w:eastAsia="宋体" w:cs="宋体"/>
          <w:bCs w:val="0"/>
          <w:spacing w:val="0"/>
          <w:sz w:val="28"/>
          <w:szCs w:val="28"/>
          <w:lang w:val="zh-TW"/>
        </w:rPr>
        <w:t>7.外形尺寸： ≥长</w:t>
      </w:r>
      <w:r>
        <w:rPr>
          <w:rFonts w:hint="eastAsia" w:ascii="宋体" w:hAnsi="宋体" w:eastAsia="宋体" w:cs="宋体"/>
          <w:bCs w:val="0"/>
          <w:spacing w:val="0"/>
          <w:sz w:val="28"/>
          <w:szCs w:val="28"/>
        </w:rPr>
        <w:t>620</w:t>
      </w:r>
      <w:r>
        <w:rPr>
          <w:rFonts w:hint="eastAsia" w:ascii="宋体" w:hAnsi="宋体" w:eastAsia="宋体" w:cs="宋体"/>
          <w:bCs w:val="0"/>
          <w:spacing w:val="0"/>
          <w:sz w:val="28"/>
          <w:szCs w:val="28"/>
          <w:lang w:val="zh-TW"/>
        </w:rPr>
        <w:t>x宽</w:t>
      </w:r>
      <w:r>
        <w:rPr>
          <w:rFonts w:hint="eastAsia" w:ascii="宋体" w:hAnsi="宋体" w:eastAsia="宋体" w:cs="宋体"/>
          <w:bCs w:val="0"/>
          <w:spacing w:val="0"/>
          <w:sz w:val="28"/>
          <w:szCs w:val="28"/>
        </w:rPr>
        <w:t>420</w:t>
      </w:r>
      <w:r>
        <w:rPr>
          <w:rFonts w:hint="eastAsia" w:ascii="宋体" w:hAnsi="宋体" w:eastAsia="宋体" w:cs="宋体"/>
          <w:bCs w:val="0"/>
          <w:spacing w:val="0"/>
          <w:sz w:val="28"/>
          <w:szCs w:val="28"/>
          <w:lang w:val="zh-TW"/>
        </w:rPr>
        <w:t>x高</w:t>
      </w:r>
      <w:r>
        <w:rPr>
          <w:rFonts w:hint="eastAsia" w:ascii="宋体" w:hAnsi="宋体" w:eastAsia="宋体" w:cs="宋体"/>
          <w:bCs w:val="0"/>
          <w:spacing w:val="0"/>
          <w:sz w:val="28"/>
          <w:szCs w:val="28"/>
        </w:rPr>
        <w:t>815</w:t>
      </w:r>
      <w:r>
        <w:rPr>
          <w:rFonts w:hint="eastAsia" w:ascii="宋体" w:hAnsi="宋体" w:eastAsia="宋体" w:cs="宋体"/>
          <w:bCs w:val="0"/>
          <w:spacing w:val="0"/>
          <w:sz w:val="28"/>
          <w:szCs w:val="28"/>
          <w:lang w:val="zh-TW"/>
        </w:rPr>
        <w:t>（ mm）</w:t>
      </w:r>
    </w:p>
    <w:p w14:paraId="66F7FD03">
      <w:pPr>
        <w:numPr>
          <w:ilvl w:val="0"/>
          <w:numId w:val="25"/>
        </w:numPr>
        <w:snapToGrid w:val="0"/>
        <w:spacing w:line="500" w:lineRule="exact"/>
        <w:ind w:left="0" w:firstLine="770"/>
        <w:rPr>
          <w:rFonts w:hint="eastAsia" w:ascii="宋体" w:hAnsi="宋体" w:eastAsia="宋体" w:cs="宋体"/>
          <w:b/>
          <w:sz w:val="28"/>
          <w:szCs w:val="28"/>
        </w:rPr>
      </w:pPr>
      <w:r>
        <w:rPr>
          <w:rFonts w:hint="eastAsia" w:ascii="宋体" w:hAnsi="宋体" w:eastAsia="宋体" w:cs="宋体"/>
          <w:b/>
          <w:sz w:val="28"/>
          <w:szCs w:val="28"/>
        </w:rPr>
        <w:t>震动压制模块：</w:t>
      </w:r>
    </w:p>
    <w:p w14:paraId="52B24C55">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1）规格：全自动液压空心砖机</w:t>
      </w:r>
    </w:p>
    <w:p w14:paraId="1D273677">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2）详细参数：</w:t>
      </w:r>
    </w:p>
    <w:p w14:paraId="0461480E">
      <w:pPr>
        <w:pStyle w:val="91"/>
        <w:snapToGrid w:val="0"/>
        <w:spacing w:before="0" w:after="0" w:line="500" w:lineRule="exact"/>
        <w:ind w:firstLine="770"/>
        <w:jc w:val="both"/>
        <w:rPr>
          <w:rFonts w:hint="eastAsia" w:ascii="宋体" w:hAnsi="宋体" w:eastAsia="宋体" w:cs="宋体"/>
          <w:bCs w:val="0"/>
          <w:spacing w:val="0"/>
          <w:sz w:val="28"/>
          <w:szCs w:val="28"/>
          <w:lang w:val="zh-TW"/>
        </w:rPr>
      </w:pPr>
      <w:r>
        <w:rPr>
          <w:rFonts w:hint="eastAsia" w:ascii="宋体" w:hAnsi="宋体" w:eastAsia="宋体" w:cs="宋体"/>
          <w:bCs w:val="0"/>
          <w:spacing w:val="0"/>
          <w:sz w:val="28"/>
          <w:szCs w:val="28"/>
          <w:lang w:val="zh-TW"/>
        </w:rPr>
        <w:t>1.功率： ≥</w:t>
      </w:r>
      <w:r>
        <w:rPr>
          <w:rFonts w:hint="eastAsia" w:ascii="宋体" w:hAnsi="宋体" w:eastAsia="宋体" w:cs="宋体"/>
          <w:bCs w:val="0"/>
          <w:spacing w:val="0"/>
          <w:sz w:val="28"/>
          <w:szCs w:val="28"/>
        </w:rPr>
        <w:t>6</w:t>
      </w:r>
      <w:r>
        <w:rPr>
          <w:rFonts w:hint="eastAsia" w:ascii="宋体" w:hAnsi="宋体" w:eastAsia="宋体" w:cs="宋体"/>
          <w:bCs w:val="0"/>
          <w:spacing w:val="0"/>
          <w:sz w:val="28"/>
          <w:szCs w:val="28"/>
          <w:lang w:val="zh-TW"/>
        </w:rPr>
        <w:t>.</w:t>
      </w:r>
      <w:r>
        <w:rPr>
          <w:rFonts w:hint="eastAsia" w:ascii="宋体" w:hAnsi="宋体" w:eastAsia="宋体" w:cs="宋体"/>
          <w:bCs w:val="0"/>
          <w:spacing w:val="0"/>
          <w:sz w:val="28"/>
          <w:szCs w:val="28"/>
        </w:rPr>
        <w:t>5</w:t>
      </w:r>
      <w:r>
        <w:rPr>
          <w:rFonts w:hint="eastAsia" w:ascii="宋体" w:hAnsi="宋体" w:eastAsia="宋体" w:cs="宋体"/>
          <w:bCs w:val="0"/>
          <w:spacing w:val="0"/>
          <w:sz w:val="28"/>
          <w:szCs w:val="28"/>
          <w:lang w:val="zh-TW"/>
        </w:rPr>
        <w:t>kw</w:t>
      </w:r>
    </w:p>
    <w:p w14:paraId="2315E5E1">
      <w:pPr>
        <w:pStyle w:val="91"/>
        <w:snapToGrid w:val="0"/>
        <w:spacing w:before="0" w:after="0" w:line="500" w:lineRule="exact"/>
        <w:ind w:firstLine="770"/>
        <w:jc w:val="both"/>
        <w:rPr>
          <w:rFonts w:hint="eastAsia" w:ascii="宋体" w:hAnsi="宋体" w:eastAsia="宋体" w:cs="宋体"/>
          <w:bCs w:val="0"/>
          <w:spacing w:val="0"/>
          <w:sz w:val="28"/>
          <w:szCs w:val="28"/>
          <w:lang w:val="zh-TW"/>
        </w:rPr>
      </w:pPr>
      <w:r>
        <w:rPr>
          <w:rFonts w:hint="eastAsia" w:ascii="宋体" w:hAnsi="宋体" w:eastAsia="宋体" w:cs="宋体"/>
          <w:bCs w:val="0"/>
          <w:spacing w:val="0"/>
          <w:sz w:val="28"/>
          <w:szCs w:val="28"/>
          <w:lang w:val="zh-TW"/>
        </w:rPr>
        <w:t>2.外观尺寸： ≥1200*1200*2100mm</w:t>
      </w:r>
    </w:p>
    <w:p w14:paraId="1A20A356">
      <w:pPr>
        <w:pStyle w:val="91"/>
        <w:snapToGrid w:val="0"/>
        <w:spacing w:before="0" w:after="0" w:line="500" w:lineRule="exact"/>
        <w:ind w:firstLine="770"/>
        <w:jc w:val="both"/>
        <w:rPr>
          <w:rFonts w:hint="eastAsia" w:ascii="宋体" w:hAnsi="宋体" w:eastAsia="宋体" w:cs="宋体"/>
          <w:bCs w:val="0"/>
          <w:spacing w:val="0"/>
          <w:sz w:val="28"/>
          <w:szCs w:val="28"/>
          <w:lang w:val="zh-TW"/>
        </w:rPr>
      </w:pPr>
      <w:r>
        <w:rPr>
          <w:rFonts w:hint="eastAsia" w:ascii="宋体" w:hAnsi="宋体" w:eastAsia="宋体" w:cs="宋体"/>
          <w:bCs w:val="0"/>
          <w:spacing w:val="0"/>
          <w:sz w:val="28"/>
          <w:szCs w:val="28"/>
          <w:lang w:val="zh-TW"/>
        </w:rPr>
        <w:t>3.震动频率： ≥4500/min</w:t>
      </w:r>
    </w:p>
    <w:p w14:paraId="7126CF5D">
      <w:pPr>
        <w:pStyle w:val="91"/>
        <w:snapToGrid w:val="0"/>
        <w:spacing w:before="0" w:after="0" w:line="500" w:lineRule="exact"/>
        <w:ind w:firstLine="770"/>
        <w:jc w:val="both"/>
        <w:rPr>
          <w:rFonts w:hint="eastAsia" w:ascii="宋体" w:hAnsi="宋体" w:eastAsia="宋体" w:cs="宋体"/>
          <w:bCs w:val="0"/>
          <w:spacing w:val="0"/>
          <w:sz w:val="28"/>
          <w:szCs w:val="28"/>
          <w:lang w:val="zh-TW" w:eastAsia="zh-TW"/>
        </w:rPr>
      </w:pPr>
      <w:r>
        <w:rPr>
          <w:rFonts w:hint="eastAsia" w:ascii="宋体" w:hAnsi="宋体" w:eastAsia="宋体" w:cs="宋体"/>
          <w:bCs w:val="0"/>
          <w:spacing w:val="0"/>
          <w:sz w:val="28"/>
          <w:szCs w:val="28"/>
          <w:lang w:val="zh-TW" w:eastAsia="zh-TW"/>
        </w:rPr>
        <w:t>4.重量： ≥750kg</w:t>
      </w:r>
    </w:p>
    <w:p w14:paraId="78EE1AAB">
      <w:pPr>
        <w:pStyle w:val="91"/>
        <w:snapToGrid w:val="0"/>
        <w:spacing w:before="0" w:after="0" w:line="500" w:lineRule="exact"/>
        <w:ind w:firstLine="770"/>
        <w:jc w:val="both"/>
        <w:rPr>
          <w:rFonts w:hint="eastAsia" w:ascii="宋体" w:hAnsi="宋体" w:eastAsia="宋体" w:cs="宋体"/>
          <w:bCs w:val="0"/>
          <w:spacing w:val="0"/>
          <w:sz w:val="28"/>
          <w:szCs w:val="28"/>
          <w:lang w:val="zh-TW" w:eastAsia="zh-TW"/>
        </w:rPr>
      </w:pPr>
      <w:r>
        <w:rPr>
          <w:rFonts w:hint="eastAsia" w:ascii="宋体" w:hAnsi="宋体" w:eastAsia="宋体" w:cs="宋体"/>
          <w:bCs w:val="0"/>
          <w:spacing w:val="0"/>
          <w:sz w:val="28"/>
          <w:szCs w:val="28"/>
          <w:lang w:val="zh-TW" w:eastAsia="zh-TW"/>
        </w:rPr>
        <w:t>5.容量： ≥400L</w:t>
      </w:r>
    </w:p>
    <w:p w14:paraId="618203EF">
      <w:pPr>
        <w:pStyle w:val="91"/>
        <w:snapToGrid w:val="0"/>
        <w:spacing w:before="0" w:after="0" w:line="500" w:lineRule="exact"/>
        <w:ind w:firstLine="770"/>
        <w:jc w:val="both"/>
        <w:rPr>
          <w:rFonts w:hint="eastAsia" w:ascii="宋体" w:hAnsi="宋体" w:eastAsia="宋体" w:cs="宋体"/>
          <w:bCs w:val="0"/>
          <w:spacing w:val="0"/>
          <w:sz w:val="28"/>
          <w:szCs w:val="28"/>
          <w:lang w:val="zh-TW"/>
        </w:rPr>
      </w:pPr>
      <w:r>
        <w:rPr>
          <w:rFonts w:hint="eastAsia" w:ascii="宋体" w:hAnsi="宋体" w:eastAsia="宋体" w:cs="宋体"/>
          <w:bCs w:val="0"/>
          <w:spacing w:val="0"/>
          <w:sz w:val="28"/>
          <w:szCs w:val="28"/>
          <w:lang w:val="zh-TW"/>
        </w:rPr>
        <w:t>6.转速： ≥25r/min</w:t>
      </w:r>
    </w:p>
    <w:p w14:paraId="53DDE4BB">
      <w:pPr>
        <w:numPr>
          <w:ilvl w:val="0"/>
          <w:numId w:val="25"/>
        </w:numPr>
        <w:snapToGrid w:val="0"/>
        <w:spacing w:line="500" w:lineRule="exact"/>
        <w:ind w:left="0" w:firstLine="770"/>
        <w:rPr>
          <w:rFonts w:hint="eastAsia" w:ascii="宋体" w:hAnsi="宋体" w:eastAsia="宋体" w:cs="宋体"/>
          <w:b/>
          <w:sz w:val="28"/>
          <w:szCs w:val="28"/>
        </w:rPr>
      </w:pPr>
      <w:r>
        <w:rPr>
          <w:rFonts w:hint="eastAsia" w:ascii="宋体" w:hAnsi="宋体" w:eastAsia="宋体" w:cs="宋体"/>
          <w:b/>
          <w:sz w:val="28"/>
          <w:szCs w:val="28"/>
        </w:rPr>
        <w:t>力学性能测试模块：</w:t>
      </w:r>
    </w:p>
    <w:p w14:paraId="34FCEB44">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详细参数：</w:t>
      </w:r>
    </w:p>
    <w:p w14:paraId="4F7BB22E">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1.最大抗折： ≥10kN ，最大抗压： ≥300kN</w:t>
      </w:r>
    </w:p>
    <w:p w14:paraId="576F72D1">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2.试验力测量范围  kN： 12～300(4%-100%FS)</w:t>
      </w:r>
    </w:p>
    <w:p w14:paraId="6994A02D">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3.试验力示值相对误差： ≤示值的±</w:t>
      </w:r>
      <w:r>
        <w:rPr>
          <w:rFonts w:hint="eastAsia" w:ascii="宋体" w:hAnsi="宋体" w:eastAsia="宋体" w:cs="宋体"/>
          <w:sz w:val="28"/>
          <w:szCs w:val="28"/>
        </w:rPr>
        <w:t>0.5</w:t>
      </w:r>
      <w:r>
        <w:rPr>
          <w:rFonts w:hint="eastAsia" w:ascii="宋体" w:hAnsi="宋体" w:eastAsia="宋体" w:cs="宋体"/>
          <w:sz w:val="28"/>
          <w:szCs w:val="28"/>
          <w:lang w:val="zh-TW"/>
        </w:rPr>
        <w:t>%</w:t>
      </w:r>
    </w:p>
    <w:p w14:paraId="05D1DFE7">
      <w:pPr>
        <w:snapToGrid w:val="0"/>
        <w:spacing w:line="500" w:lineRule="exact"/>
        <w:ind w:firstLine="770"/>
        <w:rPr>
          <w:rFonts w:hint="eastAsia" w:ascii="宋体" w:hAnsi="宋体" w:eastAsia="宋体" w:cs="宋体"/>
          <w:sz w:val="28"/>
          <w:szCs w:val="28"/>
          <w:lang w:val="zh-TW" w:eastAsia="zh-TW"/>
        </w:rPr>
      </w:pPr>
      <w:r>
        <w:rPr>
          <w:rFonts w:hint="eastAsia" w:ascii="宋体" w:hAnsi="宋体" w:eastAsia="宋体" w:cs="宋体"/>
          <w:sz w:val="28"/>
          <w:szCs w:val="28"/>
          <w:lang w:val="zh-TW" w:eastAsia="zh-TW"/>
        </w:rPr>
        <w:t>4.试验力分辨率： ≤0.</w:t>
      </w:r>
      <w:r>
        <w:rPr>
          <w:rFonts w:hint="eastAsia" w:ascii="宋体" w:hAnsi="宋体" w:eastAsia="宋体" w:cs="宋体"/>
          <w:sz w:val="28"/>
          <w:szCs w:val="28"/>
          <w:lang w:eastAsia="zh-TW"/>
        </w:rPr>
        <w:t>0</w:t>
      </w:r>
      <w:r>
        <w:rPr>
          <w:rFonts w:hint="eastAsia" w:ascii="宋体" w:hAnsi="宋体" w:eastAsia="宋体" w:cs="宋体"/>
          <w:sz w:val="28"/>
          <w:szCs w:val="28"/>
          <w:lang w:val="zh-TW" w:eastAsia="zh-TW"/>
        </w:rPr>
        <w:t>1kN</w:t>
      </w:r>
    </w:p>
    <w:p w14:paraId="5F875691">
      <w:pPr>
        <w:snapToGrid w:val="0"/>
        <w:spacing w:line="500" w:lineRule="exact"/>
        <w:ind w:firstLine="770"/>
        <w:rPr>
          <w:rFonts w:hint="eastAsia" w:ascii="宋体" w:hAnsi="宋体" w:eastAsia="宋体" w:cs="宋体"/>
          <w:sz w:val="28"/>
          <w:szCs w:val="28"/>
          <w:lang w:val="zh-TW" w:eastAsia="zh-TW"/>
        </w:rPr>
      </w:pPr>
      <w:r>
        <w:rPr>
          <w:rFonts w:hint="eastAsia" w:ascii="宋体" w:hAnsi="宋体" w:eastAsia="宋体" w:cs="宋体"/>
          <w:sz w:val="28"/>
          <w:szCs w:val="28"/>
          <w:lang w:val="zh-TW" w:eastAsia="zh-TW"/>
        </w:rPr>
        <w:t xml:space="preserve">5.加荷速率 ：0.3kN/S～10kN/S（抗压） </w:t>
      </w:r>
      <w:r>
        <w:rPr>
          <w:rFonts w:hint="eastAsia" w:ascii="宋体" w:hAnsi="宋体" w:eastAsia="宋体" w:cs="宋体"/>
          <w:sz w:val="28"/>
          <w:szCs w:val="28"/>
          <w:lang w:eastAsia="zh-TW"/>
        </w:rPr>
        <w:t>0</w:t>
      </w:r>
      <w:r>
        <w:rPr>
          <w:rFonts w:hint="eastAsia" w:ascii="宋体" w:hAnsi="宋体" w:eastAsia="宋体" w:cs="宋体"/>
          <w:sz w:val="28"/>
          <w:szCs w:val="28"/>
          <w:lang w:val="zh-TW" w:eastAsia="zh-TW"/>
        </w:rPr>
        <w:t>～50N/s(抗 折)</w:t>
      </w:r>
    </w:p>
    <w:p w14:paraId="6610D49C">
      <w:pPr>
        <w:snapToGrid w:val="0"/>
        <w:spacing w:line="500" w:lineRule="exact"/>
        <w:ind w:firstLine="770"/>
        <w:rPr>
          <w:rFonts w:hint="eastAsia" w:ascii="宋体" w:hAnsi="宋体" w:eastAsia="宋体" w:cs="宋体"/>
          <w:sz w:val="28"/>
          <w:szCs w:val="28"/>
          <w:lang w:val="zh-TW" w:eastAsia="zh-TW"/>
        </w:rPr>
      </w:pPr>
      <w:r>
        <w:rPr>
          <w:rFonts w:hint="eastAsia" w:ascii="宋体" w:hAnsi="宋体" w:eastAsia="宋体" w:cs="宋体"/>
          <w:sz w:val="28"/>
          <w:szCs w:val="28"/>
          <w:lang w:val="zh-TW" w:eastAsia="zh-TW"/>
        </w:rPr>
        <w:t>6.加荷速度误差： ±≤5%</w:t>
      </w:r>
    </w:p>
    <w:p w14:paraId="2EB96001">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7.油泵额定流量： ≥1.52L/min</w:t>
      </w:r>
    </w:p>
    <w:p w14:paraId="18A4DF75">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8.液压泵额定压力： ≥25MPa</w:t>
      </w:r>
    </w:p>
    <w:p w14:paraId="081D3DDC">
      <w:pPr>
        <w:snapToGrid w:val="0"/>
        <w:spacing w:line="500" w:lineRule="exact"/>
        <w:ind w:firstLine="770"/>
        <w:rPr>
          <w:rFonts w:hint="eastAsia" w:ascii="宋体" w:hAnsi="宋体" w:eastAsia="宋体" w:cs="宋体"/>
          <w:sz w:val="28"/>
          <w:szCs w:val="28"/>
          <w:lang w:val="zh-TW" w:eastAsia="zh-TW"/>
        </w:rPr>
      </w:pPr>
      <w:r>
        <w:rPr>
          <w:rFonts w:hint="eastAsia" w:ascii="宋体" w:hAnsi="宋体" w:eastAsia="宋体" w:cs="宋体"/>
          <w:sz w:val="28"/>
          <w:szCs w:val="28"/>
          <w:lang w:val="zh-TW"/>
        </w:rPr>
        <w:t>9.上下承压板尺寸 ：</w:t>
      </w:r>
      <w:r>
        <w:rPr>
          <w:rFonts w:hint="eastAsia" w:ascii="宋体" w:hAnsi="宋体" w:eastAsia="宋体" w:cs="宋体"/>
          <w:sz w:val="28"/>
          <w:szCs w:val="28"/>
          <w:lang w:val="zh-TW" w:eastAsia="zh-TW"/>
        </w:rPr>
        <w:t>抗压Φ120*Φ155mm</w:t>
      </w:r>
      <w:r>
        <w:rPr>
          <w:rFonts w:hint="eastAsia" w:ascii="宋体" w:hAnsi="宋体" w:eastAsia="宋体" w:cs="宋体"/>
          <w:sz w:val="28"/>
          <w:szCs w:val="28"/>
          <w:lang w:val="zh-TW"/>
        </w:rPr>
        <w:t>；上下压板间间距: 180mm</w:t>
      </w:r>
    </w:p>
    <w:p w14:paraId="64DAD6CB">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10.活塞直径 ：</w:t>
      </w:r>
      <w:r>
        <w:rPr>
          <w:rFonts w:hint="eastAsia" w:ascii="宋体" w:hAnsi="宋体" w:eastAsia="宋体" w:cs="宋体"/>
          <w:sz w:val="28"/>
          <w:szCs w:val="28"/>
          <w:lang w:val="zh-TW" w:eastAsia="zh-TW"/>
        </w:rPr>
        <w:t>φ</w:t>
      </w:r>
      <w:r>
        <w:rPr>
          <w:rFonts w:hint="eastAsia" w:ascii="宋体" w:hAnsi="宋体" w:eastAsia="宋体" w:cs="宋体"/>
          <w:sz w:val="28"/>
          <w:szCs w:val="28"/>
          <w:lang w:val="zh-TW"/>
        </w:rPr>
        <w:t>125mm（抗压）</w:t>
      </w:r>
      <w:r>
        <w:rPr>
          <w:rFonts w:hint="eastAsia" w:ascii="宋体" w:hAnsi="宋体" w:eastAsia="宋体" w:cs="宋体"/>
          <w:sz w:val="28"/>
          <w:szCs w:val="28"/>
          <w:lang w:val="zh-TW" w:eastAsia="zh-TW"/>
        </w:rPr>
        <w:t>Φ</w:t>
      </w:r>
      <w:r>
        <w:rPr>
          <w:rFonts w:hint="eastAsia" w:ascii="宋体" w:hAnsi="宋体" w:eastAsia="宋体" w:cs="宋体"/>
          <w:sz w:val="28"/>
          <w:szCs w:val="28"/>
          <w:lang w:val="zh-TW"/>
        </w:rPr>
        <w:t>60mm(抗折)</w:t>
      </w:r>
    </w:p>
    <w:p w14:paraId="3A6F1A97">
      <w:pPr>
        <w:snapToGrid w:val="0"/>
        <w:spacing w:line="500" w:lineRule="exact"/>
        <w:ind w:firstLine="770"/>
        <w:rPr>
          <w:rFonts w:hint="eastAsia" w:ascii="宋体" w:hAnsi="宋体" w:eastAsia="宋体" w:cs="宋体"/>
          <w:sz w:val="28"/>
          <w:szCs w:val="28"/>
          <w:lang w:val="zh-TW" w:eastAsia="zh-TW"/>
        </w:rPr>
      </w:pPr>
      <w:r>
        <w:rPr>
          <w:rFonts w:hint="eastAsia" w:ascii="宋体" w:hAnsi="宋体" w:eastAsia="宋体" w:cs="宋体"/>
          <w:sz w:val="28"/>
          <w:szCs w:val="28"/>
          <w:lang w:val="zh-TW" w:eastAsia="zh-TW"/>
        </w:rPr>
        <w:t>11.活塞行程 ：≥抗压 100mm  ≥抗折80mm</w:t>
      </w:r>
    </w:p>
    <w:p w14:paraId="535BDB76">
      <w:pPr>
        <w:snapToGrid w:val="0"/>
        <w:spacing w:line="500" w:lineRule="exact"/>
        <w:ind w:firstLine="770"/>
        <w:rPr>
          <w:rFonts w:hint="eastAsia" w:ascii="宋体" w:hAnsi="宋体" w:eastAsia="宋体" w:cs="宋体"/>
          <w:sz w:val="28"/>
          <w:szCs w:val="28"/>
          <w:lang w:val="zh-TW" w:eastAsia="zh-TW"/>
        </w:rPr>
      </w:pPr>
      <w:r>
        <w:rPr>
          <w:rFonts w:hint="eastAsia" w:ascii="宋体" w:hAnsi="宋体" w:eastAsia="宋体" w:cs="宋体"/>
          <w:sz w:val="28"/>
          <w:szCs w:val="28"/>
          <w:lang w:val="zh-TW" w:eastAsia="zh-TW"/>
        </w:rPr>
        <w:t>12.外形尺寸： ≥13</w:t>
      </w:r>
      <w:r>
        <w:rPr>
          <w:rFonts w:hint="eastAsia" w:ascii="宋体" w:hAnsi="宋体" w:eastAsia="宋体" w:cs="宋体"/>
          <w:sz w:val="28"/>
          <w:szCs w:val="28"/>
          <w:lang w:eastAsia="zh-TW"/>
        </w:rPr>
        <w:t>90</w:t>
      </w:r>
      <w:r>
        <w:rPr>
          <w:rFonts w:hint="eastAsia" w:ascii="宋体" w:hAnsi="宋体" w:eastAsia="宋体" w:cs="宋体"/>
          <w:sz w:val="28"/>
          <w:szCs w:val="28"/>
          <w:lang w:val="zh-TW" w:eastAsia="zh-TW"/>
        </w:rPr>
        <w:t>× 5</w:t>
      </w:r>
      <w:r>
        <w:rPr>
          <w:rFonts w:hint="eastAsia" w:ascii="宋体" w:hAnsi="宋体" w:eastAsia="宋体" w:cs="宋体"/>
          <w:sz w:val="28"/>
          <w:szCs w:val="28"/>
          <w:lang w:eastAsia="zh-TW"/>
        </w:rPr>
        <w:t>70</w:t>
      </w:r>
      <w:r>
        <w:rPr>
          <w:rFonts w:hint="eastAsia" w:ascii="宋体" w:hAnsi="宋体" w:eastAsia="宋体" w:cs="宋体"/>
          <w:sz w:val="28"/>
          <w:szCs w:val="28"/>
          <w:lang w:val="zh-TW" w:eastAsia="zh-TW"/>
        </w:rPr>
        <w:t>× 14</w:t>
      </w:r>
      <w:r>
        <w:rPr>
          <w:rFonts w:hint="eastAsia" w:ascii="宋体" w:hAnsi="宋体" w:eastAsia="宋体" w:cs="宋体"/>
          <w:sz w:val="28"/>
          <w:szCs w:val="28"/>
          <w:lang w:eastAsia="zh-TW"/>
        </w:rPr>
        <w:t>30</w:t>
      </w:r>
      <w:r>
        <w:rPr>
          <w:rFonts w:hint="eastAsia" w:ascii="宋体" w:hAnsi="宋体" w:eastAsia="宋体" w:cs="宋体"/>
          <w:sz w:val="28"/>
          <w:szCs w:val="28"/>
          <w:lang w:val="zh-TW" w:eastAsia="zh-TW"/>
        </w:rPr>
        <w:t>mm</w:t>
      </w:r>
    </w:p>
    <w:p w14:paraId="05FF1816">
      <w:pPr>
        <w:snapToGrid w:val="0"/>
        <w:spacing w:line="500" w:lineRule="exact"/>
        <w:ind w:firstLine="770"/>
        <w:rPr>
          <w:rFonts w:hint="eastAsia" w:ascii="宋体" w:hAnsi="宋体" w:eastAsia="宋体" w:cs="宋体"/>
          <w:sz w:val="28"/>
          <w:szCs w:val="28"/>
          <w:lang w:val="zh-TW" w:eastAsia="zh-TW"/>
        </w:rPr>
      </w:pPr>
      <w:r>
        <w:rPr>
          <w:rFonts w:hint="eastAsia" w:ascii="宋体" w:hAnsi="宋体" w:eastAsia="宋体" w:cs="宋体"/>
          <w:sz w:val="28"/>
          <w:szCs w:val="28"/>
          <w:lang w:val="zh-TW" w:eastAsia="zh-TW"/>
        </w:rPr>
        <w:t>13.体积/重量： ≥400KG</w:t>
      </w:r>
    </w:p>
    <w:p w14:paraId="264BABC8">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lang w:val="zh-TW"/>
        </w:rPr>
        <w:t>14、电压/功率： 380V</w:t>
      </w:r>
      <w:r>
        <w:rPr>
          <w:rFonts w:hint="eastAsia" w:ascii="宋体" w:hAnsi="宋体" w:eastAsia="宋体" w:cs="宋体"/>
          <w:sz w:val="28"/>
          <w:szCs w:val="28"/>
        </w:rPr>
        <w:t>/0.55KW</w:t>
      </w:r>
    </w:p>
    <w:p w14:paraId="4009DC71">
      <w:pPr>
        <w:numPr>
          <w:ilvl w:val="0"/>
          <w:numId w:val="25"/>
        </w:numPr>
        <w:snapToGrid w:val="0"/>
        <w:spacing w:line="500" w:lineRule="exact"/>
        <w:ind w:left="0" w:firstLine="770"/>
        <w:rPr>
          <w:rFonts w:hint="eastAsia" w:ascii="宋体" w:hAnsi="宋体" w:eastAsia="宋体" w:cs="宋体"/>
          <w:b/>
          <w:sz w:val="28"/>
          <w:szCs w:val="28"/>
        </w:rPr>
      </w:pPr>
      <w:r>
        <w:rPr>
          <w:rFonts w:hint="eastAsia" w:ascii="宋体" w:hAnsi="宋体" w:eastAsia="宋体" w:cs="宋体"/>
          <w:b/>
          <w:sz w:val="28"/>
          <w:szCs w:val="28"/>
        </w:rPr>
        <w:t>热工性能测试模块：</w:t>
      </w:r>
    </w:p>
    <w:p w14:paraId="792198A2">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详细参数：</w:t>
      </w:r>
    </w:p>
    <w:p w14:paraId="1264B151">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  试件标准尺寸 ：≥300mm×300mm×H(5～40)mm；</w:t>
      </w:r>
    </w:p>
    <w:p w14:paraId="3BF3221B">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2.  试件平整度 ：0.1mm；</w:t>
      </w:r>
    </w:p>
    <w:p w14:paraId="797029B1">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3.  导热系数测量范围： (0.001—2.000)W/ (m•K)；</w:t>
      </w:r>
    </w:p>
    <w:p w14:paraId="5EFC5ADE">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4.  热阻测量范围： ≥0.02 m2·K/W；</w:t>
      </w:r>
    </w:p>
    <w:p w14:paraId="1236E253">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5.  导热系数测量精度： ≤±3%；</w:t>
      </w:r>
    </w:p>
    <w:p w14:paraId="5E953E4D">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6.  导热系数测量重复性： ≤±1%；</w:t>
      </w:r>
    </w:p>
    <w:p w14:paraId="1E83FA00">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7.  温度分辨率： ±0.01℃ ;</w:t>
      </w:r>
    </w:p>
    <w:p w14:paraId="481A864D">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8.  试验室温度： (15—30)℃ ,  标准温度(23±2)℃;</w:t>
      </w:r>
    </w:p>
    <w:p w14:paraId="3C9F0992">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9.  试验室湿度：(20—80)%RH，标准(40—60)%RH；</w:t>
      </w:r>
    </w:p>
    <w:p w14:paraId="3C3EF876">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10. 电源电压：AC 220V±10%, 2.5KW；</w:t>
      </w:r>
    </w:p>
    <w:p w14:paraId="56CE9936">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11. 标准厚度： ≥25mm；</w:t>
      </w:r>
    </w:p>
    <w:p w14:paraId="4ED89E5C">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12. 夹紧力： ≤2.5kPa；</w:t>
      </w:r>
    </w:p>
    <w:p w14:paraId="673FFEEB">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13. 常规测试时间 ：(120-150)min；</w:t>
      </w:r>
    </w:p>
    <w:p w14:paraId="1D2372DC">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15. 绝热材料导热系数参比板的定值单位；</w:t>
      </w:r>
    </w:p>
    <w:p w14:paraId="73FA3491">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w:t>
      </w:r>
      <w:r>
        <w:rPr>
          <w:rFonts w:hint="eastAsia" w:ascii="宋体" w:hAnsi="宋体" w:eastAsia="宋体" w:cs="宋体"/>
          <w:sz w:val="28"/>
          <w:szCs w:val="28"/>
        </w:rPr>
        <w:t>6</w:t>
      </w:r>
      <w:r>
        <w:rPr>
          <w:rFonts w:hint="eastAsia" w:ascii="宋体" w:hAnsi="宋体" w:eastAsia="宋体" w:cs="宋体"/>
          <w:sz w:val="28"/>
          <w:szCs w:val="28"/>
          <w:lang w:val="zh-TW"/>
        </w:rPr>
        <w:t>. 在线计量校准程序，可同时标定温度、标定系统误差。</w:t>
      </w:r>
    </w:p>
    <w:p w14:paraId="60BF85ED">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w:t>
      </w:r>
      <w:r>
        <w:rPr>
          <w:rFonts w:hint="eastAsia" w:ascii="宋体" w:hAnsi="宋体" w:eastAsia="宋体" w:cs="宋体"/>
          <w:sz w:val="28"/>
          <w:szCs w:val="28"/>
        </w:rPr>
        <w:t>7</w:t>
      </w:r>
      <w:r>
        <w:rPr>
          <w:rFonts w:hint="eastAsia" w:ascii="宋体" w:hAnsi="宋体" w:eastAsia="宋体" w:cs="宋体"/>
          <w:sz w:val="28"/>
          <w:szCs w:val="28"/>
          <w:lang w:val="zh-TW"/>
        </w:rPr>
        <w:t>. 控制范围 ：-5℃-95℃</w:t>
      </w:r>
    </w:p>
    <w:p w14:paraId="2E81BAA0">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w:t>
      </w:r>
      <w:r>
        <w:rPr>
          <w:rFonts w:hint="eastAsia" w:ascii="宋体" w:hAnsi="宋体" w:eastAsia="宋体" w:cs="宋体"/>
          <w:sz w:val="28"/>
          <w:szCs w:val="28"/>
        </w:rPr>
        <w:t>8</w:t>
      </w:r>
      <w:r>
        <w:rPr>
          <w:rFonts w:hint="eastAsia" w:ascii="宋体" w:hAnsi="宋体" w:eastAsia="宋体" w:cs="宋体"/>
          <w:sz w:val="28"/>
          <w:szCs w:val="28"/>
          <w:lang w:val="zh-TW"/>
        </w:rPr>
        <w:t>. 试验室温度： (15—30)℃ ,  推荐温度(23±2)℃;</w:t>
      </w:r>
    </w:p>
    <w:p w14:paraId="41E16AAF">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rPr>
        <w:t>19</w:t>
      </w:r>
      <w:r>
        <w:rPr>
          <w:rFonts w:hint="eastAsia" w:ascii="宋体" w:hAnsi="宋体" w:eastAsia="宋体" w:cs="宋体"/>
          <w:sz w:val="28"/>
          <w:szCs w:val="28"/>
          <w:lang w:val="zh-TW"/>
        </w:rPr>
        <w:t>. 试验室湿度：(20—80)%RH，推荐(40—60)%RH；</w:t>
      </w:r>
    </w:p>
    <w:p w14:paraId="7FC69E40">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2</w:t>
      </w:r>
      <w:r>
        <w:rPr>
          <w:rFonts w:hint="eastAsia" w:ascii="宋体" w:hAnsi="宋体" w:eastAsia="宋体" w:cs="宋体"/>
          <w:sz w:val="28"/>
          <w:szCs w:val="28"/>
        </w:rPr>
        <w:t>0</w:t>
      </w:r>
      <w:r>
        <w:rPr>
          <w:rFonts w:hint="eastAsia" w:ascii="宋体" w:hAnsi="宋体" w:eastAsia="宋体" w:cs="宋体"/>
          <w:sz w:val="28"/>
          <w:szCs w:val="28"/>
          <w:lang w:val="zh-TW"/>
        </w:rPr>
        <w:t>. 试验设备占地空间： ≥2.3m×1m×1.2m；</w:t>
      </w:r>
    </w:p>
    <w:p w14:paraId="01B205EC">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2</w:t>
      </w:r>
      <w:r>
        <w:rPr>
          <w:rFonts w:hint="eastAsia" w:ascii="宋体" w:hAnsi="宋体" w:eastAsia="宋体" w:cs="宋体"/>
          <w:sz w:val="28"/>
          <w:szCs w:val="28"/>
        </w:rPr>
        <w:t>1</w:t>
      </w:r>
      <w:r>
        <w:rPr>
          <w:rFonts w:hint="eastAsia" w:ascii="宋体" w:hAnsi="宋体" w:eastAsia="宋体" w:cs="宋体"/>
          <w:sz w:val="28"/>
          <w:szCs w:val="28"/>
          <w:lang w:val="zh-TW"/>
        </w:rPr>
        <w:t>. 试验室门尺寸：＞0.9m。</w:t>
      </w:r>
    </w:p>
    <w:p w14:paraId="2599EE33">
      <w:pPr>
        <w:numPr>
          <w:ilvl w:val="0"/>
          <w:numId w:val="25"/>
        </w:numPr>
        <w:snapToGrid w:val="0"/>
        <w:spacing w:line="500" w:lineRule="exact"/>
        <w:ind w:left="0" w:firstLine="770"/>
        <w:rPr>
          <w:rFonts w:hint="eastAsia" w:ascii="宋体" w:hAnsi="宋体" w:eastAsia="宋体" w:cs="宋体"/>
          <w:b/>
          <w:sz w:val="28"/>
          <w:szCs w:val="28"/>
        </w:rPr>
      </w:pPr>
      <w:r>
        <w:rPr>
          <w:rFonts w:hint="eastAsia" w:ascii="宋体" w:hAnsi="宋体" w:eastAsia="宋体" w:cs="宋体"/>
          <w:b/>
          <w:sz w:val="28"/>
          <w:szCs w:val="28"/>
        </w:rPr>
        <w:t>发泡模块：</w:t>
      </w:r>
    </w:p>
    <w:p w14:paraId="1D53EE9A">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1）名称：水泥发泡机</w:t>
      </w:r>
    </w:p>
    <w:p w14:paraId="336E539C">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2）详细参数：</w:t>
      </w:r>
    </w:p>
    <w:p w14:paraId="588F6F65">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   电源:AC220V/50Hz/</w:t>
      </w:r>
      <w:r>
        <w:rPr>
          <w:rFonts w:hint="eastAsia" w:ascii="宋体" w:hAnsi="宋体" w:eastAsia="宋体" w:cs="宋体"/>
          <w:sz w:val="28"/>
          <w:szCs w:val="28"/>
        </w:rPr>
        <w:t>1000</w:t>
      </w:r>
      <w:r>
        <w:rPr>
          <w:rFonts w:hint="eastAsia" w:ascii="宋体" w:hAnsi="宋体" w:eastAsia="宋体" w:cs="宋体"/>
          <w:sz w:val="28"/>
          <w:szCs w:val="28"/>
          <w:lang w:val="zh-TW"/>
        </w:rPr>
        <w:t>w</w:t>
      </w:r>
    </w:p>
    <w:p w14:paraId="11B14E43">
      <w:pPr>
        <w:snapToGrid w:val="0"/>
        <w:spacing w:line="500" w:lineRule="exact"/>
        <w:ind w:firstLine="770"/>
        <w:rPr>
          <w:rFonts w:hint="eastAsia" w:ascii="宋体" w:hAnsi="宋体" w:eastAsia="宋体" w:cs="宋体"/>
          <w:sz w:val="28"/>
          <w:szCs w:val="28"/>
          <w:lang w:val="zh-TW" w:eastAsia="zh-TW"/>
        </w:rPr>
      </w:pPr>
      <w:r>
        <w:rPr>
          <w:rFonts w:hint="eastAsia" w:ascii="宋体" w:hAnsi="宋体" w:eastAsia="宋体" w:cs="宋体"/>
          <w:sz w:val="28"/>
          <w:szCs w:val="28"/>
          <w:lang w:val="zh-TW" w:eastAsia="zh-TW"/>
        </w:rPr>
        <w:t>2.  净重:≥2</w:t>
      </w:r>
      <w:r>
        <w:rPr>
          <w:rFonts w:hint="eastAsia" w:ascii="宋体" w:hAnsi="宋体" w:eastAsia="宋体" w:cs="宋体"/>
          <w:sz w:val="28"/>
          <w:szCs w:val="28"/>
        </w:rPr>
        <w:t>5</w:t>
      </w:r>
      <w:r>
        <w:rPr>
          <w:rFonts w:hint="eastAsia" w:ascii="宋体" w:hAnsi="宋体" w:eastAsia="宋体" w:cs="宋体"/>
          <w:sz w:val="28"/>
          <w:szCs w:val="28"/>
          <w:lang w:val="zh-TW" w:eastAsia="zh-TW"/>
        </w:rPr>
        <w:t>kg</w:t>
      </w:r>
    </w:p>
    <w:p w14:paraId="5A140846">
      <w:pPr>
        <w:snapToGrid w:val="0"/>
        <w:spacing w:line="500" w:lineRule="exact"/>
        <w:ind w:firstLine="770"/>
        <w:rPr>
          <w:rFonts w:hint="eastAsia" w:ascii="宋体" w:hAnsi="宋体" w:eastAsia="宋体" w:cs="宋体"/>
          <w:sz w:val="28"/>
          <w:szCs w:val="28"/>
          <w:lang w:val="zh-TW" w:eastAsia="zh-TW"/>
        </w:rPr>
      </w:pPr>
      <w:r>
        <w:rPr>
          <w:rFonts w:hint="eastAsia" w:ascii="宋体" w:hAnsi="宋体" w:eastAsia="宋体" w:cs="宋体"/>
          <w:sz w:val="28"/>
          <w:szCs w:val="28"/>
          <w:lang w:val="zh-TW" w:eastAsia="zh-TW"/>
        </w:rPr>
        <w:t>3.  制泡量:≥5m3/h(max)</w:t>
      </w:r>
    </w:p>
    <w:p w14:paraId="4D8E5E83">
      <w:pPr>
        <w:snapToGrid w:val="0"/>
        <w:spacing w:line="500" w:lineRule="exact"/>
        <w:ind w:firstLine="770"/>
        <w:rPr>
          <w:rFonts w:hint="eastAsia" w:ascii="宋体" w:hAnsi="宋体" w:eastAsia="宋体" w:cs="宋体"/>
          <w:sz w:val="28"/>
          <w:szCs w:val="28"/>
          <w:lang w:val="zh-TW" w:eastAsia="zh-TW"/>
        </w:rPr>
      </w:pPr>
      <w:r>
        <w:rPr>
          <w:rFonts w:hint="eastAsia" w:ascii="宋体" w:hAnsi="宋体" w:eastAsia="宋体" w:cs="宋体"/>
          <w:sz w:val="28"/>
          <w:szCs w:val="28"/>
          <w:lang w:val="zh-TW" w:eastAsia="zh-TW"/>
        </w:rPr>
        <w:t>4.  最大出泡压力:0.4MPa</w:t>
      </w:r>
    </w:p>
    <w:p w14:paraId="69CCB5CF">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 xml:space="preserve">5.  主机尺寸:≥宽 </w:t>
      </w:r>
      <w:r>
        <w:rPr>
          <w:rFonts w:hint="eastAsia" w:ascii="宋体" w:hAnsi="宋体" w:eastAsia="宋体" w:cs="宋体"/>
          <w:sz w:val="28"/>
          <w:szCs w:val="28"/>
        </w:rPr>
        <w:t>32</w:t>
      </w:r>
      <w:r>
        <w:rPr>
          <w:rFonts w:hint="eastAsia" w:ascii="宋体" w:hAnsi="宋体" w:eastAsia="宋体" w:cs="宋体"/>
          <w:sz w:val="28"/>
          <w:szCs w:val="28"/>
          <w:lang w:val="zh-TW"/>
        </w:rPr>
        <w:t xml:space="preserve">0mmx高 </w:t>
      </w:r>
      <w:r>
        <w:rPr>
          <w:rFonts w:hint="eastAsia" w:ascii="宋体" w:hAnsi="宋体" w:eastAsia="宋体" w:cs="宋体"/>
          <w:sz w:val="28"/>
          <w:szCs w:val="28"/>
        </w:rPr>
        <w:t>42</w:t>
      </w:r>
      <w:r>
        <w:rPr>
          <w:rFonts w:hint="eastAsia" w:ascii="宋体" w:hAnsi="宋体" w:eastAsia="宋体" w:cs="宋体"/>
          <w:sz w:val="28"/>
          <w:szCs w:val="28"/>
          <w:lang w:val="zh-TW"/>
        </w:rPr>
        <w:t xml:space="preserve">0mm(不含把手、脚 垫)x 高 </w:t>
      </w:r>
      <w:r>
        <w:rPr>
          <w:rFonts w:hint="eastAsia" w:ascii="宋体" w:hAnsi="宋体" w:eastAsia="宋体" w:cs="宋体"/>
          <w:sz w:val="28"/>
          <w:szCs w:val="28"/>
        </w:rPr>
        <w:t>42</w:t>
      </w:r>
      <w:r>
        <w:rPr>
          <w:rFonts w:hint="eastAsia" w:ascii="宋体" w:hAnsi="宋体" w:eastAsia="宋体" w:cs="宋体"/>
          <w:sz w:val="28"/>
          <w:szCs w:val="28"/>
          <w:lang w:val="zh-TW"/>
        </w:rPr>
        <w:t>0mm</w:t>
      </w:r>
    </w:p>
    <w:p w14:paraId="6D67A774">
      <w:pPr>
        <w:numPr>
          <w:ilvl w:val="0"/>
          <w:numId w:val="25"/>
        </w:numPr>
        <w:snapToGrid w:val="0"/>
        <w:spacing w:line="500" w:lineRule="exact"/>
        <w:ind w:left="0" w:firstLine="770"/>
        <w:rPr>
          <w:rFonts w:hint="eastAsia" w:ascii="宋体" w:hAnsi="宋体" w:eastAsia="宋体" w:cs="宋体"/>
          <w:b/>
          <w:sz w:val="28"/>
          <w:szCs w:val="28"/>
        </w:rPr>
      </w:pPr>
      <w:r>
        <w:rPr>
          <w:rFonts w:hint="eastAsia" w:ascii="宋体" w:hAnsi="宋体" w:eastAsia="宋体" w:cs="宋体"/>
          <w:b/>
          <w:sz w:val="28"/>
          <w:szCs w:val="28"/>
        </w:rPr>
        <w:t>冻融循环试验机：</w:t>
      </w:r>
    </w:p>
    <w:p w14:paraId="46CC2013">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1）详细参数：</w:t>
      </w:r>
    </w:p>
    <w:p w14:paraId="7C0989F9">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  试件尺寸： ≥100 × 100×400（mm）</w:t>
      </w:r>
    </w:p>
    <w:p w14:paraId="14FF0FBE">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2.  测温试件尺寸相同， 中间留有测温孔。</w:t>
      </w:r>
    </w:p>
    <w:p w14:paraId="180BB049">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3.  冻结终了时试件中心温度； -18°C±2°C</w:t>
      </w:r>
    </w:p>
    <w:p w14:paraId="1376A635">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4.  融化终了时试件中心温度； +7°C±  2°C</w:t>
      </w:r>
    </w:p>
    <w:p w14:paraId="49D2EFE2">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5.  试验温度可根据用户的要求设定试件中心温度和</w:t>
      </w:r>
    </w:p>
    <w:p w14:paraId="3C498685">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冻融介质温度。温度控制精度为±2.0°C。</w:t>
      </w:r>
    </w:p>
    <w:p w14:paraId="6BBA78DA">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6.  冻融周期：冻融循环一次历时 2-4 小时 ，用于融 化的时间不少于整个冻融周期的 1/4。</w:t>
      </w:r>
    </w:p>
    <w:p w14:paraId="6BBB298C">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7.  试件数量： 10 件 ，其中一件为测温用</w:t>
      </w:r>
    </w:p>
    <w:p w14:paraId="0635BE7F">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8.  外形尺寸：≥长 1650mm、宽 900mm、高 880mm</w:t>
      </w:r>
    </w:p>
    <w:p w14:paraId="56D9D17F">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9.  机组电源：三相四线制 380V     50HZ</w:t>
      </w:r>
    </w:p>
    <w:p w14:paraId="7D46DA49">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10. 制冷功率： ≥2.6KW    （ 3 匹低温压缩机）</w:t>
      </w:r>
    </w:p>
    <w:p w14:paraId="22312AF7">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11. 加热功率： ≥9KW</w:t>
      </w:r>
    </w:p>
    <w:p w14:paraId="534A16BA">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12. 循环泵功率 ：≥0.3WK</w:t>
      </w:r>
    </w:p>
    <w:p w14:paraId="5C56C4F8">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13. 机组最大运行功率： 10KW</w:t>
      </w:r>
    </w:p>
    <w:p w14:paraId="07CF516A">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14. 冻融循环介质：－45°C,防冻液 ，冲注量：36 千克 （2 桶防冻液）</w:t>
      </w:r>
    </w:p>
    <w:p w14:paraId="3772F187">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该系统主要功能包括有：试件中心温度和循环液温度 显示记录；冻融过程转换和循环液温度控制；冻融循 环次数控制；压缩机排气压力、吸气压力和电机机组 温升保护；循环液流量保护及超温保护； 电动机过载保护等 ，在停电和停水等非正常情况下 ，机器能自动 停止运行。整个冻融试验过程完全自动进行 ，遇有故 障时给出光电报警 ，并自行采取相应保护。</w:t>
      </w:r>
    </w:p>
    <w:p w14:paraId="4FA88D5A">
      <w:pPr>
        <w:numPr>
          <w:ilvl w:val="0"/>
          <w:numId w:val="25"/>
        </w:numPr>
        <w:snapToGrid w:val="0"/>
        <w:spacing w:line="500" w:lineRule="exact"/>
        <w:ind w:left="0" w:firstLine="770"/>
        <w:rPr>
          <w:rFonts w:hint="eastAsia" w:ascii="宋体" w:hAnsi="宋体" w:eastAsia="宋体" w:cs="宋体"/>
          <w:b/>
          <w:sz w:val="28"/>
          <w:szCs w:val="28"/>
        </w:rPr>
      </w:pPr>
      <w:r>
        <w:rPr>
          <w:rFonts w:hint="eastAsia" w:ascii="宋体" w:hAnsi="宋体" w:eastAsia="宋体" w:cs="宋体"/>
          <w:b/>
          <w:sz w:val="28"/>
          <w:szCs w:val="28"/>
        </w:rPr>
        <w:t>细骨料改性造粒模块：</w:t>
      </w:r>
    </w:p>
    <w:p w14:paraId="214B60B6">
      <w:pPr>
        <w:snapToGrid w:val="0"/>
        <w:spacing w:line="500" w:lineRule="exact"/>
        <w:ind w:firstLine="770"/>
        <w:rPr>
          <w:rFonts w:hint="eastAsia" w:ascii="宋体" w:hAnsi="宋体" w:eastAsia="宋体" w:cs="宋体"/>
          <w:sz w:val="28"/>
          <w:szCs w:val="28"/>
        </w:rPr>
      </w:pPr>
      <w:r>
        <w:rPr>
          <w:rFonts w:hint="eastAsia" w:ascii="宋体" w:hAnsi="宋体" w:eastAsia="宋体" w:cs="宋体"/>
          <w:sz w:val="28"/>
          <w:szCs w:val="28"/>
        </w:rPr>
        <w:t>1）详细参数：</w:t>
      </w:r>
    </w:p>
    <w:p w14:paraId="0B002B48">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1.  转速范围：0-100rpm ，角度范围 35-55°</w:t>
      </w:r>
    </w:p>
    <w:p w14:paraId="20891D75">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2.  锅体尺寸： ≥直径 60cm ，深度≥20cm</w:t>
      </w:r>
    </w:p>
    <w:p w14:paraId="473BE31A">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3.  锅体材质：不锈钢</w:t>
      </w:r>
    </w:p>
    <w:p w14:paraId="5F842EDD">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4.  控制方式：手动控制</w:t>
      </w:r>
    </w:p>
    <w:p w14:paraId="6D06CCFE">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5.  加料方式：人工加料</w:t>
      </w:r>
    </w:p>
    <w:p w14:paraId="38F31E04">
      <w:pPr>
        <w:snapToGrid w:val="0"/>
        <w:spacing w:line="500" w:lineRule="exact"/>
        <w:ind w:firstLine="770"/>
        <w:rPr>
          <w:rFonts w:hint="eastAsia" w:ascii="宋体" w:hAnsi="宋体" w:eastAsia="宋体" w:cs="宋体"/>
          <w:sz w:val="28"/>
          <w:szCs w:val="28"/>
          <w:lang w:val="zh-TW"/>
        </w:rPr>
      </w:pPr>
      <w:r>
        <w:rPr>
          <w:rFonts w:hint="eastAsia" w:ascii="宋体" w:hAnsi="宋体" w:eastAsia="宋体" w:cs="宋体"/>
          <w:sz w:val="28"/>
          <w:szCs w:val="28"/>
          <w:lang w:val="zh-TW"/>
        </w:rPr>
        <w:t>6.   出料方式：手动出料</w:t>
      </w:r>
    </w:p>
    <w:p w14:paraId="61D34F1A">
      <w:pPr>
        <w:pStyle w:val="87"/>
        <w:spacing w:line="500" w:lineRule="exact"/>
        <w:jc w:val="center"/>
        <w:rPr>
          <w:rFonts w:hint="eastAsia" w:ascii="宋体" w:hAnsi="宋体" w:eastAsia="宋体" w:cs="宋体"/>
          <w:b/>
          <w:color w:val="auto"/>
          <w:sz w:val="28"/>
          <w:szCs w:val="28"/>
        </w:rPr>
      </w:pPr>
    </w:p>
    <w:p w14:paraId="1BC39317">
      <w:pPr>
        <w:spacing w:line="500" w:lineRule="exact"/>
        <w:rPr>
          <w:rFonts w:hint="eastAsia" w:ascii="宋体" w:hAnsi="宋体" w:eastAsia="宋体" w:cs="宋体"/>
          <w:sz w:val="28"/>
          <w:szCs w:val="28"/>
        </w:rPr>
      </w:pPr>
      <w:r>
        <w:rPr>
          <w:rFonts w:hint="eastAsia" w:ascii="宋体" w:hAnsi="宋体" w:eastAsia="宋体" w:cs="宋体"/>
          <w:b/>
          <w:sz w:val="28"/>
          <w:szCs w:val="28"/>
        </w:rPr>
        <w:t>备注：以上8项参数，均</w:t>
      </w:r>
      <w:r>
        <w:rPr>
          <w:rFonts w:hint="eastAsia" w:ascii="宋体" w:hAnsi="宋体" w:eastAsia="宋体" w:cs="宋体"/>
          <w:b/>
          <w:bCs/>
          <w:sz w:val="28"/>
          <w:szCs w:val="28"/>
        </w:rPr>
        <w:t>为一般参数项。</w:t>
      </w:r>
    </w:p>
    <w:p w14:paraId="2E3EC6A2">
      <w:pPr>
        <w:spacing w:line="500" w:lineRule="exact"/>
        <w:rPr>
          <w:rFonts w:hint="eastAsia" w:ascii="宋体" w:hAnsi="宋体" w:eastAsia="宋体" w:cs="宋体"/>
          <w:sz w:val="28"/>
          <w:szCs w:val="28"/>
        </w:rPr>
      </w:pPr>
      <w:r>
        <w:rPr>
          <w:rFonts w:hint="eastAsia" w:ascii="宋体" w:hAnsi="宋体" w:eastAsia="宋体" w:cs="宋体"/>
          <w:b/>
          <w:sz w:val="28"/>
          <w:szCs w:val="28"/>
        </w:rPr>
        <w:br w:type="page"/>
      </w:r>
    </w:p>
    <w:bookmarkEnd w:id="185"/>
    <w:p w14:paraId="5E03844F">
      <w:pPr>
        <w:snapToGrid w:val="0"/>
        <w:spacing w:line="500" w:lineRule="exact"/>
        <w:ind w:left="-420"/>
        <w:rPr>
          <w:rFonts w:hint="eastAsia" w:ascii="宋体" w:hAnsi="宋体" w:eastAsia="宋体" w:cs="宋体"/>
          <w:sz w:val="28"/>
          <w:szCs w:val="28"/>
        </w:rPr>
      </w:pPr>
      <w:r>
        <w:rPr>
          <w:rFonts w:hint="eastAsia" w:ascii="宋体" w:hAnsi="宋体" w:eastAsia="宋体" w:cs="宋体"/>
          <w:b/>
          <w:sz w:val="28"/>
          <w:szCs w:val="28"/>
        </w:rPr>
        <w:t>16、品目名称：高温应力腐蚀试验系统（国产）</w:t>
      </w:r>
    </w:p>
    <w:p w14:paraId="47F7A0F1">
      <w:pPr>
        <w:tabs>
          <w:tab w:val="left" w:pos="1276"/>
        </w:tabs>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1、规格</w:t>
      </w:r>
      <w:r>
        <w:rPr>
          <w:rFonts w:hint="eastAsia" w:ascii="宋体" w:hAnsi="宋体" w:eastAsia="宋体" w:cs="宋体"/>
          <w:b/>
          <w:bCs/>
          <w:sz w:val="28"/>
          <w:szCs w:val="28"/>
        </w:rPr>
        <w:t>（备注：以下参数1项）</w:t>
      </w:r>
    </w:p>
    <w:p w14:paraId="01E61A04">
      <w:pPr>
        <w:snapToGrid w:val="0"/>
        <w:spacing w:line="50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最大试验力50KN。</w:t>
      </w:r>
    </w:p>
    <w:p w14:paraId="7380C479">
      <w:pPr>
        <w:pStyle w:val="86"/>
        <w:numPr>
          <w:ilvl w:val="0"/>
          <w:numId w:val="27"/>
        </w:numPr>
        <w:tabs>
          <w:tab w:val="left" w:pos="1276"/>
        </w:tabs>
        <w:snapToGrid w:val="0"/>
        <w:spacing w:line="500" w:lineRule="exact"/>
        <w:ind w:left="0" w:firstLineChars="0"/>
        <w:rPr>
          <w:rFonts w:hint="eastAsia" w:ascii="宋体" w:hAnsi="宋体" w:eastAsia="宋体" w:cs="宋体"/>
          <w:sz w:val="28"/>
          <w:szCs w:val="28"/>
        </w:rPr>
      </w:pPr>
      <w:r>
        <w:rPr>
          <w:rFonts w:hint="eastAsia" w:ascii="宋体" w:hAnsi="宋体" w:eastAsia="宋体" w:cs="宋体"/>
          <w:sz w:val="28"/>
          <w:szCs w:val="28"/>
        </w:rPr>
        <w:t>详细参数</w:t>
      </w:r>
      <w:r>
        <w:rPr>
          <w:rFonts w:hint="eastAsia" w:ascii="宋体" w:hAnsi="宋体" w:eastAsia="宋体" w:cs="宋体"/>
          <w:b/>
          <w:bCs/>
          <w:sz w:val="28"/>
          <w:szCs w:val="28"/>
        </w:rPr>
        <w:t>（备注：以下参数19项）</w:t>
      </w:r>
    </w:p>
    <w:p w14:paraId="2DFE3891">
      <w:pPr>
        <w:snapToGrid w:val="0"/>
        <w:spacing w:line="50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1）最大试验力：50KN；</w:t>
      </w:r>
    </w:p>
    <w:p w14:paraId="0CCCDEBB">
      <w:pPr>
        <w:snapToGrid w:val="0"/>
        <w:spacing w:line="50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2)试验力范围：（1%～100%）F.S.；</w:t>
      </w:r>
    </w:p>
    <w:p w14:paraId="2A896D6C">
      <w:pPr>
        <w:snapToGrid w:val="0"/>
        <w:spacing w:line="50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3)试验力示值相对误差：±0.5%；</w:t>
      </w:r>
    </w:p>
    <w:p w14:paraId="753798A1">
      <w:pPr>
        <w:snapToGrid w:val="0"/>
        <w:spacing w:line="50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4)加载头最大移动范围：80mm；</w:t>
      </w:r>
    </w:p>
    <w:p w14:paraId="70E754DE">
      <w:pPr>
        <w:snapToGrid w:val="0"/>
        <w:spacing w:line="50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5)加载头应变速率：10/s～1x10</w:t>
      </w:r>
      <w:r>
        <w:rPr>
          <w:rFonts w:hint="eastAsia" w:ascii="宋体" w:hAnsi="宋体" w:eastAsia="宋体" w:cs="宋体"/>
          <w:sz w:val="28"/>
          <w:szCs w:val="28"/>
          <w:vertAlign w:val="superscript"/>
        </w:rPr>
        <w:t>-7</w:t>
      </w:r>
      <w:r>
        <w:rPr>
          <w:rFonts w:hint="eastAsia" w:ascii="宋体" w:hAnsi="宋体" w:eastAsia="宋体" w:cs="宋体"/>
          <w:sz w:val="28"/>
          <w:szCs w:val="28"/>
        </w:rPr>
        <w:t>/s（标距按20测算）；</w:t>
      </w:r>
    </w:p>
    <w:p w14:paraId="75AFB691">
      <w:pPr>
        <w:snapToGrid w:val="0"/>
        <w:spacing w:line="500" w:lineRule="exact"/>
        <w:ind w:firstLine="537" w:firstLineChars="192"/>
        <w:rPr>
          <w:rFonts w:hint="eastAsia" w:ascii="宋体" w:hAnsi="宋体" w:eastAsia="宋体" w:cs="宋体"/>
          <w:color w:val="auto"/>
          <w:sz w:val="28"/>
          <w:szCs w:val="28"/>
        </w:rPr>
      </w:pPr>
      <w:r>
        <w:rPr>
          <w:rFonts w:hint="eastAsia" w:ascii="宋体" w:hAnsi="宋体" w:eastAsia="宋体" w:cs="宋体"/>
          <w:sz w:val="28"/>
          <w:szCs w:val="28"/>
        </w:rPr>
        <w:t>6)加载头移动</w:t>
      </w:r>
      <w:r>
        <w:rPr>
          <w:rFonts w:hint="eastAsia" w:ascii="宋体" w:hAnsi="宋体" w:eastAsia="宋体" w:cs="宋体"/>
          <w:color w:val="auto"/>
          <w:sz w:val="28"/>
          <w:szCs w:val="28"/>
        </w:rPr>
        <w:t>速率：10mm/s~1x10</w:t>
      </w:r>
      <w:r>
        <w:rPr>
          <w:rFonts w:hint="eastAsia" w:ascii="宋体" w:hAnsi="宋体" w:eastAsia="宋体" w:cs="宋体"/>
          <w:color w:val="auto"/>
          <w:sz w:val="28"/>
          <w:szCs w:val="28"/>
          <w:vertAlign w:val="superscript"/>
        </w:rPr>
        <w:t>-6</w:t>
      </w:r>
      <w:r>
        <w:rPr>
          <w:rFonts w:hint="eastAsia" w:ascii="宋体" w:hAnsi="宋体" w:eastAsia="宋体" w:cs="宋体"/>
          <w:color w:val="auto"/>
          <w:sz w:val="28"/>
          <w:szCs w:val="28"/>
        </w:rPr>
        <w:t>mm/s；</w:t>
      </w:r>
    </w:p>
    <w:p w14:paraId="70FBC47F">
      <w:pPr>
        <w:snapToGrid w:val="0"/>
        <w:spacing w:line="500" w:lineRule="exact"/>
        <w:ind w:firstLine="537" w:firstLineChars="192"/>
        <w:rPr>
          <w:rFonts w:hint="eastAsia" w:ascii="宋体" w:hAnsi="宋体" w:eastAsia="宋体" w:cs="宋体"/>
          <w:color w:val="auto"/>
          <w:sz w:val="28"/>
          <w:szCs w:val="28"/>
        </w:rPr>
      </w:pPr>
      <w:r>
        <w:rPr>
          <w:rFonts w:hint="eastAsia" w:ascii="宋体" w:hAnsi="宋体" w:eastAsia="宋体" w:cs="宋体"/>
          <w:color w:val="auto"/>
          <w:sz w:val="28"/>
          <w:szCs w:val="28"/>
        </w:rPr>
        <w:t>7)加载头位移测量精度：≤±0.5%；</w:t>
      </w:r>
    </w:p>
    <w:p w14:paraId="05AE24AA">
      <w:pPr>
        <w:snapToGrid w:val="0"/>
        <w:spacing w:line="500" w:lineRule="exact"/>
        <w:ind w:firstLine="537" w:firstLineChars="192"/>
        <w:rPr>
          <w:rFonts w:hint="eastAsia" w:ascii="宋体" w:hAnsi="宋体" w:eastAsia="宋体" w:cs="宋体"/>
          <w:color w:val="auto"/>
          <w:sz w:val="28"/>
          <w:szCs w:val="28"/>
        </w:rPr>
      </w:pPr>
      <w:r>
        <w:rPr>
          <w:rFonts w:hint="eastAsia" w:ascii="宋体" w:hAnsi="宋体" w:eastAsia="宋体" w:cs="宋体"/>
          <w:color w:val="auto"/>
          <w:sz w:val="28"/>
          <w:szCs w:val="28"/>
        </w:rPr>
        <w:t>8)加载头位移分辨率：0.012μm；</w:t>
      </w:r>
    </w:p>
    <w:p w14:paraId="04C15039">
      <w:pPr>
        <w:snapToGrid w:val="0"/>
        <w:spacing w:line="500" w:lineRule="exact"/>
        <w:ind w:firstLine="537" w:firstLineChars="192"/>
        <w:rPr>
          <w:rFonts w:hint="eastAsia" w:ascii="宋体" w:hAnsi="宋体" w:eastAsia="宋体" w:cs="宋体"/>
          <w:color w:val="auto"/>
          <w:sz w:val="28"/>
          <w:szCs w:val="28"/>
        </w:rPr>
      </w:pPr>
      <w:r>
        <w:rPr>
          <w:rFonts w:hint="eastAsia" w:ascii="宋体" w:hAnsi="宋体" w:eastAsia="宋体" w:cs="宋体"/>
          <w:color w:val="auto"/>
          <w:sz w:val="28"/>
          <w:szCs w:val="28"/>
        </w:rPr>
        <w:t>9)试验频率：≥1Hz；</w:t>
      </w:r>
    </w:p>
    <w:p w14:paraId="072F529B">
      <w:pPr>
        <w:snapToGrid w:val="0"/>
        <w:spacing w:line="500" w:lineRule="exact"/>
        <w:ind w:firstLine="537" w:firstLineChars="192"/>
        <w:rPr>
          <w:rFonts w:hint="eastAsia" w:ascii="宋体" w:hAnsi="宋体" w:eastAsia="宋体" w:cs="宋体"/>
          <w:color w:val="auto"/>
          <w:sz w:val="28"/>
          <w:szCs w:val="28"/>
        </w:rPr>
      </w:pPr>
      <w:r>
        <w:rPr>
          <w:rFonts w:hint="eastAsia" w:ascii="宋体" w:hAnsi="宋体" w:eastAsia="宋体" w:cs="宋体"/>
          <w:color w:val="auto"/>
          <w:sz w:val="28"/>
          <w:szCs w:val="28"/>
        </w:rPr>
        <w:t>10)变形测量范围：±12.5mm；</w:t>
      </w:r>
    </w:p>
    <w:p w14:paraId="3D80CB1E">
      <w:pPr>
        <w:snapToGrid w:val="0"/>
        <w:spacing w:line="500" w:lineRule="exact"/>
        <w:ind w:firstLine="537" w:firstLineChars="192"/>
        <w:rPr>
          <w:rFonts w:hint="eastAsia" w:ascii="宋体" w:hAnsi="宋体" w:eastAsia="宋体" w:cs="宋体"/>
          <w:color w:val="auto"/>
          <w:sz w:val="28"/>
          <w:szCs w:val="28"/>
        </w:rPr>
      </w:pPr>
      <w:r>
        <w:rPr>
          <w:rFonts w:hint="eastAsia" w:ascii="宋体" w:hAnsi="宋体" w:eastAsia="宋体" w:cs="宋体"/>
          <w:color w:val="auto"/>
          <w:sz w:val="28"/>
          <w:szCs w:val="28"/>
        </w:rPr>
        <w:t>11)变形测量分辨率：≤1μm；</w:t>
      </w:r>
    </w:p>
    <w:p w14:paraId="10FD0A54">
      <w:pPr>
        <w:snapToGrid w:val="0"/>
        <w:spacing w:line="500" w:lineRule="exact"/>
        <w:ind w:firstLine="537" w:firstLineChars="192"/>
        <w:rPr>
          <w:rFonts w:hint="eastAsia" w:ascii="宋体" w:hAnsi="宋体" w:eastAsia="宋体" w:cs="宋体"/>
          <w:color w:val="auto"/>
          <w:sz w:val="28"/>
          <w:szCs w:val="28"/>
        </w:rPr>
      </w:pPr>
      <w:r>
        <w:rPr>
          <w:rFonts w:hint="eastAsia" w:ascii="宋体" w:hAnsi="宋体" w:eastAsia="宋体" w:cs="宋体"/>
          <w:color w:val="auto"/>
          <w:sz w:val="28"/>
          <w:szCs w:val="28"/>
        </w:rPr>
        <w:t>12)变形测量精度：±0.5%；</w:t>
      </w:r>
    </w:p>
    <w:p w14:paraId="5681F67B">
      <w:pPr>
        <w:snapToGrid w:val="0"/>
        <w:spacing w:line="500" w:lineRule="exact"/>
        <w:ind w:firstLine="537" w:firstLineChars="192"/>
        <w:rPr>
          <w:rFonts w:hint="eastAsia" w:ascii="宋体" w:hAnsi="宋体" w:eastAsia="宋体" w:cs="宋体"/>
          <w:color w:val="auto"/>
          <w:sz w:val="28"/>
          <w:szCs w:val="28"/>
        </w:rPr>
      </w:pPr>
      <w:r>
        <w:rPr>
          <w:rFonts w:hint="eastAsia" w:ascii="宋体" w:hAnsi="宋体" w:eastAsia="宋体" w:cs="宋体"/>
          <w:color w:val="auto"/>
          <w:sz w:val="28"/>
          <w:szCs w:val="28"/>
        </w:rPr>
        <w:t>13)裂纹测量长度分辨率：≥5μm(配置裂纹扩展相关的附件)；</w:t>
      </w:r>
    </w:p>
    <w:p w14:paraId="52D9AED7">
      <w:pPr>
        <w:snapToGrid w:val="0"/>
        <w:spacing w:line="500" w:lineRule="exact"/>
        <w:ind w:firstLine="537" w:firstLineChars="192"/>
        <w:rPr>
          <w:rFonts w:hint="eastAsia" w:ascii="宋体" w:hAnsi="宋体" w:eastAsia="宋体" w:cs="宋体"/>
          <w:color w:val="auto"/>
          <w:sz w:val="28"/>
          <w:szCs w:val="28"/>
        </w:rPr>
      </w:pPr>
      <w:r>
        <w:rPr>
          <w:rFonts w:hint="eastAsia" w:ascii="宋体" w:hAnsi="宋体" w:eastAsia="宋体" w:cs="宋体"/>
          <w:color w:val="auto"/>
          <w:sz w:val="28"/>
          <w:szCs w:val="28"/>
        </w:rPr>
        <w:t>15)实验釜操作温度：常温～750℃；</w:t>
      </w:r>
    </w:p>
    <w:p w14:paraId="04154600">
      <w:pPr>
        <w:snapToGrid w:val="0"/>
        <w:spacing w:line="500" w:lineRule="exact"/>
        <w:ind w:firstLine="537" w:firstLineChars="192"/>
        <w:rPr>
          <w:rFonts w:hint="eastAsia" w:ascii="宋体" w:hAnsi="宋体" w:eastAsia="宋体" w:cs="宋体"/>
          <w:color w:val="auto"/>
          <w:sz w:val="28"/>
          <w:szCs w:val="28"/>
        </w:rPr>
      </w:pPr>
      <w:r>
        <w:rPr>
          <w:rFonts w:hint="eastAsia" w:ascii="宋体" w:hAnsi="宋体" w:eastAsia="宋体" w:cs="宋体"/>
          <w:color w:val="auto"/>
          <w:sz w:val="28"/>
          <w:szCs w:val="28"/>
        </w:rPr>
        <w:t>16)实验釜设计最高压力：1MPa；</w:t>
      </w:r>
    </w:p>
    <w:p w14:paraId="3F2B23F3">
      <w:pPr>
        <w:snapToGrid w:val="0"/>
        <w:spacing w:line="500" w:lineRule="exact"/>
        <w:ind w:firstLine="537" w:firstLineChars="192"/>
        <w:rPr>
          <w:rFonts w:hint="eastAsia" w:ascii="宋体" w:hAnsi="宋体" w:eastAsia="宋体" w:cs="宋体"/>
          <w:color w:val="auto"/>
          <w:sz w:val="28"/>
          <w:szCs w:val="28"/>
        </w:rPr>
      </w:pPr>
      <w:r>
        <w:rPr>
          <w:rFonts w:hint="eastAsia" w:ascii="宋体" w:hAnsi="宋体" w:eastAsia="宋体" w:cs="宋体"/>
          <w:color w:val="auto"/>
          <w:sz w:val="28"/>
          <w:szCs w:val="28"/>
        </w:rPr>
        <w:t>17)实验釜容积：≥3.5L；</w:t>
      </w:r>
    </w:p>
    <w:p w14:paraId="750EF2B9">
      <w:pPr>
        <w:snapToGrid w:val="0"/>
        <w:spacing w:line="500" w:lineRule="exact"/>
        <w:ind w:firstLine="537" w:firstLineChars="192"/>
        <w:rPr>
          <w:rFonts w:hint="eastAsia" w:ascii="宋体" w:hAnsi="宋体" w:eastAsia="宋体" w:cs="宋体"/>
          <w:color w:val="auto"/>
          <w:sz w:val="28"/>
          <w:szCs w:val="28"/>
        </w:rPr>
      </w:pPr>
      <w:r>
        <w:rPr>
          <w:rFonts w:hint="eastAsia" w:ascii="宋体" w:hAnsi="宋体" w:eastAsia="宋体" w:cs="宋体"/>
          <w:color w:val="auto"/>
          <w:sz w:val="28"/>
          <w:szCs w:val="28"/>
        </w:rPr>
        <w:t>18)水回路系统打压能力：≥0.5MPa；</w:t>
      </w:r>
    </w:p>
    <w:p w14:paraId="59828E0E">
      <w:pPr>
        <w:snapToGrid w:val="0"/>
        <w:spacing w:line="500" w:lineRule="exact"/>
        <w:ind w:firstLine="537" w:firstLineChars="192"/>
        <w:rPr>
          <w:rFonts w:hint="eastAsia" w:ascii="宋体" w:hAnsi="宋体" w:eastAsia="宋体" w:cs="宋体"/>
          <w:color w:val="auto"/>
          <w:sz w:val="28"/>
          <w:szCs w:val="28"/>
        </w:rPr>
      </w:pPr>
      <w:r>
        <w:rPr>
          <w:rFonts w:hint="eastAsia" w:ascii="宋体" w:hAnsi="宋体" w:eastAsia="宋体" w:cs="宋体"/>
          <w:color w:val="auto"/>
          <w:sz w:val="28"/>
          <w:szCs w:val="28"/>
        </w:rPr>
        <w:t>19)蒸发流量：≥1L/h。</w:t>
      </w:r>
    </w:p>
    <w:p w14:paraId="009089D4">
      <w:pPr>
        <w:pStyle w:val="87"/>
        <w:spacing w:line="500" w:lineRule="exact"/>
        <w:jc w:val="center"/>
        <w:rPr>
          <w:rFonts w:hint="eastAsia" w:ascii="宋体" w:hAnsi="宋体" w:eastAsia="宋体" w:cs="宋体"/>
          <w:b/>
          <w:color w:val="auto"/>
          <w:sz w:val="28"/>
          <w:szCs w:val="28"/>
        </w:rPr>
      </w:pPr>
    </w:p>
    <w:p w14:paraId="3C4F0B2C">
      <w:pPr>
        <w:spacing w:line="500" w:lineRule="exact"/>
        <w:rPr>
          <w:rFonts w:hint="eastAsia" w:ascii="宋体" w:hAnsi="宋体" w:eastAsia="宋体" w:cs="宋体"/>
          <w:sz w:val="28"/>
          <w:szCs w:val="28"/>
        </w:rPr>
      </w:pPr>
      <w:r>
        <w:rPr>
          <w:rFonts w:hint="eastAsia" w:ascii="宋体" w:hAnsi="宋体" w:eastAsia="宋体" w:cs="宋体"/>
          <w:b/>
          <w:sz w:val="28"/>
          <w:szCs w:val="28"/>
        </w:rPr>
        <w:t>备注：以上20项参数，均</w:t>
      </w:r>
      <w:r>
        <w:rPr>
          <w:rFonts w:hint="eastAsia" w:ascii="宋体" w:hAnsi="宋体" w:eastAsia="宋体" w:cs="宋体"/>
          <w:b/>
          <w:bCs/>
          <w:sz w:val="28"/>
          <w:szCs w:val="28"/>
        </w:rPr>
        <w:t>为一般参数项。</w:t>
      </w:r>
    </w:p>
    <w:p w14:paraId="5027884C">
      <w:pPr>
        <w:spacing w:line="500" w:lineRule="exact"/>
        <w:rPr>
          <w:rFonts w:hint="eastAsia" w:ascii="宋体" w:hAnsi="宋体" w:eastAsia="宋体" w:cs="宋体"/>
          <w:sz w:val="28"/>
          <w:szCs w:val="28"/>
        </w:rPr>
      </w:pPr>
      <w:r>
        <w:rPr>
          <w:rFonts w:hint="eastAsia" w:ascii="宋体" w:hAnsi="宋体" w:eastAsia="宋体" w:cs="宋体"/>
          <w:b/>
          <w:sz w:val="28"/>
          <w:szCs w:val="28"/>
        </w:rPr>
        <w:br w:type="page"/>
      </w:r>
    </w:p>
    <w:p w14:paraId="786D96D0">
      <w:pPr>
        <w:snapToGrid w:val="0"/>
        <w:spacing w:line="500" w:lineRule="exact"/>
        <w:ind w:left="666" w:leftChars="196"/>
        <w:rPr>
          <w:rFonts w:hint="eastAsia" w:ascii="宋体" w:hAnsi="宋体" w:eastAsia="宋体" w:cs="宋体"/>
          <w:sz w:val="28"/>
          <w:szCs w:val="28"/>
        </w:rPr>
      </w:pPr>
      <w:r>
        <w:rPr>
          <w:rFonts w:hint="eastAsia" w:ascii="宋体" w:hAnsi="宋体" w:eastAsia="宋体" w:cs="宋体"/>
          <w:b/>
          <w:sz w:val="28"/>
          <w:szCs w:val="28"/>
        </w:rPr>
        <w:t>17、品目名称：高温高压腐蚀疲劳试验系统（国产）</w:t>
      </w:r>
    </w:p>
    <w:p w14:paraId="1F3F98E9">
      <w:pPr>
        <w:numPr>
          <w:ilvl w:val="0"/>
          <w:numId w:val="28"/>
        </w:numPr>
        <w:snapToGrid w:val="0"/>
        <w:spacing w:line="500" w:lineRule="exact"/>
        <w:ind w:left="0" w:firstLine="548" w:firstLineChars="196"/>
        <w:rPr>
          <w:rFonts w:hint="eastAsia" w:ascii="宋体" w:hAnsi="宋体" w:eastAsia="宋体" w:cs="宋体"/>
          <w:sz w:val="28"/>
          <w:szCs w:val="28"/>
        </w:rPr>
      </w:pPr>
      <w:r>
        <w:rPr>
          <w:rFonts w:hint="eastAsia" w:ascii="宋体" w:hAnsi="宋体" w:eastAsia="宋体" w:cs="宋体"/>
          <w:sz w:val="28"/>
          <w:szCs w:val="28"/>
        </w:rPr>
        <w:t>规格</w:t>
      </w:r>
      <w:r>
        <w:rPr>
          <w:rFonts w:hint="eastAsia" w:ascii="宋体" w:hAnsi="宋体" w:eastAsia="宋体" w:cs="宋体"/>
          <w:b/>
          <w:bCs/>
          <w:sz w:val="28"/>
          <w:szCs w:val="28"/>
        </w:rPr>
        <w:t>（备注：以下参数1项）</w:t>
      </w:r>
    </w:p>
    <w:p w14:paraId="65D9D31F">
      <w:pPr>
        <w:snapToGrid w:val="0"/>
        <w:spacing w:line="500" w:lineRule="exact"/>
        <w:ind w:firstLine="548" w:firstLineChars="196"/>
        <w:rPr>
          <w:rFonts w:hint="eastAsia" w:ascii="宋体" w:hAnsi="宋体" w:eastAsia="宋体" w:cs="宋体"/>
          <w:color w:val="auto"/>
          <w:sz w:val="28"/>
          <w:szCs w:val="28"/>
        </w:rPr>
      </w:pPr>
      <w:bookmarkStart w:id="186" w:name="_Hlk195020883"/>
      <w:r>
        <w:rPr>
          <w:rFonts w:hint="eastAsia" w:ascii="宋体" w:hAnsi="宋体" w:eastAsia="宋体" w:cs="宋体"/>
          <w:sz w:val="28"/>
          <w:szCs w:val="28"/>
        </w:rPr>
        <w:t>最大试验</w:t>
      </w:r>
      <w:r>
        <w:rPr>
          <w:rFonts w:hint="eastAsia" w:ascii="宋体" w:hAnsi="宋体" w:eastAsia="宋体" w:cs="宋体"/>
          <w:color w:val="auto"/>
          <w:sz w:val="28"/>
          <w:szCs w:val="28"/>
        </w:rPr>
        <w:t>力50KN；最大试验压力30MPa，最高温度650℃。</w:t>
      </w:r>
    </w:p>
    <w:bookmarkEnd w:id="186"/>
    <w:p w14:paraId="70853A1B">
      <w:pPr>
        <w:numPr>
          <w:ilvl w:val="0"/>
          <w:numId w:val="28"/>
        </w:numPr>
        <w:snapToGrid w:val="0"/>
        <w:spacing w:line="500" w:lineRule="exact"/>
        <w:ind w:left="0"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详细参数</w:t>
      </w:r>
      <w:r>
        <w:rPr>
          <w:rFonts w:hint="eastAsia" w:ascii="宋体" w:hAnsi="宋体" w:eastAsia="宋体" w:cs="宋体"/>
          <w:b/>
          <w:bCs/>
          <w:color w:val="auto"/>
          <w:sz w:val="28"/>
          <w:szCs w:val="28"/>
        </w:rPr>
        <w:t>（备注：以下参数15项）</w:t>
      </w:r>
    </w:p>
    <w:p w14:paraId="42130296">
      <w:pPr>
        <w:snapToGrid w:val="0"/>
        <w:spacing w:line="50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1）试验力范围：1%~100%F.S.；</w:t>
      </w:r>
    </w:p>
    <w:p w14:paraId="6E571A2B">
      <w:pPr>
        <w:snapToGrid w:val="0"/>
        <w:spacing w:line="50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2) 载荷分辨力：≤0.3N；</w:t>
      </w:r>
    </w:p>
    <w:p w14:paraId="1E93D01F">
      <w:pPr>
        <w:snapToGrid w:val="0"/>
        <w:spacing w:line="50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3) 试验力示值相对误差：±0.5%；</w:t>
      </w:r>
    </w:p>
    <w:p w14:paraId="27A3E957">
      <w:pPr>
        <w:snapToGrid w:val="0"/>
        <w:spacing w:line="50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4) 加载头最大移动范围：80mm；</w:t>
      </w:r>
    </w:p>
    <w:p w14:paraId="563B6B4C">
      <w:pPr>
        <w:snapToGrid w:val="0"/>
        <w:spacing w:line="50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5) 加载头最快移动速度: 10mm/s；</w:t>
      </w:r>
    </w:p>
    <w:p w14:paraId="40902165">
      <w:pPr>
        <w:snapToGrid w:val="0"/>
        <w:spacing w:line="50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6) 最低拉伸应变速率：≤1</w:t>
      </w:r>
      <w:r>
        <w:rPr>
          <w:rFonts w:hint="eastAsia" w:ascii="宋体" w:hAnsi="宋体" w:eastAsia="宋体" w:cs="宋体"/>
          <w:color w:val="auto"/>
          <w:sz w:val="28"/>
          <w:szCs w:val="28"/>
          <w:shd w:val="clear" w:color="auto" w:fill="FFFFFF"/>
        </w:rPr>
        <w:t xml:space="preserve"> </w:t>
      </w:r>
      <w:r>
        <w:rPr>
          <w:rFonts w:hint="eastAsia" w:ascii="宋体" w:hAnsi="宋体" w:eastAsia="宋体" w:cs="宋体"/>
          <w:color w:val="auto"/>
          <w:sz w:val="28"/>
          <w:szCs w:val="28"/>
        </w:rPr>
        <w:t>×10</w:t>
      </w:r>
      <w:r>
        <w:rPr>
          <w:rFonts w:hint="eastAsia" w:ascii="宋体" w:hAnsi="宋体" w:eastAsia="宋体" w:cs="宋体"/>
          <w:color w:val="auto"/>
          <w:sz w:val="28"/>
          <w:szCs w:val="28"/>
          <w:vertAlign w:val="superscript"/>
        </w:rPr>
        <w:t>-7</w:t>
      </w:r>
      <w:r>
        <w:rPr>
          <w:rFonts w:hint="eastAsia" w:ascii="宋体" w:hAnsi="宋体" w:eastAsia="宋体" w:cs="宋体"/>
          <w:color w:val="auto"/>
          <w:sz w:val="28"/>
          <w:szCs w:val="28"/>
        </w:rPr>
        <w:t>/s；</w:t>
      </w:r>
    </w:p>
    <w:p w14:paraId="745DF0E9">
      <w:pPr>
        <w:snapToGrid w:val="0"/>
        <w:spacing w:line="50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7) 釜内传感器载荷测量示值相对误差：≤±0.5%；</w:t>
      </w:r>
    </w:p>
    <w:p w14:paraId="52F016F3">
      <w:pPr>
        <w:snapToGrid w:val="0"/>
        <w:spacing w:line="50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8) 测量范围：(2~100)%F.S；</w:t>
      </w:r>
    </w:p>
    <w:p w14:paraId="5FAD4F4D">
      <w:pPr>
        <w:snapToGrid w:val="0"/>
        <w:spacing w:line="50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9) 载荷测量方式：高压环境直接测量，无摩擦力；</w:t>
      </w:r>
    </w:p>
    <w:p w14:paraId="16C833D0">
      <w:pPr>
        <w:snapToGrid w:val="0"/>
        <w:spacing w:line="50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10)平衡装置行程：≥80mm；</w:t>
      </w:r>
    </w:p>
    <w:p w14:paraId="19786930">
      <w:pPr>
        <w:snapToGrid w:val="0"/>
        <w:spacing w:line="50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11)加载头位移示值相对误差：≤±0.5%；</w:t>
      </w:r>
    </w:p>
    <w:p w14:paraId="3B6819E0">
      <w:pPr>
        <w:snapToGrid w:val="0"/>
        <w:spacing w:line="50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12)加载头位移分辨力：≤0.012μm；</w:t>
      </w:r>
    </w:p>
    <w:p w14:paraId="23B56C23">
      <w:pPr>
        <w:snapToGrid w:val="0"/>
        <w:spacing w:line="50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13)LVDT变形测量范围：≤±12.5mm；</w:t>
      </w:r>
    </w:p>
    <w:p w14:paraId="02023251">
      <w:pPr>
        <w:snapToGrid w:val="0"/>
        <w:spacing w:line="50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14)LVDT变形测量分辨力：≤0.1μm；</w:t>
      </w:r>
    </w:p>
    <w:p w14:paraId="2950F85D">
      <w:pPr>
        <w:snapToGrid w:val="0"/>
        <w:spacing w:line="50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15)LVDT传感器示值相对误差：≤±0.5%。</w:t>
      </w:r>
    </w:p>
    <w:p w14:paraId="3A127AEB">
      <w:pPr>
        <w:spacing w:line="500" w:lineRule="exact"/>
        <w:rPr>
          <w:rFonts w:hint="eastAsia" w:ascii="宋体" w:hAnsi="宋体" w:eastAsia="宋体" w:cs="宋体"/>
          <w:color w:val="auto"/>
          <w:sz w:val="28"/>
          <w:szCs w:val="28"/>
        </w:rPr>
      </w:pPr>
      <w:r>
        <w:rPr>
          <w:rFonts w:hint="eastAsia" w:ascii="宋体" w:hAnsi="宋体" w:eastAsia="宋体" w:cs="宋体"/>
          <w:b/>
          <w:color w:val="auto"/>
          <w:sz w:val="28"/>
          <w:szCs w:val="28"/>
        </w:rPr>
        <w:t>备注：以上16项参数，均</w:t>
      </w:r>
      <w:r>
        <w:rPr>
          <w:rFonts w:hint="eastAsia" w:ascii="宋体" w:hAnsi="宋体" w:eastAsia="宋体" w:cs="宋体"/>
          <w:b/>
          <w:bCs/>
          <w:color w:val="auto"/>
          <w:sz w:val="28"/>
          <w:szCs w:val="28"/>
        </w:rPr>
        <w:t>为一般参数项。</w:t>
      </w:r>
    </w:p>
    <w:p w14:paraId="69AA4ACE">
      <w:pPr>
        <w:snapToGrid w:val="0"/>
        <w:spacing w:line="500" w:lineRule="exact"/>
        <w:ind w:left="694" w:leftChars="204"/>
        <w:rPr>
          <w:rFonts w:hint="eastAsia" w:ascii="宋体" w:hAnsi="宋体" w:eastAsia="宋体" w:cs="宋体"/>
          <w:color w:val="auto"/>
          <w:sz w:val="28"/>
          <w:szCs w:val="28"/>
        </w:rPr>
      </w:pPr>
    </w:p>
    <w:p w14:paraId="2A7C1397">
      <w:pPr>
        <w:rPr>
          <w:rFonts w:hint="eastAsia" w:ascii="宋体" w:hAnsi="宋体" w:eastAsia="宋体" w:cs="宋体"/>
          <w:color w:val="auto"/>
          <w:sz w:val="28"/>
          <w:szCs w:val="28"/>
        </w:rPr>
      </w:pPr>
      <w:r>
        <w:rPr>
          <w:rFonts w:hint="eastAsia" w:ascii="宋体" w:hAnsi="宋体" w:eastAsia="宋体" w:cs="宋体"/>
          <w:b/>
          <w:color w:val="auto"/>
          <w:sz w:val="28"/>
          <w:szCs w:val="28"/>
        </w:rPr>
        <w:br w:type="page"/>
      </w:r>
    </w:p>
    <w:p w14:paraId="41970596">
      <w:pPr>
        <w:pStyle w:val="90"/>
        <w:spacing w:before="0" w:beforeAutospacing="0" w:after="0" w:afterAutospacing="0" w:line="500" w:lineRule="exact"/>
        <w:ind w:left="490"/>
        <w:jc w:val="both"/>
        <w:rPr>
          <w:rFonts w:hint="eastAsia" w:ascii="宋体" w:hAnsi="宋体" w:eastAsia="宋体" w:cs="宋体"/>
        </w:rPr>
      </w:pPr>
      <w:r>
        <w:rPr>
          <w:rFonts w:hint="eastAsia" w:ascii="宋体" w:hAnsi="宋体" w:eastAsia="宋体" w:cs="宋体"/>
          <w:b/>
          <w:bCs/>
          <w:color w:val="000000"/>
          <w:sz w:val="28"/>
          <w:szCs w:val="28"/>
        </w:rPr>
        <w:t>18、品目名称：多通道高温腐蚀试验平台（国产）</w:t>
      </w:r>
    </w:p>
    <w:p w14:paraId="59BE2A93">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1、规格</w:t>
      </w:r>
      <w:r>
        <w:rPr>
          <w:rFonts w:hint="eastAsia" w:ascii="宋体" w:hAnsi="宋体" w:eastAsia="宋体" w:cs="宋体"/>
          <w:b/>
          <w:bCs/>
          <w:color w:val="000000"/>
          <w:sz w:val="28"/>
          <w:szCs w:val="28"/>
        </w:rPr>
        <w:t>（备注：以下参数1项）</w:t>
      </w:r>
    </w:p>
    <w:p w14:paraId="6F74367F">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本试验系统由主机架、8通道腐蚀介质加载平台、控制系统、混气系统、多通道加热装置、水冷系统、试样加载系统。炉体采用无机纤维作为炉膛的保温材料和特殊的绝热设计，实现了炉内温度与设定值的一致性，可保证高温腐蚀试验的温度准确性，以提高高温腐蚀试验可靠性。电炉温度控制系统采用人工智能调节技术，具有PID调节、模糊控制、自整定能力并可编制各种升温程序等功能，该控制系统温度显示精度为±1℃，温场稳定度±5℃，升温速率1~10℃/min可任意设置，以实现多元件、多温度工况的高灵敏度变温腐蚀试验。</w:t>
      </w:r>
    </w:p>
    <w:p w14:paraId="585B91F5">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2、详细参数</w:t>
      </w:r>
      <w:r>
        <w:rPr>
          <w:rFonts w:hint="eastAsia" w:ascii="宋体" w:hAnsi="宋体" w:eastAsia="宋体" w:cs="宋体"/>
          <w:b/>
          <w:bCs/>
          <w:color w:val="000000"/>
          <w:sz w:val="28"/>
          <w:szCs w:val="28"/>
        </w:rPr>
        <w:t>（备注：以下参数10项）</w:t>
      </w:r>
    </w:p>
    <w:p w14:paraId="4BFB4C87">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本试验平台主要包括：主机架、8通道腐蚀介质加载平台、控制系统、混气系统、多通道加热装置、水冷系统、试样加载系统。其具体参数如下：</w:t>
      </w:r>
    </w:p>
    <w:p w14:paraId="02B3BFCC">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2.1 电炉</w:t>
      </w:r>
    </w:p>
    <w:p w14:paraId="44D1A60A">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b/>
          <w:bCs/>
          <w:color w:val="000000"/>
          <w:sz w:val="28"/>
          <w:szCs w:val="28"/>
          <w:highlight w:val="cyan"/>
          <w:shd w:val="clear" w:color="auto" w:fill="FF0000"/>
        </w:rPr>
        <w:t>★</w:t>
      </w:r>
      <w:r>
        <w:rPr>
          <w:rFonts w:hint="eastAsia" w:ascii="宋体" w:hAnsi="宋体" w:eastAsia="宋体" w:cs="宋体"/>
          <w:color w:val="000000"/>
          <w:sz w:val="28"/>
          <w:szCs w:val="28"/>
        </w:rPr>
        <w:t>1）电炉数量：8 台；</w:t>
      </w:r>
    </w:p>
    <w:p w14:paraId="39DB9890">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2）温度范围：0～1200℃；</w:t>
      </w:r>
    </w:p>
    <w:p w14:paraId="3878AF5E">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3）加热元件：硅碳棒（在0～1200℃区间均可长期使用）；</w:t>
      </w:r>
    </w:p>
    <w:p w14:paraId="08EC87F0">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2.2 腐蚀通道</w:t>
      </w:r>
    </w:p>
    <w:p w14:paraId="7527AD0B">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b/>
          <w:bCs/>
          <w:color w:val="000000"/>
          <w:sz w:val="28"/>
          <w:szCs w:val="28"/>
          <w:highlight w:val="cyan"/>
          <w:shd w:val="clear" w:color="auto" w:fill="FF0000"/>
        </w:rPr>
        <w:t>★</w:t>
      </w:r>
      <w:r>
        <w:rPr>
          <w:rFonts w:hint="eastAsia" w:ascii="宋体" w:hAnsi="宋体" w:eastAsia="宋体" w:cs="宋体"/>
          <w:color w:val="000000"/>
          <w:sz w:val="28"/>
          <w:szCs w:val="28"/>
        </w:rPr>
        <w:t>1）通道数量：8 个；</w:t>
      </w:r>
    </w:p>
    <w:p w14:paraId="0E267B4E">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2）通道耐温：≥1200℃；</w:t>
      </w:r>
    </w:p>
    <w:p w14:paraId="75551FFF">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2.3 样品推进装置</w:t>
      </w:r>
    </w:p>
    <w:p w14:paraId="5DB97079">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1）坩埚材质：刚玉；</w:t>
      </w:r>
    </w:p>
    <w:p w14:paraId="2E1CAF18">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2.4 配气系统</w:t>
      </w:r>
    </w:p>
    <w:p w14:paraId="1D75FD18">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1）配气模块数量：≥8个；</w:t>
      </w:r>
    </w:p>
    <w:p w14:paraId="527B3F3C">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b/>
          <w:bCs/>
          <w:color w:val="000000"/>
          <w:sz w:val="28"/>
          <w:szCs w:val="28"/>
          <w:highlight w:val="green"/>
          <w:shd w:val="clear" w:color="auto" w:fill="FF0000"/>
        </w:rPr>
        <w:t>▲</w:t>
      </w:r>
      <w:r>
        <w:rPr>
          <w:rFonts w:hint="eastAsia" w:ascii="宋体" w:hAnsi="宋体" w:eastAsia="宋体" w:cs="宋体"/>
          <w:color w:val="000000"/>
          <w:sz w:val="28"/>
          <w:szCs w:val="28"/>
        </w:rPr>
        <w:t>2）配气控制方式：质量流量计自动控制；</w:t>
      </w:r>
    </w:p>
    <w:p w14:paraId="5D35BF81">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2.5 冗余配气模块</w:t>
      </w:r>
    </w:p>
    <w:p w14:paraId="7200A87A">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1）冗余模块数量：≥1个；</w:t>
      </w:r>
    </w:p>
    <w:p w14:paraId="1E4C50C0">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2.6 配气校核模块</w:t>
      </w:r>
    </w:p>
    <w:p w14:paraId="70C2961C">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1）模块数量：≥1个；</w:t>
      </w:r>
    </w:p>
    <w:p w14:paraId="7405B17F">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2）模块进气接口：≥8个，切换使用；</w:t>
      </w:r>
    </w:p>
    <w:p w14:paraId="197742C2">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b/>
          <w:bCs/>
          <w:color w:val="000000"/>
          <w:sz w:val="28"/>
          <w:szCs w:val="28"/>
          <w:highlight w:val="green"/>
          <w:shd w:val="clear" w:color="auto" w:fill="FF0000"/>
        </w:rPr>
        <w:t>▲</w:t>
      </w:r>
      <w:r>
        <w:rPr>
          <w:rFonts w:hint="eastAsia" w:ascii="宋体" w:hAnsi="宋体" w:eastAsia="宋体" w:cs="宋体"/>
          <w:color w:val="000000"/>
          <w:sz w:val="28"/>
          <w:szCs w:val="28"/>
        </w:rPr>
        <w:t>3）模块测量组分： 至少包含以下组分（氧气、二氧化碳、二氧化硫、一氧化氮、一氧化碳、氯化氢、氯气）；</w:t>
      </w:r>
    </w:p>
    <w:p w14:paraId="0F48DC6E">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2.7 压力控制模块</w:t>
      </w:r>
    </w:p>
    <w:p w14:paraId="793D142A">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1）模块数量：≥1；</w:t>
      </w:r>
    </w:p>
    <w:p w14:paraId="373B95E8">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2.8 失重/增重检测系统</w:t>
      </w:r>
    </w:p>
    <w:p w14:paraId="03F2A87F">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1）设备选型: 电子精密天平;</w:t>
      </w:r>
    </w:p>
    <w:p w14:paraId="0F36C0FE">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2）量程：≥40 g;</w:t>
      </w:r>
    </w:p>
    <w:p w14:paraId="4296943C">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3) 可读性：≤0.1mg</w:t>
      </w:r>
    </w:p>
    <w:p w14:paraId="25C191F9">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2.9 整体框架</w:t>
      </w:r>
    </w:p>
    <w:p w14:paraId="0E09BE93">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1）框架规格：模块化钢架，带刹车万向轮；</w:t>
      </w:r>
    </w:p>
    <w:p w14:paraId="26E0BAF6">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2.10 控制系统</w:t>
      </w:r>
    </w:p>
    <w:p w14:paraId="167133A1">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1）就地控制柜：含PLC、触摸屏、PID温控表、变频器、电气元件；</w:t>
      </w:r>
    </w:p>
    <w:p w14:paraId="0FD66D2D">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2）工控上位机；</w:t>
      </w:r>
    </w:p>
    <w:p w14:paraId="302707FA">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3）软件：PLC软件、触摸屏软件、上位机组态软件、移动端监控软件；</w:t>
      </w:r>
    </w:p>
    <w:p w14:paraId="6469D73D">
      <w:pPr>
        <w:pStyle w:val="90"/>
        <w:spacing w:before="0" w:beforeAutospacing="0" w:after="0" w:afterAutospacing="0" w:line="500" w:lineRule="exact"/>
        <w:jc w:val="center"/>
        <w:rPr>
          <w:rFonts w:hint="eastAsia" w:ascii="宋体" w:hAnsi="宋体" w:eastAsia="宋体" w:cs="宋体"/>
        </w:rPr>
      </w:pPr>
      <w:r>
        <w:rPr>
          <w:rFonts w:hint="eastAsia" w:ascii="宋体" w:hAnsi="宋体" w:eastAsia="宋体" w:cs="宋体"/>
          <w:b/>
          <w:bCs/>
          <w:color w:val="000000"/>
          <w:sz w:val="28"/>
          <w:szCs w:val="28"/>
        </w:rPr>
        <w:t> </w:t>
      </w:r>
    </w:p>
    <w:p w14:paraId="0B4CE5B3">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b/>
          <w:sz w:val="28"/>
          <w:szCs w:val="28"/>
        </w:rPr>
        <w:t>备注：以上11项参数，其中实质性参数（</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w:t>
      </w:r>
      <w:r>
        <w:rPr>
          <w:rFonts w:hint="eastAsia" w:ascii="宋体" w:hAnsi="宋体" w:eastAsia="宋体" w:cs="宋体"/>
          <w:b/>
          <w:sz w:val="28"/>
          <w:szCs w:val="28"/>
        </w:rPr>
        <w:t>）2项，不允许负偏离。重要参数项（</w:t>
      </w:r>
      <w:r>
        <w:rPr>
          <w:rFonts w:hint="eastAsia" w:ascii="宋体" w:hAnsi="宋体" w:eastAsia="宋体" w:cs="宋体"/>
          <w:b/>
          <w:sz w:val="28"/>
          <w:szCs w:val="28"/>
          <w:highlight w:val="green"/>
        </w:rPr>
        <w:t>▲</w:t>
      </w:r>
      <w:r>
        <w:rPr>
          <w:rFonts w:hint="eastAsia" w:ascii="宋体" w:hAnsi="宋体" w:eastAsia="宋体" w:cs="宋体"/>
          <w:b/>
          <w:bCs/>
          <w:sz w:val="28"/>
          <w:szCs w:val="28"/>
        </w:rPr>
        <w:t>号项</w:t>
      </w:r>
      <w:r>
        <w:rPr>
          <w:rFonts w:hint="eastAsia" w:ascii="宋体" w:hAnsi="宋体" w:eastAsia="宋体" w:cs="宋体"/>
          <w:b/>
          <w:sz w:val="28"/>
          <w:szCs w:val="28"/>
        </w:rPr>
        <w:t>）</w:t>
      </w:r>
      <w:r>
        <w:rPr>
          <w:rFonts w:hint="eastAsia" w:ascii="宋体" w:hAnsi="宋体" w:eastAsia="宋体" w:cs="宋体"/>
          <w:b/>
          <w:bCs/>
          <w:sz w:val="28"/>
          <w:szCs w:val="28"/>
        </w:rPr>
        <w:t>2</w:t>
      </w:r>
      <w:r>
        <w:rPr>
          <w:rFonts w:hint="eastAsia" w:ascii="宋体" w:hAnsi="宋体" w:eastAsia="宋体" w:cs="宋体"/>
          <w:b/>
          <w:sz w:val="28"/>
          <w:szCs w:val="28"/>
        </w:rPr>
        <w:t>项。其他非</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号项和非</w:t>
      </w:r>
      <w:r>
        <w:rPr>
          <w:rFonts w:hint="eastAsia" w:ascii="宋体" w:hAnsi="宋体" w:eastAsia="宋体" w:cs="宋体"/>
          <w:b/>
          <w:sz w:val="28"/>
          <w:szCs w:val="28"/>
          <w:highlight w:val="green"/>
        </w:rPr>
        <w:t>▲</w:t>
      </w:r>
      <w:r>
        <w:rPr>
          <w:rFonts w:hint="eastAsia" w:ascii="宋体" w:hAnsi="宋体" w:eastAsia="宋体" w:cs="宋体"/>
          <w:b/>
          <w:bCs/>
          <w:sz w:val="28"/>
          <w:szCs w:val="28"/>
        </w:rPr>
        <w:t>号项为一般参数项（11项），2.1 电炉的（2）、（3）合并到2.1按1项参数计。2.2 腐蚀通道的（2）合并到2.2按1项参数计。</w:t>
      </w:r>
      <w:r>
        <w:rPr>
          <w:rFonts w:hint="eastAsia" w:ascii="宋体" w:hAnsi="宋体" w:eastAsia="宋体" w:cs="宋体"/>
          <w:color w:val="000000"/>
          <w:sz w:val="28"/>
          <w:szCs w:val="28"/>
        </w:rPr>
        <w:t>2.4的 配气系统（1）</w:t>
      </w:r>
      <w:r>
        <w:rPr>
          <w:rFonts w:hint="eastAsia" w:ascii="宋体" w:hAnsi="宋体" w:eastAsia="宋体" w:cs="宋体"/>
          <w:b/>
          <w:bCs/>
          <w:sz w:val="28"/>
          <w:szCs w:val="28"/>
        </w:rPr>
        <w:t>合并到2.4按1项参数计。</w:t>
      </w:r>
      <w:r>
        <w:rPr>
          <w:rFonts w:hint="eastAsia" w:ascii="宋体" w:hAnsi="宋体" w:eastAsia="宋体" w:cs="宋体"/>
          <w:color w:val="000000"/>
          <w:sz w:val="28"/>
          <w:szCs w:val="28"/>
        </w:rPr>
        <w:t>2.6 配气校核模块的</w:t>
      </w:r>
      <w:r>
        <w:rPr>
          <w:rFonts w:hint="eastAsia" w:ascii="宋体" w:hAnsi="宋体" w:eastAsia="宋体" w:cs="宋体"/>
          <w:b/>
          <w:bCs/>
          <w:sz w:val="28"/>
          <w:szCs w:val="28"/>
        </w:rPr>
        <w:t>（1）、（2）合并到2.6按1项参数计。</w:t>
      </w:r>
    </w:p>
    <w:p w14:paraId="00EBB377">
      <w:pPr>
        <w:spacing w:line="500" w:lineRule="exact"/>
        <w:rPr>
          <w:rFonts w:hint="eastAsia" w:ascii="宋体" w:hAnsi="宋体" w:eastAsia="宋体" w:cs="宋体"/>
          <w:b/>
          <w:bCs/>
          <w:sz w:val="28"/>
          <w:szCs w:val="28"/>
        </w:rPr>
      </w:pPr>
    </w:p>
    <w:p w14:paraId="136F1061">
      <w:pPr>
        <w:rPr>
          <w:rFonts w:hint="eastAsia" w:ascii="宋体" w:hAnsi="宋体" w:eastAsia="宋体" w:cs="宋体"/>
          <w:b/>
          <w:bCs/>
          <w:sz w:val="28"/>
          <w:szCs w:val="28"/>
        </w:rPr>
      </w:pPr>
      <w:r>
        <w:rPr>
          <w:rFonts w:hint="eastAsia" w:ascii="宋体" w:hAnsi="宋体" w:eastAsia="宋体" w:cs="宋体"/>
          <w:b/>
          <w:bCs/>
          <w:sz w:val="28"/>
          <w:szCs w:val="28"/>
        </w:rPr>
        <w:br w:type="page"/>
      </w:r>
    </w:p>
    <w:p w14:paraId="35BD69B6">
      <w:pPr>
        <w:keepNext w:val="0"/>
        <w:keepLines w:val="0"/>
        <w:pageBreakBefore w:val="0"/>
        <w:widowControl w:val="0"/>
        <w:kinsoku/>
        <w:wordWrap/>
        <w:overflowPunct/>
        <w:topLinePunct w:val="0"/>
        <w:bidi w:val="0"/>
        <w:snapToGrid w:val="0"/>
        <w:spacing w:line="420" w:lineRule="exact"/>
        <w:ind w:left="694" w:leftChars="204"/>
        <w:textAlignment w:val="auto"/>
        <w:rPr>
          <w:rFonts w:hint="eastAsia" w:ascii="宋体" w:hAnsi="宋体" w:eastAsia="宋体" w:cs="宋体"/>
          <w:sz w:val="28"/>
          <w:szCs w:val="28"/>
        </w:rPr>
      </w:pPr>
      <w:r>
        <w:rPr>
          <w:rFonts w:hint="eastAsia" w:ascii="宋体" w:hAnsi="宋体" w:eastAsia="宋体" w:cs="宋体"/>
          <w:b/>
          <w:sz w:val="28"/>
          <w:szCs w:val="28"/>
        </w:rPr>
        <w:t>19、品目名称：脱硫烟气NO</w:t>
      </w:r>
      <w:r>
        <w:rPr>
          <w:rFonts w:hint="eastAsia" w:ascii="宋体" w:hAnsi="宋体" w:eastAsia="宋体" w:cs="宋体"/>
          <w:b/>
          <w:sz w:val="28"/>
          <w:szCs w:val="28"/>
          <w:vertAlign w:val="subscript"/>
        </w:rPr>
        <w:t>x</w:t>
      </w:r>
      <w:r>
        <w:rPr>
          <w:rFonts w:hint="eastAsia" w:ascii="宋体" w:hAnsi="宋体" w:eastAsia="宋体" w:cs="宋体"/>
          <w:b/>
          <w:sz w:val="28"/>
          <w:szCs w:val="28"/>
        </w:rPr>
        <w:t>吸附-解吸与水相电催化制氨平台（国产）</w:t>
      </w:r>
    </w:p>
    <w:p w14:paraId="3E8D4196">
      <w:pPr>
        <w:keepNext w:val="0"/>
        <w:keepLines w:val="0"/>
        <w:pageBreakBefore w:val="0"/>
        <w:widowControl w:val="0"/>
        <w:numPr>
          <w:ilvl w:val="0"/>
          <w:numId w:val="29"/>
        </w:numPr>
        <w:kinsoku/>
        <w:wordWrap/>
        <w:overflowPunct/>
        <w:topLinePunct w:val="0"/>
        <w:bidi w:val="0"/>
        <w:snapToGrid w:val="0"/>
        <w:spacing w:line="420" w:lineRule="exact"/>
        <w:ind w:left="0" w:firstLine="571" w:firstLineChars="204"/>
        <w:textAlignment w:val="auto"/>
        <w:rPr>
          <w:rFonts w:hint="eastAsia" w:ascii="宋体" w:hAnsi="宋体" w:eastAsia="宋体" w:cs="宋体"/>
          <w:sz w:val="28"/>
          <w:szCs w:val="28"/>
        </w:rPr>
      </w:pPr>
      <w:r>
        <w:rPr>
          <w:rFonts w:hint="eastAsia" w:ascii="宋体" w:hAnsi="宋体" w:eastAsia="宋体" w:cs="宋体"/>
          <w:sz w:val="28"/>
          <w:szCs w:val="28"/>
        </w:rPr>
        <w:t>规格</w:t>
      </w:r>
      <w:r>
        <w:rPr>
          <w:rFonts w:hint="eastAsia" w:ascii="宋体" w:hAnsi="宋体" w:eastAsia="宋体" w:cs="宋体"/>
          <w:b/>
          <w:bCs/>
          <w:sz w:val="28"/>
          <w:szCs w:val="28"/>
        </w:rPr>
        <w:t>（备注：以下参数1项）</w:t>
      </w:r>
    </w:p>
    <w:p w14:paraId="4C19EDF6">
      <w:pPr>
        <w:keepNext w:val="0"/>
        <w:keepLines w:val="0"/>
        <w:pageBreakBefore w:val="0"/>
        <w:widowControl w:val="0"/>
        <w:kinsoku/>
        <w:wordWrap/>
        <w:overflowPunct/>
        <w:topLinePunct w:val="0"/>
        <w:bidi w:val="0"/>
        <w:snapToGrid w:val="0"/>
        <w:spacing w:line="420" w:lineRule="exact"/>
        <w:ind w:firstLine="571" w:firstLineChars="204"/>
        <w:textAlignment w:val="auto"/>
        <w:rPr>
          <w:rFonts w:hint="eastAsia" w:ascii="宋体" w:hAnsi="宋体" w:eastAsia="宋体" w:cs="宋体"/>
          <w:sz w:val="28"/>
          <w:szCs w:val="28"/>
        </w:rPr>
      </w:pPr>
      <w:r>
        <w:rPr>
          <w:rFonts w:hint="eastAsia" w:ascii="宋体" w:hAnsi="宋体" w:eastAsia="宋体" w:cs="宋体"/>
          <w:sz w:val="28"/>
          <w:szCs w:val="28"/>
        </w:rPr>
        <w:t>试验系统由吸附/解吸塔以及电化学制氨装置组成，可实现脱硫烟气中NO</w:t>
      </w:r>
      <w:r>
        <w:rPr>
          <w:rFonts w:hint="eastAsia" w:ascii="宋体" w:hAnsi="宋体" w:eastAsia="宋体" w:cs="宋体"/>
          <w:sz w:val="28"/>
          <w:szCs w:val="28"/>
          <w:vertAlign w:val="subscript"/>
        </w:rPr>
        <w:t>x</w:t>
      </w:r>
      <w:r>
        <w:rPr>
          <w:rFonts w:hint="eastAsia" w:ascii="宋体" w:hAnsi="宋体" w:eastAsia="宋体" w:cs="宋体"/>
          <w:sz w:val="28"/>
          <w:szCs w:val="28"/>
        </w:rPr>
        <w:t>向氨的集成转化。要求平台能够实现1000 m</w:t>
      </w:r>
      <w:r>
        <w:rPr>
          <w:rFonts w:hint="eastAsia" w:ascii="宋体" w:hAnsi="宋体" w:eastAsia="宋体" w:cs="宋体"/>
          <w:sz w:val="28"/>
          <w:szCs w:val="28"/>
          <w:vertAlign w:val="superscript"/>
        </w:rPr>
        <w:t>3</w:t>
      </w:r>
      <w:r>
        <w:rPr>
          <w:rFonts w:hint="eastAsia" w:ascii="宋体" w:hAnsi="宋体" w:eastAsia="宋体" w:cs="宋体"/>
          <w:sz w:val="28"/>
          <w:szCs w:val="28"/>
        </w:rPr>
        <w:t>脱硫烟气的处理，实现脱硫烟气中NO</w:t>
      </w:r>
      <w:r>
        <w:rPr>
          <w:rFonts w:hint="eastAsia" w:ascii="宋体" w:hAnsi="宋体" w:eastAsia="宋体" w:cs="宋体"/>
          <w:sz w:val="28"/>
          <w:szCs w:val="28"/>
          <w:vertAlign w:val="subscript"/>
        </w:rPr>
        <w:t>x</w:t>
      </w:r>
      <w:r>
        <w:rPr>
          <w:rFonts w:hint="eastAsia" w:ascii="宋体" w:hAnsi="宋体" w:eastAsia="宋体" w:cs="宋体"/>
          <w:sz w:val="28"/>
          <w:szCs w:val="28"/>
        </w:rPr>
        <w:t>的高效吸附与解吸，并通过水相电催化过程将解吸得到的NO</w:t>
      </w:r>
      <w:r>
        <w:rPr>
          <w:rFonts w:hint="eastAsia" w:ascii="宋体" w:hAnsi="宋体" w:eastAsia="宋体" w:cs="宋体"/>
          <w:sz w:val="28"/>
          <w:szCs w:val="28"/>
          <w:vertAlign w:val="subscript"/>
        </w:rPr>
        <w:t>x</w:t>
      </w:r>
      <w:r>
        <w:rPr>
          <w:rFonts w:hint="eastAsia" w:ascii="宋体" w:hAnsi="宋体" w:eastAsia="宋体" w:cs="宋体"/>
          <w:sz w:val="28"/>
          <w:szCs w:val="28"/>
        </w:rPr>
        <w:t>高效转化为氨。对于吸附/解吸塔，确保烟气中的NO</w:t>
      </w:r>
      <w:r>
        <w:rPr>
          <w:rFonts w:hint="eastAsia" w:ascii="宋体" w:hAnsi="宋体" w:eastAsia="宋体" w:cs="宋体"/>
          <w:sz w:val="28"/>
          <w:szCs w:val="28"/>
          <w:vertAlign w:val="subscript"/>
        </w:rPr>
        <w:t>x</w:t>
      </w:r>
      <w:r>
        <w:rPr>
          <w:rFonts w:hint="eastAsia" w:ascii="宋体" w:hAnsi="宋体" w:eastAsia="宋体" w:cs="宋体"/>
          <w:sz w:val="28"/>
          <w:szCs w:val="28"/>
        </w:rPr>
        <w:t>被有效吸附且富集后有效解吸，吸附/解吸效率高，填料和塔体材料需具备良好的耐腐蚀性。对于水相电催化过程，确保NO</w:t>
      </w:r>
      <w:r>
        <w:rPr>
          <w:rFonts w:hint="eastAsia" w:ascii="宋体" w:hAnsi="宋体" w:eastAsia="宋体" w:cs="宋体"/>
          <w:sz w:val="28"/>
          <w:szCs w:val="28"/>
          <w:vertAlign w:val="subscript"/>
        </w:rPr>
        <w:t>x</w:t>
      </w:r>
      <w:r>
        <w:rPr>
          <w:rFonts w:hint="eastAsia" w:ascii="宋体" w:hAnsi="宋体" w:eastAsia="宋体" w:cs="宋体"/>
          <w:sz w:val="28"/>
          <w:szCs w:val="28"/>
        </w:rPr>
        <w:t>能够被高效转化为氨，转化率要高。</w:t>
      </w:r>
    </w:p>
    <w:p w14:paraId="19CAC160">
      <w:pPr>
        <w:keepNext w:val="0"/>
        <w:keepLines w:val="0"/>
        <w:pageBreakBefore w:val="0"/>
        <w:widowControl w:val="0"/>
        <w:numPr>
          <w:ilvl w:val="0"/>
          <w:numId w:val="29"/>
        </w:numPr>
        <w:kinsoku/>
        <w:wordWrap/>
        <w:overflowPunct/>
        <w:topLinePunct w:val="0"/>
        <w:bidi w:val="0"/>
        <w:snapToGrid w:val="0"/>
        <w:spacing w:line="420" w:lineRule="exact"/>
        <w:ind w:left="0" w:firstLine="571" w:firstLineChars="204"/>
        <w:textAlignment w:val="auto"/>
        <w:rPr>
          <w:rFonts w:hint="eastAsia" w:ascii="宋体" w:hAnsi="宋体" w:eastAsia="宋体" w:cs="宋体"/>
          <w:sz w:val="28"/>
          <w:szCs w:val="28"/>
        </w:rPr>
      </w:pPr>
      <w:r>
        <w:rPr>
          <w:rFonts w:hint="eastAsia" w:ascii="宋体" w:hAnsi="宋体" w:eastAsia="宋体" w:cs="宋体"/>
          <w:sz w:val="28"/>
          <w:szCs w:val="28"/>
        </w:rPr>
        <w:t>详细参数</w:t>
      </w:r>
    </w:p>
    <w:p w14:paraId="12692C89">
      <w:pPr>
        <w:keepNext w:val="0"/>
        <w:keepLines w:val="0"/>
        <w:pageBreakBefore w:val="0"/>
        <w:widowControl w:val="0"/>
        <w:kinsoku/>
        <w:wordWrap/>
        <w:overflowPunct/>
        <w:topLinePunct w:val="0"/>
        <w:bidi w:val="0"/>
        <w:snapToGrid w:val="0"/>
        <w:spacing w:line="420" w:lineRule="exact"/>
        <w:ind w:firstLine="571" w:firstLineChars="204"/>
        <w:textAlignment w:val="auto"/>
        <w:rPr>
          <w:rFonts w:hint="eastAsia" w:ascii="宋体" w:hAnsi="宋体" w:eastAsia="宋体" w:cs="宋体"/>
          <w:sz w:val="28"/>
          <w:szCs w:val="28"/>
        </w:rPr>
      </w:pPr>
      <w:r>
        <w:rPr>
          <w:rFonts w:hint="eastAsia" w:ascii="宋体" w:hAnsi="宋体" w:eastAsia="宋体" w:cs="宋体"/>
          <w:sz w:val="28"/>
          <w:szCs w:val="28"/>
        </w:rPr>
        <w:t>本设备用于对脱硫后烟气中NO</w:t>
      </w:r>
      <w:r>
        <w:rPr>
          <w:rFonts w:hint="eastAsia" w:ascii="宋体" w:hAnsi="宋体" w:eastAsia="宋体" w:cs="宋体"/>
          <w:sz w:val="28"/>
          <w:szCs w:val="28"/>
          <w:vertAlign w:val="subscript"/>
        </w:rPr>
        <w:t>x</w:t>
      </w:r>
      <w:r>
        <w:rPr>
          <w:rFonts w:hint="eastAsia" w:ascii="宋体" w:hAnsi="宋体" w:eastAsia="宋体" w:cs="宋体"/>
          <w:sz w:val="28"/>
          <w:szCs w:val="28"/>
        </w:rPr>
        <w:t>吸附-解析与水相电催化制氨进行研究。</w:t>
      </w:r>
    </w:p>
    <w:p w14:paraId="67DE4122">
      <w:pPr>
        <w:keepNext w:val="0"/>
        <w:keepLines w:val="0"/>
        <w:pageBreakBefore w:val="0"/>
        <w:widowControl w:val="0"/>
        <w:kinsoku/>
        <w:wordWrap/>
        <w:overflowPunct/>
        <w:topLinePunct w:val="0"/>
        <w:bidi w:val="0"/>
        <w:snapToGrid w:val="0"/>
        <w:spacing w:line="420" w:lineRule="exact"/>
        <w:ind w:firstLine="571" w:firstLineChars="204"/>
        <w:textAlignment w:val="auto"/>
        <w:rPr>
          <w:rFonts w:hint="eastAsia" w:ascii="宋体" w:hAnsi="宋体" w:eastAsia="宋体" w:cs="宋体"/>
          <w:sz w:val="28"/>
          <w:szCs w:val="28"/>
        </w:rPr>
      </w:pPr>
      <w:r>
        <w:rPr>
          <w:rFonts w:hint="eastAsia" w:ascii="宋体" w:hAnsi="宋体" w:eastAsia="宋体" w:cs="宋体"/>
          <w:sz w:val="28"/>
          <w:szCs w:val="28"/>
        </w:rPr>
        <w:t>其主要的技术规格与参数要求如下：</w:t>
      </w:r>
      <w:r>
        <w:rPr>
          <w:rFonts w:hint="eastAsia" w:ascii="宋体" w:hAnsi="宋体" w:eastAsia="宋体" w:cs="宋体"/>
          <w:b/>
          <w:bCs/>
          <w:sz w:val="28"/>
          <w:szCs w:val="28"/>
        </w:rPr>
        <w:t>（备注：以下参数2项）</w:t>
      </w:r>
    </w:p>
    <w:p w14:paraId="5475AC7D">
      <w:pPr>
        <w:keepNext w:val="0"/>
        <w:keepLines w:val="0"/>
        <w:pageBreakBefore w:val="0"/>
        <w:widowControl w:val="0"/>
        <w:kinsoku/>
        <w:wordWrap/>
        <w:overflowPunct/>
        <w:topLinePunct w:val="0"/>
        <w:bidi w:val="0"/>
        <w:snapToGrid w:val="0"/>
        <w:spacing w:line="420" w:lineRule="exact"/>
        <w:ind w:firstLine="571" w:firstLineChars="204"/>
        <w:textAlignment w:val="auto"/>
        <w:rPr>
          <w:rFonts w:hint="eastAsia" w:ascii="宋体" w:hAnsi="宋体" w:eastAsia="宋体" w:cs="宋体"/>
          <w:sz w:val="28"/>
          <w:szCs w:val="28"/>
        </w:rPr>
      </w:pPr>
      <w:r>
        <w:rPr>
          <w:rFonts w:hint="eastAsia" w:ascii="宋体" w:hAnsi="宋体" w:eastAsia="宋体" w:cs="宋体"/>
          <w:sz w:val="28"/>
          <w:szCs w:val="28"/>
        </w:rPr>
        <w:t>2.1 吸附/解析塔</w:t>
      </w:r>
    </w:p>
    <w:p w14:paraId="416709E8">
      <w:pPr>
        <w:keepNext w:val="0"/>
        <w:keepLines w:val="0"/>
        <w:pageBreakBefore w:val="0"/>
        <w:widowControl w:val="0"/>
        <w:kinsoku/>
        <w:wordWrap/>
        <w:overflowPunct/>
        <w:topLinePunct w:val="0"/>
        <w:bidi w:val="0"/>
        <w:snapToGrid w:val="0"/>
        <w:spacing w:line="420" w:lineRule="exact"/>
        <w:ind w:firstLine="571" w:firstLineChars="204"/>
        <w:textAlignment w:val="auto"/>
        <w:rPr>
          <w:rFonts w:hint="eastAsia" w:ascii="宋体" w:hAnsi="宋体" w:eastAsia="宋体" w:cs="宋体"/>
          <w:sz w:val="28"/>
          <w:szCs w:val="28"/>
        </w:rPr>
      </w:pPr>
      <w:r>
        <w:rPr>
          <w:rFonts w:hint="eastAsia" w:ascii="宋体" w:hAnsi="宋体" w:eastAsia="宋体" w:cs="宋体"/>
          <w:sz w:val="28"/>
          <w:szCs w:val="28"/>
        </w:rPr>
        <w:t>① 塔内装填适用于</w:t>
      </w:r>
      <w:bookmarkStart w:id="187" w:name="OLE_LINK3"/>
      <w:r>
        <w:rPr>
          <w:rFonts w:hint="eastAsia" w:ascii="宋体" w:hAnsi="宋体" w:eastAsia="宋体" w:cs="宋体"/>
          <w:sz w:val="28"/>
          <w:szCs w:val="28"/>
        </w:rPr>
        <w:t>NO</w:t>
      </w:r>
      <w:r>
        <w:rPr>
          <w:rFonts w:hint="eastAsia" w:ascii="宋体" w:hAnsi="宋体" w:eastAsia="宋体" w:cs="宋体"/>
          <w:sz w:val="28"/>
          <w:szCs w:val="28"/>
          <w:vertAlign w:val="subscript"/>
        </w:rPr>
        <w:t>x</w:t>
      </w:r>
      <w:bookmarkEnd w:id="187"/>
      <w:r>
        <w:rPr>
          <w:rFonts w:hint="eastAsia" w:ascii="宋体" w:hAnsi="宋体" w:eastAsia="宋体" w:cs="宋体"/>
          <w:sz w:val="28"/>
          <w:szCs w:val="28"/>
        </w:rPr>
        <w:t>吸附/解吸的专用填料；</w:t>
      </w:r>
    </w:p>
    <w:p w14:paraId="28F3E299">
      <w:pPr>
        <w:keepNext w:val="0"/>
        <w:keepLines w:val="0"/>
        <w:pageBreakBefore w:val="0"/>
        <w:widowControl w:val="0"/>
        <w:kinsoku/>
        <w:wordWrap/>
        <w:overflowPunct/>
        <w:topLinePunct w:val="0"/>
        <w:bidi w:val="0"/>
        <w:snapToGrid w:val="0"/>
        <w:spacing w:line="420" w:lineRule="exact"/>
        <w:ind w:firstLine="571" w:firstLineChars="204"/>
        <w:textAlignment w:val="auto"/>
        <w:rPr>
          <w:rFonts w:hint="eastAsia" w:ascii="宋体" w:hAnsi="宋体" w:eastAsia="宋体" w:cs="宋体"/>
          <w:sz w:val="28"/>
          <w:szCs w:val="28"/>
        </w:rPr>
      </w:pPr>
      <w:r>
        <w:rPr>
          <w:rFonts w:hint="eastAsia" w:ascii="宋体" w:hAnsi="宋体" w:eastAsia="宋体" w:cs="宋体"/>
          <w:sz w:val="28"/>
          <w:szCs w:val="28"/>
        </w:rPr>
        <w:t>② 对脱硫烟气中的NO</w:t>
      </w:r>
      <w:r>
        <w:rPr>
          <w:rFonts w:hint="eastAsia" w:ascii="宋体" w:hAnsi="宋体" w:eastAsia="宋体" w:cs="宋体"/>
          <w:sz w:val="28"/>
          <w:szCs w:val="28"/>
          <w:vertAlign w:val="subscript"/>
        </w:rPr>
        <w:t>x</w:t>
      </w:r>
      <w:r>
        <w:rPr>
          <w:rFonts w:hint="eastAsia" w:ascii="宋体" w:hAnsi="宋体" w:eastAsia="宋体" w:cs="宋体"/>
          <w:sz w:val="28"/>
          <w:szCs w:val="28"/>
        </w:rPr>
        <w:t>吸附效率高，应满足后续电化学制氨工艺进料要求；解吸后的NO</w:t>
      </w:r>
      <w:r>
        <w:rPr>
          <w:rFonts w:hint="eastAsia" w:ascii="宋体" w:hAnsi="宋体" w:eastAsia="宋体" w:cs="宋体"/>
          <w:sz w:val="28"/>
          <w:szCs w:val="28"/>
          <w:vertAlign w:val="subscript"/>
        </w:rPr>
        <w:t>x</w:t>
      </w:r>
      <w:r>
        <w:rPr>
          <w:rFonts w:hint="eastAsia" w:ascii="宋体" w:hAnsi="宋体" w:eastAsia="宋体" w:cs="宋体"/>
          <w:sz w:val="28"/>
          <w:szCs w:val="28"/>
        </w:rPr>
        <w:t>以适宜形态进入水相电催化制氨系统；</w:t>
      </w:r>
    </w:p>
    <w:p w14:paraId="2F48CED7">
      <w:pPr>
        <w:keepNext w:val="0"/>
        <w:keepLines w:val="0"/>
        <w:pageBreakBefore w:val="0"/>
        <w:widowControl w:val="0"/>
        <w:kinsoku/>
        <w:wordWrap/>
        <w:overflowPunct/>
        <w:topLinePunct w:val="0"/>
        <w:bidi w:val="0"/>
        <w:snapToGrid w:val="0"/>
        <w:spacing w:line="420" w:lineRule="exact"/>
        <w:ind w:firstLine="571" w:firstLineChars="204"/>
        <w:textAlignment w:val="auto"/>
        <w:rPr>
          <w:rFonts w:hint="eastAsia" w:ascii="宋体" w:hAnsi="宋体" w:eastAsia="宋体" w:cs="宋体"/>
          <w:sz w:val="28"/>
          <w:szCs w:val="28"/>
        </w:rPr>
      </w:pPr>
      <w:r>
        <w:rPr>
          <w:rFonts w:hint="eastAsia" w:ascii="宋体" w:hAnsi="宋体" w:eastAsia="宋体" w:cs="宋体"/>
          <w:sz w:val="28"/>
          <w:szCs w:val="28"/>
        </w:rPr>
        <w:t>③ 塔体及填料应具备良好的耐腐蚀性能，适应脱硫烟气及吸附/解吸工况下的酸性、潮湿等环境。</w:t>
      </w:r>
    </w:p>
    <w:p w14:paraId="3F1F4BE9">
      <w:pPr>
        <w:keepNext w:val="0"/>
        <w:keepLines w:val="0"/>
        <w:pageBreakBefore w:val="0"/>
        <w:widowControl w:val="0"/>
        <w:kinsoku/>
        <w:wordWrap/>
        <w:overflowPunct/>
        <w:topLinePunct w:val="0"/>
        <w:bidi w:val="0"/>
        <w:snapToGrid w:val="0"/>
        <w:spacing w:line="420" w:lineRule="exact"/>
        <w:ind w:firstLine="571" w:firstLineChars="204"/>
        <w:textAlignment w:val="auto"/>
        <w:rPr>
          <w:rFonts w:hint="eastAsia" w:ascii="宋体" w:hAnsi="宋体" w:eastAsia="宋体" w:cs="宋体"/>
          <w:sz w:val="28"/>
          <w:szCs w:val="28"/>
        </w:rPr>
      </w:pPr>
      <w:r>
        <w:rPr>
          <w:rFonts w:hint="eastAsia" w:ascii="宋体" w:hAnsi="宋体" w:eastAsia="宋体" w:cs="宋体"/>
          <w:sz w:val="28"/>
          <w:szCs w:val="28"/>
        </w:rPr>
        <w:t>2.2 电化学制氨装置</w:t>
      </w:r>
    </w:p>
    <w:p w14:paraId="3BD7B1C9">
      <w:pPr>
        <w:keepNext w:val="0"/>
        <w:keepLines w:val="0"/>
        <w:pageBreakBefore w:val="0"/>
        <w:widowControl w:val="0"/>
        <w:kinsoku/>
        <w:wordWrap/>
        <w:overflowPunct/>
        <w:topLinePunct w:val="0"/>
        <w:bidi w:val="0"/>
        <w:snapToGrid w:val="0"/>
        <w:spacing w:line="420" w:lineRule="exact"/>
        <w:ind w:firstLine="571" w:firstLineChars="204"/>
        <w:textAlignment w:val="auto"/>
        <w:rPr>
          <w:rFonts w:hint="eastAsia" w:ascii="宋体" w:hAnsi="宋体" w:eastAsia="宋体" w:cs="宋体"/>
          <w:sz w:val="28"/>
          <w:szCs w:val="28"/>
        </w:rPr>
      </w:pPr>
      <w:r>
        <w:rPr>
          <w:rFonts w:hint="eastAsia" w:ascii="宋体" w:hAnsi="宋体" w:eastAsia="宋体" w:cs="宋体"/>
          <w:sz w:val="28"/>
          <w:szCs w:val="28"/>
        </w:rPr>
        <w:t>① 阴极：有效面积≥100 m</w:t>
      </w:r>
      <w:r>
        <w:rPr>
          <w:rFonts w:hint="eastAsia" w:ascii="宋体" w:hAnsi="宋体" w:eastAsia="宋体" w:cs="宋体"/>
          <w:sz w:val="28"/>
          <w:szCs w:val="28"/>
          <w:vertAlign w:val="superscript"/>
        </w:rPr>
        <w:t>2</w:t>
      </w:r>
      <w:r>
        <w:rPr>
          <w:rFonts w:hint="eastAsia" w:ascii="宋体" w:hAnsi="宋体" w:eastAsia="宋体" w:cs="宋体"/>
          <w:sz w:val="28"/>
          <w:szCs w:val="28"/>
        </w:rPr>
        <w:t>；</w:t>
      </w:r>
    </w:p>
    <w:p w14:paraId="5CCC506C">
      <w:pPr>
        <w:keepNext w:val="0"/>
        <w:keepLines w:val="0"/>
        <w:pageBreakBefore w:val="0"/>
        <w:widowControl w:val="0"/>
        <w:kinsoku/>
        <w:wordWrap/>
        <w:overflowPunct/>
        <w:topLinePunct w:val="0"/>
        <w:bidi w:val="0"/>
        <w:snapToGrid w:val="0"/>
        <w:spacing w:line="420" w:lineRule="exact"/>
        <w:ind w:firstLine="571" w:firstLineChars="204"/>
        <w:textAlignment w:val="auto"/>
        <w:rPr>
          <w:rFonts w:hint="eastAsia" w:ascii="宋体" w:hAnsi="宋体" w:eastAsia="宋体" w:cs="宋体"/>
          <w:sz w:val="28"/>
          <w:szCs w:val="28"/>
        </w:rPr>
      </w:pPr>
      <w:r>
        <w:rPr>
          <w:rFonts w:hint="eastAsia" w:ascii="宋体" w:hAnsi="宋体" w:eastAsia="宋体" w:cs="宋体"/>
          <w:sz w:val="28"/>
          <w:szCs w:val="28"/>
        </w:rPr>
        <w:t>② 阳极：有效面积≥100 m</w:t>
      </w:r>
      <w:r>
        <w:rPr>
          <w:rFonts w:hint="eastAsia" w:ascii="宋体" w:hAnsi="宋体" w:eastAsia="宋体" w:cs="宋体"/>
          <w:sz w:val="28"/>
          <w:szCs w:val="28"/>
          <w:vertAlign w:val="superscript"/>
        </w:rPr>
        <w:t>2</w:t>
      </w:r>
      <w:r>
        <w:rPr>
          <w:rFonts w:hint="eastAsia" w:ascii="宋体" w:hAnsi="宋体" w:eastAsia="宋体" w:cs="宋体"/>
          <w:sz w:val="28"/>
          <w:szCs w:val="28"/>
        </w:rPr>
        <w:t>；</w:t>
      </w:r>
    </w:p>
    <w:p w14:paraId="2536285C">
      <w:pPr>
        <w:keepNext w:val="0"/>
        <w:keepLines w:val="0"/>
        <w:pageBreakBefore w:val="0"/>
        <w:widowControl w:val="0"/>
        <w:kinsoku/>
        <w:wordWrap/>
        <w:overflowPunct/>
        <w:topLinePunct w:val="0"/>
        <w:bidi w:val="0"/>
        <w:snapToGrid w:val="0"/>
        <w:spacing w:line="420" w:lineRule="exact"/>
        <w:ind w:firstLine="571" w:firstLineChars="204"/>
        <w:textAlignment w:val="auto"/>
        <w:rPr>
          <w:rFonts w:hint="eastAsia" w:ascii="宋体" w:hAnsi="宋体" w:eastAsia="宋体" w:cs="宋体"/>
          <w:sz w:val="28"/>
          <w:szCs w:val="28"/>
        </w:rPr>
      </w:pPr>
      <w:r>
        <w:rPr>
          <w:rFonts w:hint="eastAsia" w:ascii="宋体" w:hAnsi="宋体" w:eastAsia="宋体" w:cs="宋体"/>
          <w:sz w:val="28"/>
          <w:szCs w:val="28"/>
        </w:rPr>
        <w:t>③ 直流电源：总电流＜50000 A，含导线；</w:t>
      </w:r>
    </w:p>
    <w:p w14:paraId="29B72532">
      <w:pPr>
        <w:keepNext w:val="0"/>
        <w:keepLines w:val="0"/>
        <w:pageBreakBefore w:val="0"/>
        <w:widowControl w:val="0"/>
        <w:kinsoku/>
        <w:wordWrap/>
        <w:overflowPunct/>
        <w:topLinePunct w:val="0"/>
        <w:bidi w:val="0"/>
        <w:snapToGrid w:val="0"/>
        <w:spacing w:line="420" w:lineRule="exact"/>
        <w:ind w:firstLine="571" w:firstLineChars="204"/>
        <w:textAlignment w:val="auto"/>
        <w:rPr>
          <w:rFonts w:hint="eastAsia" w:ascii="宋体" w:hAnsi="宋体" w:eastAsia="宋体" w:cs="宋体"/>
          <w:sz w:val="28"/>
          <w:szCs w:val="28"/>
        </w:rPr>
      </w:pPr>
      <w:r>
        <w:rPr>
          <w:rFonts w:hint="eastAsia" w:ascii="宋体" w:hAnsi="宋体" w:eastAsia="宋体" w:cs="宋体"/>
          <w:sz w:val="28"/>
          <w:szCs w:val="28"/>
        </w:rPr>
        <w:t>④ 电化学反应器：适用于气体扩散的电化学反应器，总有效反应容积≥2 m</w:t>
      </w:r>
      <w:r>
        <w:rPr>
          <w:rFonts w:hint="eastAsia" w:ascii="宋体" w:hAnsi="宋体" w:eastAsia="宋体" w:cs="宋体"/>
          <w:sz w:val="28"/>
          <w:szCs w:val="28"/>
          <w:vertAlign w:val="superscript"/>
        </w:rPr>
        <w:t>3</w:t>
      </w:r>
      <w:r>
        <w:rPr>
          <w:rFonts w:hint="eastAsia" w:ascii="宋体" w:hAnsi="宋体" w:eastAsia="宋体" w:cs="宋体"/>
          <w:sz w:val="28"/>
          <w:szCs w:val="28"/>
        </w:rPr>
        <w:t>，温度≤60℃，含有水泵、管道、pH控制等；</w:t>
      </w:r>
    </w:p>
    <w:p w14:paraId="721AA57C">
      <w:pPr>
        <w:keepNext w:val="0"/>
        <w:keepLines w:val="0"/>
        <w:pageBreakBefore w:val="0"/>
        <w:widowControl w:val="0"/>
        <w:kinsoku/>
        <w:wordWrap/>
        <w:overflowPunct/>
        <w:topLinePunct w:val="0"/>
        <w:bidi w:val="0"/>
        <w:snapToGrid w:val="0"/>
        <w:spacing w:line="420" w:lineRule="exact"/>
        <w:ind w:firstLine="571" w:firstLineChars="204"/>
        <w:textAlignment w:val="auto"/>
        <w:rPr>
          <w:rFonts w:hint="eastAsia" w:ascii="宋体" w:hAnsi="宋体" w:eastAsia="宋体" w:cs="宋体"/>
          <w:sz w:val="28"/>
          <w:szCs w:val="28"/>
        </w:rPr>
      </w:pPr>
      <w:r>
        <w:rPr>
          <w:rFonts w:hint="eastAsia" w:ascii="宋体" w:hAnsi="宋体" w:eastAsia="宋体" w:cs="宋体"/>
          <w:sz w:val="28"/>
          <w:szCs w:val="28"/>
        </w:rPr>
        <w:t>⑤ 水冷塔：配套循环水泵，用于直流电源及相关设备的散热；</w:t>
      </w:r>
    </w:p>
    <w:p w14:paraId="034B7A57">
      <w:pPr>
        <w:keepNext w:val="0"/>
        <w:keepLines w:val="0"/>
        <w:pageBreakBefore w:val="0"/>
        <w:widowControl w:val="0"/>
        <w:kinsoku/>
        <w:wordWrap/>
        <w:overflowPunct/>
        <w:topLinePunct w:val="0"/>
        <w:bidi w:val="0"/>
        <w:snapToGrid w:val="0"/>
        <w:spacing w:line="420" w:lineRule="exact"/>
        <w:ind w:firstLine="571" w:firstLineChars="204"/>
        <w:textAlignment w:val="auto"/>
        <w:rPr>
          <w:rFonts w:hint="eastAsia" w:ascii="宋体" w:hAnsi="宋体" w:eastAsia="宋体" w:cs="宋体"/>
          <w:sz w:val="28"/>
          <w:szCs w:val="28"/>
        </w:rPr>
      </w:pPr>
      <w:r>
        <w:rPr>
          <w:rFonts w:hint="eastAsia" w:ascii="宋体" w:hAnsi="宋体" w:eastAsia="宋体" w:cs="宋体"/>
          <w:sz w:val="28"/>
          <w:szCs w:val="28"/>
        </w:rPr>
        <w:t>⑥ 控制柜：含PLC、触摸屏、PID温控表、变频器、电气元件等；</w:t>
      </w:r>
    </w:p>
    <w:p w14:paraId="01A10B7D">
      <w:pPr>
        <w:keepNext w:val="0"/>
        <w:keepLines w:val="0"/>
        <w:pageBreakBefore w:val="0"/>
        <w:widowControl w:val="0"/>
        <w:kinsoku/>
        <w:wordWrap/>
        <w:overflowPunct/>
        <w:topLinePunct w:val="0"/>
        <w:bidi w:val="0"/>
        <w:snapToGrid w:val="0"/>
        <w:spacing w:line="420" w:lineRule="exact"/>
        <w:ind w:firstLine="571" w:firstLineChars="204"/>
        <w:textAlignment w:val="auto"/>
        <w:rPr>
          <w:rFonts w:hint="eastAsia" w:ascii="宋体" w:hAnsi="宋体" w:eastAsia="宋体" w:cs="宋体"/>
          <w:sz w:val="28"/>
          <w:szCs w:val="28"/>
        </w:rPr>
      </w:pPr>
      <w:r>
        <w:rPr>
          <w:rFonts w:hint="eastAsia" w:ascii="宋体" w:hAnsi="宋体" w:eastAsia="宋体" w:cs="宋体"/>
          <w:sz w:val="28"/>
          <w:szCs w:val="28"/>
        </w:rPr>
        <w:t>⑦ 脱氨膜组件：用于氨气分离，生产硫酸铵</w:t>
      </w:r>
    </w:p>
    <w:p w14:paraId="1A427083">
      <w:pPr>
        <w:pStyle w:val="87"/>
        <w:keepNext w:val="0"/>
        <w:keepLines w:val="0"/>
        <w:pageBreakBefore w:val="0"/>
        <w:widowControl w:val="0"/>
        <w:kinsoku/>
        <w:wordWrap/>
        <w:overflowPunct/>
        <w:topLinePunct w:val="0"/>
        <w:bidi w:val="0"/>
        <w:spacing w:line="420" w:lineRule="exact"/>
        <w:jc w:val="center"/>
        <w:textAlignment w:val="auto"/>
        <w:rPr>
          <w:rFonts w:hint="eastAsia" w:ascii="宋体" w:hAnsi="宋体" w:eastAsia="宋体" w:cs="宋体"/>
          <w:b/>
          <w:color w:val="auto"/>
          <w:sz w:val="28"/>
          <w:szCs w:val="28"/>
        </w:rPr>
      </w:pPr>
    </w:p>
    <w:p w14:paraId="7ED44C43">
      <w:pPr>
        <w:keepNext w:val="0"/>
        <w:keepLines w:val="0"/>
        <w:pageBreakBefore w:val="0"/>
        <w:widowControl w:val="0"/>
        <w:kinsoku/>
        <w:wordWrap/>
        <w:overflowPunct/>
        <w:topLinePunct w:val="0"/>
        <w:bidi w:val="0"/>
        <w:spacing w:line="420" w:lineRule="exact"/>
        <w:textAlignment w:val="auto"/>
        <w:rPr>
          <w:rFonts w:hint="eastAsia" w:ascii="宋体" w:hAnsi="宋体" w:eastAsia="宋体" w:cs="宋体"/>
          <w:sz w:val="28"/>
          <w:szCs w:val="28"/>
        </w:rPr>
      </w:pPr>
      <w:r>
        <w:rPr>
          <w:rFonts w:hint="eastAsia" w:ascii="宋体" w:hAnsi="宋体" w:eastAsia="宋体" w:cs="宋体"/>
          <w:b/>
          <w:sz w:val="28"/>
          <w:szCs w:val="28"/>
        </w:rPr>
        <w:t>备注：以上参数3项，均为一般参数项。</w:t>
      </w:r>
      <w:r>
        <w:rPr>
          <w:rFonts w:hint="eastAsia" w:ascii="宋体" w:hAnsi="宋体" w:eastAsia="宋体" w:cs="宋体"/>
          <w:b/>
          <w:sz w:val="28"/>
          <w:szCs w:val="28"/>
        </w:rPr>
        <w:br w:type="page"/>
      </w:r>
    </w:p>
    <w:p w14:paraId="28E4CBBE">
      <w:pPr>
        <w:pStyle w:val="90"/>
        <w:spacing w:before="0" w:beforeAutospacing="0" w:after="0" w:afterAutospacing="0" w:line="500" w:lineRule="exact"/>
        <w:ind w:left="490"/>
        <w:jc w:val="both"/>
        <w:rPr>
          <w:rFonts w:hint="eastAsia" w:ascii="宋体" w:hAnsi="宋体" w:eastAsia="宋体" w:cs="宋体"/>
        </w:rPr>
      </w:pPr>
      <w:r>
        <w:rPr>
          <w:rFonts w:hint="eastAsia" w:ascii="宋体" w:hAnsi="宋体" w:eastAsia="宋体" w:cs="宋体"/>
          <w:b/>
          <w:bCs/>
          <w:color w:val="000000"/>
          <w:sz w:val="28"/>
          <w:szCs w:val="28"/>
        </w:rPr>
        <w:t>20、品目名称：多通道多元介质液相腐蚀试验平台（国产）</w:t>
      </w:r>
    </w:p>
    <w:p w14:paraId="6C69129C">
      <w:pPr>
        <w:pStyle w:val="90"/>
        <w:numPr>
          <w:ilvl w:val="0"/>
          <w:numId w:val="30"/>
        </w:numPr>
        <w:spacing w:before="0" w:beforeAutospacing="0" w:after="0" w:afterAutospacing="0" w:line="500" w:lineRule="exact"/>
        <w:ind w:left="0" w:firstLine="490"/>
        <w:jc w:val="both"/>
        <w:rPr>
          <w:rFonts w:hint="eastAsia" w:ascii="宋体" w:hAnsi="宋体" w:eastAsia="宋体" w:cs="宋体"/>
        </w:rPr>
      </w:pPr>
      <w:r>
        <w:rPr>
          <w:rFonts w:hint="eastAsia" w:ascii="宋体" w:hAnsi="宋体" w:eastAsia="宋体" w:cs="宋体"/>
          <w:color w:val="000000"/>
          <w:sz w:val="28"/>
          <w:szCs w:val="28"/>
        </w:rPr>
        <w:t>规格</w:t>
      </w:r>
      <w:r>
        <w:rPr>
          <w:rFonts w:hint="eastAsia" w:ascii="宋体" w:hAnsi="宋体" w:eastAsia="宋体" w:cs="宋体"/>
          <w:b/>
          <w:bCs/>
          <w:color w:val="000000"/>
          <w:sz w:val="28"/>
          <w:szCs w:val="28"/>
        </w:rPr>
        <w:t>（备注：以下参数1项）</w:t>
      </w:r>
    </w:p>
    <w:p w14:paraId="15FBDBAB">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该实验装置由复杂腐蚀介质容器、多通道腐蚀管路、多通道电化学工作站，失重/增重检测系统等组成，能够同时对多种不同工况下的腐蚀实验进行监测。其中复杂腐蚀介质水箱能够达到控温，实时检测PH值、溶氧量、离子溶度等数值的功能。腐蚀通道中设置样品放置点，在该点可以放置不同仰角，不同接触面积等多种不同工况的挂片样品，不同管道内也能控制不同流速，实验时将样品放进管道内。在实验过程中样品连接电化学工作站进行开位电路、极化曲线、阻抗能谱等数据的测量。并通过失重/增重检测系统进行质量变化的监测。</w:t>
      </w:r>
    </w:p>
    <w:p w14:paraId="7A26DF4C">
      <w:pPr>
        <w:pStyle w:val="90"/>
        <w:numPr>
          <w:ilvl w:val="0"/>
          <w:numId w:val="30"/>
        </w:numPr>
        <w:spacing w:before="0" w:beforeAutospacing="0" w:after="0" w:afterAutospacing="0" w:line="500" w:lineRule="exact"/>
        <w:ind w:left="0" w:firstLine="490"/>
        <w:jc w:val="both"/>
        <w:rPr>
          <w:rFonts w:hint="eastAsia" w:ascii="宋体" w:hAnsi="宋体" w:eastAsia="宋体" w:cs="宋体"/>
        </w:rPr>
      </w:pPr>
      <w:r>
        <w:rPr>
          <w:rFonts w:hint="eastAsia" w:ascii="宋体" w:hAnsi="宋体" w:eastAsia="宋体" w:cs="宋体"/>
          <w:color w:val="000000"/>
          <w:sz w:val="28"/>
          <w:szCs w:val="28"/>
        </w:rPr>
        <w:t>详细参数(</w:t>
      </w:r>
      <w:r>
        <w:rPr>
          <w:rFonts w:hint="eastAsia" w:ascii="宋体" w:hAnsi="宋体" w:eastAsia="宋体" w:cs="宋体"/>
          <w:b/>
          <w:bCs/>
          <w:color w:val="000000"/>
          <w:sz w:val="28"/>
          <w:szCs w:val="28"/>
        </w:rPr>
        <w:t>备注：以下参数7项）</w:t>
      </w:r>
    </w:p>
    <w:p w14:paraId="40515EF2">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本试验平台主要包括：多元腐蚀介质控制水箱系统、腐蚀通道、多通道电化学工作站、流量计、试验夹具、失重/增重检测系统、试验软件、计算机、控制机柜等部分组成。其具体参数如下：</w:t>
      </w:r>
    </w:p>
    <w:p w14:paraId="0CB438F8">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2.1 多元腐蚀介质控制水箱系统</w:t>
      </w:r>
    </w:p>
    <w:p w14:paraId="78FA2768">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1）水箱数量：不少于8 套；</w:t>
      </w:r>
    </w:p>
    <w:p w14:paraId="2FC6AC28">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2）容积：≥20L；</w:t>
      </w:r>
    </w:p>
    <w:p w14:paraId="73C7393E">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2.2 腐蚀通道</w:t>
      </w:r>
    </w:p>
    <w:p w14:paraId="3CEC0100">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b/>
          <w:bCs/>
          <w:color w:val="000000"/>
          <w:sz w:val="28"/>
          <w:szCs w:val="28"/>
          <w:highlight w:val="cyan"/>
          <w:shd w:val="clear" w:color="auto" w:fill="FF0000"/>
        </w:rPr>
        <w:t>★</w:t>
      </w:r>
      <w:r>
        <w:rPr>
          <w:rFonts w:hint="eastAsia" w:ascii="宋体" w:hAnsi="宋体" w:eastAsia="宋体" w:cs="宋体"/>
          <w:color w:val="000000"/>
          <w:sz w:val="28"/>
          <w:szCs w:val="28"/>
        </w:rPr>
        <w:t>1）通道数量：8个；</w:t>
      </w:r>
    </w:p>
    <w:p w14:paraId="44EF320B">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2）通道材质：耐腐蚀，满足PH值1～14使用；</w:t>
      </w:r>
    </w:p>
    <w:p w14:paraId="275FB00E">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b/>
          <w:bCs/>
          <w:color w:val="000000"/>
          <w:sz w:val="28"/>
          <w:szCs w:val="28"/>
          <w:highlight w:val="green"/>
          <w:shd w:val="clear" w:color="auto" w:fill="FF0000"/>
        </w:rPr>
        <w:t>▲</w:t>
      </w:r>
      <w:r>
        <w:rPr>
          <w:rFonts w:hint="eastAsia" w:ascii="宋体" w:hAnsi="宋体" w:eastAsia="宋体" w:cs="宋体"/>
          <w:color w:val="000000"/>
          <w:sz w:val="28"/>
          <w:szCs w:val="28"/>
        </w:rPr>
        <w:t>3）通道温度控制：PID自动控制，0～80℃，精度高于0.1℃；</w:t>
      </w:r>
    </w:p>
    <w:p w14:paraId="1CF1DDAF">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b/>
          <w:bCs/>
          <w:color w:val="000000"/>
          <w:sz w:val="28"/>
          <w:szCs w:val="28"/>
          <w:highlight w:val="green"/>
          <w:shd w:val="clear" w:color="auto" w:fill="FF0000"/>
        </w:rPr>
        <w:t>▲</w:t>
      </w:r>
      <w:r>
        <w:rPr>
          <w:rFonts w:hint="eastAsia" w:ascii="宋体" w:hAnsi="宋体" w:eastAsia="宋体" w:cs="宋体"/>
          <w:color w:val="000000"/>
          <w:sz w:val="28"/>
          <w:szCs w:val="28"/>
        </w:rPr>
        <w:t>4）通道流速控制：含流量传感器、变频水泵、PID流速自动控制，满足样件0～3m/s冲刷工况；</w:t>
      </w:r>
    </w:p>
    <w:p w14:paraId="05D238D4">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2.3 电化学工作站</w:t>
      </w:r>
    </w:p>
    <w:p w14:paraId="6CDABD9B">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b/>
          <w:bCs/>
          <w:color w:val="000000"/>
          <w:sz w:val="28"/>
          <w:szCs w:val="28"/>
          <w:highlight w:val="cyan"/>
          <w:shd w:val="clear" w:color="auto" w:fill="FF0000"/>
        </w:rPr>
        <w:t>★</w:t>
      </w:r>
      <w:r>
        <w:rPr>
          <w:rFonts w:hint="eastAsia" w:ascii="宋体" w:hAnsi="宋体" w:eastAsia="宋体" w:cs="宋体"/>
          <w:color w:val="000000"/>
          <w:sz w:val="28"/>
          <w:szCs w:val="28"/>
        </w:rPr>
        <w:t>1）测量通道数量：不少于8个；</w:t>
      </w:r>
    </w:p>
    <w:p w14:paraId="1EA8E40A">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2.4 失重/增重检测系统</w:t>
      </w:r>
    </w:p>
    <w:p w14:paraId="50410981">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1）设备选型: 电子精密天平;</w:t>
      </w:r>
    </w:p>
    <w:p w14:paraId="6A168AB4">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2）量程：≥40 g;</w:t>
      </w:r>
    </w:p>
    <w:p w14:paraId="7DD40A5B">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3) 可读性：≤0.1mg</w:t>
      </w:r>
    </w:p>
    <w:p w14:paraId="4A9E45A3">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2.5 试验夹具</w:t>
      </w:r>
    </w:p>
    <w:p w14:paraId="34E24C5E">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1）夹具支架数量：不少于8套</w:t>
      </w:r>
    </w:p>
    <w:p w14:paraId="689876EE">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2.6 整体框架</w:t>
      </w:r>
    </w:p>
    <w:p w14:paraId="3C177EEC">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1）框架规格：一体模块化钢架，带刹车万向轮；</w:t>
      </w:r>
    </w:p>
    <w:p w14:paraId="6C6D043D">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2.7 控制系统</w:t>
      </w:r>
    </w:p>
    <w:p w14:paraId="2D489691">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1）就地控制柜：含PLC、触摸屏、PID温控表、变频器、电气元件；</w:t>
      </w:r>
    </w:p>
    <w:p w14:paraId="54C4FCA3">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2）工控上位机</w:t>
      </w:r>
    </w:p>
    <w:p w14:paraId="241CC964">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3）软件：PLC软件、触摸屏软件、上位机组态软件、移动端监控软件；</w:t>
      </w:r>
    </w:p>
    <w:p w14:paraId="42D76F45">
      <w:pPr>
        <w:pStyle w:val="87"/>
        <w:spacing w:line="500" w:lineRule="exact"/>
        <w:jc w:val="center"/>
        <w:rPr>
          <w:rFonts w:hint="eastAsia" w:ascii="宋体" w:hAnsi="宋体" w:eastAsia="宋体" w:cs="宋体"/>
          <w:b/>
          <w:color w:val="auto"/>
          <w:sz w:val="28"/>
          <w:szCs w:val="28"/>
        </w:rPr>
      </w:pPr>
    </w:p>
    <w:p w14:paraId="6B771212">
      <w:pPr>
        <w:spacing w:line="500" w:lineRule="exact"/>
        <w:rPr>
          <w:rFonts w:hint="eastAsia" w:ascii="宋体" w:hAnsi="宋体" w:eastAsia="宋体" w:cs="宋体"/>
          <w:b/>
          <w:bCs/>
          <w:sz w:val="28"/>
          <w:szCs w:val="28"/>
        </w:rPr>
      </w:pPr>
      <w:r>
        <w:rPr>
          <w:rFonts w:hint="eastAsia" w:ascii="宋体" w:hAnsi="宋体" w:eastAsia="宋体" w:cs="宋体"/>
          <w:b/>
          <w:sz w:val="28"/>
          <w:szCs w:val="28"/>
        </w:rPr>
        <w:t>备注：以上8项参数，其中实质性参数（</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w:t>
      </w:r>
      <w:r>
        <w:rPr>
          <w:rFonts w:hint="eastAsia" w:ascii="宋体" w:hAnsi="宋体" w:eastAsia="宋体" w:cs="宋体"/>
          <w:b/>
          <w:sz w:val="28"/>
          <w:szCs w:val="28"/>
        </w:rPr>
        <w:t>）2项，不允许负偏离。重要参数项（</w:t>
      </w:r>
      <w:r>
        <w:rPr>
          <w:rFonts w:hint="eastAsia" w:ascii="宋体" w:hAnsi="宋体" w:eastAsia="宋体" w:cs="宋体"/>
          <w:b/>
          <w:sz w:val="28"/>
          <w:szCs w:val="28"/>
          <w:highlight w:val="green"/>
        </w:rPr>
        <w:t>▲</w:t>
      </w:r>
      <w:r>
        <w:rPr>
          <w:rFonts w:hint="eastAsia" w:ascii="宋体" w:hAnsi="宋体" w:eastAsia="宋体" w:cs="宋体"/>
          <w:b/>
          <w:bCs/>
          <w:sz w:val="28"/>
          <w:szCs w:val="28"/>
        </w:rPr>
        <w:t>号项</w:t>
      </w:r>
      <w:r>
        <w:rPr>
          <w:rFonts w:hint="eastAsia" w:ascii="宋体" w:hAnsi="宋体" w:eastAsia="宋体" w:cs="宋体"/>
          <w:b/>
          <w:sz w:val="28"/>
          <w:szCs w:val="28"/>
        </w:rPr>
        <w:t>）</w:t>
      </w:r>
      <w:r>
        <w:rPr>
          <w:rFonts w:hint="eastAsia" w:ascii="宋体" w:hAnsi="宋体" w:eastAsia="宋体" w:cs="宋体"/>
          <w:b/>
          <w:bCs/>
          <w:sz w:val="28"/>
          <w:szCs w:val="28"/>
        </w:rPr>
        <w:t>2</w:t>
      </w:r>
      <w:r>
        <w:rPr>
          <w:rFonts w:hint="eastAsia" w:ascii="宋体" w:hAnsi="宋体" w:eastAsia="宋体" w:cs="宋体"/>
          <w:b/>
          <w:sz w:val="28"/>
          <w:szCs w:val="28"/>
        </w:rPr>
        <w:t>项。其他非</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号项和非</w:t>
      </w:r>
      <w:r>
        <w:rPr>
          <w:rFonts w:hint="eastAsia" w:ascii="宋体" w:hAnsi="宋体" w:eastAsia="宋体" w:cs="宋体"/>
          <w:b/>
          <w:sz w:val="28"/>
          <w:szCs w:val="28"/>
          <w:highlight w:val="green"/>
        </w:rPr>
        <w:t>▲</w:t>
      </w:r>
      <w:r>
        <w:rPr>
          <w:rFonts w:hint="eastAsia" w:ascii="宋体" w:hAnsi="宋体" w:eastAsia="宋体" w:cs="宋体"/>
          <w:b/>
          <w:bCs/>
          <w:sz w:val="28"/>
          <w:szCs w:val="28"/>
        </w:rPr>
        <w:t>号项为一般参数项（8项）。</w:t>
      </w:r>
    </w:p>
    <w:p w14:paraId="3F4AB0A2">
      <w:pPr>
        <w:spacing w:line="500" w:lineRule="exact"/>
        <w:rPr>
          <w:rFonts w:hint="eastAsia" w:ascii="宋体" w:hAnsi="宋体" w:eastAsia="宋体" w:cs="宋体"/>
          <w:sz w:val="28"/>
          <w:szCs w:val="28"/>
        </w:rPr>
      </w:pPr>
      <w:r>
        <w:rPr>
          <w:rFonts w:hint="eastAsia" w:ascii="宋体" w:hAnsi="宋体" w:eastAsia="宋体" w:cs="宋体"/>
          <w:b/>
          <w:sz w:val="28"/>
          <w:szCs w:val="28"/>
        </w:rPr>
        <w:br w:type="page"/>
      </w:r>
    </w:p>
    <w:p w14:paraId="5FF7C4C1">
      <w:pPr>
        <w:pStyle w:val="90"/>
        <w:spacing w:before="0" w:beforeAutospacing="0" w:after="0" w:afterAutospacing="0" w:line="500" w:lineRule="exact"/>
        <w:ind w:left="490"/>
        <w:jc w:val="both"/>
        <w:rPr>
          <w:rFonts w:hint="eastAsia" w:ascii="宋体" w:hAnsi="宋体" w:eastAsia="宋体" w:cs="宋体"/>
        </w:rPr>
      </w:pPr>
      <w:r>
        <w:rPr>
          <w:rFonts w:hint="eastAsia" w:ascii="宋体" w:hAnsi="宋体" w:eastAsia="宋体" w:cs="宋体"/>
          <w:b/>
          <w:bCs/>
          <w:color w:val="000000"/>
          <w:sz w:val="28"/>
          <w:szCs w:val="28"/>
        </w:rPr>
        <w:t>21、品目名称：高氯煤回转窑热解提质与喷淋吸附一体脱氯试验平台（国产）</w:t>
      </w:r>
    </w:p>
    <w:p w14:paraId="3F43FC80">
      <w:pPr>
        <w:pStyle w:val="90"/>
        <w:numPr>
          <w:ilvl w:val="0"/>
          <w:numId w:val="31"/>
        </w:numPr>
        <w:spacing w:before="0" w:beforeAutospacing="0" w:after="0" w:afterAutospacing="0" w:line="500" w:lineRule="exact"/>
        <w:ind w:left="0" w:firstLine="490"/>
        <w:jc w:val="both"/>
        <w:rPr>
          <w:rFonts w:hint="eastAsia" w:ascii="宋体" w:hAnsi="宋体" w:eastAsia="宋体" w:cs="宋体"/>
        </w:rPr>
      </w:pPr>
      <w:r>
        <w:rPr>
          <w:rFonts w:hint="eastAsia" w:ascii="宋体" w:hAnsi="宋体" w:eastAsia="宋体" w:cs="宋体"/>
          <w:color w:val="000000"/>
          <w:sz w:val="28"/>
          <w:szCs w:val="28"/>
        </w:rPr>
        <w:t>规格</w:t>
      </w:r>
    </w:p>
    <w:p w14:paraId="2E3A92EB">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试验系统由百公斤级的回转窑热解系统、喷淋脱氯装置、固体吸附脱氯装置、引风机、连接管道、控制系统等组成；用于高氯煤热转化含氯组分的分离与吸附脱除技术的开发。可实现高氯煤热转化过程中气/固含氯组分的分离，以及喷淋系统与固体吸附系统并联脱氯，并且能够实现含氯组分全流程实时监测功能。</w:t>
      </w:r>
    </w:p>
    <w:p w14:paraId="182301BD">
      <w:pPr>
        <w:pStyle w:val="90"/>
        <w:numPr>
          <w:ilvl w:val="0"/>
          <w:numId w:val="31"/>
        </w:numPr>
        <w:spacing w:before="0" w:beforeAutospacing="0" w:after="0" w:afterAutospacing="0" w:line="500" w:lineRule="exact"/>
        <w:ind w:left="0" w:firstLine="490"/>
        <w:jc w:val="both"/>
        <w:rPr>
          <w:rFonts w:hint="eastAsia" w:ascii="宋体" w:hAnsi="宋体" w:eastAsia="宋体" w:cs="宋体"/>
        </w:rPr>
      </w:pPr>
      <w:r>
        <w:rPr>
          <w:rFonts w:hint="eastAsia" w:ascii="宋体" w:hAnsi="宋体" w:eastAsia="宋体" w:cs="宋体"/>
          <w:color w:val="000000"/>
          <w:sz w:val="28"/>
          <w:szCs w:val="28"/>
        </w:rPr>
        <w:t>详细参数</w:t>
      </w:r>
    </w:p>
    <w:p w14:paraId="12066443">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本试验平台主要包括：回转窑系统、喷淋脱氯系统、吸附脱氯系统及相应的辅机附属设备设施以及对应的传感器控制系统。其具体参数如下：</w:t>
      </w:r>
      <w:r>
        <w:rPr>
          <w:rFonts w:hint="eastAsia" w:ascii="宋体" w:hAnsi="宋体" w:eastAsia="宋体" w:cs="宋体"/>
          <w:b/>
          <w:bCs/>
          <w:color w:val="000000"/>
          <w:sz w:val="28"/>
          <w:szCs w:val="28"/>
        </w:rPr>
        <w:t>（备注：以下参数6项）</w:t>
      </w:r>
    </w:p>
    <w:p w14:paraId="1A412573">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2.1 回转窑系统</w:t>
      </w:r>
    </w:p>
    <w:p w14:paraId="50466EB7">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b/>
          <w:bCs/>
          <w:color w:val="000000"/>
          <w:sz w:val="28"/>
          <w:szCs w:val="28"/>
        </w:rPr>
        <w:t xml:space="preserve">2.1.1 </w:t>
      </w:r>
      <w:r>
        <w:rPr>
          <w:rFonts w:hint="eastAsia" w:ascii="宋体" w:hAnsi="宋体" w:eastAsia="宋体" w:cs="宋体"/>
          <w:color w:val="000000"/>
          <w:sz w:val="28"/>
          <w:szCs w:val="28"/>
        </w:rPr>
        <w:t>回转窑进料系统</w:t>
      </w:r>
    </w:p>
    <w:p w14:paraId="39123653">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1）来料提升方式：电动龙门吊；</w:t>
      </w:r>
    </w:p>
    <w:p w14:paraId="0ABAF1D0">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2）进料方式：加料仓、蝶阀、缓冲仓、蝶阀、给料仓、给料机；带温度报警、压力监测；</w:t>
      </w:r>
    </w:p>
    <w:p w14:paraId="40DB5C01">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3）进料量：≥100 kg/h；</w:t>
      </w:r>
    </w:p>
    <w:p w14:paraId="3A6568FB">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4）进料粒径：&lt;30 mm;</w:t>
      </w:r>
    </w:p>
    <w:p w14:paraId="5F793E1F">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b/>
          <w:bCs/>
          <w:color w:val="000000"/>
          <w:sz w:val="28"/>
          <w:szCs w:val="28"/>
          <w:highlight w:val="green"/>
          <w:shd w:val="clear" w:color="auto" w:fill="FF0000"/>
        </w:rPr>
        <w:t>▲</w:t>
      </w:r>
      <w:r>
        <w:rPr>
          <w:rFonts w:hint="eastAsia" w:ascii="宋体" w:hAnsi="宋体" w:eastAsia="宋体" w:cs="宋体"/>
          <w:color w:val="000000"/>
          <w:sz w:val="28"/>
          <w:szCs w:val="28"/>
        </w:rPr>
        <w:t>5）给料机：变频调节，30～150 kg/h连续调节；</w:t>
      </w:r>
    </w:p>
    <w:p w14:paraId="49511C67">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6）破桥方式：电动振动破桥、防架桥结构；</w:t>
      </w:r>
    </w:p>
    <w:p w14:paraId="47BB7FE6">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7）料仓防爆：CO2充气保护；</w:t>
      </w:r>
    </w:p>
    <w:p w14:paraId="7F266448">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8）料仓、给料机、阀门材质：不锈钢；</w:t>
      </w:r>
    </w:p>
    <w:p w14:paraId="7EE2142A">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9）控制方式：除龙门吊遥控控制，其它远程自动化控制；</w:t>
      </w:r>
    </w:p>
    <w:p w14:paraId="466B4AA0">
      <w:pPr>
        <w:pStyle w:val="90"/>
        <w:spacing w:before="0" w:beforeAutospacing="0" w:after="0" w:afterAutospacing="0" w:line="500" w:lineRule="exact"/>
        <w:ind w:firstLine="490"/>
        <w:jc w:val="both"/>
        <w:rPr>
          <w:rFonts w:hint="eastAsia" w:ascii="宋体" w:hAnsi="宋体" w:eastAsia="宋体" w:cs="宋体"/>
          <w:color w:val="000000"/>
          <w:sz w:val="28"/>
          <w:szCs w:val="28"/>
        </w:rPr>
      </w:pPr>
      <w:r>
        <w:rPr>
          <w:rFonts w:hint="eastAsia" w:ascii="宋体" w:hAnsi="宋体" w:eastAsia="宋体" w:cs="宋体"/>
          <w:b/>
          <w:bCs/>
          <w:color w:val="000000"/>
          <w:sz w:val="28"/>
          <w:szCs w:val="28"/>
        </w:rPr>
        <w:t>2.1.2</w:t>
      </w:r>
      <w:r>
        <w:rPr>
          <w:rFonts w:hint="eastAsia" w:ascii="宋体" w:hAnsi="宋体" w:eastAsia="宋体" w:cs="宋体"/>
          <w:color w:val="000000"/>
          <w:sz w:val="28"/>
          <w:szCs w:val="28"/>
        </w:rPr>
        <w:t xml:space="preserve"> 回转窑热解侧系统</w:t>
      </w:r>
    </w:p>
    <w:p w14:paraId="4306EDEC">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b/>
          <w:bCs/>
          <w:color w:val="000000"/>
          <w:sz w:val="28"/>
          <w:szCs w:val="28"/>
          <w:highlight w:val="cyan"/>
          <w:shd w:val="clear" w:color="auto" w:fill="FF0000"/>
        </w:rPr>
        <w:t>★</w:t>
      </w:r>
      <w:r>
        <w:rPr>
          <w:rFonts w:hint="eastAsia" w:ascii="宋体" w:hAnsi="宋体" w:eastAsia="宋体" w:cs="宋体"/>
          <w:color w:val="000000"/>
          <w:sz w:val="28"/>
          <w:szCs w:val="28"/>
        </w:rPr>
        <w:t>1）处理量：煤 ≥100kg/h；</w:t>
      </w:r>
    </w:p>
    <w:p w14:paraId="7BE26194">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2）窑体材质：不锈钢、耐温不低于1000℃；</w:t>
      </w:r>
    </w:p>
    <w:p w14:paraId="36C66BB8">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3）窑头、窑尾材质：不锈钢；</w:t>
      </w:r>
    </w:p>
    <w:p w14:paraId="22A2E2C6">
      <w:pPr>
        <w:pStyle w:val="90"/>
        <w:spacing w:before="0" w:beforeAutospacing="0" w:after="0" w:afterAutospacing="0" w:line="500" w:lineRule="exact"/>
        <w:ind w:firstLine="490"/>
        <w:jc w:val="both"/>
        <w:rPr>
          <w:rFonts w:hint="eastAsia" w:ascii="宋体" w:hAnsi="宋体" w:eastAsia="宋体" w:cs="宋体"/>
          <w:color w:val="000000"/>
          <w:sz w:val="28"/>
          <w:szCs w:val="28"/>
        </w:rPr>
      </w:pPr>
      <w:r>
        <w:rPr>
          <w:rFonts w:hint="eastAsia" w:ascii="宋体" w:hAnsi="宋体" w:eastAsia="宋体" w:cs="宋体"/>
          <w:b/>
          <w:bCs/>
          <w:color w:val="000000"/>
          <w:sz w:val="28"/>
          <w:szCs w:val="28"/>
        </w:rPr>
        <w:t>2.1.3</w:t>
      </w:r>
      <w:r>
        <w:rPr>
          <w:rFonts w:hint="eastAsia" w:ascii="宋体" w:hAnsi="宋体" w:eastAsia="宋体" w:cs="宋体"/>
          <w:color w:val="000000"/>
          <w:sz w:val="28"/>
          <w:szCs w:val="28"/>
        </w:rPr>
        <w:t xml:space="preserve"> 回转窑出料系统</w:t>
      </w:r>
    </w:p>
    <w:p w14:paraId="4A62A45F">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1）出料冷却：间壁式冷却；</w:t>
      </w:r>
    </w:p>
    <w:p w14:paraId="45489E5D">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2）出料方式：出料接口、高温蝶阀、隔断仓、高温蝶阀、出料仓；</w:t>
      </w:r>
    </w:p>
    <w:p w14:paraId="0DF02510">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3）储料仓：满足至少24h运行需求；</w:t>
      </w:r>
    </w:p>
    <w:p w14:paraId="49C61425">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2.2 喷淋脱氯系统</w:t>
      </w:r>
    </w:p>
    <w:p w14:paraId="30EAFD23">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b/>
          <w:bCs/>
          <w:color w:val="000000"/>
          <w:sz w:val="28"/>
          <w:szCs w:val="28"/>
        </w:rPr>
        <w:t>2.2.1</w:t>
      </w:r>
      <w:r>
        <w:rPr>
          <w:rFonts w:hint="eastAsia" w:ascii="宋体" w:hAnsi="宋体" w:eastAsia="宋体" w:cs="宋体"/>
          <w:color w:val="000000"/>
          <w:sz w:val="28"/>
          <w:szCs w:val="28"/>
        </w:rPr>
        <w:t xml:space="preserve"> 喷淋前置装置1）进气：常温～600 ℃煤热解气；</w:t>
      </w:r>
    </w:p>
    <w:p w14:paraId="41FDF14B">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2）进气阀门：316L三偏心气动蝶阀；</w:t>
      </w:r>
    </w:p>
    <w:p w14:paraId="461EB252">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3）一级焦油冷凝：≤300℃、PID温控、间壁式冷却；</w:t>
      </w:r>
    </w:p>
    <w:p w14:paraId="22ABD918">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4）二级焦油冷凝：≤100℃、PID温控、水冷；</w:t>
      </w:r>
    </w:p>
    <w:p w14:paraId="5DBD268E">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b/>
          <w:bCs/>
          <w:color w:val="000000"/>
          <w:sz w:val="28"/>
          <w:szCs w:val="28"/>
        </w:rPr>
        <w:t xml:space="preserve">2.2.2 </w:t>
      </w:r>
      <w:r>
        <w:rPr>
          <w:rFonts w:hint="eastAsia" w:ascii="宋体" w:hAnsi="宋体" w:eastAsia="宋体" w:cs="宋体"/>
          <w:color w:val="000000"/>
          <w:sz w:val="28"/>
          <w:szCs w:val="28"/>
        </w:rPr>
        <w:t>喷淋脱氯塔1）塔体材质：耐腐蚀（2205不锈钢或玻璃钢或衬氟）；</w:t>
      </w:r>
    </w:p>
    <w:p w14:paraId="3C7CF6C5">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2）塔体尺寸：满足业主试验需求设计；</w:t>
      </w:r>
    </w:p>
    <w:p w14:paraId="2113AD99">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3）喷淋方式：循环喷淋；</w:t>
      </w:r>
    </w:p>
    <w:p w14:paraId="0AF78BBF">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4）塔体结构：进气、液池、塔体、除雾、出气；</w:t>
      </w:r>
    </w:p>
    <w:p w14:paraId="55B8C499">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5）相关传感器：温度、压力、流量、PH值、或离子浓度；</w:t>
      </w:r>
    </w:p>
    <w:p w14:paraId="2C5B13D9">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6）相关技术要求：过滤、压差防堵；</w:t>
      </w:r>
    </w:p>
    <w:p w14:paraId="3D1545BF">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7）出液储罐：有</w:t>
      </w:r>
    </w:p>
    <w:p w14:paraId="74218906">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8）不凝裂解气出口：有</w:t>
      </w:r>
    </w:p>
    <w:p w14:paraId="4592A6D0">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b/>
          <w:bCs/>
          <w:color w:val="000000"/>
          <w:sz w:val="28"/>
          <w:szCs w:val="28"/>
        </w:rPr>
        <w:t>2.2.3</w:t>
      </w:r>
      <w:r>
        <w:rPr>
          <w:rFonts w:hint="eastAsia" w:ascii="宋体" w:hAnsi="宋体" w:eastAsia="宋体" w:cs="宋体"/>
          <w:color w:val="000000"/>
          <w:sz w:val="28"/>
          <w:szCs w:val="28"/>
        </w:rPr>
        <w:t xml:space="preserve"> 喷淋加药系统</w:t>
      </w:r>
    </w:p>
    <w:p w14:paraId="26164850">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1）药剂储罐：满足至少48h连续运行，耐腐蚀</w:t>
      </w:r>
    </w:p>
    <w:p w14:paraId="3FE0FB3B">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2）加药泵：满足业主试验需求设计流量，耐腐蚀</w:t>
      </w:r>
    </w:p>
    <w:p w14:paraId="3512DBEE">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b/>
          <w:bCs/>
          <w:color w:val="000000"/>
          <w:sz w:val="28"/>
          <w:szCs w:val="28"/>
        </w:rPr>
        <w:t xml:space="preserve">2.2.4 </w:t>
      </w:r>
      <w:r>
        <w:rPr>
          <w:rFonts w:hint="eastAsia" w:ascii="宋体" w:hAnsi="宋体" w:eastAsia="宋体" w:cs="宋体"/>
          <w:color w:val="000000"/>
          <w:sz w:val="28"/>
          <w:szCs w:val="28"/>
        </w:rPr>
        <w:t>喷淋冷却</w:t>
      </w:r>
    </w:p>
    <w:p w14:paraId="2F8BF69B">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1）循环液冷却方式：间壁式水冷；</w:t>
      </w:r>
    </w:p>
    <w:p w14:paraId="2780542E">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2）水冷：冷却塔、水泵、换热器。</w:t>
      </w:r>
    </w:p>
    <w:p w14:paraId="012A2136">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2.3吸附脱氯系统</w:t>
      </w:r>
    </w:p>
    <w:p w14:paraId="4848C672">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2.3.1 吸附前置装置</w:t>
      </w:r>
    </w:p>
    <w:p w14:paraId="2AF1D53D">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1）进气：常温～600 ℃煤热解气；</w:t>
      </w:r>
    </w:p>
    <w:p w14:paraId="1A8E5197">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2）一级焦油冷凝：300～500℃、PID温控、间壁式冷却；</w:t>
      </w:r>
    </w:p>
    <w:p w14:paraId="60DCCBD2">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2.3.2 吸附反应塔</w:t>
      </w:r>
    </w:p>
    <w:p w14:paraId="11841973">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1）塔体材质：耐腐蚀；</w:t>
      </w:r>
    </w:p>
    <w:p w14:paraId="13D1024F">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2）塔体尺寸：满足业主试验需求设计；</w:t>
      </w:r>
    </w:p>
    <w:p w14:paraId="545246A6">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3）吸附方式：进气、吸附剂进料、反应塔、旋风分离、出气、吸附剂循环、吸附剂排出、吸附剂添加；</w:t>
      </w:r>
    </w:p>
    <w:p w14:paraId="736D1FC0">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2.3.3 吸附后置装置</w:t>
      </w:r>
    </w:p>
    <w:p w14:paraId="3C67F399">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1）进气：常温～300 ℃脱氯后热解气；</w:t>
      </w:r>
    </w:p>
    <w:p w14:paraId="7AF90F51">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2）进气阀门：316L三偏心气动蝶阀；</w:t>
      </w:r>
    </w:p>
    <w:p w14:paraId="3FCD955B">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3）二级焦油冷凝：0～50℃、PID温控、水冷；</w:t>
      </w:r>
    </w:p>
    <w:p w14:paraId="4CE79282">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4）不凝裂解气出口：有</w:t>
      </w:r>
    </w:p>
    <w:p w14:paraId="6AEC65E2">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2.4 燃烧系统</w:t>
      </w:r>
    </w:p>
    <w:p w14:paraId="0A0D7515">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2.4.1 不凝裂解气系统</w:t>
      </w:r>
    </w:p>
    <w:p w14:paraId="41516259">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1）裂解气风机：密封、防腐风机；</w:t>
      </w:r>
    </w:p>
    <w:p w14:paraId="6A36C141">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2）裂解气监测：温度、压力、流量；</w:t>
      </w:r>
    </w:p>
    <w:p w14:paraId="51A0BB0C">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3）调节方式：风机变频调节；</w:t>
      </w:r>
    </w:p>
    <w:p w14:paraId="1E348C6F">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2.4.2 启炉燃料系统</w:t>
      </w:r>
    </w:p>
    <w:p w14:paraId="60FC4654">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1）燃料：根据业主确定（柴油或天然气或液化气）</w:t>
      </w:r>
    </w:p>
    <w:p w14:paraId="4922F3B5">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2）燃烧器：满足启动燃料燃烧及与不凝裂解气燃烧及纯裂解气燃烧；</w:t>
      </w:r>
    </w:p>
    <w:p w14:paraId="5CEC55DF">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b/>
          <w:bCs/>
          <w:color w:val="000000"/>
          <w:sz w:val="28"/>
          <w:szCs w:val="28"/>
          <w:highlight w:val="green"/>
          <w:shd w:val="clear" w:color="auto" w:fill="FF0000"/>
        </w:rPr>
        <w:t>▲</w:t>
      </w:r>
      <w:r>
        <w:rPr>
          <w:rFonts w:hint="eastAsia" w:ascii="宋体" w:hAnsi="宋体" w:eastAsia="宋体" w:cs="宋体"/>
          <w:color w:val="000000"/>
          <w:sz w:val="28"/>
          <w:szCs w:val="28"/>
        </w:rPr>
        <w:t>3）燃烧器配置：进气自动调整、点火、火检、熄火保护、程序自动控制；</w:t>
      </w:r>
    </w:p>
    <w:p w14:paraId="71A73429">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2.4.3 燃烧室</w:t>
      </w:r>
    </w:p>
    <w:p w14:paraId="3688F52B">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1）耐温：≥1400℃；</w:t>
      </w:r>
    </w:p>
    <w:p w14:paraId="3F32383B">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2.4.4 回转窑外窑</w:t>
      </w:r>
    </w:p>
    <w:p w14:paraId="04A3FF76">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1）材质：310S不锈钢；</w:t>
      </w:r>
    </w:p>
    <w:p w14:paraId="228C050C">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2）结构：与燃烧室连接、与回转窑内窑形成换热通道并有密封结构；</w:t>
      </w:r>
    </w:p>
    <w:p w14:paraId="70AA5328">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3）外保温：硅酸铝纤维、铝皮保温；</w:t>
      </w:r>
    </w:p>
    <w:p w14:paraId="51450F67">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2.4.5 配风系统</w:t>
      </w:r>
    </w:p>
    <w:p w14:paraId="616CD595">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1）鼓风机：变频；</w:t>
      </w:r>
    </w:p>
    <w:p w14:paraId="274A95F0">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2.4.6 烟气系统</w:t>
      </w:r>
    </w:p>
    <w:p w14:paraId="7366E5BC">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1）烟气冷却；</w:t>
      </w:r>
    </w:p>
    <w:p w14:paraId="4D885D6C">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2）烟气脱硝、脱硫；</w:t>
      </w:r>
    </w:p>
    <w:p w14:paraId="0374E974">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3）烟气除尘；</w:t>
      </w:r>
    </w:p>
    <w:p w14:paraId="372CCC3A">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4）排烟管路；</w:t>
      </w:r>
    </w:p>
    <w:p w14:paraId="4CA392AE">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2.5 框架系统</w:t>
      </w:r>
    </w:p>
    <w:p w14:paraId="3A3EED3C">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1）采用模块化设计；</w:t>
      </w:r>
    </w:p>
    <w:p w14:paraId="1B1FF057">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2）框架材质：碳钢；</w:t>
      </w:r>
    </w:p>
    <w:p w14:paraId="3353EF68">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3）操作平台：有</w:t>
      </w:r>
    </w:p>
    <w:p w14:paraId="36142C4B">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2.6 控制系统</w:t>
      </w:r>
    </w:p>
    <w:p w14:paraId="3EF405F9">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1）就地控制柜：含PLC、触摸屏、PID温控表、变频器、电气元件；</w:t>
      </w:r>
    </w:p>
    <w:p w14:paraId="3295FB4C">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2）工控上位机</w:t>
      </w:r>
    </w:p>
    <w:p w14:paraId="3ED66448">
      <w:pPr>
        <w:pStyle w:val="90"/>
        <w:spacing w:before="0" w:beforeAutospacing="0" w:after="0" w:afterAutospacing="0" w:line="500" w:lineRule="exact"/>
        <w:ind w:firstLine="490"/>
        <w:jc w:val="both"/>
        <w:rPr>
          <w:rFonts w:hint="eastAsia" w:ascii="宋体" w:hAnsi="宋体" w:eastAsia="宋体" w:cs="宋体"/>
        </w:rPr>
      </w:pPr>
      <w:r>
        <w:rPr>
          <w:rFonts w:hint="eastAsia" w:ascii="宋体" w:hAnsi="宋体" w:eastAsia="宋体" w:cs="宋体"/>
          <w:color w:val="000000"/>
          <w:sz w:val="28"/>
          <w:szCs w:val="28"/>
        </w:rPr>
        <w:t>3）软件：PLC软件、触摸屏软件、上位机组态软件、移动端监控软件；</w:t>
      </w:r>
    </w:p>
    <w:p w14:paraId="41D1F78C">
      <w:pPr>
        <w:pStyle w:val="90"/>
        <w:spacing w:before="0" w:beforeAutospacing="0" w:after="0" w:afterAutospacing="0" w:line="500" w:lineRule="exact"/>
        <w:jc w:val="center"/>
        <w:rPr>
          <w:rFonts w:hint="eastAsia" w:ascii="宋体" w:hAnsi="宋体" w:eastAsia="宋体" w:cs="宋体"/>
        </w:rPr>
      </w:pPr>
      <w:r>
        <w:rPr>
          <w:rFonts w:hint="eastAsia" w:ascii="宋体" w:hAnsi="宋体" w:eastAsia="宋体" w:cs="宋体"/>
          <w:b/>
          <w:bCs/>
          <w:color w:val="000000"/>
          <w:sz w:val="28"/>
          <w:szCs w:val="28"/>
        </w:rPr>
        <w:t> </w:t>
      </w:r>
    </w:p>
    <w:p w14:paraId="1B7A86CF">
      <w:pPr>
        <w:spacing w:line="500" w:lineRule="exact"/>
        <w:rPr>
          <w:rFonts w:hint="eastAsia" w:ascii="宋体" w:hAnsi="宋体" w:eastAsia="宋体" w:cs="宋体"/>
          <w:b/>
          <w:bCs/>
          <w:sz w:val="28"/>
          <w:szCs w:val="28"/>
        </w:rPr>
      </w:pPr>
      <w:r>
        <w:rPr>
          <w:rFonts w:hint="eastAsia" w:ascii="宋体" w:hAnsi="宋体" w:eastAsia="宋体" w:cs="宋体"/>
          <w:b/>
          <w:sz w:val="28"/>
          <w:szCs w:val="28"/>
        </w:rPr>
        <w:t>备注：以上6项参数，其中实质性参数（</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w:t>
      </w:r>
      <w:r>
        <w:rPr>
          <w:rFonts w:hint="eastAsia" w:ascii="宋体" w:hAnsi="宋体" w:eastAsia="宋体" w:cs="宋体"/>
          <w:b/>
          <w:sz w:val="28"/>
          <w:szCs w:val="28"/>
        </w:rPr>
        <w:t>）1项，不允许负偏离。重要参数项（</w:t>
      </w:r>
      <w:r>
        <w:rPr>
          <w:rFonts w:hint="eastAsia" w:ascii="宋体" w:hAnsi="宋体" w:eastAsia="宋体" w:cs="宋体"/>
          <w:b/>
          <w:sz w:val="28"/>
          <w:szCs w:val="28"/>
          <w:highlight w:val="green"/>
        </w:rPr>
        <w:t>▲</w:t>
      </w:r>
      <w:r>
        <w:rPr>
          <w:rFonts w:hint="eastAsia" w:ascii="宋体" w:hAnsi="宋体" w:eastAsia="宋体" w:cs="宋体"/>
          <w:b/>
          <w:bCs/>
          <w:sz w:val="28"/>
          <w:szCs w:val="28"/>
        </w:rPr>
        <w:t>号项</w:t>
      </w:r>
      <w:r>
        <w:rPr>
          <w:rFonts w:hint="eastAsia" w:ascii="宋体" w:hAnsi="宋体" w:eastAsia="宋体" w:cs="宋体"/>
          <w:b/>
          <w:sz w:val="28"/>
          <w:szCs w:val="28"/>
        </w:rPr>
        <w:t>）</w:t>
      </w:r>
      <w:r>
        <w:rPr>
          <w:rFonts w:hint="eastAsia" w:ascii="宋体" w:hAnsi="宋体" w:eastAsia="宋体" w:cs="宋体"/>
          <w:b/>
          <w:bCs/>
          <w:sz w:val="28"/>
          <w:szCs w:val="28"/>
        </w:rPr>
        <w:t>2</w:t>
      </w:r>
      <w:r>
        <w:rPr>
          <w:rFonts w:hint="eastAsia" w:ascii="宋体" w:hAnsi="宋体" w:eastAsia="宋体" w:cs="宋体"/>
          <w:b/>
          <w:sz w:val="28"/>
          <w:szCs w:val="28"/>
        </w:rPr>
        <w:t>项。其他非</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号项和非</w:t>
      </w:r>
      <w:r>
        <w:rPr>
          <w:rFonts w:hint="eastAsia" w:ascii="宋体" w:hAnsi="宋体" w:eastAsia="宋体" w:cs="宋体"/>
          <w:b/>
          <w:sz w:val="28"/>
          <w:szCs w:val="28"/>
          <w:highlight w:val="green"/>
        </w:rPr>
        <w:t>▲</w:t>
      </w:r>
      <w:r>
        <w:rPr>
          <w:rFonts w:hint="eastAsia" w:ascii="宋体" w:hAnsi="宋体" w:eastAsia="宋体" w:cs="宋体"/>
          <w:b/>
          <w:bCs/>
          <w:sz w:val="28"/>
          <w:szCs w:val="28"/>
        </w:rPr>
        <w:t>号项为一般参数项（6项）。</w:t>
      </w:r>
    </w:p>
    <w:p w14:paraId="27C5C6F6">
      <w:pPr>
        <w:spacing w:line="500" w:lineRule="exact"/>
        <w:rPr>
          <w:rFonts w:hint="eastAsia" w:ascii="宋体" w:hAnsi="宋体" w:eastAsia="宋体" w:cs="宋体"/>
          <w:sz w:val="28"/>
          <w:szCs w:val="28"/>
        </w:rPr>
      </w:pPr>
      <w:r>
        <w:rPr>
          <w:rFonts w:hint="eastAsia" w:ascii="宋体" w:hAnsi="宋体" w:eastAsia="宋体" w:cs="宋体"/>
          <w:b/>
          <w:sz w:val="28"/>
          <w:szCs w:val="28"/>
        </w:rPr>
        <w:br w:type="page"/>
      </w:r>
    </w:p>
    <w:p w14:paraId="696EA3DB">
      <w:pPr>
        <w:snapToGrid w:val="0"/>
        <w:spacing w:line="500" w:lineRule="exact"/>
        <w:ind w:left="748" w:leftChars="220"/>
        <w:rPr>
          <w:rFonts w:hint="eastAsia" w:ascii="宋体" w:hAnsi="宋体" w:eastAsia="宋体" w:cs="宋体"/>
          <w:sz w:val="28"/>
          <w:szCs w:val="28"/>
        </w:rPr>
      </w:pPr>
      <w:r>
        <w:rPr>
          <w:rFonts w:hint="eastAsia" w:ascii="宋体" w:hAnsi="宋体" w:eastAsia="宋体" w:cs="宋体"/>
          <w:b/>
          <w:sz w:val="28"/>
          <w:szCs w:val="28"/>
        </w:rPr>
        <w:t>22、品目名称：光催化连续反应放大分离系统（国产）</w:t>
      </w:r>
    </w:p>
    <w:p w14:paraId="3BCF941F">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1）详细参数：</w:t>
      </w:r>
      <w:r>
        <w:rPr>
          <w:rFonts w:hint="eastAsia" w:ascii="宋体" w:hAnsi="宋体" w:eastAsia="宋体" w:cs="宋体"/>
          <w:b/>
          <w:bCs/>
          <w:sz w:val="28"/>
          <w:szCs w:val="28"/>
        </w:rPr>
        <w:t>（备注：以下参数1项）</w:t>
      </w:r>
    </w:p>
    <w:p w14:paraId="41B939FC">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温控光反应模块：波长可选范围 365-980 nm;</w:t>
      </w:r>
    </w:p>
    <w:p w14:paraId="79F25D52">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LED 灯珠功率：0-6000 mW；</w:t>
      </w:r>
    </w:p>
    <w:p w14:paraId="61F31EC1">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最高光量子密度：2.5 W/cm</w:t>
      </w:r>
      <w:r>
        <w:rPr>
          <w:rFonts w:hint="eastAsia" w:ascii="宋体" w:hAnsi="宋体" w:eastAsia="宋体" w:cs="宋体"/>
          <w:sz w:val="28"/>
          <w:szCs w:val="28"/>
          <w:vertAlign w:val="superscript"/>
        </w:rPr>
        <w:t>2</w:t>
      </w:r>
      <w:r>
        <w:rPr>
          <w:rFonts w:hint="eastAsia" w:ascii="宋体" w:hAnsi="宋体" w:eastAsia="宋体" w:cs="宋体"/>
          <w:sz w:val="28"/>
          <w:szCs w:val="28"/>
        </w:rPr>
        <w:t>；</w:t>
      </w:r>
    </w:p>
    <w:p w14:paraId="46EFB7A4">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LED灯珠：电压 6.6 ~ 7 V / 电流 1.4 A；</w:t>
      </w:r>
    </w:p>
    <w:p w14:paraId="7564ED22">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显示屏：约6.87寸液晶电容触控屏；</w:t>
      </w:r>
    </w:p>
    <w:p w14:paraId="3BEA3A65">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电源：交流220 V；</w:t>
      </w:r>
    </w:p>
    <w:p w14:paraId="23CF1713">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工作温度：-80 ℃~80 ℃；</w:t>
      </w:r>
    </w:p>
    <w:p w14:paraId="5AB4FA55">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尺寸：≥300 * ≥200 * ≥265 mm；</w:t>
      </w:r>
    </w:p>
    <w:p w14:paraId="6BF48530">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输出电压：220 V；</w:t>
      </w:r>
    </w:p>
    <w:p w14:paraId="1EA67B60">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调节精度：约500 mW；</w:t>
      </w:r>
    </w:p>
    <w:p w14:paraId="73D7CBF1">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反应体积：1-5 mL；</w:t>
      </w:r>
    </w:p>
    <w:p w14:paraId="26868502">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连续流光反应模块：</w:t>
      </w:r>
    </w:p>
    <w:p w14:paraId="7F4C5910">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LED灯珠：波长可选范围 365-980 nm;</w:t>
      </w:r>
    </w:p>
    <w:p w14:paraId="2F01B7F2">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显示屏：约6.7寸液晶电容触控屏；</w:t>
      </w:r>
    </w:p>
    <w:p w14:paraId="6FFA7F93">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电源：交流220 V；</w:t>
      </w:r>
    </w:p>
    <w:p w14:paraId="77FD213C">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工作温度：0 ℃~50 ℃；</w:t>
      </w:r>
    </w:p>
    <w:p w14:paraId="44F0FE4C">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尺寸：约280 * 480 * 125 mm；</w:t>
      </w:r>
    </w:p>
    <w:p w14:paraId="6C587B0E">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输出电压：220 V；</w:t>
      </w:r>
    </w:p>
    <w:p w14:paraId="1975B2F0">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输出功率：0-250 W；</w:t>
      </w:r>
    </w:p>
    <w:p w14:paraId="535E5590">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最大持液量：≤ 250 mL；</w:t>
      </w:r>
    </w:p>
    <w:p w14:paraId="65054DE0">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蠕动泵：控制流速，≤1500 mL/min；</w:t>
      </w:r>
    </w:p>
    <w:p w14:paraId="17897F0B">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建议使用范围：≤500 mL/min；</w:t>
      </w:r>
    </w:p>
    <w:p w14:paraId="10DB755B">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模块化设计：可根据需求增加1-4个外接灯筒，增大光照面积；</w:t>
      </w:r>
    </w:p>
    <w:p w14:paraId="4E31EBEA">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每个光源模块不少于9*5颗灯珠，建议使用范围0-50 W，最大光强2.1 W/cm</w:t>
      </w:r>
      <w:r>
        <w:rPr>
          <w:rFonts w:hint="eastAsia" w:ascii="宋体" w:hAnsi="宋体" w:eastAsia="宋体" w:cs="宋体"/>
          <w:sz w:val="28"/>
          <w:szCs w:val="28"/>
          <w:vertAlign w:val="superscript"/>
        </w:rPr>
        <w:t>2</w:t>
      </w:r>
      <w:r>
        <w:rPr>
          <w:rFonts w:hint="eastAsia" w:ascii="宋体" w:hAnsi="宋体" w:eastAsia="宋体" w:cs="宋体"/>
          <w:sz w:val="28"/>
          <w:szCs w:val="28"/>
        </w:rPr>
        <w:t>；</w:t>
      </w:r>
    </w:p>
    <w:p w14:paraId="6C345143">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铷磁铁：转速100-1000 rmp，建议使用范围200-500 rpm；</w:t>
      </w:r>
    </w:p>
    <w:p w14:paraId="2E1E6EB4">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风扇：24 V直流风扇；适用波长：365-980 nm，可任意更换不同波长。</w:t>
      </w:r>
    </w:p>
    <w:p w14:paraId="54075758">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高通量光/电反应模块：</w:t>
      </w:r>
    </w:p>
    <w:p w14:paraId="1D4518C9">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反应通量：24*2 = 48 （通量）；</w:t>
      </w:r>
    </w:p>
    <w:p w14:paraId="7ED49B47">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反应容积：西林瓶（5 mL）；</w:t>
      </w:r>
    </w:p>
    <w:p w14:paraId="3D55DED7">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光源类型：LED 光源；</w:t>
      </w:r>
    </w:p>
    <w:p w14:paraId="2252B540">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光源波段：350-900 nm；</w:t>
      </w:r>
    </w:p>
    <w:p w14:paraId="5A00153E">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光照均匀性：≥ 95%；</w:t>
      </w:r>
    </w:p>
    <w:p w14:paraId="503BBFD1">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电极类型：圆柱形电极；</w:t>
      </w:r>
    </w:p>
    <w:p w14:paraId="1F3A9C08">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电流范围：单通道 0-10 mA，精度±0.1 mA；</w:t>
      </w:r>
    </w:p>
    <w:p w14:paraId="26808FFC">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电压范围：单通道 0-10 V，精度±0.01 V；</w:t>
      </w:r>
    </w:p>
    <w:p w14:paraId="2D208F6A">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温控范围：-20 ℃至80 ℃；</w:t>
      </w:r>
    </w:p>
    <w:p w14:paraId="552A9951">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自动化控制：支持电极模块智能升降调节，温控模块智能展出；</w:t>
      </w:r>
    </w:p>
    <w:p w14:paraId="5E48A106">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设备体积：约≥330 mm（长）* ≥370 mm（宽）* ≥315 m（高）；</w:t>
      </w:r>
    </w:p>
    <w:p w14:paraId="235652E6">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设备质量：≥15 kg。</w:t>
      </w:r>
    </w:p>
    <w:p w14:paraId="41B714BA">
      <w:pPr>
        <w:snapToGrid w:val="0"/>
        <w:spacing w:line="500" w:lineRule="exact"/>
        <w:ind w:firstLine="588" w:firstLineChars="210"/>
        <w:rPr>
          <w:rFonts w:hint="eastAsia" w:ascii="宋体" w:hAnsi="宋体" w:eastAsia="宋体" w:cs="宋体"/>
          <w:sz w:val="28"/>
          <w:szCs w:val="28"/>
        </w:rPr>
      </w:pPr>
    </w:p>
    <w:p w14:paraId="27A2EEE0">
      <w:pPr>
        <w:pStyle w:val="87"/>
        <w:spacing w:line="500" w:lineRule="exact"/>
        <w:jc w:val="center"/>
        <w:rPr>
          <w:rFonts w:hint="eastAsia" w:ascii="宋体" w:hAnsi="宋体" w:eastAsia="宋体" w:cs="宋体"/>
          <w:b/>
          <w:color w:val="auto"/>
          <w:sz w:val="28"/>
          <w:szCs w:val="28"/>
        </w:rPr>
      </w:pPr>
    </w:p>
    <w:p w14:paraId="30B2CFE8">
      <w:pPr>
        <w:spacing w:line="500" w:lineRule="exact"/>
        <w:rPr>
          <w:rFonts w:hint="eastAsia" w:ascii="宋体" w:hAnsi="宋体" w:eastAsia="宋体" w:cs="宋体"/>
          <w:sz w:val="28"/>
          <w:szCs w:val="28"/>
        </w:rPr>
      </w:pPr>
      <w:r>
        <w:rPr>
          <w:rFonts w:hint="eastAsia" w:ascii="宋体" w:hAnsi="宋体" w:eastAsia="宋体" w:cs="宋体"/>
          <w:b/>
          <w:sz w:val="28"/>
          <w:szCs w:val="28"/>
        </w:rPr>
        <w:t>备注：以上参数1项，为一般参数。</w:t>
      </w:r>
    </w:p>
    <w:p w14:paraId="56DECA87">
      <w:pPr>
        <w:spacing w:line="500" w:lineRule="exact"/>
        <w:rPr>
          <w:rFonts w:hint="eastAsia" w:ascii="宋体" w:hAnsi="宋体" w:eastAsia="宋体" w:cs="宋体"/>
          <w:sz w:val="28"/>
          <w:szCs w:val="28"/>
        </w:rPr>
      </w:pPr>
      <w:r>
        <w:rPr>
          <w:rFonts w:hint="eastAsia" w:ascii="宋体" w:hAnsi="宋体" w:eastAsia="宋体" w:cs="宋体"/>
          <w:b/>
          <w:bCs/>
          <w:sz w:val="28"/>
          <w:szCs w:val="28"/>
        </w:rPr>
        <w:br w:type="page"/>
      </w:r>
    </w:p>
    <w:p w14:paraId="3C0C6F51">
      <w:pPr>
        <w:tabs>
          <w:tab w:val="left" w:pos="1208"/>
        </w:tabs>
        <w:snapToGrid w:val="0"/>
        <w:spacing w:line="500" w:lineRule="exact"/>
        <w:ind w:left="748" w:leftChars="220"/>
        <w:rPr>
          <w:rFonts w:hint="eastAsia" w:ascii="宋体" w:hAnsi="宋体" w:eastAsia="宋体" w:cs="宋体"/>
          <w:sz w:val="28"/>
          <w:szCs w:val="28"/>
        </w:rPr>
      </w:pPr>
      <w:r>
        <w:rPr>
          <w:rFonts w:hint="eastAsia" w:ascii="宋体" w:hAnsi="宋体" w:eastAsia="宋体" w:cs="宋体"/>
          <w:b/>
          <w:bCs/>
          <w:sz w:val="28"/>
          <w:szCs w:val="28"/>
        </w:rPr>
        <w:tab/>
      </w:r>
      <w:r>
        <w:rPr>
          <w:rFonts w:hint="eastAsia" w:ascii="宋体" w:hAnsi="宋体" w:eastAsia="宋体" w:cs="宋体"/>
          <w:b/>
          <w:bCs/>
          <w:sz w:val="28"/>
          <w:szCs w:val="28"/>
        </w:rPr>
        <w:t>23、品目名称：电催化连续反应放大分离系统（国产）</w:t>
      </w:r>
    </w:p>
    <w:p w14:paraId="44173AD6">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1.详细参数：</w:t>
      </w:r>
    </w:p>
    <w:p w14:paraId="4A38F75D">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小规格电反应模块：</w:t>
      </w:r>
      <w:r>
        <w:rPr>
          <w:rFonts w:hint="eastAsia" w:ascii="宋体" w:hAnsi="宋体" w:eastAsia="宋体" w:cs="宋体"/>
          <w:b/>
          <w:bCs/>
          <w:sz w:val="28"/>
          <w:szCs w:val="28"/>
        </w:rPr>
        <w:t>（备注：以下参数1项）</w:t>
      </w:r>
    </w:p>
    <w:p w14:paraId="0676798A">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约4.3寸液晶电容触控屏;</w:t>
      </w:r>
    </w:p>
    <w:p w14:paraId="0A2152F1">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铷铁: 200-1500 rpm;</w:t>
      </w:r>
    </w:p>
    <w:p w14:paraId="3B7796AE">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电源输入: 100~240 V，1.8 A，50~60 Hz;</w:t>
      </w:r>
    </w:p>
    <w:p w14:paraId="75DC74B6">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电源输出: 36 V, 2 A;</w:t>
      </w:r>
    </w:p>
    <w:p w14:paraId="257672B7">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最大输入功率：36 W;</w:t>
      </w:r>
    </w:p>
    <w:p w14:paraId="4C1B8F0D">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最大输出电压：30 V;</w:t>
      </w:r>
    </w:p>
    <w:p w14:paraId="584BC4E1">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最大输出电流：100 mA;</w:t>
      </w:r>
    </w:p>
    <w:p w14:paraId="6DCCDFCD">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输出电流分辨率：0.1 mA;</w:t>
      </w:r>
    </w:p>
    <w:p w14:paraId="67B2A32C">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输出电压分辨率：0.01 V;</w:t>
      </w:r>
    </w:p>
    <w:p w14:paraId="4B2AB7CF">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输出电流精度：±0.1 mA;</w:t>
      </w:r>
    </w:p>
    <w:p w14:paraId="40DA5E76">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输出电压精度：±0.01 V;</w:t>
      </w:r>
    </w:p>
    <w:p w14:paraId="14669BAD">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电极交替周期：0 s-59 min;</w:t>
      </w:r>
    </w:p>
    <w:p w14:paraId="3F6F0846">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 xml:space="preserve">最大搅拌量：15 mL; </w:t>
      </w:r>
    </w:p>
    <w:p w14:paraId="219D49C3">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磁子长度：约20 mm；</w:t>
      </w:r>
    </w:p>
    <w:p w14:paraId="2A2379A2">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 xml:space="preserve">允许环境温度：5 ℃~50 ℃; </w:t>
      </w:r>
    </w:p>
    <w:p w14:paraId="2DFE13BE">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 xml:space="preserve">允许相对湿度：80%; </w:t>
      </w:r>
    </w:p>
    <w:p w14:paraId="793F80B0">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尺寸：约290 * 270 * 170 mm。</w:t>
      </w:r>
    </w:p>
    <w:p w14:paraId="6FABA957">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连续流电反应模块：</w:t>
      </w:r>
    </w:p>
    <w:p w14:paraId="61C85BC2">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电解输出电压：0-30 V;</w:t>
      </w:r>
    </w:p>
    <w:p w14:paraId="5E74FA0A">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电解输出电流：0-1 A;</w:t>
      </w:r>
    </w:p>
    <w:p w14:paraId="48A9464C">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工作环境温度：0-40 ℃；</w:t>
      </w:r>
    </w:p>
    <w:p w14:paraId="20FAA455">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搅拌功能：转速200-1000 rmp，建议使用范围300-500 rpm；</w:t>
      </w:r>
    </w:p>
    <w:p w14:paraId="4A7F18BC">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模块串联合成：最多可支持4组流动反应池模块；</w:t>
      </w:r>
    </w:p>
    <w:p w14:paraId="08E4C58F">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显示屏：约6.7寸液晶电容触控屏；</w:t>
      </w:r>
    </w:p>
    <w:p w14:paraId="4B7BA995">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最大持液量：250 mL，可定制（100-1000 mL）；</w:t>
      </w:r>
    </w:p>
    <w:p w14:paraId="6225A087">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流动管路：配置硅胶软管和特氟龙硬管；</w:t>
      </w:r>
    </w:p>
    <w:p w14:paraId="588C4E5B">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蠕动泵：1-1500 mL/min；</w:t>
      </w:r>
    </w:p>
    <w:p w14:paraId="19A6E7CE">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水管接头：PEEK接头；</w:t>
      </w:r>
    </w:p>
    <w:p w14:paraId="33178F25">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流动反应池：电解池主体为聚四氟乙烯材料，最外侧配置有不锈钢金属板；</w:t>
      </w:r>
    </w:p>
    <w:p w14:paraId="29DB58F5">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流动反应池持液量：单流动反应池模块持液量为25 mL；</w:t>
      </w:r>
    </w:p>
    <w:p w14:paraId="5EF072AA">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电极：包含厚度1 mm，半径50 mm的圆形电极：石墨*2、镍*2、镁、铁、铜电极；</w:t>
      </w:r>
    </w:p>
    <w:p w14:paraId="496BBE6C">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导电体：导电石墨*2，导电铜件*2；</w:t>
      </w:r>
    </w:p>
    <w:p w14:paraId="3593EBCD">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流动反应池底座：放置固定流动反应池。</w:t>
      </w:r>
    </w:p>
    <w:p w14:paraId="6AC72290">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分离提纯模块：</w:t>
      </w:r>
    </w:p>
    <w:p w14:paraId="0B1BE8AC">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输出电压：±220 V；</w:t>
      </w:r>
    </w:p>
    <w:p w14:paraId="48B9B79F">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工作环境温度：-10 ℃至 50 ℃；</w:t>
      </w:r>
    </w:p>
    <w:p w14:paraId="17C61DE4">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 xml:space="preserve">工作压力：150 psi; </w:t>
      </w:r>
    </w:p>
    <w:p w14:paraId="2675601D">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 xml:space="preserve">样品量：10 mg – 100 g; </w:t>
      </w:r>
    </w:p>
    <w:p w14:paraId="7FF4F96B">
      <w:pPr>
        <w:snapToGrid w:val="0"/>
        <w:spacing w:line="500" w:lineRule="exact"/>
        <w:ind w:firstLine="588" w:firstLineChars="210"/>
        <w:rPr>
          <w:rFonts w:hint="eastAsia" w:ascii="宋体" w:hAnsi="宋体" w:eastAsia="宋体" w:cs="宋体"/>
          <w:sz w:val="28"/>
          <w:szCs w:val="28"/>
          <w:lang w:val="fr-FR"/>
        </w:rPr>
      </w:pPr>
      <w:r>
        <w:rPr>
          <w:rFonts w:hint="eastAsia" w:ascii="宋体" w:hAnsi="宋体" w:eastAsia="宋体" w:cs="宋体"/>
          <w:sz w:val="28"/>
          <w:szCs w:val="28"/>
        </w:rPr>
        <w:t>流速</w:t>
      </w:r>
      <w:r>
        <w:rPr>
          <w:rFonts w:hint="eastAsia" w:ascii="宋体" w:hAnsi="宋体" w:eastAsia="宋体" w:cs="宋体"/>
          <w:sz w:val="28"/>
          <w:szCs w:val="28"/>
          <w:lang w:val="fr-FR"/>
        </w:rPr>
        <w:t xml:space="preserve">：1 mL/min - 200 mL/min; </w:t>
      </w:r>
    </w:p>
    <w:p w14:paraId="7411899C">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 xml:space="preserve">流量精度：±1%; </w:t>
      </w:r>
    </w:p>
    <w:p w14:paraId="5FD91CBB">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 xml:space="preserve">泵：高精度柱塞泵，最大冲程容积 0.32 mL/REV; </w:t>
      </w:r>
    </w:p>
    <w:p w14:paraId="273023E7">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 xml:space="preserve">检测器：200 – 800 nm DAD检测器; </w:t>
      </w:r>
    </w:p>
    <w:p w14:paraId="7CDE12F5">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显示屏：约10.8寸（内存 4GB + 128GB）;</w:t>
      </w:r>
    </w:p>
    <w:p w14:paraId="6E8A2A20">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自动收集模块：外置可收纳收集（3组）;</w:t>
      </w:r>
    </w:p>
    <w:p w14:paraId="457F07D5">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设备体积/质量：约380 mm*260 mm*460 mm;</w:t>
      </w:r>
    </w:p>
    <w:p w14:paraId="355C5A1C">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层析柱支架：仪器箱体外挂式，配备外置支架式（百克级）;</w:t>
      </w:r>
    </w:p>
    <w:p w14:paraId="32F9B4F2">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气泵单元：防震，低噪音;</w:t>
      </w:r>
    </w:p>
    <w:p w14:paraId="309F7A69">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试管架：白色防腐蚀铝合金制，自动识别试管架规格（大、中、小）;</w:t>
      </w:r>
    </w:p>
    <w:p w14:paraId="7127E775">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试管规格：15mm*100mm，15mm*150mm，15mm*180mm;</w:t>
      </w:r>
    </w:p>
    <w:p w14:paraId="22E76120">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控制方式：apps操作（断网），WIFI及小程序（联网）;</w:t>
      </w:r>
    </w:p>
    <w:p w14:paraId="2185D893">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梯度类型：梯度洗脱; 收集方式：全收集、废液收集、UV阈值收集;</w:t>
      </w:r>
    </w:p>
    <w:p w14:paraId="6D9F9DBD">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分离模式：单根独立分离/多根（最多至3根）连续分离。</w:t>
      </w:r>
    </w:p>
    <w:p w14:paraId="574EA6CC">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CV测试模块：</w:t>
      </w:r>
    </w:p>
    <w:p w14:paraId="24310625">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扫描速率：10</w:t>
      </w:r>
      <w:r>
        <w:rPr>
          <w:rFonts w:hint="eastAsia" w:ascii="宋体" w:hAnsi="宋体" w:eastAsia="宋体" w:cs="宋体"/>
          <w:sz w:val="28"/>
          <w:szCs w:val="28"/>
          <w:vertAlign w:val="superscript"/>
        </w:rPr>
        <w:t>-</w:t>
      </w:r>
      <w:r>
        <w:rPr>
          <w:rFonts w:hint="eastAsia" w:ascii="宋体" w:hAnsi="宋体" w:eastAsia="宋体" w:cs="宋体"/>
          <w:sz w:val="28"/>
          <w:szCs w:val="28"/>
        </w:rPr>
        <w:t>⁶~10V/S；</w:t>
      </w:r>
    </w:p>
    <w:p w14:paraId="07C58187">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电压范围：±10V</w:t>
      </w:r>
      <w:r>
        <w:rPr>
          <w:rFonts w:hint="eastAsia" w:ascii="宋体" w:hAnsi="宋体" w:eastAsia="宋体" w:cs="宋体"/>
          <w:sz w:val="28"/>
          <w:szCs w:val="28"/>
        </w:rPr>
        <w:tab/>
      </w:r>
      <w:r>
        <w:rPr>
          <w:rFonts w:hint="eastAsia" w:ascii="宋体" w:hAnsi="宋体" w:eastAsia="宋体" w:cs="宋体"/>
          <w:sz w:val="28"/>
          <w:szCs w:val="28"/>
        </w:rPr>
        <w:t>；</w:t>
      </w:r>
    </w:p>
    <w:p w14:paraId="3F06C17B">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脉冲宽度：2*10³S~10³S；</w:t>
      </w:r>
    </w:p>
    <w:p w14:paraId="01395052">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槽压：±10V(Max)；</w:t>
      </w:r>
    </w:p>
    <w:p w14:paraId="0ECB1BF4">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阶跃次数：1~500；</w:t>
      </w:r>
    </w:p>
    <w:p w14:paraId="20FC2208">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电流范围：±400 mA</w:t>
      </w:r>
      <w:r>
        <w:rPr>
          <w:rFonts w:hint="eastAsia" w:ascii="宋体" w:hAnsi="宋体" w:eastAsia="宋体" w:cs="宋体"/>
          <w:sz w:val="28"/>
          <w:szCs w:val="28"/>
        </w:rPr>
        <w:tab/>
      </w:r>
      <w:r>
        <w:rPr>
          <w:rFonts w:hint="eastAsia" w:ascii="宋体" w:hAnsi="宋体" w:eastAsia="宋体" w:cs="宋体"/>
          <w:sz w:val="28"/>
          <w:szCs w:val="28"/>
        </w:rPr>
        <w:t>；</w:t>
      </w:r>
    </w:p>
    <w:p w14:paraId="03B24957">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电流低通滤波器：有；</w:t>
      </w:r>
    </w:p>
    <w:p w14:paraId="69B441D1">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参比电极输入阻抗：1 MΩ；</w:t>
      </w:r>
    </w:p>
    <w:p w14:paraId="434DE1C1">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最大数据长度：无限制；</w:t>
      </w:r>
    </w:p>
    <w:p w14:paraId="1DDA7DC9">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灵敏度量程：4*10⁴A~4*10⁸A(8档)；</w:t>
      </w:r>
    </w:p>
    <w:p w14:paraId="6218453C">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数据传输：PC端及移动端APP；</w:t>
      </w:r>
    </w:p>
    <w:p w14:paraId="5824F7FF">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输入偏置电流：&lt;10 pA；</w:t>
      </w:r>
    </w:p>
    <w:p w14:paraId="1D4ACC61">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仪器尺寸：约133*482*107 mm；</w:t>
      </w:r>
    </w:p>
    <w:p w14:paraId="598F5770">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电流测量分辨率：&lt;1 pA；</w:t>
      </w:r>
    </w:p>
    <w:p w14:paraId="6B1A5859">
      <w:pPr>
        <w:snapToGrid w:val="0"/>
        <w:spacing w:line="500" w:lineRule="exact"/>
        <w:ind w:firstLine="588" w:firstLineChars="210"/>
        <w:rPr>
          <w:rFonts w:hint="eastAsia" w:ascii="宋体" w:hAnsi="宋体" w:eastAsia="宋体" w:cs="宋体"/>
          <w:sz w:val="28"/>
          <w:szCs w:val="28"/>
        </w:rPr>
      </w:pPr>
      <w:r>
        <w:rPr>
          <w:rFonts w:hint="eastAsia" w:ascii="宋体" w:hAnsi="宋体" w:eastAsia="宋体" w:cs="宋体"/>
          <w:sz w:val="28"/>
          <w:szCs w:val="28"/>
        </w:rPr>
        <w:t>数据采集系统：16位AD采样，最大100 KHz。</w:t>
      </w:r>
    </w:p>
    <w:p w14:paraId="6CBC476A">
      <w:pPr>
        <w:pStyle w:val="87"/>
        <w:spacing w:line="500" w:lineRule="exact"/>
        <w:jc w:val="center"/>
        <w:rPr>
          <w:rFonts w:hint="eastAsia" w:ascii="宋体" w:hAnsi="宋体" w:eastAsia="宋体" w:cs="宋体"/>
          <w:b/>
          <w:color w:val="auto"/>
          <w:sz w:val="28"/>
          <w:szCs w:val="28"/>
        </w:rPr>
      </w:pPr>
    </w:p>
    <w:p w14:paraId="0E0C9BBB">
      <w:pPr>
        <w:spacing w:line="500" w:lineRule="exact"/>
        <w:rPr>
          <w:rFonts w:hint="eastAsia" w:ascii="宋体" w:hAnsi="宋体" w:eastAsia="宋体" w:cs="宋体"/>
          <w:sz w:val="28"/>
          <w:szCs w:val="28"/>
        </w:rPr>
      </w:pPr>
      <w:r>
        <w:rPr>
          <w:rFonts w:hint="eastAsia" w:ascii="宋体" w:hAnsi="宋体" w:eastAsia="宋体" w:cs="宋体"/>
          <w:b/>
          <w:sz w:val="28"/>
          <w:szCs w:val="28"/>
        </w:rPr>
        <w:t>备注：以上参数1项，为一般参数。</w:t>
      </w:r>
    </w:p>
    <w:p w14:paraId="14BF0FE8">
      <w:pPr>
        <w:spacing w:line="500" w:lineRule="exact"/>
        <w:rPr>
          <w:rFonts w:hint="eastAsia" w:ascii="宋体" w:hAnsi="宋体" w:eastAsia="宋体" w:cs="宋体"/>
          <w:sz w:val="28"/>
          <w:szCs w:val="28"/>
        </w:rPr>
      </w:pPr>
      <w:r>
        <w:rPr>
          <w:rFonts w:hint="eastAsia" w:ascii="宋体" w:hAnsi="宋体" w:eastAsia="宋体" w:cs="宋体"/>
          <w:b/>
          <w:bCs/>
          <w:sz w:val="28"/>
          <w:szCs w:val="28"/>
        </w:rPr>
        <w:br w:type="page"/>
      </w:r>
    </w:p>
    <w:p w14:paraId="00D1E8E3">
      <w:pPr>
        <w:spacing w:line="500" w:lineRule="exact"/>
        <w:ind w:left="-420"/>
        <w:rPr>
          <w:rFonts w:hint="eastAsia" w:ascii="宋体" w:hAnsi="宋体" w:eastAsia="宋体" w:cs="宋体"/>
          <w:color w:val="auto"/>
          <w:sz w:val="28"/>
          <w:szCs w:val="28"/>
        </w:rPr>
      </w:pPr>
      <w:r>
        <w:rPr>
          <w:rFonts w:hint="eastAsia" w:ascii="宋体" w:hAnsi="宋体" w:eastAsia="宋体" w:cs="宋体"/>
          <w:b/>
          <w:bCs/>
          <w:sz w:val="28"/>
          <w:szCs w:val="28"/>
        </w:rPr>
        <w:t>24、品目</w:t>
      </w:r>
      <w:r>
        <w:rPr>
          <w:rFonts w:hint="eastAsia" w:ascii="宋体" w:hAnsi="宋体" w:eastAsia="宋体" w:cs="宋体"/>
          <w:b/>
          <w:sz w:val="28"/>
          <w:szCs w:val="28"/>
        </w:rPr>
        <w:t>名称</w:t>
      </w:r>
      <w:r>
        <w:rPr>
          <w:rFonts w:hint="eastAsia" w:ascii="宋体" w:hAnsi="宋体" w:eastAsia="宋体" w:cs="宋体"/>
          <w:b/>
          <w:bCs/>
          <w:sz w:val="28"/>
          <w:szCs w:val="28"/>
        </w:rPr>
        <w:t>：</w:t>
      </w:r>
      <w:r>
        <w:rPr>
          <w:rFonts w:hint="eastAsia" w:ascii="宋体" w:hAnsi="宋体" w:eastAsia="宋体" w:cs="宋体"/>
          <w:b/>
          <w:bCs/>
          <w:color w:val="auto"/>
          <w:sz w:val="28"/>
          <w:szCs w:val="28"/>
        </w:rPr>
        <w:t>气相色谱质谱联用仪（国产）</w:t>
      </w:r>
    </w:p>
    <w:p w14:paraId="24B97F51">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规格</w:t>
      </w:r>
    </w:p>
    <w:p w14:paraId="20D4C1EE">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highlight w:val="cyan"/>
        </w:rPr>
        <w:t>★</w:t>
      </w:r>
      <w:r>
        <w:rPr>
          <w:rFonts w:hint="eastAsia" w:ascii="宋体" w:hAnsi="宋体" w:eastAsia="宋体" w:cs="宋体"/>
          <w:color w:val="auto"/>
          <w:sz w:val="28"/>
          <w:szCs w:val="28"/>
        </w:rPr>
        <w:t>带</w:t>
      </w:r>
      <w:r>
        <w:rPr>
          <w:rFonts w:hint="eastAsia" w:ascii="宋体" w:hAnsi="宋体" w:eastAsia="宋体" w:cs="宋体"/>
          <w:color w:val="auto"/>
          <w:sz w:val="28"/>
        </w:rPr>
        <w:t>≥</w:t>
      </w:r>
      <w:r>
        <w:rPr>
          <w:rFonts w:hint="eastAsia" w:ascii="宋体" w:hAnsi="宋体" w:eastAsia="宋体" w:cs="宋体"/>
          <w:color w:val="auto"/>
          <w:sz w:val="28"/>
          <w:szCs w:val="28"/>
        </w:rPr>
        <w:t>150位自动进样器的气相色谱仪和带</w:t>
      </w:r>
      <w:r>
        <w:rPr>
          <w:rFonts w:hint="eastAsia" w:ascii="宋体" w:hAnsi="宋体" w:eastAsia="宋体" w:cs="宋体"/>
          <w:color w:val="auto"/>
          <w:sz w:val="28"/>
        </w:rPr>
        <w:t>≥</w:t>
      </w:r>
      <w:r>
        <w:rPr>
          <w:rFonts w:hint="eastAsia" w:ascii="宋体" w:hAnsi="宋体" w:eastAsia="宋体" w:cs="宋体"/>
          <w:color w:val="auto"/>
          <w:sz w:val="28"/>
          <w:szCs w:val="28"/>
        </w:rPr>
        <w:t>330 L分子涡轮泵的质谱仪各1台。</w:t>
      </w:r>
    </w:p>
    <w:p w14:paraId="1D2097D3">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详细参数</w:t>
      </w:r>
      <w:r>
        <w:rPr>
          <w:rFonts w:hint="eastAsia" w:ascii="宋体" w:hAnsi="宋体" w:eastAsia="宋体" w:cs="宋体"/>
          <w:b/>
          <w:bCs/>
          <w:color w:val="auto"/>
          <w:sz w:val="28"/>
          <w:szCs w:val="28"/>
        </w:rPr>
        <w:t>（备注：以下参数11项）</w:t>
      </w:r>
    </w:p>
    <w:p w14:paraId="066D3902">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1、设备用途说明：用于永久性气体、挥发性、半挥发性有机化合物、农药残留的定性、定量分析。</w:t>
      </w:r>
    </w:p>
    <w:p w14:paraId="2730B82A">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2、工作条件</w:t>
      </w:r>
    </w:p>
    <w:p w14:paraId="1315E875">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2.1电源：</w:t>
      </w:r>
      <w:r>
        <w:rPr>
          <w:rFonts w:hint="eastAsia" w:ascii="宋体" w:hAnsi="宋体" w:eastAsia="宋体" w:cs="宋体"/>
          <w:color w:val="auto"/>
          <w:sz w:val="28"/>
        </w:rPr>
        <w:t>220V±10%，50-60 Hz。</w:t>
      </w:r>
    </w:p>
    <w:p w14:paraId="4A838D62">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2.2环境温度：10-35℃。</w:t>
      </w:r>
    </w:p>
    <w:p w14:paraId="33D3C5A0">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2.3环境湿度：20%-80%。</w:t>
      </w:r>
    </w:p>
    <w:p w14:paraId="4B821451">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3、气相色谱仪系统技术参数</w:t>
      </w:r>
    </w:p>
    <w:p w14:paraId="73A3C903">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3.1所有的进样口和检测器全面使用电子气路控制。</w:t>
      </w:r>
    </w:p>
    <w:p w14:paraId="6D636B7A">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3.2最小压力设定值和控制精度：≤0.001 psi（0-150 psi全量程范围内）。</w:t>
      </w:r>
    </w:p>
    <w:p w14:paraId="1A1F1D09">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3.3可设定压力范围：0-150 psi，更有利于色谱的快速分析。出厂时提前校准H</w:t>
      </w:r>
      <w:r>
        <w:rPr>
          <w:rFonts w:hint="eastAsia" w:ascii="宋体" w:hAnsi="宋体" w:eastAsia="宋体" w:cs="宋体"/>
          <w:color w:val="auto"/>
          <w:sz w:val="28"/>
          <w:szCs w:val="28"/>
          <w:vertAlign w:val="subscript"/>
        </w:rPr>
        <w:t>2</w:t>
      </w:r>
      <w:r>
        <w:rPr>
          <w:rFonts w:hint="eastAsia" w:ascii="宋体" w:hAnsi="宋体" w:eastAsia="宋体" w:cs="宋体"/>
          <w:color w:val="auto"/>
          <w:sz w:val="28"/>
          <w:szCs w:val="28"/>
        </w:rPr>
        <w:t>，He，N</w:t>
      </w:r>
      <w:r>
        <w:rPr>
          <w:rFonts w:hint="eastAsia" w:ascii="宋体" w:hAnsi="宋体" w:eastAsia="宋体" w:cs="宋体"/>
          <w:color w:val="auto"/>
          <w:sz w:val="28"/>
          <w:szCs w:val="28"/>
          <w:vertAlign w:val="subscript"/>
        </w:rPr>
        <w:t>2</w:t>
      </w:r>
      <w:r>
        <w:rPr>
          <w:rFonts w:hint="eastAsia" w:ascii="宋体" w:hAnsi="宋体" w:eastAsia="宋体" w:cs="宋体"/>
          <w:color w:val="auto"/>
          <w:sz w:val="28"/>
          <w:szCs w:val="28"/>
        </w:rPr>
        <w:t>和Ar/CH</w:t>
      </w:r>
      <w:r>
        <w:rPr>
          <w:rFonts w:hint="eastAsia" w:ascii="宋体" w:hAnsi="宋体" w:eastAsia="宋体" w:cs="宋体"/>
          <w:color w:val="auto"/>
          <w:sz w:val="28"/>
          <w:szCs w:val="28"/>
          <w:vertAlign w:val="subscript"/>
        </w:rPr>
        <w:t>4</w:t>
      </w:r>
      <w:r>
        <w:rPr>
          <w:rFonts w:hint="eastAsia" w:ascii="宋体" w:hAnsi="宋体" w:eastAsia="宋体" w:cs="宋体"/>
          <w:color w:val="auto"/>
          <w:sz w:val="28"/>
          <w:szCs w:val="28"/>
        </w:rPr>
        <w:t>，用户可直接选择不同的载气类型，而无需校准。</w:t>
      </w:r>
    </w:p>
    <w:p w14:paraId="36A9A388">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3.4电子气路控制可直接设定mL/min, psig, bar 或者kPa。</w:t>
      </w:r>
    </w:p>
    <w:p w14:paraId="24F37A44">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3.5操作界面采用可拆卸的≥10英寸平板电脑，可直接显示色谱的所有参数，并能直接编辑方法，带超大内存，摄像头和S笔，内置多个APP。可查看环境温度、压力。用户可依据仪器状态有计划的维护仪器，以保持仪器状态，并节省消耗品的使用。</w:t>
      </w:r>
    </w:p>
    <w:p w14:paraId="2BA63EB9">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3.6可支持</w:t>
      </w:r>
      <w:r>
        <w:rPr>
          <w:rFonts w:hint="eastAsia" w:ascii="宋体" w:hAnsi="宋体" w:eastAsia="宋体" w:cs="宋体"/>
          <w:color w:val="auto"/>
          <w:sz w:val="28"/>
        </w:rPr>
        <w:t>≥</w:t>
      </w:r>
      <w:r>
        <w:rPr>
          <w:rFonts w:hint="eastAsia" w:ascii="宋体" w:hAnsi="宋体" w:eastAsia="宋体" w:cs="宋体"/>
          <w:color w:val="auto"/>
          <w:sz w:val="28"/>
          <w:szCs w:val="28"/>
        </w:rPr>
        <w:t>3个GC检测器和</w:t>
      </w:r>
      <w:r>
        <w:rPr>
          <w:rFonts w:hint="eastAsia" w:ascii="宋体" w:hAnsi="宋体" w:eastAsia="宋体" w:cs="宋体"/>
          <w:color w:val="auto"/>
          <w:sz w:val="28"/>
        </w:rPr>
        <w:t>≥</w:t>
      </w:r>
      <w:r>
        <w:rPr>
          <w:rFonts w:hint="eastAsia" w:ascii="宋体" w:hAnsi="宋体" w:eastAsia="宋体" w:cs="宋体"/>
          <w:color w:val="auto"/>
          <w:sz w:val="28"/>
          <w:szCs w:val="28"/>
        </w:rPr>
        <w:t>1个MS检测器同时工作，温度和气路单独控制，温度和气路单独控制。</w:t>
      </w:r>
    </w:p>
    <w:p w14:paraId="23C105A4">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3.7 GC的主板上配置有可独立运行的电脑（SOM）系统（提供实物照片）。SOM模块含有独立的操作系统，可设定仪器的参数，编辑方法序列，采集实时谱图，还可以从PAD或者远程的电脑直接登录。即使电脑工作站关闭，GC的主板上独立运行的电脑（SOM）系统依旧可独立采集及保存数据。仪器也可以直接接显示器，鼠标，键盘，直接登录SOM里的系统。色谱工作站及SOM也能控制同品牌的顶空进样器。</w:t>
      </w:r>
    </w:p>
    <w:p w14:paraId="3F023487">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3.8仪器FID检测器具备熄火检测自动停气功能，更安全使用氢气。</w:t>
      </w:r>
    </w:p>
    <w:p w14:paraId="52A5F19D">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3.9可选配H</w:t>
      </w:r>
      <w:r>
        <w:rPr>
          <w:rFonts w:hint="eastAsia" w:ascii="宋体" w:hAnsi="宋体" w:eastAsia="宋体" w:cs="宋体"/>
          <w:sz w:val="28"/>
          <w:szCs w:val="28"/>
          <w:vertAlign w:val="subscript"/>
        </w:rPr>
        <w:t>2</w:t>
      </w:r>
      <w:r>
        <w:rPr>
          <w:rFonts w:hint="eastAsia" w:ascii="宋体" w:hAnsi="宋体" w:eastAsia="宋体" w:cs="宋体"/>
          <w:sz w:val="28"/>
          <w:szCs w:val="28"/>
        </w:rPr>
        <w:t>泄露感应器报警功能，更安全使用氢气。</w:t>
      </w:r>
    </w:p>
    <w:p w14:paraId="7728A045">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4、柱温箱</w:t>
      </w:r>
    </w:p>
    <w:p w14:paraId="14D3B0EE">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sz w:val="28"/>
          <w:szCs w:val="28"/>
        </w:rPr>
        <w:t>4.1体积规</w:t>
      </w:r>
      <w:r>
        <w:rPr>
          <w:rFonts w:hint="eastAsia" w:ascii="宋体" w:hAnsi="宋体" w:eastAsia="宋体" w:cs="宋体"/>
          <w:color w:val="auto"/>
          <w:sz w:val="28"/>
          <w:szCs w:val="28"/>
        </w:rPr>
        <w:t>格（H*W*D）：≥229mm*229mm*249mm，可连接毛细管柱或6mm o.d.和1/8in. o.d.不锈钢或者玻璃填充柱。</w:t>
      </w:r>
    </w:p>
    <w:p w14:paraId="18374459">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4.2操作温度范围：高于环境温度+5℃至450℃。</w:t>
      </w:r>
    </w:p>
    <w:p w14:paraId="1B45D26A">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4.3单次进样最长运行时间：999.99分钟。</w:t>
      </w:r>
    </w:p>
    <w:p w14:paraId="60A5FC4E">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4.4最大升温速度：≥120℃/min，设定温度步长</w:t>
      </w:r>
      <w:r>
        <w:rPr>
          <w:rFonts w:hint="eastAsia" w:ascii="宋体" w:hAnsi="宋体" w:eastAsia="宋体" w:cs="宋体"/>
          <w:color w:val="auto"/>
          <w:sz w:val="28"/>
        </w:rPr>
        <w:t>≤</w:t>
      </w:r>
      <w:r>
        <w:rPr>
          <w:rFonts w:hint="eastAsia" w:ascii="宋体" w:hAnsi="宋体" w:eastAsia="宋体" w:cs="宋体"/>
          <w:color w:val="auto"/>
          <w:sz w:val="28"/>
          <w:szCs w:val="28"/>
        </w:rPr>
        <w:t>0.1℃/min，时间步长</w:t>
      </w:r>
      <w:r>
        <w:rPr>
          <w:rFonts w:hint="eastAsia" w:ascii="宋体" w:hAnsi="宋体" w:eastAsia="宋体" w:cs="宋体"/>
          <w:color w:val="auto"/>
          <w:sz w:val="28"/>
        </w:rPr>
        <w:t>≤</w:t>
      </w:r>
      <w:r>
        <w:rPr>
          <w:rFonts w:hint="eastAsia" w:ascii="宋体" w:hAnsi="宋体" w:eastAsia="宋体" w:cs="宋体"/>
          <w:color w:val="auto"/>
          <w:sz w:val="28"/>
          <w:szCs w:val="28"/>
        </w:rPr>
        <w:t>0.1min，从450℃降到50℃≤4 min。</w:t>
      </w:r>
    </w:p>
    <w:p w14:paraId="5ACD2755">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4.5 最大升温阶数：</w:t>
      </w:r>
      <w:r>
        <w:rPr>
          <w:rFonts w:hint="eastAsia" w:ascii="宋体" w:hAnsi="宋体" w:eastAsia="宋体" w:cs="宋体"/>
          <w:color w:val="auto"/>
          <w:sz w:val="28"/>
        </w:rPr>
        <w:t>≥</w:t>
      </w:r>
      <w:r>
        <w:rPr>
          <w:rFonts w:hint="eastAsia" w:ascii="宋体" w:hAnsi="宋体" w:eastAsia="宋体" w:cs="宋体"/>
          <w:color w:val="auto"/>
          <w:sz w:val="28"/>
          <w:szCs w:val="28"/>
        </w:rPr>
        <w:t>49阶50平台，可以实现在一个谱图中多次程序升温进样，尤其是在线分析中。</w:t>
      </w:r>
    </w:p>
    <w:p w14:paraId="73EFA60A">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5、电子气路控制</w:t>
      </w:r>
    </w:p>
    <w:p w14:paraId="1BC9E82C">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5.1能自动补偿大气压力和环境温度变化。</w:t>
      </w:r>
    </w:p>
    <w:p w14:paraId="2BDC90EA">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5.2可通过GC面板或软件来设定参数。</w:t>
      </w:r>
    </w:p>
    <w:p w14:paraId="47B02BF0">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5.3通过电子流量传感器控制分流比或者分流流量。</w:t>
      </w:r>
    </w:p>
    <w:p w14:paraId="4C92623D">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5.4用户可自主选择气体压力单位 psi, kPa, cm/sec 或 ml/min。</w:t>
      </w:r>
    </w:p>
    <w:p w14:paraId="26CFA603">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sz w:val="28"/>
          <w:szCs w:val="28"/>
        </w:rPr>
        <w:t>5.5进样口电子压力传感器精密度：≤±0.05 psi，漂移：≤±0.1 psi/6个月。</w:t>
      </w:r>
    </w:p>
    <w:p w14:paraId="0720917E">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5.6一个检测器或者辅助电子气路可设定多至</w:t>
      </w:r>
      <w:r>
        <w:rPr>
          <w:rFonts w:hint="eastAsia" w:ascii="宋体" w:hAnsi="宋体" w:eastAsia="宋体" w:cs="宋体"/>
          <w:color w:val="auto"/>
          <w:sz w:val="28"/>
        </w:rPr>
        <w:t>≥</w:t>
      </w:r>
      <w:r>
        <w:rPr>
          <w:rFonts w:hint="eastAsia" w:ascii="宋体" w:hAnsi="宋体" w:eastAsia="宋体" w:cs="宋体"/>
          <w:color w:val="auto"/>
          <w:sz w:val="28"/>
          <w:szCs w:val="28"/>
        </w:rPr>
        <w:t>3种气体控制程序。</w:t>
      </w:r>
    </w:p>
    <w:p w14:paraId="077A3E6E">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5.7压力控制精度±0.001 psi，设定范围0-150 psi。</w:t>
      </w:r>
    </w:p>
    <w:p w14:paraId="77B9C984">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5.8 不低于三阶气路控制程序。电子气路控制范围：0-150.0 psi/min，0-100.0 ml/min或0-200 cm/sec。</w:t>
      </w:r>
    </w:p>
    <w:p w14:paraId="2D74B8B4">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sz w:val="28"/>
          <w:szCs w:val="28"/>
        </w:rPr>
        <w:t>5.9最多可</w:t>
      </w:r>
      <w:r>
        <w:rPr>
          <w:rFonts w:hint="eastAsia" w:ascii="宋体" w:hAnsi="宋体" w:eastAsia="宋体" w:cs="宋体"/>
          <w:color w:val="auto"/>
          <w:sz w:val="28"/>
          <w:szCs w:val="28"/>
        </w:rPr>
        <w:t>配置</w:t>
      </w:r>
      <w:r>
        <w:rPr>
          <w:rFonts w:hint="eastAsia" w:ascii="宋体" w:hAnsi="宋体" w:eastAsia="宋体" w:cs="宋体"/>
          <w:color w:val="auto"/>
          <w:sz w:val="28"/>
        </w:rPr>
        <w:t>≥</w:t>
      </w:r>
      <w:r>
        <w:rPr>
          <w:rFonts w:hint="eastAsia" w:ascii="宋体" w:hAnsi="宋体" w:eastAsia="宋体" w:cs="宋体"/>
          <w:color w:val="auto"/>
          <w:sz w:val="28"/>
          <w:szCs w:val="28"/>
        </w:rPr>
        <w:t>6块PPC，每个PPC最多可配置</w:t>
      </w:r>
      <w:r>
        <w:rPr>
          <w:rFonts w:hint="eastAsia" w:ascii="宋体" w:hAnsi="宋体" w:eastAsia="宋体" w:cs="宋体"/>
          <w:color w:val="auto"/>
          <w:sz w:val="28"/>
        </w:rPr>
        <w:t>≥</w:t>
      </w:r>
      <w:r>
        <w:rPr>
          <w:rFonts w:hint="eastAsia" w:ascii="宋体" w:hAnsi="宋体" w:eastAsia="宋体" w:cs="宋体"/>
          <w:color w:val="auto"/>
          <w:sz w:val="28"/>
          <w:szCs w:val="28"/>
        </w:rPr>
        <w:t>3个气路通道。</w:t>
      </w:r>
    </w:p>
    <w:p w14:paraId="3D5A32B4">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6、（惰性）分流/不分流毛细管柱进样口（SSL）</w:t>
      </w:r>
    </w:p>
    <w:p w14:paraId="01C6FCE0">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6.1压力设定范围0-150 psi。</w:t>
      </w:r>
    </w:p>
    <w:p w14:paraId="49DFC9F5">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6.2压力设定精度：0.001 psi。</w:t>
      </w:r>
    </w:p>
    <w:p w14:paraId="295398C5">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6.3温度范围：50℃-450℃，步长1℃。</w:t>
      </w:r>
    </w:p>
    <w:p w14:paraId="0718831B">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6.4电子气路有</w:t>
      </w:r>
      <w:r>
        <w:rPr>
          <w:rFonts w:hint="eastAsia" w:ascii="宋体" w:hAnsi="宋体" w:eastAsia="宋体" w:cs="宋体"/>
          <w:color w:val="auto"/>
          <w:sz w:val="28"/>
        </w:rPr>
        <w:t>≥</w:t>
      </w:r>
      <w:r>
        <w:rPr>
          <w:rFonts w:hint="eastAsia" w:ascii="宋体" w:hAnsi="宋体" w:eastAsia="宋体" w:cs="宋体"/>
          <w:color w:val="auto"/>
          <w:sz w:val="28"/>
          <w:szCs w:val="28"/>
        </w:rPr>
        <w:t>6种载气控制模式：程序流量，程序压力，程序线速度，恒流，恒压，恒线速度。可选真空补偿模式、顶空进样模式。有脉冲压力分流进样及不分流进样选项。</w:t>
      </w:r>
    </w:p>
    <w:p w14:paraId="526A4580">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color w:val="auto"/>
          <w:sz w:val="28"/>
          <w:szCs w:val="28"/>
        </w:rPr>
        <w:t>6.5不低于三阶气路控制程序。电</w:t>
      </w:r>
      <w:r>
        <w:rPr>
          <w:rFonts w:hint="eastAsia" w:ascii="宋体" w:hAnsi="宋体" w:eastAsia="宋体" w:cs="宋体"/>
          <w:sz w:val="28"/>
          <w:szCs w:val="28"/>
        </w:rPr>
        <w:t>子气路控制范围：0-150.0 psi/min，0-100.0 ml/min或0-200 cm/sec。</w:t>
      </w:r>
    </w:p>
    <w:p w14:paraId="51F91D29">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6.6快速旋转式进样口，更换衬管无需工具，实现进样口的快速维护。</w:t>
      </w:r>
    </w:p>
    <w:p w14:paraId="5CE089AE">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6.7可选的惰性进样口包括经化学去活工艺处理的焊件和焊件插件，可防止痕量氧化物和硫化物等活性组分的吸附，保证仪器在低浓度时的灵敏度。</w:t>
      </w:r>
    </w:p>
    <w:p w14:paraId="2D0EC59C">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6.8分流比最大可调整到12500：1。</w:t>
      </w:r>
    </w:p>
    <w:p w14:paraId="2ABFACA4">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6.9总流量设定范围：N</w:t>
      </w:r>
      <w:r>
        <w:rPr>
          <w:rFonts w:hint="eastAsia" w:ascii="宋体" w:hAnsi="宋体" w:eastAsia="宋体" w:cs="宋体"/>
          <w:sz w:val="28"/>
          <w:szCs w:val="28"/>
          <w:vertAlign w:val="subscript"/>
        </w:rPr>
        <w:t>2</w:t>
      </w:r>
      <w:r>
        <w:rPr>
          <w:rFonts w:hint="eastAsia" w:ascii="宋体" w:hAnsi="宋体" w:eastAsia="宋体" w:cs="宋体"/>
          <w:sz w:val="28"/>
          <w:szCs w:val="28"/>
        </w:rPr>
        <w:t>：5-1150 ml/min；H</w:t>
      </w:r>
      <w:r>
        <w:rPr>
          <w:rFonts w:hint="eastAsia" w:ascii="宋体" w:hAnsi="宋体" w:eastAsia="宋体" w:cs="宋体"/>
          <w:sz w:val="28"/>
          <w:szCs w:val="28"/>
          <w:vertAlign w:val="subscript"/>
        </w:rPr>
        <w:t>2</w:t>
      </w:r>
      <w:r>
        <w:rPr>
          <w:rFonts w:hint="eastAsia" w:ascii="宋体" w:hAnsi="宋体" w:eastAsia="宋体" w:cs="宋体"/>
          <w:sz w:val="28"/>
          <w:szCs w:val="28"/>
        </w:rPr>
        <w:t>或He：5-1450 ml/min；Ar/CH</w:t>
      </w:r>
      <w:r>
        <w:rPr>
          <w:rFonts w:hint="eastAsia" w:ascii="宋体" w:hAnsi="宋体" w:eastAsia="宋体" w:cs="宋体"/>
          <w:sz w:val="28"/>
          <w:szCs w:val="28"/>
          <w:vertAlign w:val="subscript"/>
        </w:rPr>
        <w:t>4</w:t>
      </w:r>
      <w:r>
        <w:rPr>
          <w:rFonts w:hint="eastAsia" w:ascii="宋体" w:hAnsi="宋体" w:eastAsia="宋体" w:cs="宋体"/>
          <w:sz w:val="28"/>
          <w:szCs w:val="28"/>
        </w:rPr>
        <w:t>：5-1000 ml/min。</w:t>
      </w:r>
    </w:p>
    <w:p w14:paraId="20FB783F">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7、氢火焰离子化检测器（FID）</w:t>
      </w:r>
    </w:p>
    <w:p w14:paraId="6C15A2C6">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7.1具有电子气路控制和电子开/关，可控制空气，氢气和辅助气流量。</w:t>
      </w:r>
    </w:p>
    <w:p w14:paraId="1512799F">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7.2具有熄火检测和准备连锁功能。</w:t>
      </w:r>
    </w:p>
    <w:p w14:paraId="00D08DA0">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7.3宽线性动态范围：≥10</w:t>
      </w:r>
      <w:r>
        <w:rPr>
          <w:rFonts w:hint="eastAsia" w:ascii="宋体" w:hAnsi="宋体" w:eastAsia="宋体" w:cs="宋体"/>
          <w:color w:val="FF0000"/>
          <w:sz w:val="28"/>
          <w:szCs w:val="28"/>
          <w:vertAlign w:val="superscript"/>
        </w:rPr>
        <w:t>7</w:t>
      </w:r>
      <w:r>
        <w:rPr>
          <w:rFonts w:hint="eastAsia" w:ascii="宋体" w:hAnsi="宋体" w:eastAsia="宋体" w:cs="宋体"/>
          <w:sz w:val="28"/>
          <w:szCs w:val="28"/>
        </w:rPr>
        <w:t>（±10%），一次进样中可以对检测器的整个浓度动态范围（0-10</w:t>
      </w:r>
      <w:r>
        <w:rPr>
          <w:rFonts w:hint="eastAsia" w:ascii="宋体" w:hAnsi="宋体" w:eastAsia="宋体" w:cs="宋体"/>
          <w:color w:val="FF0000"/>
          <w:sz w:val="28"/>
          <w:szCs w:val="28"/>
          <w:vertAlign w:val="superscript"/>
        </w:rPr>
        <w:t>7</w:t>
      </w:r>
      <w:r>
        <w:rPr>
          <w:rFonts w:hint="eastAsia" w:ascii="宋体" w:hAnsi="宋体" w:eastAsia="宋体" w:cs="宋体"/>
          <w:sz w:val="28"/>
          <w:szCs w:val="28"/>
        </w:rPr>
        <w:t>）的峰实现定量分析。</w:t>
      </w:r>
    </w:p>
    <w:p w14:paraId="5BD5E3D4">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7.4具有自动再点火功能。</w:t>
      </w:r>
    </w:p>
    <w:p w14:paraId="37921867">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7.5数据采集频率：≥1000 Hz。</w:t>
      </w:r>
    </w:p>
    <w:p w14:paraId="7ABF0B4B">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7.6温度范围: 100℃-450℃。</w:t>
      </w:r>
    </w:p>
    <w:p w14:paraId="0E214152">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7.7最小检出限：≤1.2 pg C/s（C13）。</w:t>
      </w:r>
    </w:p>
    <w:p w14:paraId="344988A9">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sz w:val="28"/>
          <w:szCs w:val="28"/>
        </w:rPr>
        <w:t>8、液体</w:t>
      </w:r>
      <w:r>
        <w:rPr>
          <w:rFonts w:hint="eastAsia" w:ascii="宋体" w:hAnsi="宋体" w:eastAsia="宋体" w:cs="宋体"/>
          <w:color w:val="auto"/>
          <w:sz w:val="28"/>
          <w:szCs w:val="28"/>
        </w:rPr>
        <w:t>自动进样器</w:t>
      </w:r>
    </w:p>
    <w:p w14:paraId="503BCD0F">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highlight w:val="cyan"/>
        </w:rPr>
        <w:t>★</w:t>
      </w:r>
      <w:r>
        <w:rPr>
          <w:rFonts w:hint="eastAsia" w:ascii="宋体" w:hAnsi="宋体" w:eastAsia="宋体" w:cs="宋体"/>
          <w:color w:val="auto"/>
          <w:sz w:val="28"/>
          <w:szCs w:val="28"/>
        </w:rPr>
        <w:t>8.1样品瓶位数（含洗针位）：≥150位。</w:t>
      </w:r>
    </w:p>
    <w:p w14:paraId="21369F07">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8.2进样量范围：液体进样量范围：通常介于0.05-50μL之间。</w:t>
      </w:r>
    </w:p>
    <w:p w14:paraId="477F9C92">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8.3进样速度：</w:t>
      </w:r>
      <w:r>
        <w:rPr>
          <w:rFonts w:hint="eastAsia" w:ascii="宋体" w:hAnsi="宋体" w:eastAsia="宋体" w:cs="宋体"/>
          <w:color w:val="auto"/>
          <w:sz w:val="28"/>
        </w:rPr>
        <w:t>≥</w:t>
      </w:r>
      <w:r>
        <w:rPr>
          <w:rFonts w:hint="eastAsia" w:ascii="宋体" w:hAnsi="宋体" w:eastAsia="宋体" w:cs="宋体"/>
          <w:color w:val="auto"/>
          <w:sz w:val="28"/>
          <w:szCs w:val="28"/>
        </w:rPr>
        <w:t>3种模式，高速、低速、正常速度。</w:t>
      </w:r>
    </w:p>
    <w:p w14:paraId="05A65C64">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8.4可在100 ms内快速进样。</w:t>
      </w:r>
    </w:p>
    <w:p w14:paraId="5A332984">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8.5最大可支持50 uL进样针。</w:t>
      </w:r>
    </w:p>
    <w:p w14:paraId="77CC87D7">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8.6在本机不同进样口或者不同机的进样口之间移动自动进样器不需要重新配置。</w:t>
      </w:r>
    </w:p>
    <w:p w14:paraId="7C84299B">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8.7样品优先模式：当进行样品批处理进样时, 可对某样品进行优先进样设定, 而后继续完成批处理设定。</w:t>
      </w:r>
    </w:p>
    <w:p w14:paraId="753D0BBA">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8.8具有双塔同步进样功能。最大支持</w:t>
      </w:r>
      <w:r>
        <w:rPr>
          <w:rFonts w:hint="eastAsia" w:ascii="宋体" w:hAnsi="宋体" w:eastAsia="宋体" w:cs="宋体"/>
          <w:color w:val="auto"/>
          <w:sz w:val="28"/>
        </w:rPr>
        <w:t>≥</w:t>
      </w:r>
      <w:r>
        <w:rPr>
          <w:rFonts w:hint="eastAsia" w:ascii="宋体" w:hAnsi="宋体" w:eastAsia="宋体" w:cs="宋体"/>
          <w:color w:val="auto"/>
          <w:sz w:val="28"/>
          <w:szCs w:val="28"/>
        </w:rPr>
        <w:t>6个10ml洗液瓶，</w:t>
      </w:r>
      <w:r>
        <w:rPr>
          <w:rFonts w:hint="eastAsia" w:ascii="宋体" w:hAnsi="宋体" w:eastAsia="宋体" w:cs="宋体"/>
          <w:color w:val="auto"/>
          <w:sz w:val="28"/>
        </w:rPr>
        <w:t>≥</w:t>
      </w:r>
      <w:r>
        <w:rPr>
          <w:rFonts w:hint="eastAsia" w:ascii="宋体" w:hAnsi="宋体" w:eastAsia="宋体" w:cs="宋体"/>
          <w:color w:val="auto"/>
          <w:sz w:val="28"/>
          <w:szCs w:val="28"/>
        </w:rPr>
        <w:t>6个10ml废液瓶。</w:t>
      </w:r>
    </w:p>
    <w:p w14:paraId="41F7D87B">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8.9粘度设定0-15，每瓶进样最大次数</w:t>
      </w:r>
      <w:r>
        <w:rPr>
          <w:rFonts w:hint="eastAsia" w:ascii="宋体" w:hAnsi="宋体" w:eastAsia="宋体" w:cs="宋体"/>
          <w:color w:val="auto"/>
          <w:sz w:val="28"/>
        </w:rPr>
        <w:t>≥</w:t>
      </w:r>
      <w:r>
        <w:rPr>
          <w:rFonts w:hint="eastAsia" w:ascii="宋体" w:hAnsi="宋体" w:eastAsia="宋体" w:cs="宋体"/>
          <w:color w:val="auto"/>
          <w:sz w:val="28"/>
          <w:szCs w:val="28"/>
        </w:rPr>
        <w:t>15次，最大溶剂清洗</w:t>
      </w:r>
      <w:r>
        <w:rPr>
          <w:rFonts w:hint="eastAsia" w:ascii="宋体" w:hAnsi="宋体" w:eastAsia="宋体" w:cs="宋体"/>
          <w:color w:val="auto"/>
          <w:sz w:val="28"/>
        </w:rPr>
        <w:t>≥</w:t>
      </w:r>
      <w:r>
        <w:rPr>
          <w:rFonts w:hint="eastAsia" w:ascii="宋体" w:hAnsi="宋体" w:eastAsia="宋体" w:cs="宋体"/>
          <w:color w:val="auto"/>
          <w:sz w:val="28"/>
          <w:szCs w:val="28"/>
        </w:rPr>
        <w:t>25次。具有预清洗功能。</w:t>
      </w:r>
    </w:p>
    <w:p w14:paraId="5C38AE8A">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color w:val="auto"/>
          <w:sz w:val="28"/>
          <w:szCs w:val="28"/>
        </w:rPr>
        <w:t>8.10支持三明治进样。软件控制自动实现进样针内配系列标液及添加内标，以优化进样重复性、改善色谱峰型、减少前处理</w:t>
      </w:r>
      <w:r>
        <w:rPr>
          <w:rFonts w:hint="eastAsia" w:ascii="宋体" w:hAnsi="宋体" w:eastAsia="宋体" w:cs="宋体"/>
          <w:sz w:val="28"/>
          <w:szCs w:val="28"/>
        </w:rPr>
        <w:t>工作。</w:t>
      </w:r>
    </w:p>
    <w:p w14:paraId="058CC565">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8.11进样重复性：≤0.5% RSD（填充柱进样口进1% C9 in C7,1 µL≤0.1%RSD）。</w:t>
      </w:r>
    </w:p>
    <w:p w14:paraId="047D5E54">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9、质谱仪系统技术参数</w:t>
      </w:r>
    </w:p>
    <w:p w14:paraId="5E8122E6">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9.1离子源：</w:t>
      </w:r>
    </w:p>
    <w:p w14:paraId="6D157D89">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9.1.1离子源部件包括灯丝在内≤12个，且无任何接线或螺丝。须提供实物图片证明。</w:t>
      </w:r>
    </w:p>
    <w:p w14:paraId="6C7DDF83">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sz w:val="28"/>
          <w:szCs w:val="28"/>
        </w:rPr>
        <w:t>9.1.2无需任何工</w:t>
      </w:r>
      <w:r>
        <w:rPr>
          <w:rFonts w:hint="eastAsia" w:ascii="宋体" w:hAnsi="宋体" w:eastAsia="宋体" w:cs="宋体"/>
          <w:color w:val="auto"/>
          <w:sz w:val="28"/>
          <w:szCs w:val="28"/>
        </w:rPr>
        <w:t>具，</w:t>
      </w:r>
      <w:r>
        <w:rPr>
          <w:rFonts w:hint="eastAsia" w:ascii="宋体" w:hAnsi="宋体" w:eastAsia="宋体" w:cs="宋体"/>
          <w:color w:val="auto"/>
          <w:sz w:val="28"/>
        </w:rPr>
        <w:t>≤</w:t>
      </w:r>
      <w:r>
        <w:rPr>
          <w:rFonts w:hint="eastAsia" w:ascii="宋体" w:hAnsi="宋体" w:eastAsia="宋体" w:cs="宋体"/>
          <w:color w:val="auto"/>
          <w:sz w:val="28"/>
          <w:szCs w:val="28"/>
        </w:rPr>
        <w:t>5分钟内即可完成拆装，提高离子源的维护效率。</w:t>
      </w:r>
    </w:p>
    <w:p w14:paraId="33F4906A">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9.1.3离子源具有卡槽锁定功能，从质谱仪上取出离子源或将离子源安装回质谱仪，只需旋转</w:t>
      </w:r>
      <w:r>
        <w:rPr>
          <w:rFonts w:hint="eastAsia" w:ascii="宋体" w:hAnsi="宋体" w:eastAsia="宋体" w:cs="宋体"/>
          <w:color w:val="auto"/>
          <w:sz w:val="28"/>
        </w:rPr>
        <w:t>≤</w:t>
      </w:r>
      <w:r>
        <w:rPr>
          <w:rFonts w:hint="eastAsia" w:ascii="宋体" w:hAnsi="宋体" w:eastAsia="宋体" w:cs="宋体"/>
          <w:color w:val="auto"/>
          <w:sz w:val="28"/>
          <w:szCs w:val="28"/>
        </w:rPr>
        <w:t>180度，即可实现自动位置对准和电路连接，方便维护操作。</w:t>
      </w:r>
    </w:p>
    <w:p w14:paraId="4854F4AB">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9.1.4具有先进的离子透镜系统，有效聚焦离子，提高灵敏度。</w:t>
      </w:r>
    </w:p>
    <w:p w14:paraId="7E3B2CDE">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9.1.5长寿命马拉松灯丝，加入了金属铼和惰性涂层，保证灯丝的长使用寿命，单根灯丝工作时间≥3800小时。</w:t>
      </w:r>
    </w:p>
    <w:p w14:paraId="3F353E4E">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9.1.6离子源温度：50-350℃。</w:t>
      </w:r>
    </w:p>
    <w:p w14:paraId="78A40156">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9.1.7高温传输线：50-350℃。</w:t>
      </w:r>
    </w:p>
    <w:p w14:paraId="46D439A0">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9.1.8 EI源和CI源切换时，只需整体更换离子源即可，方便操作。</w:t>
      </w:r>
    </w:p>
    <w:p w14:paraId="250B8717">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9.2质量分析器</w:t>
      </w:r>
    </w:p>
    <w:p w14:paraId="4215AC55">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9.2.1全实钼金属的预四极杆和分析四级杆，高惰性。</w:t>
      </w:r>
    </w:p>
    <w:p w14:paraId="54810B60">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9.2.2预四极杆和分析四级杆都可打磨可清洗，无需更换，降低使用和维护成本</w:t>
      </w:r>
    </w:p>
    <w:p w14:paraId="759E3B30">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9.2.3质量范围：1-1150 u。</w:t>
      </w:r>
    </w:p>
    <w:p w14:paraId="52518E0F">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9.2.4具有全扫描、全扫描与选择离子扫描（SIFI）和选择离子扫描（SIM或SIR）三种扫描模式，可实现同时全扫描和选择离子扫描。</w:t>
      </w:r>
    </w:p>
    <w:p w14:paraId="1DC3A566">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9.2.5质量稳定性：±0.1 m/z，超过48小时。</w:t>
      </w:r>
    </w:p>
    <w:p w14:paraId="75AD0C9F">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9.2.6扫描速率：≥12500 Da/sec。</w:t>
      </w:r>
    </w:p>
    <w:p w14:paraId="13271724">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sz w:val="28"/>
          <w:szCs w:val="28"/>
        </w:rPr>
        <w:t>9.3检测器</w:t>
      </w:r>
    </w:p>
    <w:p w14:paraId="0A961D5C">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9.3.1检测器前端具有先进的光学离子系统，可有效聚焦并过滤带电干扰。</w:t>
      </w:r>
    </w:p>
    <w:p w14:paraId="3BF10347">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9.3.2具有</w:t>
      </w:r>
      <w:r>
        <w:rPr>
          <w:rFonts w:hint="eastAsia" w:ascii="宋体" w:hAnsi="宋体" w:eastAsia="宋体" w:cs="宋体"/>
          <w:color w:val="auto"/>
          <w:sz w:val="28"/>
        </w:rPr>
        <w:t>≤</w:t>
      </w:r>
      <w:r>
        <w:rPr>
          <w:rFonts w:hint="eastAsia" w:ascii="宋体" w:hAnsi="宋体" w:eastAsia="宋体" w:cs="宋体"/>
          <w:color w:val="auto"/>
          <w:sz w:val="28"/>
          <w:szCs w:val="28"/>
        </w:rPr>
        <w:t>270度的离子转角设计，使中性离子的干扰减少到最小。</w:t>
      </w:r>
    </w:p>
    <w:p w14:paraId="28177EC1">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9.3.3高能打拿极背对离子出口以及高电压屏蔽又减少高电场引起的背景噪音，提高灵敏度。</w:t>
      </w:r>
    </w:p>
    <w:p w14:paraId="2866824A">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9.3.4离散型电子倍增检测器，具有</w:t>
      </w:r>
      <w:r>
        <w:rPr>
          <w:rFonts w:hint="eastAsia" w:ascii="宋体" w:hAnsi="宋体" w:eastAsia="宋体" w:cs="宋体"/>
          <w:color w:val="auto"/>
          <w:sz w:val="28"/>
        </w:rPr>
        <w:t>≥</w:t>
      </w:r>
      <w:r>
        <w:rPr>
          <w:rFonts w:hint="eastAsia" w:ascii="宋体" w:hAnsi="宋体" w:eastAsia="宋体" w:cs="宋体"/>
          <w:color w:val="auto"/>
          <w:sz w:val="28"/>
          <w:szCs w:val="28"/>
        </w:rPr>
        <w:t>19块，使电信号放大过程产生更小的电磁干扰，并具有高抗污染能力。</w:t>
      </w:r>
    </w:p>
    <w:p w14:paraId="7FA111FE">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9.3.5超宽线性范围：≥10</w:t>
      </w:r>
      <w:r>
        <w:rPr>
          <w:rFonts w:hint="eastAsia" w:ascii="宋体" w:hAnsi="宋体" w:eastAsia="宋体" w:cs="宋体"/>
          <w:color w:val="auto"/>
          <w:sz w:val="28"/>
          <w:szCs w:val="28"/>
          <w:vertAlign w:val="superscript"/>
        </w:rPr>
        <w:t>6</w:t>
      </w:r>
      <w:r>
        <w:rPr>
          <w:rFonts w:hint="eastAsia" w:ascii="宋体" w:hAnsi="宋体" w:eastAsia="宋体" w:cs="宋体"/>
          <w:color w:val="auto"/>
          <w:sz w:val="28"/>
          <w:szCs w:val="28"/>
        </w:rPr>
        <w:t>。</w:t>
      </w:r>
    </w:p>
    <w:p w14:paraId="613C378E">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9.3.6灵敏度</w:t>
      </w:r>
    </w:p>
    <w:p w14:paraId="5E2C2D35">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9.3.6.1 EI全扫描检测：1 pg八氟萘，信噪比≥3000：1 RMS；</w:t>
      </w:r>
    </w:p>
    <w:p w14:paraId="5FCF364D">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9.3.6.2 PCI全扫描检测：100pg二苯酮，信噪比≥1200：1 RMS；</w:t>
      </w:r>
    </w:p>
    <w:p w14:paraId="2B62FEF7">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9.3.6.3 NCI全扫描检测：1 pg八氟萘，信噪比≥10000：1 RMS。</w:t>
      </w:r>
    </w:p>
    <w:p w14:paraId="4C796526">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9.4真空系统</w:t>
      </w:r>
    </w:p>
    <w:p w14:paraId="0AA3D158">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sz w:val="28"/>
          <w:szCs w:val="28"/>
        </w:rPr>
        <w:t>9.4.1大容量分子涡轮泵抽真空≤5min，小容量分子涡轮泵抽真空≤8mi，达到空气/水本底值；从抽</w:t>
      </w:r>
      <w:r>
        <w:rPr>
          <w:rFonts w:hint="eastAsia" w:ascii="宋体" w:hAnsi="宋体" w:eastAsia="宋体" w:cs="宋体"/>
          <w:color w:val="auto"/>
          <w:sz w:val="28"/>
          <w:szCs w:val="28"/>
        </w:rPr>
        <w:t>真空开始</w:t>
      </w:r>
      <w:r>
        <w:rPr>
          <w:rFonts w:hint="eastAsia" w:ascii="宋体" w:hAnsi="宋体" w:eastAsia="宋体" w:cs="宋体"/>
          <w:color w:val="auto"/>
          <w:sz w:val="28"/>
        </w:rPr>
        <w:t>≤</w:t>
      </w:r>
      <w:r>
        <w:rPr>
          <w:rFonts w:hint="eastAsia" w:ascii="宋体" w:hAnsi="宋体" w:eastAsia="宋体" w:cs="宋体"/>
          <w:color w:val="auto"/>
          <w:sz w:val="28"/>
          <w:szCs w:val="28"/>
        </w:rPr>
        <w:t>5分钟之内即可开灯丝查看仪器状态或做样，真空度小于3*10</w:t>
      </w:r>
      <w:r>
        <w:rPr>
          <w:rFonts w:hint="eastAsia" w:ascii="宋体" w:hAnsi="宋体" w:eastAsia="宋体" w:cs="宋体"/>
          <w:color w:val="auto"/>
          <w:sz w:val="28"/>
          <w:szCs w:val="28"/>
          <w:vertAlign w:val="superscript"/>
        </w:rPr>
        <w:t>-5</w:t>
      </w:r>
      <w:r>
        <w:rPr>
          <w:rFonts w:hint="eastAsia" w:ascii="宋体" w:hAnsi="宋体" w:eastAsia="宋体" w:cs="宋体"/>
          <w:color w:val="auto"/>
          <w:sz w:val="28"/>
          <w:szCs w:val="28"/>
        </w:rPr>
        <w:t xml:space="preserve"> Torr。</w:t>
      </w:r>
    </w:p>
    <w:p w14:paraId="49A2DCF5">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highlight w:val="green"/>
        </w:rPr>
        <w:t>▲</w:t>
      </w:r>
      <w:r>
        <w:rPr>
          <w:rFonts w:hint="eastAsia" w:ascii="宋体" w:hAnsi="宋体" w:eastAsia="宋体" w:cs="宋体"/>
          <w:color w:val="auto"/>
          <w:sz w:val="28"/>
          <w:szCs w:val="28"/>
        </w:rPr>
        <w:t>9.4.2标配宽范围的真空计，可实时观察真空度变化，方便溶剂延迟时间等的确定。须提供软件截图证明。</w:t>
      </w:r>
    </w:p>
    <w:p w14:paraId="0803817E">
      <w:pPr>
        <w:snapToGrid w:val="0"/>
        <w:spacing w:line="500" w:lineRule="exact"/>
        <w:ind w:firstLine="616" w:firstLineChars="220"/>
        <w:rPr>
          <w:rFonts w:hint="eastAsia" w:ascii="宋体" w:hAnsi="宋体" w:eastAsia="宋体" w:cs="宋体"/>
          <w:color w:val="auto"/>
          <w:sz w:val="28"/>
          <w:szCs w:val="28"/>
        </w:rPr>
      </w:pPr>
      <w:r>
        <w:rPr>
          <w:rFonts w:hint="eastAsia" w:ascii="宋体" w:hAnsi="宋体" w:eastAsia="宋体" w:cs="宋体"/>
          <w:color w:val="auto"/>
          <w:sz w:val="28"/>
          <w:szCs w:val="28"/>
        </w:rPr>
        <w:t>9.4.3前级机械泵抽速：≥3.3m</w:t>
      </w:r>
      <w:r>
        <w:rPr>
          <w:rFonts w:hint="eastAsia" w:ascii="宋体" w:hAnsi="宋体" w:eastAsia="宋体" w:cs="宋体"/>
          <w:color w:val="auto"/>
          <w:sz w:val="28"/>
          <w:szCs w:val="28"/>
          <w:vertAlign w:val="superscript"/>
        </w:rPr>
        <w:t>3</w:t>
      </w:r>
      <w:r>
        <w:rPr>
          <w:rFonts w:hint="eastAsia" w:ascii="宋体" w:hAnsi="宋体" w:eastAsia="宋体" w:cs="宋体"/>
          <w:color w:val="auto"/>
          <w:sz w:val="28"/>
          <w:szCs w:val="28"/>
        </w:rPr>
        <w:t>/h。</w:t>
      </w:r>
    </w:p>
    <w:p w14:paraId="098B7420">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9.4.4单台大容量高分子涡轮泵抽速：≥330 L/sec。</w:t>
      </w:r>
    </w:p>
    <w:p w14:paraId="45F2AFB0">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9.4.5可选配氮气保护功能和快速卸真空功能，从降温到卸真空完成≤10min。须提证明文件。</w:t>
      </w:r>
    </w:p>
    <w:p w14:paraId="4D26C05A">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10、工作站软件</w:t>
      </w:r>
    </w:p>
    <w:p w14:paraId="745C4BEB">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10.1基于Windows 10工作环境下的工作站软件可同时控制自有品牌的顶空进样器、气相色谱仪和质谱仪，并进行数据采集和处理。</w:t>
      </w:r>
    </w:p>
    <w:p w14:paraId="13D95D2D">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10.2可控制气相色谱仪所有参数和运行，可实施编辑功能，自动进行序列样品分析；实时在线显示色谱图，积分并报告出分析结果，绘制标准曲线；具有自诊断程序。</w:t>
      </w:r>
    </w:p>
    <w:p w14:paraId="14D842EB">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10.3一次进样可同时采集全扫描和选择离子扫描的数据。</w:t>
      </w:r>
    </w:p>
    <w:p w14:paraId="478BF45B">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10.4有质谱数据谱库检索功能和质谱定量功能，并可提供多种报告格式的选择。</w:t>
      </w:r>
    </w:p>
    <w:p w14:paraId="5F2A2FBB">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10.5内置PostgreSQL数据库，强大的数据管理功能，保证数据的完整性和安全性。原始数据、仪器条件和处理参数等信息的关联由软件自动建立，用户无需记忆就能找到相应的信息。在数据库中，用户可以采用各种检索方式从大量的数据中取出想要的数据。</w:t>
      </w:r>
    </w:p>
    <w:p w14:paraId="70760F9E">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10.6具有数据安全性：符合cGMP/GLP和21 CFR Part 11法规的要求。登录时输入用户名和密码，每个使用者可以使用各自的用户名，密码和权限。</w:t>
      </w:r>
    </w:p>
    <w:p w14:paraId="6156196A">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11、配置清单：</w:t>
      </w:r>
    </w:p>
    <w:p w14:paraId="0E4B9852">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11.1气相色谱质谱联用仪主机1套：色谱仪主机1台（包含：≥150位液体自动进样器1台、惰性分流/不分流进样口1个）、FID检测器1个、质谱仪主机1台（包含：EI源1套等）；可摘取彩色触摸控制平板1套；工作站软件1套；NIST谱库1套；灵敏度测试液1瓶；石墨垫10个；标准扳手，6把/套，1套；进样硅胶隔垫（50个）；1/16英寸母螺母1个；O型圈2个；不分流衬管2个；聚焦衬管5个；5µL自动进样器针1根；石英玻璃毛5克；质谱仪灯丝1个；真空泵油1L；质谱仪维护工具包（包括：手套，氧化铝粉等）1套；黄铜三通 3个；旋盖自动进样器小瓶200个；旋盖自动进样器小瓶瓶盖和隔垫200个；质谱载气过滤器1套。</w:t>
      </w:r>
    </w:p>
    <w:p w14:paraId="051F277B">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11.2质谱专用毛细管色谱柱2根，根据实际需求配置。</w:t>
      </w:r>
    </w:p>
    <w:p w14:paraId="173A5B2C">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11.3数据处理系统1台；数据输出终端1台。</w:t>
      </w:r>
    </w:p>
    <w:p w14:paraId="34C87762">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11.4 10KVA延时1小时不间断UPS电源1套。</w:t>
      </w:r>
    </w:p>
    <w:p w14:paraId="0998C09F">
      <w:pPr>
        <w:snapToGrid w:val="0"/>
        <w:spacing w:line="500" w:lineRule="exact"/>
        <w:ind w:firstLine="616" w:firstLineChars="220"/>
        <w:rPr>
          <w:rFonts w:hint="eastAsia" w:ascii="宋体" w:hAnsi="宋体" w:eastAsia="宋体" w:cs="宋体"/>
          <w:sz w:val="28"/>
          <w:szCs w:val="28"/>
        </w:rPr>
      </w:pPr>
      <w:r>
        <w:rPr>
          <w:rFonts w:hint="eastAsia" w:ascii="宋体" w:hAnsi="宋体" w:eastAsia="宋体" w:cs="宋体"/>
          <w:sz w:val="28"/>
          <w:szCs w:val="28"/>
        </w:rPr>
        <w:t>11.5 40L高纯氦气气体、钢瓶及减压阀1套。</w:t>
      </w:r>
    </w:p>
    <w:p w14:paraId="44225B51">
      <w:pPr>
        <w:pStyle w:val="87"/>
        <w:spacing w:line="500" w:lineRule="exact"/>
        <w:jc w:val="center"/>
        <w:rPr>
          <w:rFonts w:hint="eastAsia" w:ascii="宋体" w:hAnsi="宋体" w:eastAsia="宋体" w:cs="宋体"/>
          <w:b/>
          <w:color w:val="auto"/>
          <w:sz w:val="28"/>
          <w:szCs w:val="28"/>
        </w:rPr>
      </w:pPr>
    </w:p>
    <w:p w14:paraId="51A0F2A5">
      <w:pPr>
        <w:spacing w:line="500" w:lineRule="exact"/>
        <w:rPr>
          <w:rFonts w:hint="eastAsia" w:ascii="宋体" w:hAnsi="宋体" w:eastAsia="宋体" w:cs="宋体"/>
          <w:b/>
          <w:bCs/>
          <w:sz w:val="28"/>
          <w:szCs w:val="28"/>
        </w:rPr>
      </w:pPr>
      <w:r>
        <w:rPr>
          <w:rFonts w:hint="eastAsia" w:ascii="宋体" w:hAnsi="宋体" w:eastAsia="宋体" w:cs="宋体"/>
          <w:b/>
          <w:sz w:val="28"/>
          <w:szCs w:val="28"/>
        </w:rPr>
        <w:t>备注：以上11项参数，其中实质性参数（</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w:t>
      </w:r>
      <w:r>
        <w:rPr>
          <w:rFonts w:hint="eastAsia" w:ascii="宋体" w:hAnsi="宋体" w:eastAsia="宋体" w:cs="宋体"/>
          <w:b/>
          <w:sz w:val="28"/>
          <w:szCs w:val="28"/>
        </w:rPr>
        <w:t>）2项，不允许负偏离。重要参数（</w:t>
      </w:r>
      <w:r>
        <w:rPr>
          <w:rFonts w:hint="eastAsia" w:ascii="宋体" w:hAnsi="宋体" w:eastAsia="宋体" w:cs="宋体"/>
          <w:b/>
          <w:sz w:val="28"/>
          <w:szCs w:val="28"/>
          <w:highlight w:val="green"/>
        </w:rPr>
        <w:t>▲</w:t>
      </w:r>
      <w:r>
        <w:rPr>
          <w:rFonts w:hint="eastAsia" w:ascii="宋体" w:hAnsi="宋体" w:eastAsia="宋体" w:cs="宋体"/>
          <w:b/>
          <w:sz w:val="28"/>
          <w:szCs w:val="28"/>
        </w:rPr>
        <w:t>号项）1项，其他非</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号项和非</w:t>
      </w:r>
      <w:r>
        <w:rPr>
          <w:rFonts w:hint="eastAsia" w:ascii="宋体" w:hAnsi="宋体" w:eastAsia="宋体" w:cs="宋体"/>
          <w:b/>
          <w:sz w:val="28"/>
          <w:szCs w:val="28"/>
          <w:highlight w:val="green"/>
        </w:rPr>
        <w:t>▲</w:t>
      </w:r>
      <w:r>
        <w:rPr>
          <w:rFonts w:hint="eastAsia" w:ascii="宋体" w:hAnsi="宋体" w:eastAsia="宋体" w:cs="宋体"/>
          <w:b/>
          <w:bCs/>
          <w:sz w:val="28"/>
          <w:szCs w:val="28"/>
        </w:rPr>
        <w:t>号项为一般参数项（10项），</w:t>
      </w:r>
      <w:r>
        <w:rPr>
          <w:rFonts w:hint="eastAsia" w:ascii="宋体" w:hAnsi="宋体" w:eastAsia="宋体" w:cs="宋体"/>
          <w:b/>
          <w:color w:val="000000"/>
          <w:sz w:val="28"/>
          <w:szCs w:val="28"/>
        </w:rPr>
        <w:t>参数8.1-8.11</w:t>
      </w:r>
      <w:r>
        <w:rPr>
          <w:rFonts w:hint="eastAsia" w:ascii="宋体" w:hAnsi="宋体" w:eastAsia="宋体" w:cs="宋体"/>
          <w:b/>
          <w:bCs/>
          <w:sz w:val="28"/>
          <w:szCs w:val="28"/>
        </w:rPr>
        <w:t>为一般参数项，按1项计。</w:t>
      </w:r>
    </w:p>
    <w:p w14:paraId="6C905F77">
      <w:pPr>
        <w:spacing w:line="500" w:lineRule="exact"/>
        <w:rPr>
          <w:rFonts w:hint="eastAsia" w:ascii="宋体" w:hAnsi="宋体" w:eastAsia="宋体" w:cs="宋体"/>
          <w:color w:val="000000"/>
          <w:sz w:val="28"/>
          <w:szCs w:val="28"/>
        </w:rPr>
      </w:pPr>
      <w:r>
        <w:rPr>
          <w:rFonts w:hint="eastAsia" w:ascii="宋体" w:hAnsi="宋体" w:eastAsia="宋体" w:cs="宋体"/>
          <w:b/>
          <w:color w:val="000000"/>
          <w:sz w:val="28"/>
          <w:szCs w:val="28"/>
        </w:rPr>
        <w:br w:type="page"/>
      </w:r>
    </w:p>
    <w:p w14:paraId="79AB3E34">
      <w:pPr>
        <w:snapToGrid w:val="0"/>
        <w:spacing w:line="500" w:lineRule="exact"/>
        <w:ind w:left="672"/>
        <w:rPr>
          <w:rFonts w:hint="eastAsia" w:ascii="宋体" w:hAnsi="宋体" w:eastAsia="宋体" w:cs="宋体"/>
          <w:color w:val="000000"/>
          <w:sz w:val="28"/>
          <w:szCs w:val="28"/>
        </w:rPr>
      </w:pPr>
      <w:r>
        <w:rPr>
          <w:rFonts w:hint="eastAsia" w:ascii="宋体" w:hAnsi="宋体" w:eastAsia="宋体" w:cs="宋体"/>
          <w:b/>
          <w:color w:val="000000"/>
          <w:sz w:val="28"/>
          <w:szCs w:val="28"/>
        </w:rPr>
        <w:t>25、品目名称：制备液相色谱仪（国产）</w:t>
      </w:r>
    </w:p>
    <w:p w14:paraId="397E5956">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sz w:val="28"/>
          <w:szCs w:val="28"/>
        </w:rPr>
        <w:t>1）</w:t>
      </w:r>
      <w:r>
        <w:rPr>
          <w:rFonts w:hint="eastAsia" w:ascii="宋体" w:hAnsi="宋体" w:eastAsia="宋体" w:cs="宋体"/>
          <w:color w:val="000000"/>
          <w:sz w:val="28"/>
          <w:szCs w:val="28"/>
        </w:rPr>
        <w:t>规格</w:t>
      </w:r>
    </w:p>
    <w:p w14:paraId="3F36093D">
      <w:pPr>
        <w:snapToGrid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带</w:t>
      </w:r>
      <w:r>
        <w:rPr>
          <w:rFonts w:hint="eastAsia" w:ascii="宋体" w:hAnsi="宋体" w:eastAsia="宋体" w:cs="宋体"/>
          <w:color w:val="000000"/>
          <w:sz w:val="28"/>
          <w:szCs w:val="28"/>
        </w:rPr>
        <w:t>制备紫外检测器和示差检测器</w:t>
      </w:r>
      <w:r>
        <w:rPr>
          <w:rFonts w:hint="eastAsia" w:ascii="宋体" w:hAnsi="宋体" w:eastAsia="宋体" w:cs="宋体"/>
          <w:sz w:val="28"/>
          <w:szCs w:val="28"/>
        </w:rPr>
        <w:t>各1</w:t>
      </w:r>
      <w:r>
        <w:rPr>
          <w:rFonts w:hint="eastAsia" w:ascii="宋体" w:hAnsi="宋体" w:eastAsia="宋体" w:cs="宋体"/>
          <w:color w:val="000000"/>
          <w:sz w:val="28"/>
          <w:szCs w:val="28"/>
        </w:rPr>
        <w:t>台。</w:t>
      </w:r>
    </w:p>
    <w:p w14:paraId="170D5090">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rPr>
        <w:t>详细参数</w:t>
      </w:r>
    </w:p>
    <w:p w14:paraId="74D87143">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一、适用范围：</w:t>
      </w:r>
    </w:p>
    <w:p w14:paraId="2E7E0616">
      <w:pPr>
        <w:snapToGrid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天然产物分离，有机合成产物分离纯化，新药化合物筛选，HPLC样品前处理等。</w:t>
      </w:r>
    </w:p>
    <w:p w14:paraId="33BC3F74">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二、工作条件</w:t>
      </w:r>
      <w:r>
        <w:rPr>
          <w:rFonts w:hint="eastAsia" w:ascii="宋体" w:hAnsi="宋体" w:eastAsia="宋体" w:cs="宋体"/>
          <w:b/>
          <w:bCs/>
          <w:sz w:val="28"/>
          <w:szCs w:val="28"/>
        </w:rPr>
        <w:t>（备注：以下参数1项）</w:t>
      </w:r>
    </w:p>
    <w:p w14:paraId="57DB073A">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1.1.电源：220V±10%，50-60 Hz。</w:t>
      </w:r>
    </w:p>
    <w:p w14:paraId="08B11DDB">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1.2.温度：4-55℃。</w:t>
      </w:r>
    </w:p>
    <w:p w14:paraId="0DD30F9C">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1.3.相对湿度：≤5%。</w:t>
      </w:r>
    </w:p>
    <w:p w14:paraId="750A9E39">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三、仪器性能参数：</w:t>
      </w:r>
      <w:r>
        <w:rPr>
          <w:rFonts w:hint="eastAsia" w:ascii="宋体" w:hAnsi="宋体" w:eastAsia="宋体" w:cs="宋体"/>
          <w:b/>
          <w:bCs/>
          <w:sz w:val="28"/>
          <w:szCs w:val="28"/>
        </w:rPr>
        <w:t>（备注：以下参数9项）</w:t>
      </w:r>
    </w:p>
    <w:p w14:paraId="3364E6A5">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1、采用积木式任意组合，可配置多种检测器，满足不同检测需要。</w:t>
      </w:r>
    </w:p>
    <w:p w14:paraId="54C33E16">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2、高压梯度制备泵：</w:t>
      </w:r>
    </w:p>
    <w:p w14:paraId="7D1FCD88">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highlight w:val="cyan"/>
        </w:rPr>
        <w:t>★</w:t>
      </w:r>
      <w:r>
        <w:rPr>
          <w:rFonts w:hint="eastAsia" w:ascii="宋体" w:hAnsi="宋体" w:eastAsia="宋体" w:cs="宋体"/>
          <w:color w:val="000000"/>
          <w:sz w:val="28"/>
          <w:szCs w:val="28"/>
        </w:rPr>
        <w:t>2.1往复式双柱塞并联泵，由两个相同不锈钢泵头及两组完全相同的输入输出单向阀及管路组成，密封圈，柱塞杆使用寿命比串联泵多一倍。</w:t>
      </w:r>
    </w:p>
    <w:p w14:paraId="481CE027">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2.2一体式单向阀。</w:t>
      </w:r>
    </w:p>
    <w:p w14:paraId="16D01ADA">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2.3柱塞杆自动缩进。</w:t>
      </w:r>
    </w:p>
    <w:p w14:paraId="48A2D923">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2.4流量控制范围：0.01～50ml/min 压力脉动：≤0.2Mpa。</w:t>
      </w:r>
    </w:p>
    <w:p w14:paraId="2A70F98B">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2.5最高工作压力：</w:t>
      </w:r>
      <w:r>
        <w:rPr>
          <w:rFonts w:hint="eastAsia" w:ascii="宋体" w:hAnsi="宋体" w:eastAsia="宋体" w:cs="宋体"/>
          <w:color w:val="EE0000"/>
          <w:sz w:val="28"/>
        </w:rPr>
        <w:t>≥</w:t>
      </w:r>
      <w:r>
        <w:rPr>
          <w:rFonts w:hint="eastAsia" w:ascii="宋体" w:hAnsi="宋体" w:eastAsia="宋体" w:cs="宋体"/>
          <w:color w:val="000000"/>
          <w:sz w:val="28"/>
          <w:szCs w:val="28"/>
        </w:rPr>
        <w:t>40MPa。</w:t>
      </w:r>
    </w:p>
    <w:p w14:paraId="4B221D91">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2.6流量准确度：±2%。</w:t>
      </w:r>
    </w:p>
    <w:p w14:paraId="76D515DE">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2.7流量精确度：RSD≤0.2%。</w:t>
      </w:r>
    </w:p>
    <w:p w14:paraId="67B4EFD0">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2.7流速稳定性误差：≤0.5%。</w:t>
      </w:r>
    </w:p>
    <w:p w14:paraId="2360FCAB">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2.8二元高压比列梯度。</w:t>
      </w:r>
    </w:p>
    <w:p w14:paraId="3C429124">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3、制备紫外检测器</w:t>
      </w:r>
    </w:p>
    <w:p w14:paraId="119BB3D4">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3.1双光路；进口氘灯。</w:t>
      </w:r>
    </w:p>
    <w:p w14:paraId="1D4E8FC1">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sz w:val="28"/>
          <w:szCs w:val="28"/>
          <w:highlight w:val="green"/>
        </w:rPr>
        <w:t>▲</w:t>
      </w:r>
      <w:r>
        <w:rPr>
          <w:rFonts w:hint="eastAsia" w:ascii="宋体" w:hAnsi="宋体" w:eastAsia="宋体" w:cs="宋体"/>
          <w:color w:val="000000"/>
          <w:sz w:val="28"/>
          <w:szCs w:val="28"/>
        </w:rPr>
        <w:t>3.2流通池体积≥6ul，采用平行双锥孔设计。（提供盖章结构证明图）</w:t>
      </w:r>
    </w:p>
    <w:p w14:paraId="69ED9A61">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3.3波长范围：190-680nm。</w:t>
      </w:r>
    </w:p>
    <w:p w14:paraId="5B486F13">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3.4基线噪音：≤1×10</w:t>
      </w:r>
      <w:r>
        <w:rPr>
          <w:rFonts w:hint="eastAsia" w:ascii="宋体" w:hAnsi="宋体" w:eastAsia="宋体" w:cs="宋体"/>
          <w:color w:val="000000"/>
          <w:sz w:val="28"/>
          <w:szCs w:val="28"/>
          <w:vertAlign w:val="superscript"/>
        </w:rPr>
        <w:t>-5</w:t>
      </w:r>
      <w:r>
        <w:rPr>
          <w:rFonts w:hint="eastAsia" w:ascii="宋体" w:hAnsi="宋体" w:eastAsia="宋体" w:cs="宋体"/>
          <w:color w:val="000000"/>
          <w:sz w:val="28"/>
          <w:szCs w:val="28"/>
        </w:rPr>
        <w:t>AU。</w:t>
      </w:r>
    </w:p>
    <w:p w14:paraId="04DA2511">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3.5基线漂移：≤2×10</w:t>
      </w:r>
      <w:r>
        <w:rPr>
          <w:rFonts w:hint="eastAsia" w:ascii="宋体" w:hAnsi="宋体" w:eastAsia="宋体" w:cs="宋体"/>
          <w:color w:val="000000"/>
          <w:sz w:val="28"/>
          <w:szCs w:val="28"/>
          <w:vertAlign w:val="superscript"/>
        </w:rPr>
        <w:t>-4</w:t>
      </w:r>
      <w:r>
        <w:rPr>
          <w:rFonts w:hint="eastAsia" w:ascii="宋体" w:hAnsi="宋体" w:eastAsia="宋体" w:cs="宋体"/>
          <w:color w:val="000000"/>
          <w:sz w:val="28"/>
          <w:szCs w:val="28"/>
        </w:rPr>
        <w:t>AU。</w:t>
      </w:r>
    </w:p>
    <w:p w14:paraId="3FCCA5A3">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3.6波长准确度：±1nm。</w:t>
      </w:r>
    </w:p>
    <w:p w14:paraId="28FB3B5A">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3.7波长重复性：≤0.1nm。</w:t>
      </w:r>
    </w:p>
    <w:p w14:paraId="4920BD11">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3.8采用可更换流通池设计，根据需求可选配0.5mm、1.0mm、2.0mm、4.0mm。</w:t>
      </w:r>
    </w:p>
    <w:p w14:paraId="0802190F">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3.9通讯:全数字交换系统，RS232 串口或USB口连接，软件全面反控。</w:t>
      </w:r>
    </w:p>
    <w:p w14:paraId="7D0EBAF6">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4、示差检测器</w:t>
      </w:r>
    </w:p>
    <w:p w14:paraId="255FB85E">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4.1折光率范围：1.00～1.75。</w:t>
      </w:r>
    </w:p>
    <w:p w14:paraId="6430A1D9">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4.2有效范围：0-1000 µRIU。</w:t>
      </w:r>
    </w:p>
    <w:p w14:paraId="38BDE869">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4.3漂移：≤0.2μRIU/h。</w:t>
      </w:r>
    </w:p>
    <w:p w14:paraId="6889D12B">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000000"/>
          <w:sz w:val="28"/>
          <w:szCs w:val="28"/>
        </w:rPr>
        <w:t>4.4自动归零：全</w:t>
      </w:r>
      <w:r>
        <w:rPr>
          <w:rFonts w:hint="eastAsia" w:ascii="宋体" w:hAnsi="宋体" w:eastAsia="宋体" w:cs="宋体"/>
          <w:color w:val="auto"/>
          <w:sz w:val="28"/>
          <w:szCs w:val="28"/>
        </w:rPr>
        <w:t>自动归零。</w:t>
      </w:r>
    </w:p>
    <w:p w14:paraId="0A2A5456">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szCs w:val="28"/>
        </w:rPr>
        <w:t>4.5温控：30～55℃；</w:t>
      </w:r>
      <w:r>
        <w:rPr>
          <w:rFonts w:hint="eastAsia" w:ascii="宋体" w:hAnsi="宋体" w:eastAsia="宋体" w:cs="宋体"/>
          <w:color w:val="auto"/>
          <w:sz w:val="28"/>
        </w:rPr>
        <w:t>≥</w:t>
      </w:r>
      <w:r>
        <w:rPr>
          <w:rFonts w:hint="eastAsia" w:ascii="宋体" w:hAnsi="宋体" w:eastAsia="宋体" w:cs="宋体"/>
          <w:color w:val="auto"/>
          <w:sz w:val="28"/>
          <w:szCs w:val="28"/>
        </w:rPr>
        <w:t>77℃保险丝（双重温控）。</w:t>
      </w:r>
    </w:p>
    <w:p w14:paraId="14F2286F">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szCs w:val="28"/>
        </w:rPr>
        <w:t>4.6流通池：玻璃池（石英）两室。</w:t>
      </w:r>
    </w:p>
    <w:p w14:paraId="2905DEDA">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szCs w:val="28"/>
        </w:rPr>
        <w:t>4.7噪声（模拟信号）：±7 nRIU (±7 µV)。</w:t>
      </w:r>
    </w:p>
    <w:p w14:paraId="61431155">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szCs w:val="28"/>
        </w:rPr>
        <w:t>4.8噪声（数字输出）：±3 nRIU (±3 µV)。</w:t>
      </w:r>
    </w:p>
    <w:p w14:paraId="64FCD64C">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szCs w:val="28"/>
        </w:rPr>
        <w:t>4.9漂移：≤1 µRIU/h (≤1mV/h)。</w:t>
      </w:r>
    </w:p>
    <w:p w14:paraId="52B61B71">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szCs w:val="28"/>
        </w:rPr>
        <w:t>5、Rheodyne7725i，带触发器。</w:t>
      </w:r>
    </w:p>
    <w:p w14:paraId="00A87DD9">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szCs w:val="28"/>
        </w:rPr>
        <w:t>6、反控色谱工作站</w:t>
      </w:r>
    </w:p>
    <w:p w14:paraId="6A9A807A">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szCs w:val="28"/>
        </w:rPr>
        <w:t>6.1整机反控，全数字信号输出方式。</w:t>
      </w:r>
    </w:p>
    <w:p w14:paraId="443FC36D">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szCs w:val="28"/>
        </w:rPr>
        <w:t>6.2具有直接启动泵；对流量设置，实现梯度洗脱，多种压力单位转化；设置压力上、下限；流量、压力实时监控；设置波长；氘灯开关；能显示氘灯使用时间。</w:t>
      </w:r>
    </w:p>
    <w:p w14:paraId="5D391725">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szCs w:val="28"/>
        </w:rPr>
        <w:t>6.3具有光谱扫描，变波长扫描。</w:t>
      </w:r>
    </w:p>
    <w:p w14:paraId="7239CB84">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szCs w:val="28"/>
        </w:rPr>
        <w:t>6.4具有时间程序控制的事件继电器，如切换转向阀实现分离回收流动相等功能。</w:t>
      </w:r>
    </w:p>
    <w:p w14:paraId="2E41886E">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szCs w:val="28"/>
        </w:rPr>
        <w:t>7、自动进样器</w:t>
      </w:r>
    </w:p>
    <w:p w14:paraId="231BB902">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szCs w:val="28"/>
        </w:rPr>
        <w:t>7.1样品数量：双托盘，2ml,5ml,10ml等多种进样盘可选。</w:t>
      </w:r>
    </w:p>
    <w:p w14:paraId="79953B6B">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highlight w:val="cyan"/>
        </w:rPr>
        <w:t>★</w:t>
      </w:r>
      <w:r>
        <w:rPr>
          <w:rFonts w:hint="eastAsia" w:ascii="宋体" w:hAnsi="宋体" w:eastAsia="宋体" w:cs="宋体"/>
          <w:color w:val="auto"/>
          <w:sz w:val="28"/>
          <w:szCs w:val="28"/>
        </w:rPr>
        <w:t>7.2进样方式：</w:t>
      </w:r>
      <w:r>
        <w:rPr>
          <w:rFonts w:hint="eastAsia" w:ascii="宋体" w:hAnsi="宋体" w:eastAsia="宋体" w:cs="宋体"/>
          <w:color w:val="auto"/>
          <w:sz w:val="28"/>
        </w:rPr>
        <w:t>≥3</w:t>
      </w:r>
      <w:r>
        <w:rPr>
          <w:rFonts w:hint="eastAsia" w:ascii="宋体" w:hAnsi="宋体" w:eastAsia="宋体" w:cs="宋体"/>
          <w:color w:val="auto"/>
          <w:sz w:val="28"/>
          <w:szCs w:val="28"/>
        </w:rPr>
        <w:t>种进样方式（全定量环进样，部分进样，微量进样）。</w:t>
      </w:r>
    </w:p>
    <w:p w14:paraId="6D1572D3">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szCs w:val="28"/>
        </w:rPr>
        <w:t>7.3进样重现性：全定量环进样：RSD≤0.3%。</w:t>
      </w:r>
    </w:p>
    <w:p w14:paraId="6AE30BB3">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szCs w:val="28"/>
        </w:rPr>
        <w:t>7.4最大压力：</w:t>
      </w:r>
      <w:r>
        <w:rPr>
          <w:rFonts w:hint="eastAsia" w:ascii="宋体" w:hAnsi="宋体" w:eastAsia="宋体" w:cs="宋体"/>
          <w:color w:val="auto"/>
          <w:sz w:val="28"/>
        </w:rPr>
        <w:t>≥</w:t>
      </w:r>
      <w:r>
        <w:rPr>
          <w:rFonts w:hint="eastAsia" w:ascii="宋体" w:hAnsi="宋体" w:eastAsia="宋体" w:cs="宋体"/>
          <w:color w:val="auto"/>
          <w:sz w:val="28"/>
          <w:szCs w:val="28"/>
        </w:rPr>
        <w:t>40MPa（常规），</w:t>
      </w:r>
      <w:r>
        <w:rPr>
          <w:rFonts w:hint="eastAsia" w:ascii="宋体" w:hAnsi="宋体" w:eastAsia="宋体" w:cs="宋体"/>
          <w:color w:val="auto"/>
          <w:sz w:val="28"/>
        </w:rPr>
        <w:t>≥</w:t>
      </w:r>
      <w:r>
        <w:rPr>
          <w:rFonts w:hint="eastAsia" w:ascii="宋体" w:hAnsi="宋体" w:eastAsia="宋体" w:cs="宋体"/>
          <w:color w:val="auto"/>
          <w:sz w:val="28"/>
          <w:szCs w:val="28"/>
        </w:rPr>
        <w:t>60MPa（超高效系统）。</w:t>
      </w:r>
    </w:p>
    <w:p w14:paraId="2344C665">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szCs w:val="28"/>
        </w:rPr>
        <w:t>7.5自动保护功能：缺瓶报警，顶针报警，管路阻塞报警，泄漏报警。</w:t>
      </w:r>
    </w:p>
    <w:p w14:paraId="2F48C8F1">
      <w:pPr>
        <w:snapToGrid w:val="0"/>
        <w:spacing w:line="500" w:lineRule="exact"/>
        <w:ind w:firstLine="672"/>
        <w:rPr>
          <w:rFonts w:hint="eastAsia" w:ascii="宋体" w:hAnsi="宋体" w:eastAsia="宋体" w:cs="宋体"/>
          <w:color w:val="auto"/>
          <w:sz w:val="28"/>
          <w:szCs w:val="28"/>
        </w:rPr>
      </w:pPr>
      <w:r>
        <w:rPr>
          <w:rFonts w:hint="eastAsia" w:ascii="宋体" w:hAnsi="宋体" w:eastAsia="宋体" w:cs="宋体"/>
          <w:color w:val="auto"/>
          <w:sz w:val="28"/>
          <w:szCs w:val="28"/>
        </w:rPr>
        <w:t>8、自动馏分收集器</w:t>
      </w:r>
    </w:p>
    <w:p w14:paraId="47A5B158">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auto"/>
          <w:sz w:val="28"/>
          <w:szCs w:val="28"/>
        </w:rPr>
        <w:t xml:space="preserve">8.1采用≥7寸高清全彩电容触摸液晶屏 </w:t>
      </w:r>
      <w:r>
        <w:rPr>
          <w:rFonts w:hint="eastAsia" w:ascii="宋体" w:hAnsi="宋体" w:eastAsia="宋体" w:cs="宋体"/>
          <w:color w:val="auto"/>
          <w:sz w:val="28"/>
        </w:rPr>
        <w:t>≥</w:t>
      </w:r>
      <w:r>
        <w:rPr>
          <w:rFonts w:hint="eastAsia" w:ascii="宋体" w:hAnsi="宋体" w:eastAsia="宋体" w:cs="宋体"/>
          <w:color w:val="auto"/>
          <w:sz w:val="28"/>
          <w:szCs w:val="28"/>
        </w:rPr>
        <w:t>1024*600，图形模</w:t>
      </w:r>
      <w:r>
        <w:rPr>
          <w:rFonts w:hint="eastAsia" w:ascii="宋体" w:hAnsi="宋体" w:eastAsia="宋体" w:cs="宋体"/>
          <w:color w:val="000000"/>
          <w:sz w:val="28"/>
          <w:szCs w:val="28"/>
        </w:rPr>
        <w:t>式，多层菜单式操作。</w:t>
      </w:r>
    </w:p>
    <w:p w14:paraId="3A91589B">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8.2定时收集范围：每支试管1秒-999小时59分任意选择。</w:t>
      </w:r>
    </w:p>
    <w:p w14:paraId="750111C4">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8.3定滴收集范围：每支试管1-60万滴任意选择不同滴数。</w:t>
      </w:r>
    </w:p>
    <w:p w14:paraId="451375C7">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8.4定峰收集范围：±5V，分辨率≤0.01mV。</w:t>
      </w:r>
    </w:p>
    <w:p w14:paraId="169A2A96">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8.5馏分收集试管：≥63支。</w:t>
      </w:r>
    </w:p>
    <w:p w14:paraId="3360876C">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8.6采用方形设计及悬挂式X-Y移动方式，配备有≥16种走管方式。</w:t>
      </w:r>
    </w:p>
    <w:p w14:paraId="1938064A">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8.7试管架设定：可设置收集任意试管，瓶自由组合试管盘可选：16/36/100/169任意组合。</w:t>
      </w:r>
    </w:p>
    <w:p w14:paraId="15560660">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8.8 有≥2个进口阀进行换管控制，≥2个紫外通道，≥1个泵接口，可存储≥16M数据。</w:t>
      </w:r>
    </w:p>
    <w:p w14:paraId="203F3AE9">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8.9电机执行速度：≥500RPM Max。</w:t>
      </w:r>
    </w:p>
    <w:p w14:paraId="19F89036">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9、配置清单</w:t>
      </w:r>
    </w:p>
    <w:p w14:paraId="57758B50">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9.1.高压半制备梯度系统1套。</w:t>
      </w:r>
    </w:p>
    <w:p w14:paraId="536E67CF">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9.2半制备紫外检测器1台。</w:t>
      </w:r>
    </w:p>
    <w:p w14:paraId="4D9151AE">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9.3示差检测器1台。</w:t>
      </w:r>
    </w:p>
    <w:p w14:paraId="5AF7661D">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9.4自动进样器1台。</w:t>
      </w:r>
    </w:p>
    <w:p w14:paraId="60154192">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9.5自动馏分收集器1台。</w:t>
      </w:r>
    </w:p>
    <w:p w14:paraId="2A81727B">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9.6制备型混合器1个。</w:t>
      </w:r>
    </w:p>
    <w:p w14:paraId="43119680">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9.5比例阀组件1套。</w:t>
      </w:r>
    </w:p>
    <w:p w14:paraId="14C780B9">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9.6操作软件1套。</w:t>
      </w:r>
    </w:p>
    <w:p w14:paraId="44A1F2FA">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9.7进样阀1套。</w:t>
      </w:r>
    </w:p>
    <w:p w14:paraId="13F33C63">
      <w:pPr>
        <w:snapToGrid w:val="0"/>
        <w:spacing w:line="500" w:lineRule="exact"/>
        <w:ind w:firstLine="672"/>
        <w:rPr>
          <w:rFonts w:hint="eastAsia" w:ascii="宋体" w:hAnsi="宋体" w:eastAsia="宋体" w:cs="宋体"/>
          <w:color w:val="000000"/>
          <w:sz w:val="28"/>
          <w:szCs w:val="28"/>
        </w:rPr>
      </w:pPr>
      <w:r>
        <w:rPr>
          <w:rFonts w:hint="eastAsia" w:ascii="宋体" w:hAnsi="宋体" w:eastAsia="宋体" w:cs="宋体"/>
          <w:color w:val="000000"/>
          <w:sz w:val="28"/>
          <w:szCs w:val="28"/>
        </w:rPr>
        <w:t>9.8半制备柱2根。</w:t>
      </w:r>
    </w:p>
    <w:p w14:paraId="75605417">
      <w:pPr>
        <w:snapToGrid w:val="0"/>
        <w:spacing w:line="500" w:lineRule="exact"/>
        <w:ind w:firstLine="672"/>
        <w:rPr>
          <w:rFonts w:hint="eastAsia" w:ascii="宋体" w:hAnsi="宋体" w:eastAsia="宋体" w:cs="宋体"/>
          <w:sz w:val="28"/>
          <w:szCs w:val="28"/>
        </w:rPr>
      </w:pPr>
      <w:r>
        <w:rPr>
          <w:rFonts w:hint="eastAsia" w:ascii="宋体" w:hAnsi="宋体" w:eastAsia="宋体" w:cs="宋体"/>
          <w:color w:val="000000"/>
          <w:sz w:val="28"/>
          <w:szCs w:val="28"/>
        </w:rPr>
        <w:t>9.9数据处理系统1台；数据输出终端1台。</w:t>
      </w:r>
    </w:p>
    <w:p w14:paraId="0B86E40E">
      <w:pPr>
        <w:pStyle w:val="87"/>
        <w:spacing w:line="500" w:lineRule="exact"/>
        <w:jc w:val="center"/>
        <w:rPr>
          <w:rFonts w:hint="eastAsia" w:ascii="宋体" w:hAnsi="宋体" w:eastAsia="宋体" w:cs="宋体"/>
          <w:b/>
          <w:color w:val="auto"/>
          <w:sz w:val="28"/>
          <w:szCs w:val="28"/>
        </w:rPr>
      </w:pPr>
    </w:p>
    <w:p w14:paraId="34D70185">
      <w:pPr>
        <w:spacing w:line="500" w:lineRule="exact"/>
        <w:rPr>
          <w:rFonts w:hint="eastAsia" w:ascii="宋体" w:hAnsi="宋体" w:eastAsia="宋体" w:cs="宋体"/>
          <w:b/>
          <w:bCs/>
          <w:sz w:val="28"/>
          <w:szCs w:val="28"/>
        </w:rPr>
      </w:pPr>
      <w:r>
        <w:rPr>
          <w:rFonts w:hint="eastAsia" w:ascii="宋体" w:hAnsi="宋体" w:eastAsia="宋体" w:cs="宋体"/>
          <w:b/>
          <w:sz w:val="28"/>
          <w:szCs w:val="28"/>
        </w:rPr>
        <w:t>备注：以上10项参数，其中实质性参数（</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w:t>
      </w:r>
      <w:r>
        <w:rPr>
          <w:rFonts w:hint="eastAsia" w:ascii="宋体" w:hAnsi="宋体" w:eastAsia="宋体" w:cs="宋体"/>
          <w:b/>
          <w:sz w:val="28"/>
          <w:szCs w:val="28"/>
        </w:rPr>
        <w:t>）2项，不允许负偏离。重要参数（</w:t>
      </w:r>
      <w:r>
        <w:rPr>
          <w:rFonts w:hint="eastAsia" w:ascii="宋体" w:hAnsi="宋体" w:eastAsia="宋体" w:cs="宋体"/>
          <w:b/>
          <w:sz w:val="28"/>
          <w:szCs w:val="28"/>
          <w:highlight w:val="green"/>
        </w:rPr>
        <w:t>▲</w:t>
      </w:r>
      <w:r>
        <w:rPr>
          <w:rFonts w:hint="eastAsia" w:ascii="宋体" w:hAnsi="宋体" w:eastAsia="宋体" w:cs="宋体"/>
          <w:b/>
          <w:sz w:val="28"/>
          <w:szCs w:val="28"/>
        </w:rPr>
        <w:t>号项）1项，其他非</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号项和非</w:t>
      </w:r>
      <w:r>
        <w:rPr>
          <w:rFonts w:hint="eastAsia" w:ascii="宋体" w:hAnsi="宋体" w:eastAsia="宋体" w:cs="宋体"/>
          <w:b/>
          <w:sz w:val="28"/>
          <w:szCs w:val="28"/>
          <w:highlight w:val="green"/>
        </w:rPr>
        <w:t>▲</w:t>
      </w:r>
      <w:r>
        <w:rPr>
          <w:rFonts w:hint="eastAsia" w:ascii="宋体" w:hAnsi="宋体" w:eastAsia="宋体" w:cs="宋体"/>
          <w:b/>
          <w:bCs/>
          <w:sz w:val="28"/>
          <w:szCs w:val="28"/>
        </w:rPr>
        <w:t>号项为一般参数项（10项），</w:t>
      </w:r>
      <w:r>
        <w:rPr>
          <w:rFonts w:hint="eastAsia" w:ascii="宋体" w:hAnsi="宋体" w:eastAsia="宋体" w:cs="宋体"/>
          <w:b/>
          <w:color w:val="000000"/>
          <w:sz w:val="28"/>
          <w:szCs w:val="28"/>
        </w:rPr>
        <w:t>参数7.1、7.3-7.5</w:t>
      </w:r>
      <w:r>
        <w:rPr>
          <w:rFonts w:hint="eastAsia" w:ascii="宋体" w:hAnsi="宋体" w:eastAsia="宋体" w:cs="宋体"/>
          <w:b/>
          <w:bCs/>
          <w:sz w:val="28"/>
          <w:szCs w:val="28"/>
        </w:rPr>
        <w:t>为一般参数项，按1项计。</w:t>
      </w:r>
    </w:p>
    <w:p w14:paraId="00EB524E">
      <w:pPr>
        <w:spacing w:line="500" w:lineRule="exact"/>
        <w:rPr>
          <w:rFonts w:hint="eastAsia" w:ascii="宋体" w:hAnsi="宋体" w:eastAsia="宋体" w:cs="宋体"/>
          <w:color w:val="000000"/>
          <w:sz w:val="28"/>
          <w:szCs w:val="28"/>
        </w:rPr>
      </w:pPr>
      <w:r>
        <w:rPr>
          <w:rFonts w:hint="eastAsia" w:ascii="宋体" w:hAnsi="宋体" w:eastAsia="宋体" w:cs="宋体"/>
          <w:b/>
          <w:color w:val="000000"/>
          <w:sz w:val="28"/>
          <w:szCs w:val="28"/>
        </w:rPr>
        <w:br w:type="page"/>
      </w:r>
    </w:p>
    <w:p w14:paraId="72E7564D">
      <w:pPr>
        <w:snapToGrid w:val="0"/>
        <w:spacing w:line="500" w:lineRule="exact"/>
        <w:ind w:left="644"/>
        <w:rPr>
          <w:rFonts w:hint="eastAsia" w:ascii="宋体" w:hAnsi="宋体" w:eastAsia="宋体" w:cs="宋体"/>
          <w:sz w:val="28"/>
          <w:szCs w:val="28"/>
        </w:rPr>
      </w:pPr>
      <w:r>
        <w:rPr>
          <w:rFonts w:hint="eastAsia" w:ascii="宋体" w:hAnsi="宋体" w:eastAsia="宋体" w:cs="宋体"/>
          <w:b/>
          <w:sz w:val="28"/>
          <w:szCs w:val="28"/>
        </w:rPr>
        <w:t>26、品目名称：气相色谱仪（国产）</w:t>
      </w:r>
    </w:p>
    <w:p w14:paraId="2FE6AD80">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规格</w:t>
      </w:r>
    </w:p>
    <w:p w14:paraId="3F9AE623">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气相色谱主机一台、整机配备电子气路控制、含分流/不分流毛细管柱进样口1个、检测器、大于100位液体自动进样器1套、中文色谱软件1套、消耗品、设备安装、维护所需的必要工具一套、数据处理模块1套；报告输出模块1台。</w:t>
      </w:r>
    </w:p>
    <w:p w14:paraId="14BFF0E1">
      <w:pPr>
        <w:snapToGrid w:val="0"/>
        <w:spacing w:line="500" w:lineRule="exact"/>
        <w:ind w:firstLine="672"/>
        <w:rPr>
          <w:rFonts w:hint="eastAsia" w:ascii="宋体" w:hAnsi="宋体" w:eastAsia="宋体" w:cs="宋体"/>
          <w:sz w:val="28"/>
          <w:szCs w:val="28"/>
        </w:rPr>
      </w:pPr>
      <w:r>
        <w:rPr>
          <w:rFonts w:hint="eastAsia" w:ascii="宋体" w:hAnsi="宋体" w:eastAsia="宋体" w:cs="宋体"/>
          <w:sz w:val="28"/>
          <w:szCs w:val="28"/>
        </w:rPr>
        <w:t>详细参数</w:t>
      </w:r>
      <w:r>
        <w:rPr>
          <w:rFonts w:hint="eastAsia" w:ascii="宋体" w:hAnsi="宋体" w:eastAsia="宋体" w:cs="宋体"/>
          <w:b/>
          <w:bCs/>
          <w:sz w:val="28"/>
          <w:szCs w:val="28"/>
        </w:rPr>
        <w:t>（备注：以下参数9项）</w:t>
      </w:r>
    </w:p>
    <w:p w14:paraId="03502E30">
      <w:pPr>
        <w:snapToGrid w:val="0"/>
        <w:spacing w:line="500" w:lineRule="exact"/>
        <w:ind w:firstLine="672"/>
        <w:rPr>
          <w:rFonts w:hint="eastAsia" w:ascii="宋体" w:hAnsi="宋体" w:eastAsia="宋体" w:cs="宋体"/>
          <w:sz w:val="28"/>
          <w:szCs w:val="28"/>
        </w:rPr>
      </w:pPr>
      <w:r>
        <w:rPr>
          <w:rFonts w:hint="eastAsia" w:ascii="宋体" w:hAnsi="宋体" w:eastAsia="宋体" w:cs="宋体"/>
          <w:sz w:val="28"/>
          <w:szCs w:val="28"/>
        </w:rPr>
        <w:t>1. 仪器工作环境</w:t>
      </w:r>
    </w:p>
    <w:p w14:paraId="3608A747">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1.1电源电压要求：220V+10%，50Hz～60Hz。</w:t>
      </w:r>
    </w:p>
    <w:p w14:paraId="05061F59">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1.2温度：5-40℃。</w:t>
      </w:r>
    </w:p>
    <w:p w14:paraId="56ED4790">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1.3工作适度：相对湿度20-80%。</w:t>
      </w:r>
    </w:p>
    <w:p w14:paraId="73AEF051">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2. 系统性能指标</w:t>
      </w:r>
    </w:p>
    <w:p w14:paraId="7A0ABA0D">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2.1 保留时间重现性：≤0.0008min。</w:t>
      </w:r>
    </w:p>
    <w:p w14:paraId="08908574">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2.2 峰面积重现性：≤0.3%RSD。</w:t>
      </w:r>
    </w:p>
    <w:p w14:paraId="2B5C6904">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2.3 控制系统</w:t>
      </w:r>
    </w:p>
    <w:p w14:paraId="133588EF">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 xml:space="preserve">2.3.1 内置视频维护操作指南。可通过触摸屏一键检漏，支持一键重置仪器。 </w:t>
      </w:r>
    </w:p>
    <w:p w14:paraId="07D3016F">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2.3.2 可通过触摸屏直接设定进样口、气相检测器、自动进样器参数，包括温度，流速等参数，实时信号检测。</w:t>
      </w:r>
    </w:p>
    <w:p w14:paraId="75FAAAAD">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3. 柱温箱</w:t>
      </w:r>
    </w:p>
    <w:p w14:paraId="7AE8937F">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3.1 操作温度范围：室温以上4℃到450℃。</w:t>
      </w:r>
    </w:p>
    <w:p w14:paraId="476F5A49">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3.2 温度控制精度：</w:t>
      </w:r>
      <w:r>
        <w:rPr>
          <w:rFonts w:hint="eastAsia" w:ascii="宋体" w:hAnsi="宋体" w:eastAsia="宋体" w:cs="宋体"/>
          <w:color w:val="000000"/>
          <w:sz w:val="28"/>
          <w:szCs w:val="28"/>
        </w:rPr>
        <w:t>≤</w:t>
      </w:r>
      <w:r>
        <w:rPr>
          <w:rFonts w:hint="eastAsia" w:ascii="宋体" w:hAnsi="宋体" w:eastAsia="宋体" w:cs="宋体"/>
          <w:sz w:val="28"/>
          <w:szCs w:val="28"/>
        </w:rPr>
        <w:t>0.1℃。</w:t>
      </w:r>
    </w:p>
    <w:p w14:paraId="15E772C5">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3.3 程序升温：≥29阶／30平台。</w:t>
      </w:r>
    </w:p>
    <w:p w14:paraId="6B2AB7A5">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3.4 最高升温速率：≥123℃／min。</w:t>
      </w:r>
    </w:p>
    <w:p w14:paraId="60D42B1A">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3.5柱温箱冷却时间：从450℃降温至50℃，</w:t>
      </w:r>
      <w:r>
        <w:rPr>
          <w:rFonts w:hint="eastAsia" w:ascii="宋体" w:hAnsi="宋体" w:eastAsia="宋体" w:cs="宋体"/>
          <w:color w:val="000000"/>
          <w:sz w:val="28"/>
          <w:szCs w:val="28"/>
        </w:rPr>
        <w:t>≤</w:t>
      </w:r>
      <w:r>
        <w:rPr>
          <w:rFonts w:hint="eastAsia" w:ascii="宋体" w:hAnsi="宋体" w:eastAsia="宋体" w:cs="宋体"/>
          <w:sz w:val="28"/>
          <w:szCs w:val="28"/>
        </w:rPr>
        <w:t>4min 。</w:t>
      </w:r>
    </w:p>
    <w:p w14:paraId="34566817">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4. 电子压力控制器</w:t>
      </w:r>
    </w:p>
    <w:p w14:paraId="2E710A73">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4.1 压力范围：0～1050kPa。</w:t>
      </w:r>
    </w:p>
    <w:p w14:paraId="41AA9C0B">
      <w:pPr>
        <w:snapToGrid w:val="0"/>
        <w:spacing w:line="500" w:lineRule="exact"/>
        <w:ind w:firstLine="644"/>
        <w:rPr>
          <w:rFonts w:hint="eastAsia" w:ascii="宋体" w:hAnsi="宋体" w:eastAsia="宋体" w:cs="宋体"/>
          <w:color w:val="auto"/>
          <w:sz w:val="28"/>
          <w:szCs w:val="28"/>
        </w:rPr>
      </w:pPr>
      <w:r>
        <w:rPr>
          <w:rFonts w:hint="eastAsia" w:ascii="宋体" w:hAnsi="宋体" w:eastAsia="宋体" w:cs="宋体"/>
          <w:sz w:val="28"/>
          <w:szCs w:val="28"/>
        </w:rPr>
        <w:t>4.2 全程压力范围内控制</w:t>
      </w:r>
      <w:r>
        <w:rPr>
          <w:rFonts w:hint="eastAsia" w:ascii="宋体" w:hAnsi="宋体" w:eastAsia="宋体" w:cs="宋体"/>
          <w:color w:val="auto"/>
          <w:sz w:val="28"/>
          <w:szCs w:val="28"/>
        </w:rPr>
        <w:t>精度：</w:t>
      </w:r>
      <w:r>
        <w:rPr>
          <w:rFonts w:hint="eastAsia" w:ascii="宋体" w:hAnsi="宋体" w:eastAsia="宋体" w:cs="宋体"/>
          <w:color w:val="auto"/>
          <w:sz w:val="28"/>
        </w:rPr>
        <w:t>≤</w:t>
      </w:r>
      <w:r>
        <w:rPr>
          <w:rFonts w:hint="eastAsia" w:ascii="宋体" w:hAnsi="宋体" w:eastAsia="宋体" w:cs="宋体"/>
          <w:color w:val="auto"/>
          <w:sz w:val="28"/>
          <w:szCs w:val="28"/>
        </w:rPr>
        <w:t>0.001psi。</w:t>
      </w:r>
    </w:p>
    <w:p w14:paraId="493129A9">
      <w:pPr>
        <w:snapToGrid w:val="0"/>
        <w:spacing w:line="500" w:lineRule="exact"/>
        <w:ind w:firstLine="644"/>
        <w:rPr>
          <w:rFonts w:hint="eastAsia" w:ascii="宋体" w:hAnsi="宋体" w:eastAsia="宋体" w:cs="宋体"/>
          <w:color w:val="auto"/>
          <w:sz w:val="28"/>
          <w:szCs w:val="28"/>
        </w:rPr>
      </w:pPr>
      <w:r>
        <w:rPr>
          <w:rFonts w:hint="eastAsia" w:ascii="宋体" w:hAnsi="宋体" w:eastAsia="宋体" w:cs="宋体"/>
          <w:color w:val="auto"/>
          <w:sz w:val="28"/>
          <w:szCs w:val="28"/>
        </w:rPr>
        <w:t>4.3最大分流比：≥12000:1。</w:t>
      </w:r>
    </w:p>
    <w:p w14:paraId="1BF08276">
      <w:pPr>
        <w:snapToGrid w:val="0"/>
        <w:spacing w:line="500" w:lineRule="exact"/>
        <w:ind w:firstLine="644"/>
        <w:rPr>
          <w:rFonts w:hint="eastAsia" w:ascii="宋体" w:hAnsi="宋体" w:eastAsia="宋体" w:cs="宋体"/>
          <w:color w:val="auto"/>
          <w:sz w:val="28"/>
          <w:szCs w:val="28"/>
        </w:rPr>
      </w:pPr>
      <w:r>
        <w:rPr>
          <w:rFonts w:hint="eastAsia" w:ascii="宋体" w:hAnsi="宋体" w:eastAsia="宋体" w:cs="宋体"/>
          <w:color w:val="auto"/>
          <w:sz w:val="28"/>
          <w:szCs w:val="28"/>
        </w:rPr>
        <w:t>5. 分流不分流进样口</w:t>
      </w:r>
    </w:p>
    <w:p w14:paraId="7F7CF711">
      <w:pPr>
        <w:snapToGrid w:val="0"/>
        <w:spacing w:line="500" w:lineRule="exact"/>
        <w:ind w:firstLine="644"/>
        <w:rPr>
          <w:rFonts w:hint="eastAsia" w:ascii="宋体" w:hAnsi="宋体" w:eastAsia="宋体" w:cs="宋体"/>
          <w:color w:val="auto"/>
          <w:sz w:val="28"/>
          <w:szCs w:val="28"/>
        </w:rPr>
      </w:pPr>
      <w:r>
        <w:rPr>
          <w:rFonts w:hint="eastAsia" w:ascii="宋体" w:hAnsi="宋体" w:eastAsia="宋体" w:cs="宋体"/>
          <w:color w:val="auto"/>
          <w:sz w:val="28"/>
          <w:szCs w:val="28"/>
        </w:rPr>
        <w:t>5.1进样口即时联接模块设计，可2分钟快速更换。</w:t>
      </w:r>
    </w:p>
    <w:p w14:paraId="781F30E6">
      <w:pPr>
        <w:snapToGrid w:val="0"/>
        <w:spacing w:line="500" w:lineRule="exact"/>
        <w:ind w:firstLine="644"/>
        <w:rPr>
          <w:rFonts w:hint="eastAsia" w:ascii="宋体" w:hAnsi="宋体" w:eastAsia="宋体" w:cs="宋体"/>
          <w:color w:val="auto"/>
          <w:sz w:val="28"/>
          <w:szCs w:val="28"/>
        </w:rPr>
      </w:pPr>
      <w:r>
        <w:rPr>
          <w:rFonts w:hint="eastAsia" w:ascii="宋体" w:hAnsi="宋体" w:eastAsia="宋体" w:cs="宋体"/>
          <w:color w:val="auto"/>
          <w:sz w:val="28"/>
          <w:szCs w:val="28"/>
        </w:rPr>
        <w:t>5.2 进样口维护无需搬动液体进样器即可完成。</w:t>
      </w:r>
    </w:p>
    <w:p w14:paraId="5FA3CCC8">
      <w:pPr>
        <w:snapToGrid w:val="0"/>
        <w:spacing w:line="500" w:lineRule="exact"/>
        <w:ind w:firstLine="644"/>
        <w:rPr>
          <w:rFonts w:hint="eastAsia" w:ascii="宋体" w:hAnsi="宋体" w:eastAsia="宋体" w:cs="宋体"/>
          <w:color w:val="auto"/>
          <w:sz w:val="28"/>
          <w:szCs w:val="28"/>
        </w:rPr>
      </w:pPr>
      <w:r>
        <w:rPr>
          <w:rFonts w:hint="eastAsia" w:ascii="宋体" w:hAnsi="宋体" w:eastAsia="宋体" w:cs="宋体"/>
          <w:color w:val="auto"/>
          <w:sz w:val="28"/>
          <w:szCs w:val="28"/>
        </w:rPr>
        <w:t>5.3 进样口免工具维护设计，无需工具即可完成进样口维护。</w:t>
      </w:r>
    </w:p>
    <w:p w14:paraId="29F3FDC8">
      <w:pPr>
        <w:snapToGrid w:val="0"/>
        <w:spacing w:line="500" w:lineRule="exact"/>
        <w:ind w:firstLine="644"/>
        <w:rPr>
          <w:rFonts w:hint="eastAsia" w:ascii="宋体" w:hAnsi="宋体" w:eastAsia="宋体" w:cs="宋体"/>
          <w:color w:val="auto"/>
          <w:sz w:val="28"/>
          <w:szCs w:val="28"/>
        </w:rPr>
      </w:pPr>
      <w:r>
        <w:rPr>
          <w:rFonts w:hint="eastAsia" w:ascii="宋体" w:hAnsi="宋体" w:eastAsia="宋体" w:cs="宋体"/>
          <w:color w:val="auto"/>
          <w:sz w:val="28"/>
          <w:szCs w:val="28"/>
        </w:rPr>
        <w:t>5.4 最高使用温度：≥380℃。</w:t>
      </w:r>
    </w:p>
    <w:p w14:paraId="105BB56E">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5.5最大进样量：≥50μL。</w:t>
      </w:r>
    </w:p>
    <w:p w14:paraId="294BF349">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6. 检测器</w:t>
      </w:r>
    </w:p>
    <w:p w14:paraId="61C10571">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6.1检测器采用模块化设计，可实现2分钟内快速更换。</w:t>
      </w:r>
    </w:p>
    <w:p w14:paraId="44FABCA8">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6.2 电子捕获检测器（ECD）</w:t>
      </w:r>
    </w:p>
    <w:p w14:paraId="6224557E">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6.2.1 MDL:≤4.5fg/s林丹。</w:t>
      </w:r>
    </w:p>
    <w:p w14:paraId="26F0A229">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6.2.2 线性动态范围：</w:t>
      </w:r>
      <w:r>
        <w:rPr>
          <w:rFonts w:hint="eastAsia" w:ascii="宋体" w:hAnsi="宋体" w:eastAsia="宋体" w:cs="宋体"/>
          <w:color w:val="000000"/>
          <w:sz w:val="28"/>
          <w:szCs w:val="28"/>
        </w:rPr>
        <w:t>≥</w:t>
      </w:r>
      <w:r>
        <w:rPr>
          <w:rFonts w:hint="eastAsia" w:ascii="宋体" w:hAnsi="宋体" w:eastAsia="宋体" w:cs="宋体"/>
          <w:sz w:val="28"/>
          <w:szCs w:val="28"/>
        </w:rPr>
        <w:t>10</w:t>
      </w:r>
      <w:r>
        <w:rPr>
          <w:rFonts w:hint="eastAsia" w:ascii="宋体" w:hAnsi="宋体" w:eastAsia="宋体" w:cs="宋体"/>
          <w:sz w:val="28"/>
          <w:szCs w:val="28"/>
          <w:vertAlign w:val="superscript"/>
        </w:rPr>
        <w:t>4。</w:t>
      </w:r>
    </w:p>
    <w:p w14:paraId="7889BB22">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6.2.3 最高温度：</w:t>
      </w:r>
      <w:r>
        <w:rPr>
          <w:rFonts w:hint="eastAsia" w:ascii="宋体" w:hAnsi="宋体" w:eastAsia="宋体" w:cs="宋体"/>
          <w:color w:val="000000"/>
          <w:sz w:val="28"/>
          <w:szCs w:val="28"/>
        </w:rPr>
        <w:t>≥</w:t>
      </w:r>
      <w:r>
        <w:rPr>
          <w:rFonts w:hint="eastAsia" w:ascii="宋体" w:hAnsi="宋体" w:eastAsia="宋体" w:cs="宋体"/>
          <w:sz w:val="28"/>
          <w:szCs w:val="28"/>
        </w:rPr>
        <w:t>400℃，增量为 0.1℃。</w:t>
      </w:r>
    </w:p>
    <w:p w14:paraId="26532051">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6.3  氢火焰检测器（FID）</w:t>
      </w:r>
    </w:p>
    <w:p w14:paraId="78B121BE">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6.3.1最高操作温度：</w:t>
      </w:r>
      <w:r>
        <w:rPr>
          <w:rFonts w:hint="eastAsia" w:ascii="宋体" w:hAnsi="宋体" w:eastAsia="宋体" w:cs="宋体"/>
          <w:color w:val="000000"/>
          <w:sz w:val="28"/>
          <w:szCs w:val="28"/>
        </w:rPr>
        <w:t>≥</w:t>
      </w:r>
      <w:r>
        <w:rPr>
          <w:rFonts w:hint="eastAsia" w:ascii="宋体" w:hAnsi="宋体" w:eastAsia="宋体" w:cs="宋体"/>
          <w:sz w:val="28"/>
          <w:szCs w:val="28"/>
        </w:rPr>
        <w:t>450℃。</w:t>
      </w:r>
    </w:p>
    <w:p w14:paraId="3E68770D">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6.3.2最低检测限：≤1.4pgC/s。</w:t>
      </w:r>
    </w:p>
    <w:p w14:paraId="48ABFF78">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6.3.3线性范围：</w:t>
      </w:r>
      <w:r>
        <w:rPr>
          <w:rFonts w:hint="eastAsia" w:ascii="宋体" w:hAnsi="宋体" w:eastAsia="宋体" w:cs="宋体"/>
          <w:color w:val="000000"/>
          <w:sz w:val="28"/>
          <w:szCs w:val="28"/>
        </w:rPr>
        <w:t>≥</w:t>
      </w:r>
      <w:r>
        <w:rPr>
          <w:rFonts w:hint="eastAsia" w:ascii="宋体" w:hAnsi="宋体" w:eastAsia="宋体" w:cs="宋体"/>
          <w:sz w:val="28"/>
          <w:szCs w:val="28"/>
        </w:rPr>
        <w:t>107。</w:t>
      </w:r>
    </w:p>
    <w:p w14:paraId="09747EF5">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6.3.4数据采集频率：</w:t>
      </w:r>
      <w:r>
        <w:rPr>
          <w:rFonts w:hint="eastAsia" w:ascii="宋体" w:hAnsi="宋体" w:eastAsia="宋体" w:cs="宋体"/>
          <w:color w:val="000000"/>
          <w:sz w:val="28"/>
          <w:szCs w:val="28"/>
        </w:rPr>
        <w:t>≥</w:t>
      </w:r>
      <w:r>
        <w:rPr>
          <w:rFonts w:hint="eastAsia" w:ascii="宋体" w:hAnsi="宋体" w:eastAsia="宋体" w:cs="宋体"/>
          <w:sz w:val="28"/>
          <w:szCs w:val="28"/>
        </w:rPr>
        <w:t>300Hz。</w:t>
      </w:r>
    </w:p>
    <w:p w14:paraId="1837A79F">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7. 液体自动进样器</w:t>
      </w:r>
    </w:p>
    <w:p w14:paraId="3EF00B84">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7.1 ≥100位（2mL）自动进样器。</w:t>
      </w:r>
    </w:p>
    <w:p w14:paraId="19F68F69">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7.2 废液瓶体积为≥30ml。</w:t>
      </w:r>
    </w:p>
    <w:p w14:paraId="22E87B6C">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7.3 进样器不占进样口位置，更换进样口隔垫，衬管无需搬动进样器。</w:t>
      </w:r>
    </w:p>
    <w:p w14:paraId="4BD3B4A0">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7.4 进样精度：RSD</w:t>
      </w:r>
      <w:r>
        <w:rPr>
          <w:rFonts w:hint="eastAsia" w:ascii="宋体" w:hAnsi="宋体" w:eastAsia="宋体" w:cs="宋体"/>
          <w:color w:val="000000"/>
          <w:sz w:val="28"/>
          <w:szCs w:val="28"/>
        </w:rPr>
        <w:t>≤</w:t>
      </w:r>
      <w:r>
        <w:rPr>
          <w:rFonts w:hint="eastAsia" w:ascii="宋体" w:hAnsi="宋体" w:eastAsia="宋体" w:cs="宋体"/>
          <w:sz w:val="28"/>
          <w:szCs w:val="28"/>
        </w:rPr>
        <w:t>0.3%。</w:t>
      </w:r>
    </w:p>
    <w:p w14:paraId="13C54887">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7.5 交叉污染：</w:t>
      </w:r>
      <w:r>
        <w:rPr>
          <w:rFonts w:hint="eastAsia" w:ascii="宋体" w:hAnsi="宋体" w:eastAsia="宋体" w:cs="宋体"/>
          <w:color w:val="000000"/>
          <w:sz w:val="28"/>
          <w:szCs w:val="28"/>
        </w:rPr>
        <w:t>≤</w:t>
      </w:r>
      <w:r>
        <w:rPr>
          <w:rFonts w:hint="eastAsia" w:ascii="宋体" w:hAnsi="宋体" w:eastAsia="宋体" w:cs="宋体"/>
          <w:sz w:val="28"/>
          <w:szCs w:val="28"/>
        </w:rPr>
        <w:t>0.001%。</w:t>
      </w:r>
    </w:p>
    <w:p w14:paraId="127C13D3">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7.6 进样针体积范围：0.5μL-100μL。</w:t>
      </w:r>
    </w:p>
    <w:p w14:paraId="3D1142A5">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7.7 最大进样体积：≥80μL，最小进样体积：</w:t>
      </w:r>
      <w:r>
        <w:rPr>
          <w:rFonts w:hint="eastAsia" w:ascii="宋体" w:hAnsi="宋体" w:eastAsia="宋体" w:cs="宋体"/>
          <w:color w:val="000000"/>
          <w:sz w:val="28"/>
          <w:szCs w:val="28"/>
        </w:rPr>
        <w:t>≤</w:t>
      </w:r>
      <w:r>
        <w:rPr>
          <w:rFonts w:hint="eastAsia" w:ascii="宋体" w:hAnsi="宋体" w:eastAsia="宋体" w:cs="宋体"/>
          <w:sz w:val="28"/>
          <w:szCs w:val="28"/>
        </w:rPr>
        <w:t>0.005μL。</w:t>
      </w:r>
    </w:p>
    <w:p w14:paraId="5A36883C">
      <w:pPr>
        <w:snapToGrid w:val="0"/>
        <w:spacing w:line="500" w:lineRule="exact"/>
        <w:ind w:firstLine="644"/>
        <w:rPr>
          <w:rFonts w:hint="eastAsia" w:ascii="宋体" w:hAnsi="宋体" w:eastAsia="宋体" w:cs="宋体"/>
          <w:sz w:val="28"/>
          <w:szCs w:val="28"/>
        </w:rPr>
      </w:pPr>
      <w:bookmarkStart w:id="188" w:name="OLE_LINK6"/>
      <w:r>
        <w:rPr>
          <w:rFonts w:hint="eastAsia" w:ascii="宋体" w:hAnsi="宋体" w:eastAsia="宋体" w:cs="宋体"/>
          <w:sz w:val="28"/>
          <w:szCs w:val="28"/>
        </w:rPr>
        <w:t>8配置要求</w:t>
      </w:r>
    </w:p>
    <w:p w14:paraId="79154CE5">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8.1气相色谱主机一台。</w:t>
      </w:r>
    </w:p>
    <w:p w14:paraId="4133EAFF">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8.2整机配备电子气路控制。</w:t>
      </w:r>
    </w:p>
    <w:p w14:paraId="7FCB1193">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8.3含分流/不分流毛细管柱进样口 1个。</w:t>
      </w:r>
    </w:p>
    <w:p w14:paraId="16640B72">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8.4检测器</w:t>
      </w:r>
    </w:p>
    <w:p w14:paraId="18A32A21">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8.4.1 ECD电子捕获检测器 1套。</w:t>
      </w:r>
    </w:p>
    <w:p w14:paraId="4693E54B">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8.4.2 FID检测器 1套。</w:t>
      </w:r>
    </w:p>
    <w:p w14:paraId="32D035A7">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8.5大于100位液体自动进样器 1套。</w:t>
      </w:r>
    </w:p>
    <w:p w14:paraId="78A7257A">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8.6 中文色谱软件 1套。</w:t>
      </w:r>
    </w:p>
    <w:p w14:paraId="3F55A30B">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 xml:space="preserve">8.7 </w:t>
      </w:r>
      <w:bookmarkStart w:id="189" w:name="_Hlk213146352"/>
      <w:r>
        <w:rPr>
          <w:rFonts w:hint="eastAsia" w:ascii="宋体" w:hAnsi="宋体" w:eastAsia="宋体" w:cs="宋体"/>
          <w:sz w:val="28"/>
          <w:szCs w:val="28"/>
        </w:rPr>
        <w:t>数据处理模块</w:t>
      </w:r>
      <w:bookmarkEnd w:id="189"/>
      <w:r>
        <w:rPr>
          <w:rFonts w:hint="eastAsia" w:ascii="宋体" w:hAnsi="宋体" w:eastAsia="宋体" w:cs="宋体"/>
          <w:sz w:val="28"/>
          <w:szCs w:val="28"/>
        </w:rPr>
        <w:t>，报告输出模块。</w:t>
      </w:r>
    </w:p>
    <w:p w14:paraId="535CC239">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8.8消耗品</w:t>
      </w:r>
    </w:p>
    <w:p w14:paraId="2893EDC2">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8.8.1进样口隔垫50个。</w:t>
      </w:r>
    </w:p>
    <w:p w14:paraId="4E14F847">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8.8.2 石墨垫20个</w:t>
      </w:r>
    </w:p>
    <w:p w14:paraId="15859C9A">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8.8.3 弱极性色谱柱30mX0.32mmX0.25μ 一根。</w:t>
      </w:r>
    </w:p>
    <w:p w14:paraId="41D58D7F">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8.8.4 中极性色谱柱30mX0.32mmX0.25μ 一根。</w:t>
      </w:r>
    </w:p>
    <w:p w14:paraId="38A21AE7">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8.8.5 样品瓶（2ml含盖、垫）500个。</w:t>
      </w:r>
    </w:p>
    <w:p w14:paraId="3DEEDA9F">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8.8.6 自动进样针10ul，2支。</w:t>
      </w:r>
    </w:p>
    <w:p w14:paraId="0F45E347">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8.8.7 “O”型圈5支。</w:t>
      </w:r>
    </w:p>
    <w:p w14:paraId="072CC249">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8.8.8分流、不分流衬管各1包。</w:t>
      </w:r>
    </w:p>
    <w:p w14:paraId="5B26136E">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8.9 设备安装、维护所需的必要工具一套。</w:t>
      </w:r>
    </w:p>
    <w:bookmarkEnd w:id="188"/>
    <w:p w14:paraId="7ABC1C7D">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9 售后服务</w:t>
      </w:r>
    </w:p>
    <w:p w14:paraId="2A600A82">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9.1投标人必须提供仪器的免费现场安装调试，并同时在现场对用户进行操作及维护培训。</w:t>
      </w:r>
    </w:p>
    <w:p w14:paraId="417FDCFE">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9.2投标人在国内必须设有分析仪器教育中心。</w:t>
      </w:r>
    </w:p>
    <w:p w14:paraId="614DC5DA">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9.3仪器在调试通过后提供壹年保修服务，在保修期内，所有服务及配件全部免费。保修期外，用户可用人民币结算。并在中国设有备件库，能更及时地为用户提供备品备件。</w:t>
      </w:r>
    </w:p>
    <w:p w14:paraId="7FAC2444">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9.4投标人提供免费服务电话，为用户提供免费的电话咨询及技术服务。</w:t>
      </w:r>
    </w:p>
    <w:p w14:paraId="09F85060">
      <w:pPr>
        <w:snapToGrid w:val="0"/>
        <w:spacing w:line="500" w:lineRule="exact"/>
        <w:ind w:firstLine="644"/>
        <w:rPr>
          <w:rFonts w:hint="eastAsia" w:ascii="宋体" w:hAnsi="宋体" w:eastAsia="宋体" w:cs="宋体"/>
          <w:sz w:val="28"/>
          <w:szCs w:val="28"/>
        </w:rPr>
      </w:pPr>
      <w:r>
        <w:rPr>
          <w:rFonts w:hint="eastAsia" w:ascii="宋体" w:hAnsi="宋体" w:eastAsia="宋体" w:cs="宋体"/>
          <w:sz w:val="28"/>
          <w:szCs w:val="28"/>
        </w:rPr>
        <w:t>9.5投标人在国内必须设有专业的维修站，有专职的气相色谱维修工程师，有效保证售后维修的及时、快捷，并负责提供技术支持，24小时响应，48小时到场，保证仪器的正常操作。</w:t>
      </w:r>
    </w:p>
    <w:p w14:paraId="1630162B">
      <w:pPr>
        <w:pStyle w:val="87"/>
        <w:spacing w:line="500" w:lineRule="exact"/>
        <w:jc w:val="center"/>
        <w:rPr>
          <w:rFonts w:hint="eastAsia" w:ascii="宋体" w:hAnsi="宋体" w:eastAsia="宋体" w:cs="宋体"/>
          <w:b/>
          <w:color w:val="auto"/>
          <w:sz w:val="28"/>
          <w:szCs w:val="28"/>
        </w:rPr>
      </w:pPr>
    </w:p>
    <w:p w14:paraId="4DCF384D">
      <w:pPr>
        <w:spacing w:line="500" w:lineRule="exact"/>
        <w:rPr>
          <w:rFonts w:hint="eastAsia" w:ascii="宋体" w:hAnsi="宋体" w:eastAsia="宋体" w:cs="宋体"/>
          <w:sz w:val="28"/>
          <w:szCs w:val="28"/>
        </w:rPr>
      </w:pPr>
      <w:r>
        <w:rPr>
          <w:rFonts w:hint="eastAsia" w:ascii="宋体" w:hAnsi="宋体" w:eastAsia="宋体" w:cs="宋体"/>
          <w:b/>
          <w:sz w:val="28"/>
          <w:szCs w:val="28"/>
        </w:rPr>
        <w:t>备注：以上参数9项.均为一般参数项。</w:t>
      </w:r>
    </w:p>
    <w:p w14:paraId="21AFC328">
      <w:pPr>
        <w:spacing w:line="500" w:lineRule="exact"/>
        <w:rPr>
          <w:rFonts w:hint="eastAsia" w:ascii="宋体" w:hAnsi="宋体" w:eastAsia="宋体" w:cs="宋体"/>
          <w:sz w:val="28"/>
          <w:szCs w:val="28"/>
        </w:rPr>
      </w:pPr>
    </w:p>
    <w:p w14:paraId="6EDE9F8F">
      <w:pPr>
        <w:rPr>
          <w:rFonts w:hint="eastAsia" w:ascii="宋体" w:hAnsi="宋体" w:eastAsia="宋体" w:cs="宋体"/>
          <w:sz w:val="28"/>
          <w:szCs w:val="28"/>
        </w:rPr>
      </w:pPr>
      <w:r>
        <w:rPr>
          <w:rFonts w:hint="eastAsia" w:ascii="宋体" w:hAnsi="宋体" w:eastAsia="宋体" w:cs="宋体"/>
          <w:b/>
          <w:sz w:val="28"/>
          <w:szCs w:val="28"/>
        </w:rPr>
        <w:br w:type="page"/>
      </w:r>
    </w:p>
    <w:p w14:paraId="6D9C1C78">
      <w:pPr>
        <w:snapToGrid w:val="0"/>
        <w:spacing w:line="500" w:lineRule="exact"/>
        <w:ind w:left="700"/>
        <w:rPr>
          <w:rFonts w:hint="eastAsia" w:ascii="宋体" w:hAnsi="宋体" w:eastAsia="宋体" w:cs="宋体"/>
          <w:sz w:val="28"/>
          <w:szCs w:val="28"/>
        </w:rPr>
      </w:pPr>
      <w:r>
        <w:rPr>
          <w:rFonts w:hint="eastAsia" w:ascii="宋体" w:hAnsi="宋体" w:eastAsia="宋体" w:cs="宋体"/>
          <w:b/>
          <w:sz w:val="28"/>
          <w:szCs w:val="28"/>
        </w:rPr>
        <w:t>27、品目名称：液相色谱仪（国产）</w:t>
      </w:r>
    </w:p>
    <w:p w14:paraId="18FD1A9D">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规格</w:t>
      </w:r>
    </w:p>
    <w:p w14:paraId="40F2A59E">
      <w:pPr>
        <w:snapToGrid w:val="0"/>
        <w:spacing w:line="500" w:lineRule="exact"/>
        <w:ind w:firstLine="700"/>
        <w:rPr>
          <w:rFonts w:hint="eastAsia" w:ascii="宋体" w:hAnsi="宋体" w:eastAsia="宋体" w:cs="宋体"/>
          <w:sz w:val="28"/>
          <w:szCs w:val="28"/>
        </w:rPr>
      </w:pPr>
      <w:bookmarkStart w:id="190" w:name="OLE_LINK7"/>
      <w:r>
        <w:rPr>
          <w:rFonts w:hint="eastAsia" w:ascii="宋体" w:hAnsi="宋体" w:eastAsia="宋体" w:cs="宋体"/>
          <w:sz w:val="28"/>
          <w:szCs w:val="28"/>
        </w:rPr>
        <w:t>液相色谱仪一套，配置四元梯度泵、脱气机、自动进样器、可变波长紫外可见检测器、示差折光检测器、工作站及耗品；系统压力≥10000Psi.</w:t>
      </w:r>
    </w:p>
    <w:bookmarkEnd w:id="190"/>
    <w:p w14:paraId="7AF3288F">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详细参数</w:t>
      </w:r>
      <w:r>
        <w:rPr>
          <w:rFonts w:hint="eastAsia" w:ascii="宋体" w:hAnsi="宋体" w:eastAsia="宋体" w:cs="宋体"/>
          <w:b/>
          <w:bCs/>
          <w:sz w:val="28"/>
          <w:szCs w:val="28"/>
        </w:rPr>
        <w:t>（备注：以下参数8项）</w:t>
      </w:r>
    </w:p>
    <w:p w14:paraId="563D1F81">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1．仪器工作环境1.1电源电压要求：220V+10%，50Hz～60Hz</w:t>
      </w:r>
    </w:p>
    <w:p w14:paraId="01EE74B4">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1.2温度：5-40℃</w:t>
      </w:r>
    </w:p>
    <w:p w14:paraId="33FFD2E4">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1.3工作适度：相对湿度20-80%</w:t>
      </w:r>
    </w:p>
    <w:p w14:paraId="53A9FDFC">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2四元梯度泵</w:t>
      </w:r>
    </w:p>
    <w:p w14:paraId="53F2B33B">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2.1工作原理：串联双柱塞</w:t>
      </w:r>
    </w:p>
    <w:p w14:paraId="20D2ADC9">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2.2通道数量：≥4个</w:t>
      </w:r>
    </w:p>
    <w:p w14:paraId="4D61B935">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2.3流量范围：不小于0.001~9.000 mL/min，步进0.001mL/min</w:t>
      </w:r>
    </w:p>
    <w:p w14:paraId="390B0125">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2.4最大压力：≥10000 psi</w:t>
      </w:r>
    </w:p>
    <w:p w14:paraId="7637A894">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2.5压力波动：≤0.2</w:t>
      </w:r>
    </w:p>
    <w:p w14:paraId="504B2230">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2.6流量准确度：±0.1%以内</w:t>
      </w:r>
    </w:p>
    <w:p w14:paraId="6D6B5EFB">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2.7流量精密度：≤0.05% RSD（提供官方参数证明）</w:t>
      </w:r>
    </w:p>
    <w:p w14:paraId="4B27B154">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2.8液滴计数器：自动监控泵漏液情况和泵清洗液情况</w:t>
      </w:r>
    </w:p>
    <w:p w14:paraId="4CCABDF4">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2.9 溶剂脱气：≥4通道脱气机</w:t>
      </w:r>
    </w:p>
    <w:p w14:paraId="4F330BED">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3自动进样器：</w:t>
      </w:r>
    </w:p>
    <w:p w14:paraId="4EE7B773">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 xml:space="preserve">3.1样品瓶位：≥200个2ml </w:t>
      </w:r>
    </w:p>
    <w:p w14:paraId="2A758800">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3.2进样方式：流经针环模式，无样品损失，无残留</w:t>
      </w:r>
    </w:p>
    <w:p w14:paraId="79EF3DF1">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3.3进样体积：不小于0.01~100μL</w:t>
      </w:r>
    </w:p>
    <w:p w14:paraId="6A282D80">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3.4进样准确度：±0.5%以内</w:t>
      </w:r>
    </w:p>
    <w:p w14:paraId="22667785">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3.5交叉污染：</w:t>
      </w:r>
      <w:r>
        <w:rPr>
          <w:rFonts w:hint="eastAsia" w:ascii="宋体" w:hAnsi="宋体" w:eastAsia="宋体" w:cs="宋体"/>
          <w:color w:val="000000"/>
          <w:sz w:val="28"/>
          <w:szCs w:val="28"/>
        </w:rPr>
        <w:t>≤</w:t>
      </w:r>
      <w:r>
        <w:rPr>
          <w:rFonts w:hint="eastAsia" w:ascii="宋体" w:hAnsi="宋体" w:eastAsia="宋体" w:cs="宋体"/>
          <w:sz w:val="28"/>
          <w:szCs w:val="28"/>
        </w:rPr>
        <w:t xml:space="preserve">0.0004% </w:t>
      </w:r>
    </w:p>
    <w:p w14:paraId="5003F1FF">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3.6最大耐压：≥10000psi</w:t>
      </w:r>
    </w:p>
    <w:p w14:paraId="4267A4D2">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3.7 具备去溶剂效应，在线稀释和在线衍生功能</w:t>
      </w:r>
    </w:p>
    <w:p w14:paraId="27E01CC8">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4 柱温箱</w:t>
      </w:r>
    </w:p>
    <w:p w14:paraId="0F6CCCF3">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4.1控温原理：帕尔贴结合空气循环模式、直热模式</w:t>
      </w:r>
    </w:p>
    <w:p w14:paraId="5BFF52DA">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4.2温控范围：不窄于5~85℃，可制冷</w:t>
      </w:r>
    </w:p>
    <w:p w14:paraId="6D1A6775">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4.3预留额外的两个六通阀或七通阀位置，可用于在线样品前处理等应用</w:t>
      </w:r>
    </w:p>
    <w:p w14:paraId="0146C37E">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5 紫外检测器：</w:t>
      </w:r>
    </w:p>
    <w:p w14:paraId="7E38184B">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5.1原理：双波长，可变波长</w:t>
      </w:r>
    </w:p>
    <w:p w14:paraId="4908F0E1">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5.2光源：氘灯、钨灯</w:t>
      </w:r>
    </w:p>
    <w:p w14:paraId="770DB67C">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5.3频带宽度：</w:t>
      </w:r>
      <w:r>
        <w:rPr>
          <w:rFonts w:hint="eastAsia" w:ascii="宋体" w:hAnsi="宋体" w:eastAsia="宋体" w:cs="宋体"/>
          <w:color w:val="FF0000"/>
          <w:sz w:val="28"/>
          <w:szCs w:val="28"/>
        </w:rPr>
        <w:t>≤</w:t>
      </w:r>
      <w:r>
        <w:rPr>
          <w:rFonts w:hint="eastAsia" w:ascii="宋体" w:hAnsi="宋体" w:eastAsia="宋体" w:cs="宋体"/>
          <w:sz w:val="28"/>
          <w:szCs w:val="28"/>
        </w:rPr>
        <w:t>6 nm 在254 nm</w:t>
      </w:r>
    </w:p>
    <w:p w14:paraId="641EAF93">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5.4通道数量：</w:t>
      </w:r>
      <w:r>
        <w:rPr>
          <w:rFonts w:hint="eastAsia" w:ascii="宋体" w:hAnsi="宋体" w:eastAsia="宋体" w:cs="宋体"/>
          <w:color w:val="000000"/>
          <w:sz w:val="28"/>
          <w:szCs w:val="28"/>
        </w:rPr>
        <w:t>≥</w:t>
      </w:r>
      <w:r>
        <w:rPr>
          <w:rFonts w:hint="eastAsia" w:ascii="宋体" w:hAnsi="宋体" w:eastAsia="宋体" w:cs="宋体"/>
          <w:sz w:val="28"/>
          <w:szCs w:val="28"/>
        </w:rPr>
        <w:t>2个</w:t>
      </w:r>
    </w:p>
    <w:p w14:paraId="0842966A">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5.5波长范围：不窄于190-750nm</w:t>
      </w:r>
    </w:p>
    <w:p w14:paraId="7D910538">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5.6波长准确度：±1nm</w:t>
      </w:r>
    </w:p>
    <w:p w14:paraId="3F8235B2">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5.7波长精确度：±0.1nm</w:t>
      </w:r>
    </w:p>
    <w:p w14:paraId="0152CD5A">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5.8线性范围：≤5%RSD在2.5AU时；</w:t>
      </w:r>
    </w:p>
    <w:p w14:paraId="609CA772">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5.9数据采集频率：≥120Hz</w:t>
      </w:r>
    </w:p>
    <w:p w14:paraId="74D0B1A1">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5.10自动校正：D-alpha线法自校正，氧化钬滤光器验证</w:t>
      </w:r>
    </w:p>
    <w:p w14:paraId="053B6467">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5.11噪声：</w:t>
      </w:r>
      <w:r>
        <w:rPr>
          <w:rFonts w:hint="eastAsia" w:ascii="宋体" w:hAnsi="宋体" w:eastAsia="宋体" w:cs="宋体"/>
          <w:color w:val="000000"/>
          <w:sz w:val="28"/>
          <w:szCs w:val="28"/>
        </w:rPr>
        <w:t>≤</w:t>
      </w:r>
      <w:r>
        <w:rPr>
          <w:rFonts w:hint="eastAsia" w:ascii="宋体" w:hAnsi="宋体" w:eastAsia="宋体" w:cs="宋体"/>
          <w:sz w:val="28"/>
          <w:szCs w:val="28"/>
        </w:rPr>
        <w:t>±2.5μAU</w:t>
      </w:r>
    </w:p>
    <w:p w14:paraId="52878115">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5.12漂移：</w:t>
      </w:r>
      <w:r>
        <w:rPr>
          <w:rFonts w:hint="eastAsia" w:ascii="宋体" w:hAnsi="宋体" w:eastAsia="宋体" w:cs="宋体"/>
          <w:color w:val="000000"/>
          <w:sz w:val="28"/>
          <w:szCs w:val="28"/>
        </w:rPr>
        <w:t>≤</w:t>
      </w:r>
      <w:r>
        <w:rPr>
          <w:rFonts w:hint="eastAsia" w:ascii="宋体" w:hAnsi="宋体" w:eastAsia="宋体" w:cs="宋体"/>
          <w:sz w:val="28"/>
          <w:szCs w:val="28"/>
        </w:rPr>
        <w:t>0.1mAU/h在254nm下</w:t>
      </w:r>
    </w:p>
    <w:p w14:paraId="336FEF47">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5.13停泵扫描：支持</w:t>
      </w:r>
    </w:p>
    <w:p w14:paraId="683B38CD">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6 折光示差检测器</w:t>
      </w:r>
    </w:p>
    <w:p w14:paraId="42FF11A6">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6.1 折光率范围：不窄于1.00–1.75RIU</w:t>
      </w:r>
    </w:p>
    <w:p w14:paraId="4E54ECD6">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6.2 检测量程：±600μRIU</w:t>
      </w:r>
    </w:p>
    <w:p w14:paraId="2B0EBE49">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6.3 响应时间 (RT)：不少于9个响应时间可以设置</w:t>
      </w:r>
    </w:p>
    <w:p w14:paraId="6FA6C99D">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6.4 噪声：≤2.5nRIU</w:t>
      </w:r>
    </w:p>
    <w:p w14:paraId="6C9176BB">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6.5 漂移：≤0.2μRIU/小时</w:t>
      </w:r>
    </w:p>
    <w:p w14:paraId="2384D6F3">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6.6 线性范围：600μRIU时RSD≤5.0%</w:t>
      </w:r>
    </w:p>
    <w:p w14:paraId="3A36FB39">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6.7 温度控制：30-55 ℃</w:t>
      </w:r>
    </w:p>
    <w:p w14:paraId="6A509677">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6.8 流通池类型：两室</w:t>
      </w:r>
    </w:p>
    <w:p w14:paraId="30A94E7D">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6.9 流通池体积：</w:t>
      </w:r>
      <w:r>
        <w:rPr>
          <w:rFonts w:hint="eastAsia" w:ascii="宋体" w:hAnsi="宋体" w:eastAsia="宋体" w:cs="宋体"/>
          <w:color w:val="FF0000"/>
          <w:sz w:val="28"/>
          <w:szCs w:val="28"/>
        </w:rPr>
        <w:t>≤</w:t>
      </w:r>
      <w:r>
        <w:rPr>
          <w:rFonts w:hint="eastAsia" w:ascii="宋体" w:hAnsi="宋体" w:eastAsia="宋体" w:cs="宋体"/>
          <w:sz w:val="28"/>
          <w:szCs w:val="28"/>
        </w:rPr>
        <w:t>8μL</w:t>
      </w:r>
    </w:p>
    <w:p w14:paraId="6A34E388">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6.10 最大流速：≥10mL/分钟（水）</w:t>
      </w:r>
    </w:p>
    <w:p w14:paraId="0A09B53F">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6.11 流通池耐压：≥0.05MPa</w:t>
      </w:r>
    </w:p>
    <w:p w14:paraId="317AE763">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6.12灵敏度：0–1V DC（2mV/μRIU，8mV/μRIU）</w:t>
      </w:r>
    </w:p>
    <w:p w14:paraId="635DD872">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7 色谱数据处理部分:</w:t>
      </w:r>
    </w:p>
    <w:p w14:paraId="7D7876F0">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7.1操作系统:可兼容windows 10</w:t>
      </w:r>
    </w:p>
    <w:p w14:paraId="1177D3E5">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7.2色谱控制分析数据库:可编制分析方式和顺序，兼容Oracle、Microsoft SQL Server多种数据库平台。</w:t>
      </w:r>
    </w:p>
    <w:p w14:paraId="3D08B1A9">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7.3可自动进行快速数据采集和后处理.</w:t>
      </w:r>
    </w:p>
    <w:p w14:paraId="11948673">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7.4可提供适时分析条件参数和分析结果，在线监测和采集泵压力变化数据。</w:t>
      </w:r>
    </w:p>
    <w:p w14:paraId="09F6AC64">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7.5具有仪器相关数据与运行状况溯源功能，方便故障排查。</w:t>
      </w:r>
    </w:p>
    <w:p w14:paraId="57403E29">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7.6 可通过升级兼容第三方仪器，操控包括气相色谱，离子色谱等第三方仪器公司仪器</w:t>
      </w:r>
    </w:p>
    <w:p w14:paraId="569D8FD2">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7.7 可使用PDF、EXCEL等格式输出实验结果。实验数据编辑相关操作为EXCEL式操作，运算灵活，修改方便。</w:t>
      </w:r>
    </w:p>
    <w:p w14:paraId="75A35ED3">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7.8 数据处理模块，报告输出模块。</w:t>
      </w:r>
    </w:p>
    <w:p w14:paraId="1779C84E">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8配置要求</w:t>
      </w:r>
    </w:p>
    <w:p w14:paraId="3606115B">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8.1四元梯度泵一套，含溶剂瓶5个</w:t>
      </w:r>
    </w:p>
    <w:p w14:paraId="21D4B2AB">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8.2四通道在线脱气机一套</w:t>
      </w:r>
    </w:p>
    <w:p w14:paraId="77D6FF18">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8.3 自动进样器一套</w:t>
      </w:r>
    </w:p>
    <w:p w14:paraId="0E0525AC">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8.4 半导体温控柱箱一套</w:t>
      </w:r>
    </w:p>
    <w:p w14:paraId="7682E4F6">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8.5可变波长紫外检测器一套</w:t>
      </w:r>
    </w:p>
    <w:p w14:paraId="1696BB63">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8.6折光示差检测器一套</w:t>
      </w:r>
    </w:p>
    <w:p w14:paraId="2F9F8EEC">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8.7设备控制盒数据处理软件一套</w:t>
      </w:r>
    </w:p>
    <w:p w14:paraId="173AB1ED">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8.8数据处理模块、报告输出模块一套</w:t>
      </w:r>
    </w:p>
    <w:p w14:paraId="5E2B59A6">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8.9消耗品</w:t>
      </w:r>
    </w:p>
    <w:p w14:paraId="48F3DAA3">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8.9.1 色谱柱 C18 4.6mm X 250mm  5μm一根</w:t>
      </w:r>
    </w:p>
    <w:p w14:paraId="4E177CA6">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8.9.2 色谱柱 C18 4.6mm X 150mm  5μm一根</w:t>
      </w:r>
    </w:p>
    <w:p w14:paraId="7615D98C">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8.9.3保护柱卡套1套</w:t>
      </w:r>
    </w:p>
    <w:p w14:paraId="3F47C99E">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8.9.4保护柱芯 1包</w:t>
      </w:r>
    </w:p>
    <w:p w14:paraId="400E92AE">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8.9.5样品瓶500个</w:t>
      </w:r>
    </w:p>
    <w:p w14:paraId="0A1E06B7">
      <w:pPr>
        <w:snapToGrid w:val="0"/>
        <w:spacing w:line="500" w:lineRule="exact"/>
        <w:ind w:firstLine="700"/>
        <w:rPr>
          <w:rFonts w:hint="eastAsia" w:ascii="宋体" w:hAnsi="宋体" w:eastAsia="宋体" w:cs="宋体"/>
          <w:sz w:val="28"/>
          <w:szCs w:val="28"/>
        </w:rPr>
      </w:pPr>
      <w:r>
        <w:rPr>
          <w:rFonts w:hint="eastAsia" w:ascii="宋体" w:hAnsi="宋体" w:eastAsia="宋体" w:cs="宋体"/>
          <w:sz w:val="28"/>
          <w:szCs w:val="28"/>
        </w:rPr>
        <w:t>8.10设备安装、维护所需的必要工具一套</w:t>
      </w:r>
    </w:p>
    <w:p w14:paraId="3CF4445E">
      <w:pPr>
        <w:pStyle w:val="87"/>
        <w:spacing w:line="500" w:lineRule="exact"/>
        <w:jc w:val="center"/>
        <w:rPr>
          <w:rFonts w:hint="eastAsia" w:ascii="宋体" w:hAnsi="宋体" w:eastAsia="宋体" w:cs="宋体"/>
          <w:b/>
          <w:color w:val="auto"/>
          <w:sz w:val="28"/>
          <w:szCs w:val="28"/>
        </w:rPr>
      </w:pPr>
    </w:p>
    <w:p w14:paraId="7F56F30C">
      <w:pPr>
        <w:spacing w:line="500" w:lineRule="exact"/>
        <w:rPr>
          <w:rFonts w:hint="eastAsia" w:ascii="宋体" w:hAnsi="宋体" w:eastAsia="宋体" w:cs="宋体"/>
          <w:b/>
          <w:bCs/>
          <w:sz w:val="28"/>
          <w:szCs w:val="28"/>
        </w:rPr>
      </w:pPr>
      <w:r>
        <w:rPr>
          <w:rFonts w:hint="eastAsia" w:ascii="宋体" w:hAnsi="宋体" w:eastAsia="宋体" w:cs="宋体"/>
          <w:b/>
          <w:sz w:val="28"/>
          <w:szCs w:val="28"/>
        </w:rPr>
        <w:t>备注：以上8项参数，均</w:t>
      </w:r>
      <w:r>
        <w:rPr>
          <w:rFonts w:hint="eastAsia" w:ascii="宋体" w:hAnsi="宋体" w:eastAsia="宋体" w:cs="宋体"/>
          <w:b/>
          <w:bCs/>
          <w:sz w:val="28"/>
          <w:szCs w:val="28"/>
        </w:rPr>
        <w:t>为一般参数项。</w:t>
      </w:r>
    </w:p>
    <w:p w14:paraId="28FEB0F0">
      <w:pPr>
        <w:spacing w:line="500" w:lineRule="exact"/>
        <w:rPr>
          <w:rFonts w:hint="eastAsia" w:ascii="宋体" w:hAnsi="宋体" w:eastAsia="宋体" w:cs="宋体"/>
          <w:color w:val="000000"/>
          <w:sz w:val="28"/>
          <w:szCs w:val="28"/>
        </w:rPr>
      </w:pPr>
      <w:r>
        <w:rPr>
          <w:rFonts w:hint="eastAsia" w:ascii="宋体" w:hAnsi="宋体" w:eastAsia="宋体" w:cs="宋体"/>
          <w:b/>
          <w:color w:val="000000"/>
          <w:sz w:val="28"/>
          <w:szCs w:val="28"/>
        </w:rPr>
        <w:br w:type="page"/>
      </w:r>
    </w:p>
    <w:p w14:paraId="7AA10F6E">
      <w:pPr>
        <w:snapToGrid w:val="0"/>
        <w:spacing w:line="420" w:lineRule="exact"/>
        <w:ind w:left="666" w:leftChars="196"/>
        <w:rPr>
          <w:rFonts w:hint="eastAsia" w:ascii="宋体" w:hAnsi="宋体" w:eastAsia="宋体" w:cs="宋体"/>
          <w:b/>
          <w:sz w:val="28"/>
          <w:szCs w:val="28"/>
        </w:rPr>
      </w:pPr>
      <w:r>
        <w:rPr>
          <w:rFonts w:hint="eastAsia" w:ascii="宋体" w:hAnsi="宋体" w:eastAsia="宋体" w:cs="宋体"/>
          <w:b/>
          <w:sz w:val="28"/>
          <w:szCs w:val="28"/>
        </w:rPr>
        <w:t>28、品目名称：自动化智能化合成平台（国产）</w:t>
      </w:r>
    </w:p>
    <w:p w14:paraId="0FD9EE7E">
      <w:pPr>
        <w:shd w:val="clear" w:color="auto" w:fill="FFFFFF"/>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1、高通量化学智慧工作站规格要求</w:t>
      </w:r>
    </w:p>
    <w:p w14:paraId="369F113F">
      <w:pPr>
        <w:shd w:val="clear" w:color="auto" w:fill="FFFFFF"/>
        <w:snapToGrid w:val="0"/>
        <w:spacing w:line="420" w:lineRule="exact"/>
        <w:ind w:firstLine="548" w:firstLineChars="196"/>
        <w:rPr>
          <w:rFonts w:hint="eastAsia" w:ascii="宋体" w:hAnsi="宋体" w:eastAsia="宋体" w:cs="宋体"/>
          <w:color w:val="000000"/>
          <w:sz w:val="28"/>
        </w:rPr>
      </w:pPr>
      <w:r>
        <w:rPr>
          <w:rFonts w:hint="eastAsia" w:ascii="宋体" w:hAnsi="宋体" w:eastAsia="宋体" w:cs="宋体"/>
          <w:color w:val="000000"/>
          <w:sz w:val="28"/>
          <w:highlight w:val="cyan"/>
        </w:rPr>
        <w:t>★</w:t>
      </w:r>
      <w:r>
        <w:rPr>
          <w:rFonts w:hint="eastAsia" w:ascii="宋体" w:hAnsi="宋体" w:eastAsia="宋体" w:cs="宋体"/>
          <w:color w:val="000000"/>
          <w:sz w:val="28"/>
        </w:rPr>
        <w:t>1.1 液体加料量程及精度：量程50-1000 uL；移液量=50 uL时，允差±5%，重复性CV≤3%；移液量=750 uL，允差±3%，重复性CV≤1%；</w:t>
      </w:r>
    </w:p>
    <w:p w14:paraId="0F655D94">
      <w:pPr>
        <w:shd w:val="clear" w:color="auto" w:fill="FFFFFF"/>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1.2 设备内SBS载具位置数量：不少于8个；移液器通道数：不少于8个；耗材仓数量：不少于4个；</w:t>
      </w:r>
      <w:r>
        <w:rPr>
          <w:rFonts w:hint="eastAsia" w:ascii="宋体" w:hAnsi="宋体" w:eastAsia="宋体" w:cs="宋体"/>
          <w:color w:val="000000"/>
          <w:sz w:val="28"/>
        </w:rPr>
        <w:t>SBS载具</w:t>
      </w:r>
      <w:r>
        <w:rPr>
          <w:rFonts w:hint="eastAsia" w:ascii="宋体" w:hAnsi="宋体" w:eastAsia="宋体" w:cs="宋体"/>
          <w:color w:val="000000"/>
          <w:sz w:val="28"/>
          <w:szCs w:val="28"/>
        </w:rPr>
        <w:t>漏检传感器：不少于6个；</w:t>
      </w:r>
    </w:p>
    <w:p w14:paraId="3EC3B961">
      <w:pPr>
        <w:shd w:val="clear" w:color="auto" w:fill="FFFFFF"/>
        <w:spacing w:line="420" w:lineRule="exact"/>
        <w:ind w:firstLine="471"/>
        <w:rPr>
          <w:rFonts w:hint="eastAsia" w:ascii="宋体" w:hAnsi="宋体" w:eastAsia="宋体" w:cs="宋体"/>
        </w:rPr>
      </w:pPr>
      <w:r>
        <w:rPr>
          <w:rFonts w:hint="eastAsia" w:ascii="宋体" w:hAnsi="宋体" w:eastAsia="宋体" w:cs="宋体"/>
          <w:color w:val="000000"/>
          <w:sz w:val="28"/>
        </w:rPr>
        <w:t>1.3 反应区：满足加热磁力搅拌，温度范围室温~150℃，加热温度控制允差±1℃，转速50-2000 rpm，步长≤5 rpm；可以兼容1 mL、2 mL、4 mL、8 mL、20 mL五种规格的反应瓶；根据反应瓶规格或调节方式，可一个批次并行完成8-96个反应的开设与后处理，其中，1mL反应瓶96 个，2、4、8mL反应瓶 24个，20mL反应瓶8 个；能一个批次并行完成最多96个反应瓶的密封与开启；</w:t>
      </w:r>
    </w:p>
    <w:p w14:paraId="75AB8412">
      <w:pPr>
        <w:shd w:val="clear" w:color="auto" w:fill="FFFFFF"/>
        <w:snapToGrid w:val="0"/>
        <w:spacing w:line="420" w:lineRule="exact"/>
        <w:ind w:firstLine="548" w:firstLineChars="196"/>
        <w:rPr>
          <w:rFonts w:hint="eastAsia" w:ascii="宋体" w:hAnsi="宋体" w:eastAsia="宋体" w:cs="宋体"/>
          <w:color w:val="000000"/>
          <w:sz w:val="28"/>
        </w:rPr>
      </w:pPr>
      <w:r>
        <w:rPr>
          <w:rFonts w:hint="eastAsia" w:ascii="宋体" w:hAnsi="宋体" w:eastAsia="宋体" w:cs="宋体"/>
          <w:color w:val="000000"/>
          <w:sz w:val="28"/>
        </w:rPr>
        <w:t>1.4 后处理区：满足淬灭、梯度稀释、过滤的后处理需求；过滤方式：正压过滤，应满足可一次性过滤96个样品；</w:t>
      </w:r>
    </w:p>
    <w:p w14:paraId="4FF68B78">
      <w:pPr>
        <w:shd w:val="clear" w:color="auto" w:fill="FFFFFF"/>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1.5 监控模块：配置智能监控摄像头，可记录液体配样、实验反应过程，可溯源，可实时查看;</w:t>
      </w:r>
    </w:p>
    <w:p w14:paraId="405147D8">
      <w:pPr>
        <w:shd w:val="clear" w:color="auto" w:fill="FFFFFF"/>
        <w:spacing w:line="420" w:lineRule="exact"/>
        <w:ind w:firstLine="471"/>
        <w:rPr>
          <w:rFonts w:hint="eastAsia" w:ascii="宋体" w:hAnsi="宋体" w:eastAsia="宋体" w:cs="宋体"/>
        </w:rPr>
      </w:pPr>
      <w:r>
        <w:rPr>
          <w:rFonts w:hint="eastAsia" w:ascii="宋体" w:hAnsi="宋体" w:eastAsia="宋体" w:cs="宋体"/>
          <w:color w:val="000000"/>
          <w:sz w:val="28"/>
        </w:rPr>
        <w:t>1.6 结构紧凑：长×宽×高不超过1100 mm（长）×650 mm（宽）×750 mm（高）；</w:t>
      </w:r>
    </w:p>
    <w:p w14:paraId="093E0DBA">
      <w:pPr>
        <w:shd w:val="clear" w:color="auto" w:fill="FFFFFF"/>
        <w:spacing w:line="420" w:lineRule="exact"/>
        <w:ind w:firstLine="471"/>
        <w:rPr>
          <w:rFonts w:hint="eastAsia" w:ascii="宋体" w:hAnsi="宋体" w:eastAsia="宋体" w:cs="宋体"/>
        </w:rPr>
      </w:pPr>
      <w:r>
        <w:rPr>
          <w:rFonts w:hint="eastAsia" w:ascii="宋体" w:hAnsi="宋体" w:eastAsia="宋体" w:cs="宋体"/>
          <w:color w:val="000000"/>
          <w:sz w:val="28"/>
        </w:rPr>
        <w:t>1.7 支持实验状态查看、实验报告导出、报错邮件提示等常规软件需求，需提供有效期内的软著证书；</w:t>
      </w:r>
    </w:p>
    <w:p w14:paraId="2CA14D65">
      <w:pPr>
        <w:shd w:val="clear" w:color="auto" w:fill="FFFFFF"/>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highlight w:val="cyan"/>
        </w:rPr>
        <w:t>★</w:t>
      </w:r>
      <w:r>
        <w:rPr>
          <w:rFonts w:hint="eastAsia" w:ascii="宋体" w:hAnsi="宋体" w:eastAsia="宋体" w:cs="宋体"/>
          <w:color w:val="000000"/>
          <w:sz w:val="28"/>
          <w:szCs w:val="28"/>
        </w:rPr>
        <w:t>1.8 满足接入软件控制系统要求，后台控制实验进行及结束。</w:t>
      </w:r>
    </w:p>
    <w:p w14:paraId="4322F7B4">
      <w:pPr>
        <w:shd w:val="clear" w:color="auto" w:fill="FFFFFF"/>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2、高通量固体称量工作站规格要求</w:t>
      </w:r>
    </w:p>
    <w:p w14:paraId="2F859054">
      <w:pPr>
        <w:shd w:val="clear" w:color="auto" w:fill="FFFFFF"/>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2.1 符合SBS标准的样品瓶托盘工位数：不少于5个；设备内固体料仓数：不少于14个；设备长×宽×高不超过600 mm x 600 mm x 800 mm，满足放置于手套箱内的需求；</w:t>
      </w:r>
    </w:p>
    <w:p w14:paraId="31FEBB7C">
      <w:pPr>
        <w:shd w:val="clear" w:color="auto" w:fill="FFFFFF"/>
        <w:spacing w:line="420" w:lineRule="exact"/>
        <w:ind w:firstLine="470"/>
        <w:rPr>
          <w:rFonts w:hint="eastAsia" w:ascii="宋体" w:hAnsi="宋体" w:eastAsia="宋体" w:cs="宋体"/>
        </w:rPr>
      </w:pPr>
      <w:r>
        <w:rPr>
          <w:rFonts w:hint="eastAsia" w:ascii="宋体" w:hAnsi="宋体" w:eastAsia="宋体" w:cs="宋体"/>
          <w:color w:val="000000"/>
          <w:sz w:val="28"/>
        </w:rPr>
        <w:t>2.2 天平核心性能：称量天平实际分度值d = 0.1 mg；天平最大秤量≥220 g；</w:t>
      </w:r>
    </w:p>
    <w:p w14:paraId="146B5D24">
      <w:pPr>
        <w:shd w:val="clear" w:color="auto" w:fill="FFFFFF"/>
        <w:spacing w:line="420" w:lineRule="exact"/>
        <w:ind w:firstLine="470"/>
        <w:rPr>
          <w:rFonts w:hint="eastAsia" w:ascii="宋体" w:hAnsi="宋体" w:eastAsia="宋体" w:cs="宋体"/>
        </w:rPr>
      </w:pPr>
      <w:r>
        <w:rPr>
          <w:rFonts w:hint="eastAsia" w:ascii="宋体" w:hAnsi="宋体" w:eastAsia="宋体" w:cs="宋体"/>
          <w:color w:val="000000"/>
          <w:sz w:val="28"/>
        </w:rPr>
        <w:t>2.3 称量范围：试剂称量范围为1 mg~20 g；</w:t>
      </w:r>
    </w:p>
    <w:p w14:paraId="75E0E06D">
      <w:pPr>
        <w:shd w:val="clear" w:color="auto" w:fill="FFFFFF"/>
        <w:spacing w:line="420" w:lineRule="exact"/>
        <w:ind w:firstLine="470"/>
        <w:rPr>
          <w:rFonts w:hint="eastAsia" w:ascii="宋体" w:hAnsi="宋体" w:eastAsia="宋体" w:cs="宋体"/>
          <w:color w:val="000000"/>
        </w:rPr>
      </w:pPr>
      <w:r>
        <w:rPr>
          <w:rFonts w:hint="eastAsia" w:ascii="宋体" w:hAnsi="宋体" w:eastAsia="宋体" w:cs="宋体"/>
          <w:color w:val="000000"/>
          <w:sz w:val="28"/>
        </w:rPr>
        <w:t>2.4 称量模块校正方式：内部校正；配置天平自动缓降装置，使目标容器托盘缓慢接触/脱离天平的秤盘，避免损坏高精度称量系统；</w:t>
      </w:r>
    </w:p>
    <w:p w14:paraId="4F0EB832">
      <w:pPr>
        <w:shd w:val="clear" w:color="auto" w:fill="FFFFFF"/>
        <w:spacing w:line="420" w:lineRule="exact"/>
        <w:ind w:firstLine="470"/>
        <w:rPr>
          <w:rFonts w:hint="eastAsia" w:ascii="宋体" w:hAnsi="宋体" w:eastAsia="宋体" w:cs="宋体"/>
          <w:color w:val="000000"/>
        </w:rPr>
      </w:pPr>
      <w:r>
        <w:rPr>
          <w:rFonts w:hint="eastAsia" w:ascii="宋体" w:hAnsi="宋体" w:eastAsia="宋体" w:cs="宋体"/>
          <w:color w:val="000000"/>
          <w:sz w:val="28"/>
        </w:rPr>
        <w:t>2.5 静电消除：配备静电消除装置，静电消除状态应具备可视化显示功能，用于判别高通量固体称量工作站内是否存在静电；</w:t>
      </w:r>
    </w:p>
    <w:p w14:paraId="02BD4716">
      <w:pPr>
        <w:shd w:val="clear" w:color="auto" w:fill="FFFFFF"/>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2.6 模块移动：设备本身具备移动平台内载具、料斗的能力，满足多对一、多对多、一对多等多种配样方式；</w:t>
      </w:r>
    </w:p>
    <w:p w14:paraId="325CC034">
      <w:pPr>
        <w:shd w:val="clear" w:color="auto" w:fill="FFFFFF"/>
        <w:spacing w:line="420" w:lineRule="exact"/>
        <w:ind w:firstLine="470"/>
        <w:rPr>
          <w:rFonts w:hint="eastAsia" w:ascii="宋体" w:hAnsi="宋体" w:eastAsia="宋体" w:cs="宋体"/>
        </w:rPr>
      </w:pPr>
      <w:r>
        <w:rPr>
          <w:rFonts w:hint="eastAsia" w:ascii="宋体" w:hAnsi="宋体" w:eastAsia="宋体" w:cs="宋体"/>
          <w:color w:val="000000"/>
          <w:sz w:val="28"/>
        </w:rPr>
        <w:t>2.7 物料识别与校验：配置无接触式物料读取模块（NFC / IC / RFID 中至少一种）；</w:t>
      </w:r>
    </w:p>
    <w:p w14:paraId="2B4660FD">
      <w:pPr>
        <w:shd w:val="clear" w:color="auto" w:fill="FFFFFF"/>
        <w:spacing w:line="420" w:lineRule="exact"/>
        <w:ind w:firstLine="470"/>
        <w:rPr>
          <w:rFonts w:hint="eastAsia" w:ascii="宋体" w:hAnsi="宋体" w:eastAsia="宋体" w:cs="宋体"/>
        </w:rPr>
      </w:pPr>
      <w:r>
        <w:rPr>
          <w:rFonts w:hint="eastAsia" w:ascii="宋体" w:hAnsi="宋体" w:eastAsia="宋体" w:cs="宋体"/>
          <w:color w:val="000000"/>
          <w:sz w:val="28"/>
          <w:highlight w:val="cyan"/>
        </w:rPr>
        <w:t>★</w:t>
      </w:r>
      <w:r>
        <w:rPr>
          <w:rFonts w:hint="eastAsia" w:ascii="宋体" w:hAnsi="宋体" w:eastAsia="宋体" w:cs="宋体"/>
          <w:color w:val="000000"/>
          <w:sz w:val="28"/>
        </w:rPr>
        <w:t>2.8 自动化接入：设备外罩、防风罩或密闭装置满足能程序化控制，自动升降、打开，满足自动化接入；</w:t>
      </w:r>
    </w:p>
    <w:p w14:paraId="46038913">
      <w:pPr>
        <w:shd w:val="clear" w:color="auto" w:fill="FFFFFF"/>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2.9 监控模块：设备配置智能监控摄像头，可记录固体配样过程，可溯源，可实时查看；</w:t>
      </w:r>
    </w:p>
    <w:p w14:paraId="10AE7C77">
      <w:pPr>
        <w:shd w:val="clear" w:color="auto" w:fill="FFFFFF"/>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2.10 固体料斗堆栈：固体料斗储存位置≥24个。</w:t>
      </w:r>
    </w:p>
    <w:p w14:paraId="03B624C1">
      <w:pPr>
        <w:shd w:val="clear" w:color="auto" w:fill="FFFFFF"/>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3、全自动封膜仪规格要求</w:t>
      </w:r>
    </w:p>
    <w:p w14:paraId="6D4DE62A">
      <w:pPr>
        <w:shd w:val="clear" w:color="auto" w:fill="FFFFFF"/>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3.1 封膜高度：系统自适应无需调整，适用各种板型；</w:t>
      </w:r>
    </w:p>
    <w:p w14:paraId="6083BF15">
      <w:pPr>
        <w:shd w:val="clear" w:color="auto" w:fill="FFFFFF"/>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3.2 封膜时间：在0.1-10秒区间内可调；</w:t>
      </w:r>
    </w:p>
    <w:p w14:paraId="39468323">
      <w:pPr>
        <w:shd w:val="clear" w:color="auto" w:fill="FFFFFF"/>
        <w:snapToGrid w:val="0"/>
        <w:spacing w:line="420" w:lineRule="exact"/>
        <w:ind w:firstLine="548" w:firstLineChars="196"/>
        <w:rPr>
          <w:rFonts w:hint="eastAsia" w:ascii="宋体" w:hAnsi="宋体" w:eastAsia="宋体" w:cs="宋体"/>
        </w:rPr>
      </w:pPr>
      <w:r>
        <w:rPr>
          <w:rFonts w:hint="eastAsia" w:ascii="宋体" w:hAnsi="宋体" w:eastAsia="宋体" w:cs="宋体"/>
          <w:color w:val="000000"/>
          <w:sz w:val="28"/>
        </w:rPr>
        <w:t>3.3 封膜温度：温控范围：室温-160℃；温控精度：±1℃；</w:t>
      </w:r>
    </w:p>
    <w:p w14:paraId="6121AEE1">
      <w:pPr>
        <w:shd w:val="clear" w:color="auto" w:fill="FFFFFF"/>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3.4 适配热封膜类型：适配可撕膜、穿刺膜、铝膜、透明膜、透气膜等。</w:t>
      </w:r>
    </w:p>
    <w:p w14:paraId="643ECD6B">
      <w:pPr>
        <w:shd w:val="clear" w:color="auto" w:fill="FFFFFF"/>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4、多轴机械臂转运装置规格要求</w:t>
      </w:r>
    </w:p>
    <w:p w14:paraId="585B8059">
      <w:pPr>
        <w:shd w:val="clear" w:color="auto" w:fill="FFFFFF"/>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4.1 机械臂：重复定位精度：±0.02 mm；末端有效负载：≥3 kg；工作半径：≥600 mm；</w:t>
      </w:r>
    </w:p>
    <w:p w14:paraId="4957C78C">
      <w:pPr>
        <w:shd w:val="clear" w:color="auto" w:fill="FFFFFF"/>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4.2 直线导轨：定位精度：±1 mm；流转线负载：≥20 kg（水平使用）；</w:t>
      </w:r>
    </w:p>
    <w:p w14:paraId="478F314E">
      <w:pPr>
        <w:shd w:val="clear" w:color="auto" w:fill="FFFFFF"/>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4.3 快换装置：支持不同类型电动夹爪快换；</w:t>
      </w:r>
    </w:p>
    <w:p w14:paraId="5B63694E">
      <w:pPr>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4.4 机械臂安全功能：支持碰撞检测、硬急停，自定义碰撞等级；防护等级：IP54。</w:t>
      </w:r>
    </w:p>
    <w:p w14:paraId="0FCBCBBA">
      <w:pPr>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5、液相色谱-质谱联用仪规格要求</w:t>
      </w:r>
    </w:p>
    <w:p w14:paraId="185351C0">
      <w:pPr>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5.1超高压梯度泵：内置真空脱气机，每个泵单独脱气（A / B），流量范围1-2000 µL/min，以1.0uL/min增量。 </w:t>
      </w:r>
    </w:p>
    <w:p w14:paraId="4F73E88C">
      <w:pPr>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流速准确度≤1%，流速精密度≤0.075%RSD，延迟体积＜100uL，含50ul混合器。</w:t>
      </w:r>
    </w:p>
    <w:p w14:paraId="2CAD2CBC">
      <w:pPr>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5.2</w:t>
      </w:r>
      <w:r>
        <w:rPr>
          <w:rFonts w:hint="eastAsia" w:ascii="宋体" w:hAnsi="宋体" w:eastAsia="宋体" w:cs="宋体"/>
          <w:color w:val="000000"/>
          <w:sz w:val="28"/>
          <w:szCs w:val="28"/>
        </w:rPr>
        <w:tab/>
      </w:r>
      <w:r>
        <w:rPr>
          <w:rFonts w:hint="eastAsia" w:ascii="宋体" w:hAnsi="宋体" w:eastAsia="宋体" w:cs="宋体"/>
          <w:color w:val="000000"/>
          <w:sz w:val="28"/>
          <w:szCs w:val="28"/>
        </w:rPr>
        <w:t>自动进样器：进样重复性 &lt;0.3%RSD，最大样品容量≥96位2mL样品瓶，进样范围标配1~20 uL，选配1~100ul，残留＜0.01%，选配样品制冷模块样品冷却最低4℃±2℃。</w:t>
      </w:r>
    </w:p>
    <w:p w14:paraId="0A99F507">
      <w:pPr>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5.3</w:t>
      </w:r>
      <w:r>
        <w:rPr>
          <w:rFonts w:hint="eastAsia" w:ascii="宋体" w:hAnsi="宋体" w:eastAsia="宋体" w:cs="宋体"/>
          <w:color w:val="000000"/>
          <w:sz w:val="28"/>
          <w:szCs w:val="28"/>
        </w:rPr>
        <w:tab/>
      </w:r>
      <w:r>
        <w:rPr>
          <w:rFonts w:hint="eastAsia" w:ascii="宋体" w:hAnsi="宋体" w:eastAsia="宋体" w:cs="宋体"/>
          <w:color w:val="000000"/>
          <w:sz w:val="28"/>
          <w:szCs w:val="28"/>
        </w:rPr>
        <w:t>柱温箱：温控范围室温+5℃~90℃，温控方式流动相预热+强制空气循环，温度稳定性±0.1℃，温度重现性±0.1℃，最大柱容量色谱柱数量≥5根，长度≥250 mm。</w:t>
      </w:r>
    </w:p>
    <w:p w14:paraId="4F59C105">
      <w:pPr>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5.4</w:t>
      </w:r>
      <w:r>
        <w:rPr>
          <w:rFonts w:hint="eastAsia" w:ascii="宋体" w:hAnsi="宋体" w:eastAsia="宋体" w:cs="宋体"/>
          <w:color w:val="000000"/>
          <w:sz w:val="28"/>
          <w:szCs w:val="28"/>
        </w:rPr>
        <w:tab/>
      </w:r>
      <w:r>
        <w:rPr>
          <w:rFonts w:hint="eastAsia" w:ascii="宋体" w:hAnsi="宋体" w:eastAsia="宋体" w:cs="宋体"/>
          <w:color w:val="000000"/>
          <w:sz w:val="28"/>
          <w:szCs w:val="28"/>
        </w:rPr>
        <w:t>质谱：</w:t>
      </w:r>
    </w:p>
    <w:p w14:paraId="414EAE7D">
      <w:pPr>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5.4.1 </w:t>
      </w:r>
      <w:r>
        <w:rPr>
          <w:rFonts w:hint="eastAsia" w:ascii="宋体" w:hAnsi="宋体" w:eastAsia="宋体" w:cs="宋体"/>
          <w:color w:val="000000"/>
          <w:sz w:val="28"/>
          <w:szCs w:val="28"/>
        </w:rPr>
        <w:tab/>
      </w:r>
      <w:r>
        <w:rPr>
          <w:rFonts w:hint="eastAsia" w:ascii="宋体" w:hAnsi="宋体" w:eastAsia="宋体" w:cs="宋体"/>
          <w:color w:val="000000"/>
          <w:sz w:val="28"/>
          <w:szCs w:val="28"/>
        </w:rPr>
        <w:t xml:space="preserve">ESI离子源：正交垂直喷雾设计，系统抗污染能力强，背景噪音低。离子源供气1路雾化气和2路去溶剂气，辅助加热气温度≥750℃，离子源内有专门的废气排放装置，防止气体在密闭的离子源腔体中的回流。 </w:t>
      </w:r>
    </w:p>
    <w:p w14:paraId="0288CACE">
      <w:pPr>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5.4.2 真空接口及离子传输系统：离子源接口采用锥孔设计，反吹气设计，降低中性分子的引入，离子源接口温度≥110℃，真空接口维护清洗维护简单，无需卸真空，几分钟内可轻松完成日常维护及安装的全过程。离子传输系统4级差分真空设计，采用多重四极杆传输，精确聚焦离子。</w:t>
      </w:r>
    </w:p>
    <w:p w14:paraId="54D8E8B2">
      <w:pPr>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5.4.3</w:t>
      </w:r>
      <w:r>
        <w:rPr>
          <w:rFonts w:hint="eastAsia" w:ascii="宋体" w:hAnsi="宋体" w:eastAsia="宋体" w:cs="宋体"/>
          <w:color w:val="000000"/>
          <w:sz w:val="28"/>
          <w:szCs w:val="28"/>
        </w:rPr>
        <w:tab/>
      </w:r>
      <w:r>
        <w:rPr>
          <w:rFonts w:hint="eastAsia" w:ascii="宋体" w:hAnsi="宋体" w:eastAsia="宋体" w:cs="宋体"/>
          <w:color w:val="000000"/>
          <w:sz w:val="28"/>
          <w:szCs w:val="28"/>
        </w:rPr>
        <w:t>质量分析系统：三重四极杆质量分析器,四极杆采用高精度纯Mo材料，四极杆表面镀金。</w:t>
      </w:r>
    </w:p>
    <w:p w14:paraId="2063E6C9">
      <w:pPr>
        <w:numPr>
          <w:ilvl w:val="0"/>
          <w:numId w:val="32"/>
        </w:numPr>
        <w:snapToGrid w:val="0"/>
        <w:spacing w:line="420" w:lineRule="exact"/>
        <w:ind w:left="0"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一级四极杆质量分析器后带有前后预杆，防止发生质量歧视效应；二级四极杆质量分析器前带有前预杆，提升离子传输效率。</w:t>
      </w:r>
    </w:p>
    <w:p w14:paraId="339969A3">
      <w:pPr>
        <w:numPr>
          <w:ilvl w:val="0"/>
          <w:numId w:val="32"/>
        </w:numPr>
        <w:snapToGrid w:val="0"/>
        <w:spacing w:line="420" w:lineRule="exact"/>
        <w:ind w:left="0"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直线型碰撞池，碰撞气为高纯氮气。</w:t>
      </w:r>
    </w:p>
    <w:p w14:paraId="1F766A08">
      <w:pPr>
        <w:numPr>
          <w:ilvl w:val="0"/>
          <w:numId w:val="32"/>
        </w:numPr>
        <w:snapToGrid w:val="0"/>
        <w:spacing w:line="420" w:lineRule="exact"/>
        <w:ind w:left="0"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四极杆分辨率0.4-3.0 amu；质量数范围5-1000 amu；质量稳定性≤ 0.05 amu/24h。</w:t>
      </w:r>
    </w:p>
    <w:p w14:paraId="1CCE8A41">
      <w:pPr>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5.4</w:t>
      </w:r>
      <w:r>
        <w:rPr>
          <w:rFonts w:hint="eastAsia" w:ascii="宋体" w:hAnsi="宋体" w:eastAsia="宋体" w:cs="宋体"/>
          <w:color w:val="000000"/>
          <w:sz w:val="28"/>
          <w:szCs w:val="28"/>
        </w:rPr>
        <w:tab/>
      </w:r>
      <w:r>
        <w:rPr>
          <w:rFonts w:hint="eastAsia" w:ascii="宋体" w:hAnsi="宋体" w:eastAsia="宋体" w:cs="宋体"/>
          <w:color w:val="000000"/>
          <w:sz w:val="28"/>
          <w:szCs w:val="28"/>
        </w:rPr>
        <w:t>.4检测器：电子倍增管技术，无正负离子歧视效应，长时间使用寿命，保障长期数据稳定性。脉冲计数式检测器，保障低浓度检测限的数据重现性。</w:t>
      </w:r>
    </w:p>
    <w:p w14:paraId="3A9A8ED2">
      <w:pPr>
        <w:snapToGrid w:val="0"/>
        <w:spacing w:line="4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5.4.5真空系统：机械泵和涡轮分子泵组成，离子传输区和质量分析区形成差分抽气系统，自动断电保护功能。</w:t>
      </w:r>
    </w:p>
    <w:p w14:paraId="465A62A9">
      <w:pPr>
        <w:spacing w:line="420" w:lineRule="exact"/>
        <w:rPr>
          <w:rFonts w:hint="eastAsia" w:ascii="宋体" w:hAnsi="宋体" w:eastAsia="宋体" w:cs="宋体"/>
          <w:color w:val="000000"/>
          <w:sz w:val="28"/>
          <w:szCs w:val="28"/>
        </w:rPr>
      </w:pPr>
      <w:r>
        <w:rPr>
          <w:rFonts w:hint="eastAsia" w:ascii="宋体" w:hAnsi="宋体" w:eastAsia="宋体" w:cs="宋体"/>
          <w:b/>
          <w:sz w:val="28"/>
          <w:szCs w:val="28"/>
        </w:rPr>
        <w:t>备注：以上5项参数，其中实质性参数（</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w:t>
      </w:r>
      <w:r>
        <w:rPr>
          <w:rFonts w:hint="eastAsia" w:ascii="宋体" w:hAnsi="宋体" w:eastAsia="宋体" w:cs="宋体"/>
          <w:b/>
          <w:sz w:val="28"/>
          <w:szCs w:val="28"/>
        </w:rPr>
        <w:t>）3项，不允许负偏离。其他非</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号项和非</w:t>
      </w:r>
      <w:r>
        <w:rPr>
          <w:rFonts w:hint="eastAsia" w:ascii="宋体" w:hAnsi="宋体" w:eastAsia="宋体" w:cs="宋体"/>
          <w:b/>
          <w:sz w:val="28"/>
          <w:szCs w:val="28"/>
          <w:highlight w:val="green"/>
        </w:rPr>
        <w:t>▲</w:t>
      </w:r>
      <w:r>
        <w:rPr>
          <w:rFonts w:hint="eastAsia" w:ascii="宋体" w:hAnsi="宋体" w:eastAsia="宋体" w:cs="宋体"/>
          <w:b/>
          <w:bCs/>
          <w:sz w:val="28"/>
          <w:szCs w:val="28"/>
        </w:rPr>
        <w:t>号项为一般参数项（</w:t>
      </w:r>
      <w:r>
        <w:rPr>
          <w:rFonts w:hint="eastAsia" w:hAnsi="宋体" w:cs="宋体"/>
          <w:b/>
          <w:bCs/>
          <w:sz w:val="28"/>
          <w:szCs w:val="28"/>
          <w:lang w:val="en-US" w:eastAsia="zh-CN"/>
        </w:rPr>
        <w:t>5</w:t>
      </w:r>
      <w:r>
        <w:rPr>
          <w:rFonts w:hint="eastAsia" w:ascii="宋体" w:hAnsi="宋体" w:eastAsia="宋体" w:cs="宋体"/>
          <w:b/>
          <w:bCs/>
          <w:sz w:val="28"/>
          <w:szCs w:val="28"/>
        </w:rPr>
        <w:t>项），</w:t>
      </w:r>
      <w:r>
        <w:rPr>
          <w:rFonts w:hint="eastAsia" w:ascii="宋体" w:hAnsi="宋体" w:eastAsia="宋体" w:cs="宋体"/>
          <w:b/>
          <w:color w:val="000000"/>
          <w:sz w:val="28"/>
          <w:szCs w:val="28"/>
        </w:rPr>
        <w:t>参数1.2-1.7</w:t>
      </w:r>
      <w:r>
        <w:rPr>
          <w:rFonts w:hint="eastAsia" w:ascii="宋体" w:hAnsi="宋体" w:eastAsia="宋体" w:cs="宋体"/>
          <w:b/>
          <w:bCs/>
          <w:sz w:val="28"/>
          <w:szCs w:val="28"/>
        </w:rPr>
        <w:t>为一般参数项，按1项计；</w:t>
      </w:r>
      <w:r>
        <w:rPr>
          <w:rFonts w:hint="eastAsia" w:ascii="宋体" w:hAnsi="宋体" w:eastAsia="宋体" w:cs="宋体"/>
          <w:b/>
          <w:color w:val="000000"/>
          <w:sz w:val="28"/>
          <w:szCs w:val="28"/>
        </w:rPr>
        <w:t>参数2.1-2.7、2.9-2.10</w:t>
      </w:r>
      <w:r>
        <w:rPr>
          <w:rFonts w:hint="eastAsia" w:ascii="宋体" w:hAnsi="宋体" w:eastAsia="宋体" w:cs="宋体"/>
          <w:b/>
          <w:bCs/>
          <w:sz w:val="28"/>
          <w:szCs w:val="28"/>
        </w:rPr>
        <w:t>为一般参数项，按1项。</w:t>
      </w:r>
    </w:p>
    <w:p w14:paraId="71962CCE">
      <w:pPr>
        <w:rPr>
          <w:rFonts w:hint="eastAsia" w:ascii="宋体" w:hAnsi="宋体" w:eastAsia="宋体" w:cs="宋体"/>
          <w:b/>
          <w:sz w:val="28"/>
          <w:szCs w:val="28"/>
        </w:rPr>
      </w:pPr>
    </w:p>
    <w:p w14:paraId="3F80B71E">
      <w:pPr>
        <w:rPr>
          <w:rFonts w:hint="eastAsia" w:ascii="宋体" w:hAnsi="宋体" w:eastAsia="宋体" w:cs="宋体"/>
          <w:b/>
          <w:bCs/>
          <w:sz w:val="28"/>
          <w:szCs w:val="28"/>
          <w:highlight w:val="red"/>
        </w:rPr>
      </w:pPr>
      <w:r>
        <w:rPr>
          <w:rFonts w:hint="eastAsia" w:ascii="宋体" w:hAnsi="宋体" w:eastAsia="宋体" w:cs="宋体"/>
          <w:b/>
          <w:sz w:val="28"/>
          <w:szCs w:val="28"/>
        </w:rPr>
        <w:t>以上28项参数，</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号项1</w:t>
      </w:r>
      <w:r>
        <w:rPr>
          <w:rFonts w:hint="eastAsia" w:ascii="宋体" w:hAnsi="宋体" w:eastAsia="宋体" w:cs="宋体"/>
          <w:b/>
          <w:bCs/>
          <w:sz w:val="28"/>
          <w:szCs w:val="28"/>
          <w:lang w:val="en-US" w:eastAsia="zh-CN"/>
        </w:rPr>
        <w:t>9</w:t>
      </w:r>
      <w:r>
        <w:rPr>
          <w:rFonts w:hint="eastAsia" w:ascii="宋体" w:hAnsi="宋体" w:eastAsia="宋体" w:cs="宋体"/>
          <w:b/>
          <w:bCs/>
          <w:sz w:val="28"/>
          <w:szCs w:val="28"/>
        </w:rPr>
        <w:t>项为实质性参数，不允许负偏离。</w:t>
      </w:r>
      <w:r>
        <w:rPr>
          <w:rFonts w:hint="eastAsia" w:ascii="宋体" w:hAnsi="宋体" w:eastAsia="宋体" w:cs="宋体"/>
          <w:b/>
          <w:sz w:val="28"/>
          <w:szCs w:val="28"/>
          <w:highlight w:val="green"/>
        </w:rPr>
        <w:t>▲</w:t>
      </w:r>
      <w:r>
        <w:rPr>
          <w:rFonts w:hint="eastAsia" w:ascii="宋体" w:hAnsi="宋体" w:eastAsia="宋体" w:cs="宋体"/>
          <w:b/>
          <w:bCs/>
          <w:sz w:val="28"/>
          <w:szCs w:val="28"/>
        </w:rPr>
        <w:t>号项15项为重要参数项，无偏离加分，负偏离不得分，正偏离视为无偏离，不额外加分。</w:t>
      </w:r>
      <w:r>
        <w:rPr>
          <w:rFonts w:hint="eastAsia" w:ascii="宋体" w:hAnsi="宋体" w:eastAsia="宋体" w:cs="宋体"/>
          <w:b/>
          <w:sz w:val="28"/>
          <w:szCs w:val="28"/>
        </w:rPr>
        <w:t>其他非</w:t>
      </w:r>
      <w:r>
        <w:rPr>
          <w:rFonts w:hint="eastAsia" w:ascii="宋体" w:hAnsi="宋体" w:eastAsia="宋体" w:cs="宋体"/>
          <w:b/>
          <w:bCs/>
          <w:sz w:val="28"/>
          <w:szCs w:val="28"/>
          <w:highlight w:val="cyan"/>
        </w:rPr>
        <w:t>★</w:t>
      </w:r>
      <w:r>
        <w:rPr>
          <w:rFonts w:hint="eastAsia" w:ascii="宋体" w:hAnsi="宋体" w:eastAsia="宋体" w:cs="宋体"/>
          <w:b/>
          <w:bCs/>
          <w:sz w:val="28"/>
          <w:szCs w:val="28"/>
        </w:rPr>
        <w:t>号项和非</w:t>
      </w:r>
      <w:r>
        <w:rPr>
          <w:rFonts w:hint="eastAsia" w:ascii="宋体" w:hAnsi="宋体" w:eastAsia="宋体" w:cs="宋体"/>
          <w:b/>
          <w:sz w:val="28"/>
          <w:szCs w:val="28"/>
          <w:highlight w:val="green"/>
        </w:rPr>
        <w:t>▲</w:t>
      </w:r>
      <w:r>
        <w:rPr>
          <w:rFonts w:hint="eastAsia" w:ascii="宋体" w:hAnsi="宋体" w:eastAsia="宋体" w:cs="宋体"/>
          <w:b/>
          <w:bCs/>
          <w:sz w:val="28"/>
          <w:szCs w:val="28"/>
        </w:rPr>
        <w:t>号项为一般参数项</w:t>
      </w:r>
      <w:r>
        <w:rPr>
          <w:rFonts w:hint="eastAsia" w:ascii="宋体" w:hAnsi="宋体" w:eastAsia="宋体" w:cs="宋体"/>
          <w:b/>
          <w:bCs/>
          <w:sz w:val="28"/>
          <w:szCs w:val="28"/>
          <w:highlight w:val="none"/>
        </w:rPr>
        <w:t>（</w:t>
      </w:r>
      <w:r>
        <w:rPr>
          <w:rFonts w:hint="eastAsia" w:hAnsi="宋体" w:cs="宋体"/>
          <w:b/>
          <w:bCs/>
          <w:sz w:val="28"/>
          <w:szCs w:val="28"/>
          <w:highlight w:val="none"/>
          <w:lang w:val="en-US" w:eastAsia="zh-CN"/>
        </w:rPr>
        <w:t>524</w:t>
      </w:r>
      <w:r>
        <w:rPr>
          <w:rFonts w:hint="eastAsia" w:ascii="宋体" w:hAnsi="宋体" w:eastAsia="宋体" w:cs="宋体"/>
          <w:b/>
          <w:bCs/>
          <w:sz w:val="28"/>
          <w:szCs w:val="28"/>
          <w:highlight w:val="none"/>
        </w:rPr>
        <w:t>项）</w:t>
      </w:r>
    </w:p>
    <w:p w14:paraId="5213377E">
      <w:pPr>
        <w:rPr>
          <w:rFonts w:hint="eastAsia" w:ascii="宋体" w:hAnsi="宋体" w:eastAsia="宋体" w:cs="宋体"/>
          <w:b/>
          <w:bCs/>
          <w:sz w:val="28"/>
          <w:szCs w:val="28"/>
        </w:rPr>
      </w:pPr>
      <w:r>
        <w:rPr>
          <w:rFonts w:hint="eastAsia" w:ascii="宋体" w:hAnsi="宋体" w:eastAsia="宋体" w:cs="宋体"/>
          <w:b/>
          <w:bCs/>
          <w:sz w:val="28"/>
          <w:szCs w:val="28"/>
        </w:rPr>
        <w:br w:type="page"/>
      </w:r>
    </w:p>
    <w:p w14:paraId="7E2C6C4B">
      <w:pPr>
        <w:jc w:val="center"/>
        <w:outlineLvl w:val="1"/>
        <w:rPr>
          <w:rFonts w:hint="eastAsia" w:ascii="宋体" w:hAnsi="宋体" w:eastAsia="宋体" w:cs="宋体"/>
          <w:b/>
          <w:bCs/>
          <w:sz w:val="28"/>
          <w:szCs w:val="28"/>
        </w:rPr>
        <w:sectPr>
          <w:headerReference r:id="rId9" w:type="default"/>
          <w:footerReference r:id="rId10" w:type="default"/>
          <w:pgSz w:w="11906" w:h="16839"/>
          <w:pgMar w:top="1431" w:right="1785" w:bottom="1378" w:left="1785" w:header="680" w:footer="1212" w:gutter="0"/>
          <w:pgNumType w:start="1"/>
          <w:cols w:space="720" w:num="1"/>
        </w:sectPr>
      </w:pPr>
    </w:p>
    <w:p w14:paraId="591078C9">
      <w:pPr>
        <w:jc w:val="center"/>
        <w:outlineLvl w:val="1"/>
        <w:rPr>
          <w:rFonts w:hint="eastAsia" w:ascii="宋体" w:hAnsi="宋体" w:eastAsia="宋体" w:cs="宋体"/>
          <w:b/>
          <w:bCs/>
          <w:color w:val="000000"/>
          <w:sz w:val="28"/>
          <w:szCs w:val="28"/>
        </w:rPr>
      </w:pPr>
      <w:r>
        <w:rPr>
          <w:rFonts w:hint="eastAsia" w:ascii="宋体" w:hAnsi="宋体" w:eastAsia="宋体" w:cs="宋体"/>
          <w:b/>
          <w:bCs/>
          <w:sz w:val="28"/>
          <w:szCs w:val="28"/>
        </w:rPr>
        <w:t>四、</w:t>
      </w:r>
      <w:r>
        <w:rPr>
          <w:rFonts w:hint="eastAsia" w:ascii="宋体" w:hAnsi="宋体" w:eastAsia="宋体" w:cs="宋体"/>
          <w:b/>
          <w:bCs/>
          <w:color w:val="000000"/>
          <w:sz w:val="28"/>
          <w:szCs w:val="28"/>
        </w:rPr>
        <w:t>品名、供货周期、质保要求、验收要求、售后服务</w:t>
      </w:r>
    </w:p>
    <w:p w14:paraId="422B2D75">
      <w:pPr>
        <w:jc w:val="both"/>
        <w:outlineLvl w:val="9"/>
        <w:rPr>
          <w:rFonts w:hint="eastAsia" w:ascii="宋体" w:hAnsi="宋体" w:eastAsia="宋体" w:cs="宋体"/>
        </w:rPr>
      </w:pPr>
    </w:p>
    <w:tbl>
      <w:tblPr>
        <w:tblStyle w:val="23"/>
        <w:tblW w:w="4997" w:type="pct"/>
        <w:tblInd w:w="0" w:type="dxa"/>
        <w:tblLayout w:type="autofit"/>
        <w:tblCellMar>
          <w:top w:w="0" w:type="dxa"/>
          <w:left w:w="108" w:type="dxa"/>
          <w:bottom w:w="0" w:type="dxa"/>
          <w:right w:w="108" w:type="dxa"/>
        </w:tblCellMar>
      </w:tblPr>
      <w:tblGrid>
        <w:gridCol w:w="427"/>
        <w:gridCol w:w="1461"/>
        <w:gridCol w:w="1315"/>
        <w:gridCol w:w="3377"/>
        <w:gridCol w:w="3403"/>
        <w:gridCol w:w="4254"/>
      </w:tblGrid>
      <w:tr w14:paraId="506791F4">
        <w:tblPrEx>
          <w:tblCellMar>
            <w:top w:w="0" w:type="dxa"/>
            <w:left w:w="108" w:type="dxa"/>
            <w:bottom w:w="0" w:type="dxa"/>
            <w:right w:w="108" w:type="dxa"/>
          </w:tblCellMar>
        </w:tblPrEx>
        <w:trPr>
          <w:trHeight w:val="95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D5BB">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1939">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品名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A3AB">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供货周期</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497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质保要求</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8969">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验收要求</w:t>
            </w:r>
          </w:p>
        </w:tc>
        <w:tc>
          <w:tcPr>
            <w:tcW w:w="1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48EA">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售后服务</w:t>
            </w:r>
          </w:p>
        </w:tc>
      </w:tr>
      <w:tr w14:paraId="291FF217">
        <w:tblPrEx>
          <w:tblCellMar>
            <w:top w:w="0" w:type="dxa"/>
            <w:left w:w="108" w:type="dxa"/>
            <w:bottom w:w="0" w:type="dxa"/>
            <w:right w:w="108" w:type="dxa"/>
          </w:tblCellMar>
        </w:tblPrEx>
        <w:trPr>
          <w:trHeight w:val="90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CD35">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1B2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双通道快速/保温电石热处理收集系统（国产）</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6EA7">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合同签订后90日历日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620F">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免费质保2年，终身提供技术支持。</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074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设备符合招标参数且能稳定工作。</w:t>
            </w:r>
          </w:p>
        </w:tc>
        <w:tc>
          <w:tcPr>
            <w:tcW w:w="1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631D">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仪器故障接报后</w:t>
            </w:r>
            <w:r>
              <w:rPr>
                <w:rStyle w:val="26"/>
                <w:rFonts w:hint="eastAsia" w:ascii="宋体" w:hAnsi="宋体" w:eastAsia="宋体" w:cs="宋体"/>
                <w:bCs/>
                <w:color w:val="000000"/>
                <w:sz w:val="21"/>
                <w:szCs w:val="21"/>
                <w:highlight w:val="none"/>
              </w:rPr>
              <w:t>24 小时内响应</w:t>
            </w:r>
            <w:r>
              <w:rPr>
                <w:rFonts w:hint="eastAsia" w:ascii="宋体" w:hAnsi="宋体" w:eastAsia="宋体" w:cs="宋体"/>
                <w:sz w:val="21"/>
                <w:szCs w:val="21"/>
                <w:highlight w:val="none"/>
              </w:rPr>
              <w:t>，</w:t>
            </w:r>
            <w:r>
              <w:rPr>
                <w:rStyle w:val="26"/>
                <w:rFonts w:hint="eastAsia" w:ascii="宋体" w:hAnsi="宋体" w:eastAsia="宋体" w:cs="宋体"/>
                <w:bCs/>
                <w:color w:val="000000"/>
                <w:sz w:val="21"/>
                <w:szCs w:val="21"/>
                <w:highlight w:val="none"/>
              </w:rPr>
              <w:t>48 小时内排除故障并说明原因</w:t>
            </w:r>
            <w:r>
              <w:rPr>
                <w:rFonts w:hint="eastAsia" w:ascii="宋体" w:hAnsi="宋体" w:eastAsia="宋体" w:cs="宋体"/>
                <w:sz w:val="21"/>
                <w:szCs w:val="21"/>
                <w:highlight w:val="none"/>
              </w:rPr>
              <w:t>，直至故障消除。</w:t>
            </w:r>
          </w:p>
          <w:p w14:paraId="1097CCA5">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根据采购人的使用需求，可提供</w:t>
            </w:r>
            <w:r>
              <w:rPr>
                <w:rFonts w:hint="eastAsia" w:ascii="宋体" w:hAnsi="宋体" w:eastAsia="宋体" w:cs="宋体"/>
                <w:sz w:val="21"/>
                <w:szCs w:val="21"/>
                <w:highlight w:val="none"/>
                <w:lang w:val="en-US" w:eastAsia="zh-CN"/>
              </w:rPr>
              <w:t>三年内免费搬运一次服务。</w:t>
            </w:r>
          </w:p>
          <w:p w14:paraId="0FCA46B9">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p>
        </w:tc>
      </w:tr>
      <w:tr w14:paraId="06E4BFE8">
        <w:tblPrEx>
          <w:tblCellMar>
            <w:top w:w="0" w:type="dxa"/>
            <w:left w:w="108" w:type="dxa"/>
            <w:bottom w:w="0" w:type="dxa"/>
            <w:right w:w="108" w:type="dxa"/>
          </w:tblCellMar>
        </w:tblPrEx>
        <w:trPr>
          <w:trHeight w:val="178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662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CDCA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气相色谱仪（国产）</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F9C0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合同签订后45日历日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EF034">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对于该设备，中标人承诺保修3年，终身服务，保修期外的售后服务只收取配件费。</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2C28">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①完成设备调试和培训服务，学生具备自主上机能力；</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②调试完成后，设备运行72小时以上。</w:t>
            </w:r>
          </w:p>
        </w:tc>
        <w:tc>
          <w:tcPr>
            <w:tcW w:w="1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4B6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sz w:val="21"/>
                <w:szCs w:val="21"/>
                <w:highlight w:val="none"/>
                <w:lang w:val="en-US"/>
              </w:rPr>
            </w:pPr>
            <w:r>
              <w:rPr>
                <w:rFonts w:hint="eastAsia" w:ascii="宋体" w:hAnsi="宋体" w:eastAsia="宋体" w:cs="宋体"/>
                <w:kern w:val="0"/>
                <w:sz w:val="21"/>
                <w:szCs w:val="21"/>
                <w:highlight w:val="none"/>
                <w:lang w:val="en-US" w:eastAsia="zh-CN"/>
              </w:rPr>
              <w:t>仪器故障接报后</w:t>
            </w:r>
            <w:r>
              <w:rPr>
                <w:rFonts w:hint="eastAsia" w:ascii="宋体" w:hAnsi="宋体" w:eastAsia="宋体" w:cs="宋体"/>
                <w:b w:val="0"/>
                <w:bCs/>
                <w:color w:val="000000"/>
                <w:kern w:val="2"/>
                <w:sz w:val="21"/>
                <w:szCs w:val="21"/>
                <w:highlight w:val="none"/>
                <w:lang w:val="en-US" w:eastAsia="zh-CN"/>
              </w:rPr>
              <w:t>24 小时内响应</w:t>
            </w:r>
            <w:r>
              <w:rPr>
                <w:rFonts w:hint="eastAsia" w:ascii="宋体" w:hAnsi="宋体" w:eastAsia="宋体" w:cs="宋体"/>
                <w:kern w:val="0"/>
                <w:sz w:val="21"/>
                <w:szCs w:val="21"/>
                <w:highlight w:val="none"/>
                <w:lang w:val="en-US" w:eastAsia="zh-CN"/>
              </w:rPr>
              <w:t>，</w:t>
            </w:r>
            <w:r>
              <w:rPr>
                <w:rFonts w:hint="eastAsia" w:ascii="宋体" w:hAnsi="宋体" w:eastAsia="宋体" w:cs="宋体"/>
                <w:b w:val="0"/>
                <w:bCs/>
                <w:color w:val="000000"/>
                <w:kern w:val="2"/>
                <w:sz w:val="21"/>
                <w:szCs w:val="21"/>
                <w:highlight w:val="none"/>
                <w:lang w:val="en-US" w:eastAsia="zh-CN"/>
              </w:rPr>
              <w:t>48 小时内排除故障并说明原因</w:t>
            </w:r>
            <w:r>
              <w:rPr>
                <w:rFonts w:hint="eastAsia" w:ascii="宋体" w:hAnsi="宋体" w:eastAsia="宋体" w:cs="宋体"/>
                <w:kern w:val="0"/>
                <w:sz w:val="21"/>
                <w:szCs w:val="21"/>
                <w:highlight w:val="none"/>
                <w:lang w:val="en-US" w:eastAsia="zh-CN"/>
              </w:rPr>
              <w:t>，直至故障消除</w:t>
            </w:r>
            <w:r>
              <w:rPr>
                <w:rFonts w:hint="eastAsia" w:ascii="宋体" w:hAnsi="宋体" w:eastAsia="宋体" w:cs="宋体"/>
                <w:kern w:val="0"/>
                <w:sz w:val="21"/>
                <w:szCs w:val="21"/>
                <w:highlight w:val="none"/>
                <w:lang w:val="en-US"/>
              </w:rPr>
              <w:t>。</w:t>
            </w:r>
          </w:p>
          <w:p w14:paraId="2F0B316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根据采购人的使用需求，可提供</w:t>
            </w:r>
            <w:r>
              <w:rPr>
                <w:rFonts w:hint="eastAsia" w:ascii="宋体" w:hAnsi="宋体" w:eastAsia="宋体" w:cs="宋体"/>
                <w:sz w:val="21"/>
                <w:szCs w:val="21"/>
                <w:highlight w:val="none"/>
                <w:lang w:val="en-US" w:eastAsia="zh-CN"/>
              </w:rPr>
              <w:t>三年内免费搬运一次服务。</w:t>
            </w:r>
          </w:p>
          <w:p w14:paraId="2E31A87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p>
        </w:tc>
      </w:tr>
      <w:tr w14:paraId="26386F16">
        <w:tblPrEx>
          <w:tblCellMar>
            <w:top w:w="0" w:type="dxa"/>
            <w:left w:w="108" w:type="dxa"/>
            <w:bottom w:w="0" w:type="dxa"/>
            <w:right w:w="108" w:type="dxa"/>
          </w:tblCellMar>
        </w:tblPrEx>
        <w:trPr>
          <w:trHeight w:val="366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BF1C">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4C1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高温荷载结构体素分析显微镜（国产）</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C907">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合同签订后4个月内。</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E7A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免费质保3年，终身提供技术支持。</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473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设备符合招标参数且能稳定工作。</w:t>
            </w:r>
          </w:p>
        </w:tc>
        <w:tc>
          <w:tcPr>
            <w:tcW w:w="1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92E2">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1. 人员培训</w:t>
            </w:r>
          </w:p>
          <w:p w14:paraId="2DC2FF3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中标人免费提供安装调试及中文版操作规程，在用户指定地点开展培训，确保使用人员掌握设备工作原理、调试方法、参数设置及常见故障处理。</w:t>
            </w:r>
          </w:p>
          <w:p w14:paraId="6819ADF8">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 售后服务</w:t>
            </w:r>
          </w:p>
          <w:p w14:paraId="22932CFC">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设备故障接报后 24 小时内响应，48 小时内排除故障并说明原因，直至恢复正常。</w:t>
            </w:r>
          </w:p>
          <w:p w14:paraId="37345B8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p>
        </w:tc>
      </w:tr>
      <w:tr w14:paraId="55FED1AD">
        <w:tblPrEx>
          <w:tblCellMar>
            <w:top w:w="0" w:type="dxa"/>
            <w:left w:w="108" w:type="dxa"/>
            <w:bottom w:w="0" w:type="dxa"/>
            <w:right w:w="108" w:type="dxa"/>
          </w:tblCellMar>
        </w:tblPrEx>
        <w:trPr>
          <w:trHeight w:val="198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F117">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B56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高温红外烟气分析仪（国产）</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98BB">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合同签订后90日历日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DB9A">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免费质保1年，终身提供技术支持。</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DE1C">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设备符合招标参数且能稳定工作。</w:t>
            </w:r>
          </w:p>
        </w:tc>
        <w:tc>
          <w:tcPr>
            <w:tcW w:w="1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919CE">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1. 人员培训</w:t>
            </w:r>
          </w:p>
          <w:p w14:paraId="4EE81D59">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中标人免费提供安装调试及中文版操作规程，在用户指定地点开展培训，确保使用人员掌握设备工作原理、调试方法、参数设置及常见故障处理。</w:t>
            </w:r>
          </w:p>
          <w:p w14:paraId="186161BB">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 售后服务</w:t>
            </w:r>
          </w:p>
          <w:p w14:paraId="526338F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设备故障接报后 24 小时内响应，48 小时内排除故障并说明原因，直至恢复正常。</w:t>
            </w:r>
            <w:r>
              <w:rPr>
                <w:rFonts w:hint="eastAsia" w:ascii="宋体" w:hAnsi="宋体" w:eastAsia="宋体" w:cs="宋体"/>
                <w:kern w:val="0"/>
                <w:sz w:val="21"/>
                <w:szCs w:val="21"/>
                <w:highlight w:val="none"/>
                <w:lang w:val="en-US" w:eastAsia="zh-CN"/>
              </w:rPr>
              <w:t>根据采购人的使用需求，可提供</w:t>
            </w:r>
            <w:r>
              <w:rPr>
                <w:rFonts w:hint="eastAsia" w:ascii="宋体" w:hAnsi="宋体" w:eastAsia="宋体" w:cs="宋体"/>
                <w:sz w:val="21"/>
                <w:szCs w:val="21"/>
                <w:highlight w:val="none"/>
                <w:lang w:val="en-US" w:eastAsia="zh-CN"/>
              </w:rPr>
              <w:t>三年内免费搬运一次服务。</w:t>
            </w:r>
          </w:p>
          <w:p w14:paraId="05A1192A">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p>
          <w:p w14:paraId="172852F0">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p>
        </w:tc>
      </w:tr>
      <w:tr w14:paraId="70999381">
        <w:tblPrEx>
          <w:tblCellMar>
            <w:top w:w="0" w:type="dxa"/>
            <w:left w:w="108" w:type="dxa"/>
            <w:bottom w:w="0" w:type="dxa"/>
            <w:right w:w="108" w:type="dxa"/>
          </w:tblCellMar>
        </w:tblPrEx>
        <w:trPr>
          <w:trHeight w:val="1196"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A0B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4A0F5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原位红外漫反射高温高压表征系统（国产）</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C0920A">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合同签订后80日历日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2540CD">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质保期限：自客户购买产品并完成交付验收之日起，质保期为 1年 。</w:t>
            </w:r>
            <w:r>
              <w:rPr>
                <w:rFonts w:hint="eastAsia" w:ascii="宋体" w:hAnsi="宋体" w:eastAsia="宋体" w:cs="宋体"/>
                <w:color w:val="000000"/>
                <w:sz w:val="21"/>
                <w:szCs w:val="21"/>
                <w:highlight w:val="none"/>
              </w:rPr>
              <w:br w:type="textWrapping"/>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5FC0E4">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设备符合招标参数且能稳定工作</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41BDEC">
            <w:pPr>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Autospacing="0" w:line="360" w:lineRule="exact"/>
              <w:ind w:left="0" w:right="0"/>
              <w:jc w:val="both"/>
              <w:outlineLvl w:val="9"/>
              <w:rPr>
                <w:rFonts w:hint="eastAsia" w:ascii="宋体" w:hAnsi="宋体" w:eastAsia="宋体" w:cs="宋体"/>
                <w:snapToGrid w:val="0"/>
                <w:color w:val="000000"/>
                <w:sz w:val="21"/>
                <w:szCs w:val="21"/>
                <w:highlight w:val="none"/>
              </w:rPr>
            </w:pPr>
            <w:r>
              <w:rPr>
                <w:rFonts w:hint="eastAsia" w:ascii="宋体" w:hAnsi="宋体" w:eastAsia="宋体" w:cs="宋体"/>
                <w:b w:val="0"/>
                <w:bCs w:val="0"/>
                <w:snapToGrid w:val="0"/>
                <w:color w:val="000000"/>
                <w:sz w:val="21"/>
                <w:szCs w:val="21"/>
                <w:highlight w:val="none"/>
              </w:rPr>
              <w:t>仪器故障接报后</w:t>
            </w:r>
            <w:r>
              <w:rPr>
                <w:rStyle w:val="26"/>
                <w:rFonts w:hint="eastAsia" w:ascii="宋体" w:hAnsi="宋体" w:eastAsia="宋体" w:cs="宋体"/>
                <w:bCs w:val="0"/>
                <w:snapToGrid w:val="0"/>
                <w:color w:val="000000"/>
                <w:sz w:val="21"/>
                <w:szCs w:val="21"/>
                <w:highlight w:val="none"/>
              </w:rPr>
              <w:t>24 小时内响应</w:t>
            </w:r>
            <w:r>
              <w:rPr>
                <w:rFonts w:hint="eastAsia" w:ascii="宋体" w:hAnsi="宋体" w:eastAsia="宋体" w:cs="宋体"/>
                <w:b w:val="0"/>
                <w:bCs w:val="0"/>
                <w:snapToGrid w:val="0"/>
                <w:color w:val="000000"/>
                <w:sz w:val="21"/>
                <w:szCs w:val="21"/>
                <w:highlight w:val="none"/>
              </w:rPr>
              <w:t>，</w:t>
            </w:r>
            <w:r>
              <w:rPr>
                <w:rStyle w:val="26"/>
                <w:rFonts w:hint="eastAsia" w:ascii="宋体" w:hAnsi="宋体" w:eastAsia="宋体" w:cs="宋体"/>
                <w:bCs w:val="0"/>
                <w:snapToGrid w:val="0"/>
                <w:color w:val="000000"/>
                <w:sz w:val="21"/>
                <w:szCs w:val="21"/>
                <w:highlight w:val="none"/>
              </w:rPr>
              <w:t>48 小时内排除故障并说明原因</w:t>
            </w:r>
            <w:r>
              <w:rPr>
                <w:rFonts w:hint="eastAsia" w:ascii="宋体" w:hAnsi="宋体" w:eastAsia="宋体" w:cs="宋体"/>
                <w:b w:val="0"/>
                <w:bCs w:val="0"/>
                <w:snapToGrid w:val="0"/>
                <w:color w:val="000000"/>
                <w:sz w:val="21"/>
                <w:szCs w:val="21"/>
                <w:highlight w:val="none"/>
              </w:rPr>
              <w:t>，直至故障消除。</w:t>
            </w:r>
            <w:r>
              <w:rPr>
                <w:rFonts w:hint="eastAsia" w:ascii="宋体" w:hAnsi="宋体" w:eastAsia="宋体" w:cs="宋体"/>
                <w:snapToGrid w:val="0"/>
                <w:color w:val="000000"/>
                <w:sz w:val="21"/>
                <w:szCs w:val="21"/>
                <w:highlight w:val="none"/>
              </w:rPr>
              <w:t>掌握设备工作原理、调试方法、参数设置及常。</w:t>
            </w:r>
            <w:r>
              <w:rPr>
                <w:rFonts w:hint="eastAsia" w:ascii="宋体" w:hAnsi="宋体" w:eastAsia="宋体" w:cs="宋体"/>
                <w:kern w:val="0"/>
                <w:sz w:val="21"/>
                <w:szCs w:val="21"/>
                <w:highlight w:val="none"/>
                <w:lang w:val="en-US" w:eastAsia="zh-CN"/>
              </w:rPr>
              <w:t>根据采购人的使用需求，可提供</w:t>
            </w:r>
            <w:r>
              <w:rPr>
                <w:rFonts w:hint="eastAsia" w:ascii="宋体" w:hAnsi="宋体" w:eastAsia="宋体" w:cs="宋体"/>
                <w:sz w:val="21"/>
                <w:szCs w:val="21"/>
                <w:highlight w:val="none"/>
                <w:lang w:val="en-US" w:eastAsia="zh-CN"/>
              </w:rPr>
              <w:t>三年内免费搬运一次服务。</w:t>
            </w:r>
          </w:p>
        </w:tc>
      </w:tr>
      <w:tr w14:paraId="455DB5A4">
        <w:tblPrEx>
          <w:tblCellMar>
            <w:top w:w="0" w:type="dxa"/>
            <w:left w:w="108" w:type="dxa"/>
            <w:bottom w:w="0" w:type="dxa"/>
            <w:right w:w="108" w:type="dxa"/>
          </w:tblCellMar>
        </w:tblPrEx>
        <w:trPr>
          <w:trHeight w:val="348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53AD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28C5">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纳米分辨可视化原位力-热耦合测试系统（国产）</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FEC3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合同签订后210日历日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9474">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免费质保</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年，终身提供技术支持。</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77A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设备符合招标参数且能稳定工作。</w:t>
            </w:r>
          </w:p>
        </w:tc>
        <w:tc>
          <w:tcPr>
            <w:tcW w:w="1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4EC3">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1. 人员培训</w:t>
            </w:r>
          </w:p>
          <w:p w14:paraId="548395C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中标人免费提供安装调试及中文版操作规程，在用户指定地点开展培训，确保使用人员掌握设备工作原理、调试方法、参数设置及常见故障处理。</w:t>
            </w:r>
          </w:p>
          <w:p w14:paraId="518D46F6">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 售后服务</w:t>
            </w:r>
          </w:p>
          <w:p w14:paraId="1FC968AB">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设备故障接报后 24 小时内响应，48 小时内排除故障并说明原因，直至恢复正常。</w:t>
            </w:r>
          </w:p>
          <w:p w14:paraId="6D9F0E8D">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p>
        </w:tc>
      </w:tr>
      <w:tr w14:paraId="5F324BAC">
        <w:tblPrEx>
          <w:tblCellMar>
            <w:top w:w="0" w:type="dxa"/>
            <w:left w:w="108" w:type="dxa"/>
            <w:bottom w:w="0" w:type="dxa"/>
            <w:right w:w="108" w:type="dxa"/>
          </w:tblCellMar>
        </w:tblPrEx>
        <w:trPr>
          <w:trHeight w:val="478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0D8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8C48">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草酸酯合成反应及精馏装置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1BFA">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中标人需在合同签订并收到采购人支付的预付款后的1</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0个日历日内，完成符合本技术规范要求的草酸酯合成反应及精馏装置的设计、制造、检验、包装、运输及交货工作，确保设备按时送达采购人指定地点。采购人需在签订合同之日起5个工作日内完成预付款支付。</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1AF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质保期自甲、乙双方对货物完成验收之日起计算，质保期时长为</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年。</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6A20">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设备符合招标参数且能稳定工作。。</w:t>
            </w:r>
          </w:p>
        </w:tc>
        <w:tc>
          <w:tcPr>
            <w:tcW w:w="1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7B7D">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装置安装调试完毕后，中标人须在采购人现场开展</w:t>
            </w:r>
            <w:r>
              <w:rPr>
                <w:rStyle w:val="26"/>
                <w:rFonts w:hint="eastAsia" w:ascii="宋体" w:hAnsi="宋体" w:eastAsia="宋体" w:cs="宋体"/>
                <w:bCs/>
                <w:color w:val="000000"/>
                <w:sz w:val="21"/>
                <w:szCs w:val="21"/>
                <w:highlight w:val="none"/>
              </w:rPr>
              <w:t>不少于 2 次、每次≥8 小时</w:t>
            </w:r>
            <w:r>
              <w:rPr>
                <w:rFonts w:hint="eastAsia" w:ascii="宋体" w:hAnsi="宋体" w:eastAsia="宋体" w:cs="宋体"/>
                <w:sz w:val="21"/>
                <w:szCs w:val="21"/>
                <w:highlight w:val="none"/>
              </w:rPr>
              <w:t>的操作与维修专项培训。操作培训覆盖工艺流程、操作规范、控制系统、故障处置、安全事项；维修培训覆盖设备原理、拆装更换、维护保养、工具使用。培训后进行</w:t>
            </w:r>
            <w:r>
              <w:rPr>
                <w:rStyle w:val="26"/>
                <w:rFonts w:hint="eastAsia" w:ascii="宋体" w:hAnsi="宋体" w:eastAsia="宋体" w:cs="宋体"/>
                <w:bCs/>
                <w:color w:val="000000"/>
                <w:sz w:val="21"/>
                <w:szCs w:val="21"/>
                <w:highlight w:val="none"/>
              </w:rPr>
              <w:t>理论 + 实操考核</w:t>
            </w:r>
            <w:r>
              <w:rPr>
                <w:rFonts w:hint="eastAsia" w:ascii="宋体" w:hAnsi="宋体" w:eastAsia="宋体" w:cs="宋体"/>
                <w:sz w:val="21"/>
                <w:szCs w:val="21"/>
                <w:highlight w:val="none"/>
              </w:rPr>
              <w:t>，</w:t>
            </w:r>
            <w:r>
              <w:rPr>
                <w:rStyle w:val="26"/>
                <w:rFonts w:hint="eastAsia" w:ascii="宋体" w:hAnsi="宋体" w:eastAsia="宋体" w:cs="宋体"/>
                <w:bCs/>
                <w:color w:val="000000"/>
                <w:sz w:val="21"/>
                <w:szCs w:val="21"/>
                <w:highlight w:val="none"/>
              </w:rPr>
              <w:t>合格率须 100%</w:t>
            </w:r>
            <w:r>
              <w:rPr>
                <w:rFonts w:hint="eastAsia" w:ascii="宋体" w:hAnsi="宋体" w:eastAsia="宋体" w:cs="宋体"/>
                <w:sz w:val="21"/>
                <w:szCs w:val="21"/>
                <w:highlight w:val="none"/>
              </w:rPr>
              <w:t>；不合格人员免费补训，直至合格。</w:t>
            </w:r>
            <w:r>
              <w:rPr>
                <w:rFonts w:hint="eastAsia" w:ascii="宋体" w:hAnsi="宋体" w:eastAsia="宋体" w:cs="宋体"/>
                <w:color w:val="000000"/>
                <w:sz w:val="21"/>
                <w:szCs w:val="21"/>
                <w:highlight w:val="none"/>
              </w:rPr>
              <w:t>在质保期内，中标人需提供7×24小时不间断的技术服务响应，确保采购人在遇到技术问题时能及时获得支持。</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1）质保期内，如设备发生质量问题，采购人发出通知后，中标人需在24小时内做出明确的技术响应，提供解决方案；对于需现场处理的问题，中标人需在2-5个工作日内派遣专业技术人员到达现场，提供无偿维修服务，并免费更换因原材料缺陷、制造工艺问题或安装质量问题导致故障的设备及零部件，确保系统恢复正常运行。维修完成后，中标人需提供维修报告，详细说明故障原因、维修措施及更换的零部件情况。</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2）因采购人人为操作失误、不当使用或不可抗力因素导致的设备损坏，中标人有义务提供维修服务，但需收取合理的维修费用及零部件成本费用，费用标准需在投标文件中明确列出。</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3）超出质保期后，中标人仍需提供终身上门维修服务，维修费用及零部件价格需在投标文件中明确报价，且价格需具有合理性及竞争力；同时需承诺在接到采购人维修需求后，7个工作日内派遣技术人员到达现场进行维修服务。</w:t>
            </w:r>
          </w:p>
        </w:tc>
      </w:tr>
      <w:tr w14:paraId="213EAD3C">
        <w:tblPrEx>
          <w:tblCellMar>
            <w:top w:w="0" w:type="dxa"/>
            <w:left w:w="108" w:type="dxa"/>
            <w:bottom w:w="0" w:type="dxa"/>
            <w:right w:w="108" w:type="dxa"/>
          </w:tblCellMar>
        </w:tblPrEx>
        <w:trPr>
          <w:trHeight w:val="191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B63C30">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5FB9AA">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15公斤电热法制电石装置</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18E6A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合同签订后90日历日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4B6BE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3年</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24965D">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按照合同约定的相关要求和标准验收，卖方必须在买方在场的情况下当场拆封合同项下的所有货物的包装，并将发票原件、质保卡、使用说明书、设备总装配图、出场检验报告、质量合格证、随机配件等交甲方签收。设备安装调试完毕经验收机构验收，提出异议期限为一个月。</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45F989">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napToGrid w:val="0"/>
                <w:color w:val="000000"/>
                <w:sz w:val="21"/>
                <w:szCs w:val="21"/>
                <w:highlight w:val="none"/>
              </w:rPr>
            </w:pPr>
            <w:r>
              <w:rPr>
                <w:rFonts w:hint="eastAsia" w:ascii="宋体" w:hAnsi="宋体" w:eastAsia="宋体" w:cs="宋体"/>
                <w:b w:val="0"/>
                <w:bCs w:val="0"/>
                <w:snapToGrid w:val="0"/>
                <w:color w:val="000000"/>
                <w:sz w:val="21"/>
                <w:szCs w:val="21"/>
                <w:highlight w:val="none"/>
              </w:rPr>
              <w:t>仪器故障接报后</w:t>
            </w:r>
            <w:r>
              <w:rPr>
                <w:rStyle w:val="26"/>
                <w:rFonts w:hint="eastAsia" w:ascii="宋体" w:hAnsi="宋体" w:eastAsia="宋体" w:cs="宋体"/>
                <w:bCs w:val="0"/>
                <w:snapToGrid w:val="0"/>
                <w:color w:val="000000"/>
                <w:sz w:val="21"/>
                <w:szCs w:val="21"/>
                <w:highlight w:val="none"/>
              </w:rPr>
              <w:t>24 小时内响应</w:t>
            </w:r>
            <w:r>
              <w:rPr>
                <w:rFonts w:hint="eastAsia" w:ascii="宋体" w:hAnsi="宋体" w:eastAsia="宋体" w:cs="宋体"/>
                <w:b w:val="0"/>
                <w:bCs w:val="0"/>
                <w:snapToGrid w:val="0"/>
                <w:color w:val="000000"/>
                <w:sz w:val="21"/>
                <w:szCs w:val="21"/>
                <w:highlight w:val="none"/>
              </w:rPr>
              <w:t>，</w:t>
            </w:r>
            <w:r>
              <w:rPr>
                <w:rStyle w:val="26"/>
                <w:rFonts w:hint="eastAsia" w:ascii="宋体" w:hAnsi="宋体" w:eastAsia="宋体" w:cs="宋体"/>
                <w:bCs w:val="0"/>
                <w:snapToGrid w:val="0"/>
                <w:color w:val="000000"/>
                <w:sz w:val="21"/>
                <w:szCs w:val="21"/>
                <w:highlight w:val="none"/>
              </w:rPr>
              <w:t>48 小时内排除故障并说明原因</w:t>
            </w:r>
            <w:r>
              <w:rPr>
                <w:rFonts w:hint="eastAsia" w:ascii="宋体" w:hAnsi="宋体" w:eastAsia="宋体" w:cs="宋体"/>
                <w:b w:val="0"/>
                <w:bCs w:val="0"/>
                <w:snapToGrid w:val="0"/>
                <w:color w:val="000000"/>
                <w:sz w:val="21"/>
                <w:szCs w:val="21"/>
                <w:highlight w:val="none"/>
              </w:rPr>
              <w:t>，直至故障消除。</w:t>
            </w:r>
            <w:r>
              <w:rPr>
                <w:rFonts w:hint="eastAsia" w:ascii="宋体" w:hAnsi="宋体" w:eastAsia="宋体" w:cs="宋体"/>
                <w:snapToGrid w:val="0"/>
                <w:sz w:val="21"/>
                <w:szCs w:val="21"/>
                <w:highlight w:val="none"/>
              </w:rPr>
              <w:t>障并说明原因，直至恢复正常。</w:t>
            </w:r>
          </w:p>
          <w:p w14:paraId="348AC91E">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color w:val="000000"/>
                <w:sz w:val="21"/>
                <w:szCs w:val="21"/>
                <w:highlight w:val="none"/>
              </w:rPr>
            </w:pPr>
          </w:p>
        </w:tc>
      </w:tr>
      <w:tr w14:paraId="4412295E">
        <w:tblPrEx>
          <w:tblCellMar>
            <w:top w:w="0" w:type="dxa"/>
            <w:left w:w="108" w:type="dxa"/>
            <w:bottom w:w="0" w:type="dxa"/>
            <w:right w:w="108" w:type="dxa"/>
          </w:tblCellMar>
        </w:tblPrEx>
        <w:trPr>
          <w:trHeight w:val="244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A932E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3EE24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数字智能化催化剂制备放大平台</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7B8C2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合同签订后90日历日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4DC137">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3年</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0D373B">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按照合同约定的相关要求和标准验收，卖方必须在买方在场的情况下当场拆封合同项下的所有货物的包装，并将发票原件、质保卡、使用说明书、设备总装配图、出场检验报告、质量合格证、随机配件等交甲方签收。设备安装调试完毕经验收机构验收，提出异议期限为一个月。。</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7974E1">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1. 人员培训</w:t>
            </w:r>
          </w:p>
          <w:p w14:paraId="7D1C0A4E">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中标人免费提供安装调试及中文版操作规程，在用户指定地点开展培训，确保使用人员掌握设备工作原理、调试方法、参数设置及常见故</w:t>
            </w:r>
          </w:p>
          <w:p w14:paraId="35D3BA5B">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sz w:val="21"/>
                <w:szCs w:val="21"/>
                <w:highlight w:val="none"/>
              </w:rPr>
            </w:pPr>
          </w:p>
          <w:p w14:paraId="00688C27">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仪器故障接报后</w:t>
            </w:r>
            <w:r>
              <w:rPr>
                <w:rStyle w:val="26"/>
                <w:rFonts w:hint="eastAsia" w:ascii="宋体" w:hAnsi="宋体" w:eastAsia="宋体" w:cs="宋体"/>
                <w:bCs/>
                <w:color w:val="000000"/>
                <w:sz w:val="21"/>
                <w:szCs w:val="21"/>
                <w:highlight w:val="none"/>
              </w:rPr>
              <w:t>24 小时内响应</w:t>
            </w:r>
            <w:r>
              <w:rPr>
                <w:rFonts w:hint="eastAsia" w:ascii="宋体" w:hAnsi="宋体" w:eastAsia="宋体" w:cs="宋体"/>
                <w:sz w:val="21"/>
                <w:szCs w:val="21"/>
                <w:highlight w:val="none"/>
              </w:rPr>
              <w:t>，</w:t>
            </w:r>
            <w:r>
              <w:rPr>
                <w:rStyle w:val="26"/>
                <w:rFonts w:hint="eastAsia" w:ascii="宋体" w:hAnsi="宋体" w:eastAsia="宋体" w:cs="宋体"/>
                <w:bCs/>
                <w:color w:val="000000"/>
                <w:sz w:val="21"/>
                <w:szCs w:val="21"/>
                <w:highlight w:val="none"/>
              </w:rPr>
              <w:t>48 小时内排除故障并说明原因</w:t>
            </w:r>
            <w:r>
              <w:rPr>
                <w:rFonts w:hint="eastAsia" w:ascii="宋体" w:hAnsi="宋体" w:eastAsia="宋体" w:cs="宋体"/>
                <w:sz w:val="21"/>
                <w:szCs w:val="21"/>
                <w:highlight w:val="none"/>
              </w:rPr>
              <w:t>，直至故障消除</w:t>
            </w:r>
            <w:r>
              <w:rPr>
                <w:rFonts w:hint="eastAsia" w:ascii="宋体" w:hAnsi="宋体" w:eastAsia="宋体" w:cs="宋体"/>
                <w:color w:val="000000"/>
                <w:sz w:val="21"/>
                <w:szCs w:val="21"/>
                <w:highlight w:val="none"/>
              </w:rPr>
              <w:t>障处理。</w:t>
            </w:r>
          </w:p>
          <w:p w14:paraId="03ABF591">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 售后服务</w:t>
            </w:r>
          </w:p>
          <w:p w14:paraId="5712BC0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投标人需提供厂家或总代理项目授权书及售后服务承诺；设备故障接报后 24 小时内响应，48 小时内排除故障并说明原因，直至恢复正常。</w:t>
            </w:r>
          </w:p>
          <w:p w14:paraId="788369DE">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color w:val="000000"/>
                <w:sz w:val="21"/>
                <w:szCs w:val="21"/>
                <w:highlight w:val="none"/>
              </w:rPr>
            </w:pPr>
          </w:p>
        </w:tc>
      </w:tr>
      <w:tr w14:paraId="32446057">
        <w:tblPrEx>
          <w:tblCellMar>
            <w:top w:w="0" w:type="dxa"/>
            <w:left w:w="108" w:type="dxa"/>
            <w:bottom w:w="0" w:type="dxa"/>
            <w:right w:w="108" w:type="dxa"/>
          </w:tblCellMar>
        </w:tblPrEx>
        <w:trPr>
          <w:trHeight w:val="244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D212E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7FC24A">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数字智能化催化加氢反应装置</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861A8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合同签订后90日历日。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F8FF17">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3年</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0F8338">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按照合同约定的相关要求和标准验收，卖方必须在买方在场的情况下当场拆封合同项下的所有货物的包装，并将发票原件、质保卡、使用说明书、设备总装配图、出场检验报告、质量合格证、随机配件等交甲方签收。设备安装调试完毕经验收机构验收，提出异议期限为一个月。</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AD0247">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1. 人员培训</w:t>
            </w:r>
          </w:p>
          <w:p w14:paraId="4965F575">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中标人免费提供安装调试及中文版操作规程，在用户指定地点开展培训，确保使用人员掌握设备工作原理、调试方法、参数设置及常见故障</w:t>
            </w:r>
          </w:p>
          <w:p w14:paraId="743926C1">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sz w:val="21"/>
                <w:szCs w:val="21"/>
                <w:highlight w:val="none"/>
              </w:rPr>
            </w:pPr>
          </w:p>
          <w:p w14:paraId="1B76CB28">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仪器故障接报后</w:t>
            </w:r>
            <w:r>
              <w:rPr>
                <w:rStyle w:val="26"/>
                <w:rFonts w:hint="eastAsia" w:ascii="宋体" w:hAnsi="宋体" w:eastAsia="宋体" w:cs="宋体"/>
                <w:bCs/>
                <w:color w:val="000000"/>
                <w:sz w:val="21"/>
                <w:szCs w:val="21"/>
                <w:highlight w:val="none"/>
              </w:rPr>
              <w:t>24 小时内响应</w:t>
            </w:r>
            <w:r>
              <w:rPr>
                <w:rFonts w:hint="eastAsia" w:ascii="宋体" w:hAnsi="宋体" w:eastAsia="宋体" w:cs="宋体"/>
                <w:sz w:val="21"/>
                <w:szCs w:val="21"/>
                <w:highlight w:val="none"/>
              </w:rPr>
              <w:t>，</w:t>
            </w:r>
            <w:r>
              <w:rPr>
                <w:rStyle w:val="26"/>
                <w:rFonts w:hint="eastAsia" w:ascii="宋体" w:hAnsi="宋体" w:eastAsia="宋体" w:cs="宋体"/>
                <w:bCs/>
                <w:color w:val="000000"/>
                <w:sz w:val="21"/>
                <w:szCs w:val="21"/>
                <w:highlight w:val="none"/>
              </w:rPr>
              <w:t>48 小时内排除故障并说明原因</w:t>
            </w:r>
            <w:r>
              <w:rPr>
                <w:rFonts w:hint="eastAsia" w:ascii="宋体" w:hAnsi="宋体" w:eastAsia="宋体" w:cs="宋体"/>
                <w:sz w:val="21"/>
                <w:szCs w:val="21"/>
                <w:highlight w:val="none"/>
              </w:rPr>
              <w:t>，直至故障消除</w:t>
            </w:r>
            <w:r>
              <w:rPr>
                <w:rFonts w:hint="eastAsia" w:ascii="宋体" w:hAnsi="宋体" w:eastAsia="宋体" w:cs="宋体"/>
                <w:color w:val="000000"/>
                <w:sz w:val="21"/>
                <w:szCs w:val="21"/>
                <w:highlight w:val="none"/>
              </w:rPr>
              <w:t>处理。</w:t>
            </w:r>
          </w:p>
          <w:p w14:paraId="66FB4DA7">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 售后服务</w:t>
            </w:r>
          </w:p>
          <w:p w14:paraId="39AE344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投标人需提供厂家或总代理项目授权书及售后服务承诺；设备故障接报后 24 小时内响应，48 小时内排除故障并说明原因，直至恢复正常。</w:t>
            </w:r>
          </w:p>
          <w:p w14:paraId="2F081C0A">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color w:val="000000"/>
                <w:sz w:val="21"/>
                <w:szCs w:val="21"/>
                <w:highlight w:val="none"/>
              </w:rPr>
            </w:pPr>
          </w:p>
        </w:tc>
      </w:tr>
      <w:tr w14:paraId="55DA8BC2">
        <w:tblPrEx>
          <w:tblCellMar>
            <w:top w:w="0" w:type="dxa"/>
            <w:left w:w="108" w:type="dxa"/>
            <w:bottom w:w="0" w:type="dxa"/>
            <w:right w:w="108" w:type="dxa"/>
          </w:tblCellMar>
        </w:tblPrEx>
        <w:trPr>
          <w:trHeight w:val="244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5D0199">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B6A64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数字智能化醋酸乙烯酯和氯乙烯装置</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83E424">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合同签订后90日历日。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8569C4">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3年</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E190B0">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按照合同约定的相关要求和标准验收，卖方必须在买方在场的情况下当场拆封合同项下的所有货物的包装，并将发票原件、质保卡、使用说明书、设备总装配图、出场检验报告、质量合格证、随机配件等交甲方签收。设备安装调试完毕经验收机构验收，提出异议期限为一个月。</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2728D4">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1. 人员培训</w:t>
            </w:r>
          </w:p>
          <w:p w14:paraId="3C12581F">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中标人免费提供安装调试及中文版操作规程，在用户指定地点开展培训，确保使用人员掌握设备工作原理、调试方法、参数设置</w:t>
            </w:r>
            <w:r>
              <w:rPr>
                <w:rFonts w:hint="eastAsia" w:ascii="宋体" w:hAnsi="宋体" w:eastAsia="宋体" w:cs="宋体"/>
                <w:sz w:val="21"/>
                <w:szCs w:val="21"/>
                <w:highlight w:val="none"/>
              </w:rPr>
              <w:t>仪器故障接报后</w:t>
            </w:r>
            <w:r>
              <w:rPr>
                <w:rStyle w:val="26"/>
                <w:rFonts w:hint="eastAsia" w:ascii="宋体" w:hAnsi="宋体" w:eastAsia="宋体" w:cs="宋体"/>
                <w:bCs/>
                <w:color w:val="000000"/>
                <w:sz w:val="21"/>
                <w:szCs w:val="21"/>
                <w:highlight w:val="none"/>
              </w:rPr>
              <w:t>24 小时内响应</w:t>
            </w:r>
            <w:r>
              <w:rPr>
                <w:rFonts w:hint="eastAsia" w:ascii="宋体" w:hAnsi="宋体" w:eastAsia="宋体" w:cs="宋体"/>
                <w:sz w:val="21"/>
                <w:szCs w:val="21"/>
                <w:highlight w:val="none"/>
              </w:rPr>
              <w:t>，</w:t>
            </w:r>
            <w:r>
              <w:rPr>
                <w:rStyle w:val="26"/>
                <w:rFonts w:hint="eastAsia" w:ascii="宋体" w:hAnsi="宋体" w:eastAsia="宋体" w:cs="宋体"/>
                <w:bCs/>
                <w:color w:val="000000"/>
                <w:sz w:val="21"/>
                <w:szCs w:val="21"/>
                <w:highlight w:val="none"/>
              </w:rPr>
              <w:t>48 小时内排除故障并说明原因</w:t>
            </w:r>
            <w:r>
              <w:rPr>
                <w:rFonts w:hint="eastAsia" w:ascii="宋体" w:hAnsi="宋体" w:eastAsia="宋体" w:cs="宋体"/>
                <w:sz w:val="21"/>
                <w:szCs w:val="21"/>
                <w:highlight w:val="none"/>
              </w:rPr>
              <w:t>，直至故障消除</w:t>
            </w:r>
            <w:r>
              <w:rPr>
                <w:rFonts w:hint="eastAsia" w:ascii="宋体" w:hAnsi="宋体" w:eastAsia="宋体" w:cs="宋体"/>
                <w:color w:val="000000"/>
                <w:sz w:val="21"/>
                <w:szCs w:val="21"/>
                <w:highlight w:val="none"/>
              </w:rPr>
              <w:t>人需提供厂家或总代理项目授权书及售后服务承诺；设备故障接报后 24 小时内响应，48 小时内排除故障并说明原因，直至恢复正常。</w:t>
            </w:r>
          </w:p>
          <w:p w14:paraId="3015688A">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color w:val="000000"/>
                <w:sz w:val="21"/>
                <w:szCs w:val="21"/>
                <w:highlight w:val="none"/>
              </w:rPr>
            </w:pPr>
          </w:p>
        </w:tc>
      </w:tr>
      <w:tr w14:paraId="7209129C">
        <w:tblPrEx>
          <w:tblCellMar>
            <w:top w:w="0" w:type="dxa"/>
            <w:left w:w="108" w:type="dxa"/>
            <w:bottom w:w="0" w:type="dxa"/>
            <w:right w:w="108" w:type="dxa"/>
          </w:tblCellMar>
        </w:tblPrEx>
        <w:trPr>
          <w:trHeight w:val="244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D2C76D">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A6436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数字智能化共聚物制备反应装置</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53D84C">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合同签订后90日历日。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45202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3年</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3C75A4">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按照合同约定的相关要求和标准验收，卖方必须在买方在场的情况下当场拆封合同项下的所有货物的包装，并将发票原件、质保卡、使用说明书、设备总装配图、出场检验报告、质量合格证、随机配件等交甲方签收。设备安装调试完毕经验收机构验收，提出异议期限为一个月。</w:t>
            </w:r>
            <w:r>
              <w:rPr>
                <w:rFonts w:hint="eastAsia" w:ascii="宋体" w:hAnsi="宋体" w:eastAsia="宋体" w:cs="宋体"/>
                <w:color w:val="000000"/>
                <w:sz w:val="21"/>
                <w:szCs w:val="21"/>
                <w:highlight w:val="none"/>
              </w:rPr>
              <w:t>。</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8882EE">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1. 人员培训</w:t>
            </w:r>
          </w:p>
          <w:p w14:paraId="5F048CDB">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中标人免费提供安装调试及中文版操作规程，在用户指定地点开展培训，确保使用人员掌握设备工作原理、调试方法、参数设置及常见故障处理。</w:t>
            </w:r>
          </w:p>
          <w:p w14:paraId="753D5E71">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sz w:val="21"/>
                <w:szCs w:val="21"/>
                <w:highlight w:val="none"/>
              </w:rPr>
            </w:pPr>
          </w:p>
          <w:p w14:paraId="5930141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仪器故障接报后</w:t>
            </w:r>
            <w:r>
              <w:rPr>
                <w:rStyle w:val="26"/>
                <w:rFonts w:hint="eastAsia" w:ascii="宋体" w:hAnsi="宋体" w:eastAsia="宋体" w:cs="宋体"/>
                <w:bCs/>
                <w:color w:val="000000"/>
                <w:sz w:val="21"/>
                <w:szCs w:val="21"/>
                <w:highlight w:val="none"/>
              </w:rPr>
              <w:t>24 小时内响应</w:t>
            </w:r>
            <w:r>
              <w:rPr>
                <w:rFonts w:hint="eastAsia" w:ascii="宋体" w:hAnsi="宋体" w:eastAsia="宋体" w:cs="宋体"/>
                <w:sz w:val="21"/>
                <w:szCs w:val="21"/>
                <w:highlight w:val="none"/>
              </w:rPr>
              <w:t>，</w:t>
            </w:r>
            <w:r>
              <w:rPr>
                <w:rStyle w:val="26"/>
                <w:rFonts w:hint="eastAsia" w:ascii="宋体" w:hAnsi="宋体" w:eastAsia="宋体" w:cs="宋体"/>
                <w:bCs/>
                <w:color w:val="000000"/>
                <w:sz w:val="21"/>
                <w:szCs w:val="21"/>
                <w:highlight w:val="none"/>
              </w:rPr>
              <w:t>48 小时内排除故障并说明原因</w:t>
            </w:r>
            <w:r>
              <w:rPr>
                <w:rFonts w:hint="eastAsia" w:ascii="宋体" w:hAnsi="宋体" w:eastAsia="宋体" w:cs="宋体"/>
                <w:sz w:val="21"/>
                <w:szCs w:val="21"/>
                <w:highlight w:val="none"/>
              </w:rPr>
              <w:t>，直至故障消除</w:t>
            </w:r>
          </w:p>
          <w:p w14:paraId="03974CEF">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 售后服务</w:t>
            </w:r>
          </w:p>
          <w:p w14:paraId="755F544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投标人需提供厂家或总代理项目授权书及售后服务承诺；设备故障接报后 24 小时内响应，48 小时内排除故障并说明原因，直至恢复正常。</w:t>
            </w:r>
          </w:p>
          <w:p w14:paraId="1F32A175">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color w:val="000000"/>
                <w:sz w:val="21"/>
                <w:szCs w:val="21"/>
                <w:highlight w:val="none"/>
              </w:rPr>
            </w:pPr>
          </w:p>
        </w:tc>
      </w:tr>
      <w:tr w14:paraId="3C3C4334">
        <w:tblPrEx>
          <w:tblCellMar>
            <w:top w:w="0" w:type="dxa"/>
            <w:left w:w="108" w:type="dxa"/>
            <w:bottom w:w="0" w:type="dxa"/>
            <w:right w:w="108" w:type="dxa"/>
          </w:tblCellMar>
        </w:tblPrEx>
        <w:trPr>
          <w:trHeight w:val="230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81BD7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6E4C05">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高效合成BDO全流程模试装置（国产）</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7832FA">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合同签订并收到预付款后150日历日内完成全套设备设计、制造、出厂测试、运输至采购人现场并完成安装调试；</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1284C6">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质保期自甲、乙双方对货物完成验收之日起计算，质保期时长为</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年。在质保期内，中标人需提供7×24小时不间断的技术服务响应，确保采购人在遇到技术问题时能及时获得支持。</w:t>
            </w:r>
          </w:p>
          <w:p w14:paraId="2C52408D">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质保期内，如设备发生质量问题，采购人发出通知后，中标人需在24小时内做出明确的技术响应，提供解决方案；对于需现场处理的问题，中标人需在2-5个工作日内派遣专业技术人员到达现场，提供无偿维修服务，并免费更换因原材料缺陷、制造工艺问题或安装质量问题导致故障的设备及零部件，确保系统恢复正常运行。维修完成后，中标人需提供维修报告，详细说明故障原因、维修措施及更换的零部件情况。</w:t>
            </w:r>
          </w:p>
          <w:p w14:paraId="3B9A42A0">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2）因采购人人为操作失误、不当使用或不可抗力因素导致的设备损坏，中标人有义务提供维修服务，但需收取合理的维修费用及零部件成本费用，费用标准需在投标文件中明确列出。</w:t>
            </w:r>
          </w:p>
          <w:p w14:paraId="3F950A8C">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超出质保期后，中标人仍需提供终身上门维修服务，维修费用及零部件价格需在投标文件中明确报价，且价格需具有合理性及竞争力；同时需承诺在接到采购人维修需求后，7个工作日内派遣技术人员到达现场进行维修服务。</w:t>
            </w:r>
          </w:p>
          <w:p w14:paraId="673793BB">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FED42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验收标准：</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(1)炔化反应釜耐压≥3.0MPa，保压24小时压降≤0.2MPa；</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(2)一步加氢反应器耐压≥3.0MPa，二步加氢反应器耐压≥20.0MPa（保压24小时压降≤0.2MPa）；</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(3)反应器、管道材质耐BDO腐蚀（如316L不锈钢或镍基合金）；</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(4)单机72小时连续运行无故障；</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全流程联动72小时BDO产量≥设计值95%。</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4729FF">
            <w:pPr>
              <w:pStyle w:val="5"/>
              <w:pageBreakBefore w:val="0"/>
              <w:widowControl/>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360" w:lineRule="exact"/>
              <w:ind w:left="0" w:right="0" w:firstLine="0" w:firstLineChars="0"/>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rPr>
              <w:t>装置安装调试完成后，中标人需在采购人现场对采购人操作技术人员及维修人员进行全面的操作培训与专门的维修培训，培训次数不少于2次，每次培训时长不低于8小时。</w:t>
            </w:r>
          </w:p>
          <w:p w14:paraId="6B3F1AB7">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操作培训内容需包括装置的工艺流程、操作规范、控制界面使用方法、常见故障判断及处理、安全注意事项等；维修培训内容需包括设备的结构原理、拆卸与安装方法、零部件更换、维护保养周期及方法、维修工具的使用等。培训结束后，需对培训人员进行考核，考核方式包括理论考试及实操考核，确保培训人员能熟练掌握装置的操作及维修技能，考核合格率需达到100%；对于考核不合格的人员，中标人需免费提供二次培训，直至考核合格为止</w:t>
            </w:r>
            <w:r>
              <w:rPr>
                <w:rFonts w:hint="eastAsia" w:ascii="宋体" w:hAnsi="宋体" w:eastAsia="宋体" w:cs="宋体"/>
                <w:color w:val="000000"/>
                <w:sz w:val="21"/>
                <w:szCs w:val="21"/>
                <w:highlight w:val="none"/>
              </w:rPr>
              <w:t>户指定地点开展培训，确保使用人员掌握设备工作原理、调试方法、参数设置及常见故障处理。</w:t>
            </w:r>
          </w:p>
          <w:p w14:paraId="67793E14">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 售后服务</w:t>
            </w:r>
          </w:p>
          <w:p w14:paraId="392866A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投标人需提供厂家或总代理项目授权书及售后服务承诺；设备故障接报后 24 小时内响应，48 小时内排除故障并说明原因，直至恢复正常。</w:t>
            </w:r>
          </w:p>
          <w:p w14:paraId="3FC7CB4E">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color w:val="000000"/>
                <w:sz w:val="21"/>
                <w:szCs w:val="21"/>
                <w:highlight w:val="none"/>
              </w:rPr>
            </w:pPr>
          </w:p>
        </w:tc>
      </w:tr>
      <w:tr w14:paraId="3F1D26C1">
        <w:tblPrEx>
          <w:tblCellMar>
            <w:top w:w="0" w:type="dxa"/>
            <w:left w:w="108" w:type="dxa"/>
            <w:bottom w:w="0" w:type="dxa"/>
            <w:right w:w="108" w:type="dxa"/>
          </w:tblCellMar>
        </w:tblPrEx>
        <w:trPr>
          <w:trHeight w:val="276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5A609A">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E09CA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醋酸乙烯氢甲酰化单管实验装置（国产）</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BC901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签订合同后150天内完成全套设备的设计、制造、出厂测试、运输至采购人现场并完成安装调试；</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B211B9">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质保期自甲、乙双方对货物完成验收之日起计算，质保期时长为</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年。剩余为中标厂家承保在质保期内，中标人需提供7×24小时不间断的技术服务响应，确保采购人在遇到技术问题时能及时获得支持。</w:t>
            </w:r>
          </w:p>
          <w:p w14:paraId="1CD24365">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质保期内，如设备发生质量问题，采购人发出通知后，中标人需在24小时内做出明确的技术响应，提供解决方案；对于需现场处理的问题，中标人需在2-5个工作日内派遣专业技术人员到达现场，提供无偿维修服务，并免费更换因原材料缺陷、制造工艺问题或安装质量问题导致故障的设备及零部件，确保系统恢复正常运行。维修完成后，中标人需提供维修报告，详细说明故障原因、维修措施及更换的零部件情况。</w:t>
            </w:r>
          </w:p>
          <w:p w14:paraId="0BC12F6E">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2）因采购人人为操作失误、不当使用或不可抗力因素导致的设备损坏，中标人有义务提供维修服务，但需收取合理的维修费用及零部件成本费用，费用标准需在投标文件中明确列出。</w:t>
            </w:r>
          </w:p>
          <w:p w14:paraId="21A078B1">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3）超出质保期后，中标人仍需提供终身上门维修服务，维修费用及零部件价格需在投标文件中明确报价，且价格需具有合理性及竞争力；同时需承诺在接到采购人维修需求后，7个工作日内派遣技术人员到达现场进行维修服务</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01339C">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验收标准如下：</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①　反应釜耐压标准：一级反应釜耐压≥12.5MPa（保压24小时压降≤0.2MPa），二级反应釜耐压≥5.0MPa（保压24小时压降≤0.2MPa）；</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②　密封性测试无泄漏（保压24小时压降≤0.2MPa）‌；</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③　材质要求：反应器、管道材质需满足耐温耐压且不与催化剂反应（如316L不锈钢或镍基合金）；</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④　单机运行：单机72小时连续运行无故障；</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全流程联动考核：全流程72小时联动运行，目标产物收率≥设计值95%。</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A15A8C">
            <w:pPr>
              <w:pStyle w:val="5"/>
              <w:pageBreakBefore w:val="0"/>
              <w:widowControl/>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装置安装调试完成后，中标人需在采购人现场对采购人操作技术人员及维修人员进行全面的操作培训与专门的维修培训，培训次数不少于2次，每次培训时长不低于8小时。</w:t>
            </w:r>
          </w:p>
          <w:p w14:paraId="600C4515">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操作培训内容需包括装置的工艺流程、操作规范、控制界面使用方法、常见故障判断及处理、安全注意事项等；维修培训内容需包括设备的结构原理、拆卸与安装方法、零部件更换、维护保养周期及方法、维修工具的使用等。培训结束后，需对培训人员进行考核，考核方式包括理论考试及实操考核，确保培训人员能熟练掌握装置的操作及维修技能，考核合格率需达到100%；对于考核不合格的人员，中标人需免费提供二次培训，直至考核合格为止</w:t>
            </w:r>
            <w:r>
              <w:rPr>
                <w:rFonts w:hint="eastAsia" w:ascii="宋体" w:hAnsi="宋体" w:eastAsia="宋体" w:cs="宋体"/>
                <w:color w:val="000000"/>
                <w:sz w:val="21"/>
                <w:szCs w:val="21"/>
                <w:highlight w:val="none"/>
              </w:rPr>
              <w:t>用户指定地点开展培训，确保使用人员掌握设备工作原理、调试方法、参数设置及常见故障处理。</w:t>
            </w:r>
          </w:p>
          <w:p w14:paraId="3061C9D9">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 售后服务</w:t>
            </w:r>
          </w:p>
          <w:p w14:paraId="4DDCE95B">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投标人需提供厂家或总代理项目授权书及售后服务承诺；设备故障接报后 24 小时内响应，48 小时内排除故障并说明原因，直至恢复正常。</w:t>
            </w:r>
          </w:p>
          <w:p w14:paraId="72F1A7E5">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color w:val="000000"/>
                <w:sz w:val="21"/>
                <w:szCs w:val="21"/>
                <w:highlight w:val="none"/>
              </w:rPr>
            </w:pPr>
          </w:p>
        </w:tc>
      </w:tr>
      <w:tr w14:paraId="33DA95EE">
        <w:tblPrEx>
          <w:tblCellMar>
            <w:top w:w="0" w:type="dxa"/>
            <w:left w:w="108" w:type="dxa"/>
            <w:bottom w:w="0" w:type="dxa"/>
            <w:right w:w="108" w:type="dxa"/>
          </w:tblCellMar>
        </w:tblPrEx>
        <w:trPr>
          <w:trHeight w:val="294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4717A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6336B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固体废弃物建材制备系统</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0BCA8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合同签订后60日历日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1DF81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本项目要求货物质保期</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年，其中第一年为厂家质保，后续年份为供应商质保。</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AB152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安装、调试完成后，由采购人组织验收，验收合格后，采购人及中标人双方共同签署验收文件。设备到货：设备到货前应将安装环境要求书面通知给用户，并与用户协商足够准备时间。到货时需按用户要求免费将设备在双方商定的时间运到指定安装位置，并由仪器安装工程师当场进行开箱检查。仪器安装调试：设备经开箱检查确认一切正常后，由设备安装工程师免费执行安装调试直至达到验收指标（以技术规格要求指标为验收指标）。由用户单位进行使用性能方面的验收。设备的性能应符合投标人应答文件中承诺的技术指标，所有指标验收必须由用户确认。</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AA9980">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 人员培训</w:t>
            </w:r>
          </w:p>
          <w:p w14:paraId="549DEF0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仪器故障接报后</w:t>
            </w:r>
            <w:r>
              <w:rPr>
                <w:rStyle w:val="26"/>
                <w:rFonts w:hint="eastAsia" w:ascii="宋体" w:hAnsi="宋体" w:eastAsia="宋体" w:cs="宋体"/>
                <w:b/>
                <w:bCs/>
                <w:color w:val="000000"/>
                <w:sz w:val="21"/>
                <w:szCs w:val="21"/>
                <w:highlight w:val="none"/>
              </w:rPr>
              <w:t>24 小时内响应</w:t>
            </w:r>
            <w:r>
              <w:rPr>
                <w:rFonts w:hint="eastAsia" w:ascii="宋体" w:hAnsi="宋体" w:eastAsia="宋体" w:cs="宋体"/>
                <w:sz w:val="21"/>
                <w:szCs w:val="21"/>
                <w:highlight w:val="none"/>
              </w:rPr>
              <w:t>，</w:t>
            </w:r>
            <w:r>
              <w:rPr>
                <w:rStyle w:val="26"/>
                <w:rFonts w:hint="eastAsia" w:ascii="宋体" w:hAnsi="宋体" w:eastAsia="宋体" w:cs="宋体"/>
                <w:b/>
                <w:bCs/>
                <w:color w:val="000000"/>
                <w:sz w:val="21"/>
                <w:szCs w:val="21"/>
                <w:highlight w:val="none"/>
              </w:rPr>
              <w:t>48 小时内排除故障并说明原因</w:t>
            </w:r>
            <w:r>
              <w:rPr>
                <w:rFonts w:hint="eastAsia" w:ascii="宋体" w:hAnsi="宋体" w:eastAsia="宋体" w:cs="宋体"/>
                <w:sz w:val="21"/>
                <w:szCs w:val="21"/>
                <w:highlight w:val="none"/>
              </w:rPr>
              <w:t>，直至故障消除</w:t>
            </w:r>
          </w:p>
        </w:tc>
      </w:tr>
      <w:tr w14:paraId="536C8AF5">
        <w:tblPrEx>
          <w:tblCellMar>
            <w:top w:w="0" w:type="dxa"/>
            <w:left w:w="108" w:type="dxa"/>
            <w:bottom w:w="0" w:type="dxa"/>
            <w:right w:w="108" w:type="dxa"/>
          </w:tblCellMar>
        </w:tblPrEx>
        <w:trPr>
          <w:trHeight w:val="90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E1546D">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B2F41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高温应力腐蚀试验系统（国产）</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13DBC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合同签订后90日历日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58C32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整个系统质保期三年</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7C29B8">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试验系统性能参数需符合投标文件相关参数要求且能稳定工作。。</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52EE6A">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供方需提供不少于 3 次专业性上门培训达到用户独立使用。</w:t>
            </w:r>
          </w:p>
          <w:p w14:paraId="69B9591A">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根据采购人的使用需求，可提供</w:t>
            </w:r>
            <w:r>
              <w:rPr>
                <w:rFonts w:hint="eastAsia" w:ascii="宋体" w:hAnsi="宋体" w:eastAsia="宋体" w:cs="宋体"/>
                <w:sz w:val="21"/>
                <w:szCs w:val="21"/>
                <w:highlight w:val="none"/>
                <w:lang w:val="en-US" w:eastAsia="zh-CN"/>
              </w:rPr>
              <w:t>三年内免费搬运一次服务。</w:t>
            </w:r>
          </w:p>
          <w:p w14:paraId="2E3BAF0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p>
        </w:tc>
      </w:tr>
      <w:tr w14:paraId="549F3ED9">
        <w:tblPrEx>
          <w:tblCellMar>
            <w:top w:w="0" w:type="dxa"/>
            <w:left w:w="108" w:type="dxa"/>
            <w:bottom w:w="0" w:type="dxa"/>
            <w:right w:w="108" w:type="dxa"/>
          </w:tblCellMar>
        </w:tblPrEx>
        <w:trPr>
          <w:trHeight w:val="90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DC633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17</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CF1CCD">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高温高压腐蚀疲劳试验系统（国产）</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51B0BD">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合同签订后90日历日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3AC60F">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整个系统质保期三年</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D2109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试验系统性能参数需符合投标文件相关参数要求且能稳定工作。。</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B6AE4A">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供方需提供不少于 3 次专业性上门培训达到用户独立使用。</w:t>
            </w:r>
            <w:r>
              <w:rPr>
                <w:rFonts w:hint="eastAsia" w:ascii="宋体" w:hAnsi="宋体" w:eastAsia="宋体" w:cs="宋体"/>
                <w:kern w:val="0"/>
                <w:sz w:val="21"/>
                <w:szCs w:val="21"/>
                <w:highlight w:val="none"/>
                <w:lang w:val="en-US" w:eastAsia="zh-CN"/>
              </w:rPr>
              <w:t>根据采购人的使用需求，可提供</w:t>
            </w:r>
            <w:r>
              <w:rPr>
                <w:rFonts w:hint="eastAsia" w:ascii="宋体" w:hAnsi="宋体" w:eastAsia="宋体" w:cs="宋体"/>
                <w:sz w:val="21"/>
                <w:szCs w:val="21"/>
                <w:highlight w:val="none"/>
                <w:lang w:val="en-US" w:eastAsia="zh-CN"/>
              </w:rPr>
              <w:t>三年内免费搬运一次服务。</w:t>
            </w:r>
          </w:p>
          <w:p w14:paraId="7251D75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p>
        </w:tc>
      </w:tr>
      <w:tr w14:paraId="3F6052F5">
        <w:tblPrEx>
          <w:tblCellMar>
            <w:top w:w="0" w:type="dxa"/>
            <w:left w:w="108" w:type="dxa"/>
            <w:bottom w:w="0" w:type="dxa"/>
            <w:right w:w="108" w:type="dxa"/>
          </w:tblCellMar>
        </w:tblPrEx>
        <w:trPr>
          <w:trHeight w:val="90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F7DAC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A75150">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多通道高温腐蚀试验平台（国产）</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BE8AAC">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合同签订后270日历日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E03D9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质保期3年，自验收之日起。</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A25170">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设备安装调试完成后，核心指标达到合同约定的相关条款后，予以验收。</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2F73BC">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设备交付前，供应商应委派专业工程技术人员在现场进行人员培训。内容包含产品的使用介绍、使用操作，维修，保养等方面，直至用户人员能独立操作。</w:t>
            </w:r>
          </w:p>
          <w:p w14:paraId="3FE9910A">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p>
          <w:p w14:paraId="3D4C870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供应商应具备完善的售后服务体系，质保期内，提供7*24小时的远程技术支持，售后响应时间不长于2小时，如售后需求无法远程解决，供应商应在接到通知后的5个工作日内安排专业工程技术人员前往现场处理，并在处理完成后提供书面维修报告。</w:t>
            </w:r>
          </w:p>
          <w:p w14:paraId="6374919F">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p>
          <w:p w14:paraId="0C8B8334">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质保期内，如用户单位有需求，供应商应每年提供一次现场的技术人员回访，进行设备运行使用的答疑、易损易耗品的维护、软件升级等一系列保障产品正常使用的措施。</w:t>
            </w:r>
          </w:p>
          <w:p w14:paraId="2581A23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p>
          <w:p w14:paraId="7B9FD34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质保期外，供应商应保证备品备件的长期供应，时间不得短于十年，价格应符合市场行情。</w:t>
            </w:r>
          </w:p>
          <w:p w14:paraId="794334BF">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p>
          <w:p w14:paraId="03BEDF1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6、质保期外，供应商应提供付费的设备维护维修服务，确保设备的长期正常运行</w:t>
            </w:r>
            <w:r>
              <w:rPr>
                <w:rFonts w:hint="eastAsia" w:ascii="宋体" w:hAnsi="宋体" w:eastAsia="宋体" w:cs="宋体"/>
                <w:color w:val="000000"/>
                <w:sz w:val="21"/>
                <w:szCs w:val="21"/>
                <w:highlight w:val="none"/>
              </w:rPr>
              <w:t>厂家或总代理项目授权书及售后服务承诺</w:t>
            </w:r>
          </w:p>
        </w:tc>
      </w:tr>
      <w:tr w14:paraId="5A905085">
        <w:tblPrEx>
          <w:tblCellMar>
            <w:top w:w="0" w:type="dxa"/>
            <w:left w:w="108" w:type="dxa"/>
            <w:bottom w:w="0" w:type="dxa"/>
            <w:right w:w="108" w:type="dxa"/>
          </w:tblCellMar>
        </w:tblPrEx>
        <w:trPr>
          <w:trHeight w:val="90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69D0F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4181DD">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脱硫烟气NOx吸附-解吸与水相电催化制氨平台（国产）</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F68CD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合同签订后360日历日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ADAAD4">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质保期3年，自验收之日起。</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D34A59">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设备安装调试完成后，核心指标达到合同约定的相关条款后，予以验收。</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B624D9">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1. 人员培训</w:t>
            </w:r>
          </w:p>
          <w:p w14:paraId="56DE9115">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中标人免费提供安装调试及中文版操作规程，在用户指定地点开展培训，确保使用人员掌握设备工作原理、调试方法、参数设置</w:t>
            </w:r>
            <w:r>
              <w:rPr>
                <w:rFonts w:hint="eastAsia" w:ascii="宋体" w:hAnsi="宋体" w:eastAsia="宋体" w:cs="宋体"/>
                <w:sz w:val="21"/>
                <w:szCs w:val="21"/>
                <w:highlight w:val="none"/>
              </w:rPr>
              <w:t>仪器故障接报后</w:t>
            </w:r>
            <w:r>
              <w:rPr>
                <w:rStyle w:val="26"/>
                <w:rFonts w:hint="eastAsia" w:ascii="宋体" w:hAnsi="宋体" w:eastAsia="宋体" w:cs="宋体"/>
                <w:b/>
                <w:bCs/>
                <w:color w:val="000000"/>
                <w:sz w:val="21"/>
                <w:szCs w:val="21"/>
                <w:highlight w:val="none"/>
              </w:rPr>
              <w:t>24 小时内响应</w:t>
            </w:r>
            <w:r>
              <w:rPr>
                <w:rFonts w:hint="eastAsia" w:ascii="宋体" w:hAnsi="宋体" w:eastAsia="宋体" w:cs="宋体"/>
                <w:sz w:val="21"/>
                <w:szCs w:val="21"/>
                <w:highlight w:val="none"/>
              </w:rPr>
              <w:t>，</w:t>
            </w:r>
            <w:r>
              <w:rPr>
                <w:rStyle w:val="26"/>
                <w:rFonts w:hint="eastAsia" w:ascii="宋体" w:hAnsi="宋体" w:eastAsia="宋体" w:cs="宋体"/>
                <w:b/>
                <w:bCs/>
                <w:color w:val="000000"/>
                <w:sz w:val="21"/>
                <w:szCs w:val="21"/>
                <w:highlight w:val="none"/>
              </w:rPr>
              <w:t>48 小时内排除故障并说明原因</w:t>
            </w:r>
            <w:r>
              <w:rPr>
                <w:rFonts w:hint="eastAsia" w:ascii="宋体" w:hAnsi="宋体" w:eastAsia="宋体" w:cs="宋体"/>
                <w:sz w:val="21"/>
                <w:szCs w:val="21"/>
                <w:highlight w:val="none"/>
              </w:rPr>
              <w:t>，直至故障消除。</w:t>
            </w:r>
            <w:r>
              <w:rPr>
                <w:rFonts w:hint="eastAsia" w:ascii="宋体" w:hAnsi="宋体" w:eastAsia="宋体" w:cs="宋体"/>
                <w:color w:val="000000"/>
                <w:sz w:val="21"/>
                <w:szCs w:val="21"/>
                <w:highlight w:val="none"/>
              </w:rPr>
              <w:t>及常见故障处理。</w:t>
            </w:r>
          </w:p>
          <w:p w14:paraId="27987BAC">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 售后服务</w:t>
            </w:r>
          </w:p>
          <w:p w14:paraId="59B0B635">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投标人需提供厂家或总代理项目授权书及常。</w:t>
            </w:r>
          </w:p>
          <w:p w14:paraId="69D1A60F">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color w:val="000000"/>
                <w:sz w:val="21"/>
                <w:szCs w:val="21"/>
                <w:highlight w:val="none"/>
              </w:rPr>
            </w:pPr>
          </w:p>
        </w:tc>
      </w:tr>
      <w:tr w14:paraId="39674BEE">
        <w:tblPrEx>
          <w:tblCellMar>
            <w:top w:w="0" w:type="dxa"/>
            <w:left w:w="108" w:type="dxa"/>
            <w:bottom w:w="0" w:type="dxa"/>
            <w:right w:w="108" w:type="dxa"/>
          </w:tblCellMar>
        </w:tblPrEx>
        <w:trPr>
          <w:trHeight w:val="90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7E52F0">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21700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多通道多元介质液相腐蚀试验平台（国产）</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5F4AD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合同签订后240日历日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E1623D">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质保期3年，自验收之日起。</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37998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设备安装调试完成后，核心指标达到合同约定的相关条款后，予以验收。</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3326BB">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设备交付前，供应商应委派专业工程技术人员在现场进行人员培训。内容包含产品的使用介绍、使用操作，维修，保养等方面，直至用户人员能独立操作。</w:t>
            </w:r>
          </w:p>
          <w:p w14:paraId="164E1518">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p>
          <w:p w14:paraId="781BB15F">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供应商应具备完善的售后服务体系，质保期内，提供7*24小时的远程技术支持，售后响应时间不长于2小时，如售后需求无法远程解决，供应商应在接到通知后的5个工作日内安排专业工程技术人员前往现场处理，并在处理完成后提供书面维修报告。</w:t>
            </w:r>
          </w:p>
          <w:p w14:paraId="307F8445">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p>
          <w:p w14:paraId="02DAE9C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质保期内，如用户单位有需求，供应商应每年提供一次现场的技术人员回访，进行设备运行使用的答疑、易损易耗品的维护、软件升级等一系列保障产品正常使用的措施。</w:t>
            </w:r>
          </w:p>
          <w:p w14:paraId="6971E9C8">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p>
          <w:p w14:paraId="2A2755E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质保期外，供应商应保证备品备件的长期供应，时间不得短于十年，价格应符合市场行情。</w:t>
            </w:r>
          </w:p>
          <w:p w14:paraId="5601437F">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p>
          <w:p w14:paraId="0416ACDF">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6、质保期外，供应商应提供付费的设备维护维修服务，确保设备的长期正常运行</w:t>
            </w:r>
            <w:r>
              <w:rPr>
                <w:rFonts w:hint="eastAsia" w:ascii="宋体" w:hAnsi="宋体" w:eastAsia="宋体" w:cs="宋体"/>
                <w:color w:val="000000"/>
                <w:sz w:val="21"/>
                <w:szCs w:val="21"/>
                <w:highlight w:val="none"/>
              </w:rPr>
              <w:t>1. 人员培训</w:t>
            </w:r>
          </w:p>
          <w:p w14:paraId="67CD016F">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中标人免费提供安</w:t>
            </w:r>
          </w:p>
        </w:tc>
      </w:tr>
      <w:tr w14:paraId="748BBCD3">
        <w:tblPrEx>
          <w:tblCellMar>
            <w:top w:w="0" w:type="dxa"/>
            <w:left w:w="108" w:type="dxa"/>
            <w:bottom w:w="0" w:type="dxa"/>
            <w:right w:w="108" w:type="dxa"/>
          </w:tblCellMar>
        </w:tblPrEx>
        <w:trPr>
          <w:trHeight w:val="90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FB9A8D">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5798C0">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高氯煤回转窑热解提质与喷淋吸附一体脱氯试验平台（国产）</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6D81DA">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合同签订后360日历日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282DFA">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质保期3年，自验收之日起。</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09B6E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设备安装调试完成后，核心指标达到合同约定的相关条款后，予以验收。</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DEEE4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sz w:val="21"/>
                <w:szCs w:val="21"/>
                <w:highlight w:val="none"/>
              </w:rPr>
              <w:t>设备交付前，供应商应委派专业工程技术人员在现场进行人员培训。内容包含产品的使用介绍、使用操作，维修，保养等方面，直至用户人员能独立操作。</w:t>
            </w:r>
          </w:p>
          <w:p w14:paraId="5D97EEA8">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p>
          <w:p w14:paraId="7C3E57A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供应商应具备完善的售后服务体系，质保期内，提供7*24小时的远程技术支持，售后响应时间不长于2小时，如售后需求无法远程解决，供应商应在接到通知后的5个工作日内安排专业工程技术人员前往现场处理，并在处理完成后提供书面维修报告。</w:t>
            </w:r>
          </w:p>
          <w:p w14:paraId="1F50900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p>
          <w:p w14:paraId="7F54E1B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质保期内，如用户单位有需求，供应商应每年提供一次现场的技术人员回访，进行设备运行使用的答疑、易损易耗品的维护、软件升级等一系列保障产品正常使用的措施。</w:t>
            </w:r>
          </w:p>
          <w:p w14:paraId="0643B20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p>
          <w:p w14:paraId="3D0A5010">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质保期外，供应商应保证备品备件的长期供应，时间不得短于十年，价格应符合市场行情。</w:t>
            </w:r>
          </w:p>
          <w:p w14:paraId="2C7E216D">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p>
          <w:p w14:paraId="59D5952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6、质保期外，供应商应提供付费的设备维护维修服务，确保设备的长期正常运行</w:t>
            </w:r>
            <w:r>
              <w:rPr>
                <w:rFonts w:hint="eastAsia" w:ascii="宋体" w:hAnsi="宋体" w:eastAsia="宋体" w:cs="宋体"/>
                <w:color w:val="000000"/>
                <w:sz w:val="21"/>
                <w:szCs w:val="21"/>
                <w:highlight w:val="none"/>
              </w:rPr>
              <w:t xml:space="preserve"> 人员培训</w:t>
            </w:r>
          </w:p>
          <w:p w14:paraId="1965FF3B">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中标人免费提供安装调试及中文版操作规</w:t>
            </w:r>
          </w:p>
        </w:tc>
      </w:tr>
      <w:tr w14:paraId="064AF053">
        <w:tblPrEx>
          <w:tblCellMar>
            <w:top w:w="0" w:type="dxa"/>
            <w:left w:w="108" w:type="dxa"/>
            <w:bottom w:w="0" w:type="dxa"/>
            <w:right w:w="108" w:type="dxa"/>
          </w:tblCellMar>
        </w:tblPrEx>
        <w:trPr>
          <w:trHeight w:val="90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356C88">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F4712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光催化连续反应放大分离系统（国产）</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843FC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合同签订后180日历日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7B379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产品保修期为1年。</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BF81F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自货物签收后15日内出具验收报告，逾期视为验收合格。</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BA8C89">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1. 人员培训</w:t>
            </w:r>
          </w:p>
          <w:p w14:paraId="7D4D81FF">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中标人免费提供安装调试及中文版操作规程，在用户指定地点开展培训，确保使用人员掌握设备工作原理、调试方法、参数设置</w:t>
            </w:r>
            <w:r>
              <w:rPr>
                <w:rFonts w:hint="eastAsia" w:ascii="宋体" w:hAnsi="宋体" w:eastAsia="宋体" w:cs="宋体"/>
                <w:sz w:val="21"/>
                <w:szCs w:val="21"/>
                <w:highlight w:val="none"/>
              </w:rPr>
              <w:t>仪器故障接报后</w:t>
            </w:r>
            <w:r>
              <w:rPr>
                <w:rStyle w:val="26"/>
                <w:rFonts w:hint="eastAsia" w:ascii="宋体" w:hAnsi="宋体" w:eastAsia="宋体" w:cs="宋体"/>
                <w:b/>
                <w:bCs/>
                <w:color w:val="000000"/>
                <w:sz w:val="21"/>
                <w:szCs w:val="21"/>
                <w:highlight w:val="none"/>
              </w:rPr>
              <w:t>24 小时内响应</w:t>
            </w:r>
            <w:r>
              <w:rPr>
                <w:rFonts w:hint="eastAsia" w:ascii="宋体" w:hAnsi="宋体" w:eastAsia="宋体" w:cs="宋体"/>
                <w:sz w:val="21"/>
                <w:szCs w:val="21"/>
                <w:highlight w:val="none"/>
              </w:rPr>
              <w:t>，</w:t>
            </w:r>
            <w:r>
              <w:rPr>
                <w:rStyle w:val="26"/>
                <w:rFonts w:hint="eastAsia" w:ascii="宋体" w:hAnsi="宋体" w:eastAsia="宋体" w:cs="宋体"/>
                <w:b/>
                <w:bCs/>
                <w:color w:val="000000"/>
                <w:sz w:val="21"/>
                <w:szCs w:val="21"/>
                <w:highlight w:val="none"/>
              </w:rPr>
              <w:t>48 小时内排除故障并说明原因</w:t>
            </w:r>
            <w:r>
              <w:rPr>
                <w:rFonts w:hint="eastAsia" w:ascii="宋体" w:hAnsi="宋体" w:eastAsia="宋体" w:cs="宋体"/>
                <w:sz w:val="21"/>
                <w:szCs w:val="21"/>
                <w:highlight w:val="none"/>
              </w:rPr>
              <w:t>，直至故障消除</w:t>
            </w:r>
          </w:p>
          <w:p w14:paraId="47625935">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故障处理。</w:t>
            </w:r>
          </w:p>
          <w:p w14:paraId="48AA1FFD">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 售后服务</w:t>
            </w:r>
          </w:p>
          <w:p w14:paraId="0241E59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投标人需提供厂家或总代理项目授权书及售后服务承诺；设备故障接报后 24 小时内响应，48 小时内排除故障并说明原因，直至恢复正常。</w:t>
            </w:r>
          </w:p>
          <w:p w14:paraId="261DC003">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color w:val="000000"/>
                <w:sz w:val="21"/>
                <w:szCs w:val="21"/>
                <w:highlight w:val="none"/>
              </w:rPr>
            </w:pPr>
          </w:p>
        </w:tc>
      </w:tr>
      <w:tr w14:paraId="1837F227">
        <w:tblPrEx>
          <w:tblCellMar>
            <w:top w:w="0" w:type="dxa"/>
            <w:left w:w="108" w:type="dxa"/>
            <w:bottom w:w="0" w:type="dxa"/>
            <w:right w:w="108" w:type="dxa"/>
          </w:tblCellMar>
        </w:tblPrEx>
        <w:trPr>
          <w:trHeight w:val="1506"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59CDCF">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2A380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电催化连续反应放大分离系统（国产）</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DD3884">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合同签订后180日历日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7D64DC">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产品保修期为1年。</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62641D">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自货物签收后15日内出具验收报告，逾期视为验收合格。</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38FD6B">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仪器故障接报后</w:t>
            </w:r>
            <w:r>
              <w:rPr>
                <w:rStyle w:val="26"/>
                <w:rFonts w:hint="eastAsia" w:ascii="宋体" w:hAnsi="宋体" w:eastAsia="宋体" w:cs="宋体"/>
                <w:b/>
                <w:bCs/>
                <w:color w:val="000000"/>
                <w:sz w:val="21"/>
                <w:szCs w:val="21"/>
                <w:highlight w:val="none"/>
              </w:rPr>
              <w:t>24 小时内响应</w:t>
            </w:r>
            <w:r>
              <w:rPr>
                <w:rFonts w:hint="eastAsia" w:ascii="宋体" w:hAnsi="宋体" w:eastAsia="宋体" w:cs="宋体"/>
                <w:sz w:val="21"/>
                <w:szCs w:val="21"/>
                <w:highlight w:val="none"/>
              </w:rPr>
              <w:t>，</w:t>
            </w:r>
            <w:r>
              <w:rPr>
                <w:rStyle w:val="26"/>
                <w:rFonts w:hint="eastAsia" w:ascii="宋体" w:hAnsi="宋体" w:eastAsia="宋体" w:cs="宋体"/>
                <w:b/>
                <w:bCs/>
                <w:color w:val="000000"/>
                <w:sz w:val="21"/>
                <w:szCs w:val="21"/>
                <w:highlight w:val="none"/>
              </w:rPr>
              <w:t>48 小时内排除故障并说明原因</w:t>
            </w:r>
            <w:r>
              <w:rPr>
                <w:rFonts w:hint="eastAsia" w:ascii="宋体" w:hAnsi="宋体" w:eastAsia="宋体" w:cs="宋体"/>
                <w:sz w:val="21"/>
                <w:szCs w:val="21"/>
                <w:highlight w:val="none"/>
              </w:rPr>
              <w:t>，直至故障消除</w:t>
            </w:r>
          </w:p>
          <w:p w14:paraId="55908E54">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rPr>
                <w:rFonts w:hint="eastAsia" w:ascii="宋体" w:hAnsi="宋体" w:eastAsia="宋体" w:cs="宋体"/>
                <w:color w:val="000000"/>
                <w:sz w:val="21"/>
                <w:szCs w:val="21"/>
                <w:highlight w:val="none"/>
              </w:rPr>
            </w:pPr>
          </w:p>
        </w:tc>
      </w:tr>
      <w:tr w14:paraId="070A2AF8">
        <w:tblPrEx>
          <w:tblCellMar>
            <w:top w:w="0" w:type="dxa"/>
            <w:left w:w="108" w:type="dxa"/>
            <w:bottom w:w="0" w:type="dxa"/>
            <w:right w:w="108" w:type="dxa"/>
          </w:tblCellMar>
        </w:tblPrEx>
        <w:trPr>
          <w:trHeight w:val="190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67851D">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F60AF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气相色谱质谱联用仪（国产）</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B6B1C0">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合同签订后60日历日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6604D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质保期为1年。</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DFC32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按照招标文件技术参数、合同约定的相关要求和标准验收。</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6E10EC">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1投标人应在合同规定时间内完成仪器的安装调试，并达到标书和技术文件（仪器说明书等）要求的性能，如果现场安装测试指标未通过，购买方有权要求退货并要求赔偿损失。</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2投标人免费提供用户现场安装、调试及培训。安装工程师在用户现场安装调试完毕后，进行现场讲解培训，人员不限。免费提供仪器使用手册、培训教材、应用文章等。保证用户掌握基本操作，可以正确操作使用仪器。</w:t>
            </w:r>
          </w:p>
        </w:tc>
      </w:tr>
      <w:tr w14:paraId="37960FA6">
        <w:tblPrEx>
          <w:tblCellMar>
            <w:top w:w="0" w:type="dxa"/>
            <w:left w:w="108" w:type="dxa"/>
            <w:bottom w:w="0" w:type="dxa"/>
            <w:right w:w="108" w:type="dxa"/>
          </w:tblCellMar>
        </w:tblPrEx>
        <w:trPr>
          <w:trHeight w:val="190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6B2A64">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33BA7E">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制备液相色谱仪（国产）</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41C07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合同签订后30日历日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7FDA1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仪器安装调试、验收合格后1年。</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88E95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按照招标文件技术参数、合同约定的相关要求和标准验收。</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7C828D">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1投标人应在合同规定时间内完成仪器的安装调试，并达到标书和技术文件（仪器说明书等）要求的性能，如果现场安装测试指标未通过，购买方有权要求退货并要求赔偿损失。</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2投标人免费提供用户现场安装、调试及培训。安装工程师在用户现场安装调试完毕后，进行现场讲解培训，人员不限。免费提供仪器使用手册、培训教材、应用文章等。保证用户掌握基本操作，可以正确操作使用仪器。</w:t>
            </w:r>
          </w:p>
        </w:tc>
      </w:tr>
      <w:tr w14:paraId="2CFDF139">
        <w:tblPrEx>
          <w:tblCellMar>
            <w:top w:w="0" w:type="dxa"/>
            <w:left w:w="108" w:type="dxa"/>
            <w:bottom w:w="0" w:type="dxa"/>
            <w:right w:w="108" w:type="dxa"/>
          </w:tblCellMar>
        </w:tblPrEx>
        <w:trPr>
          <w:trHeight w:val="190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E595BE">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B756E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气相色谱仪（国产）</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71A84A">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合同签订后40日历日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5D4D16">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本设备要求货物质保期</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年。</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84AFA7">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按照招标文件技术参数、合同约定的相关要求和标准验收。</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B3E97D">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1、投标人应在合同规定时间内完成仪器的安装调试，并达到标书和技术文件（仪器说明书等）要求的性能，如果现场安装测试指标未通过，购买方有权要求退货并要求赔偿损失。</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2、投标人免费提供用户现场安装、调试及培训。安装工程师在用户现场安装调试完毕后，进行现场讲解培训，人员不限。免费提供仪器使用手册、培训教材、应用文章等。保证用户掌握基本操作，可以正确操作使用仪器。</w:t>
            </w:r>
          </w:p>
        </w:tc>
      </w:tr>
      <w:tr w14:paraId="32DDB84B">
        <w:tblPrEx>
          <w:tblCellMar>
            <w:top w:w="0" w:type="dxa"/>
            <w:left w:w="108" w:type="dxa"/>
            <w:bottom w:w="0" w:type="dxa"/>
            <w:right w:w="108" w:type="dxa"/>
          </w:tblCellMar>
        </w:tblPrEx>
        <w:trPr>
          <w:trHeight w:val="324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633157">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5D0939">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液相色谱仪（国产）</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7BC7C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合同签订后40日历日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1EE86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诺质保期内免费维护保养，免费提供备品备件等内容（消耗品除外），且自采购人通知维护之日起，24小时内务必即可响应解决设备问题不可收取任何费用。如质保期内不提供保养及解决设备问题，扣除所留余款。如结清余款的，质保期内再三要求维护不响应的，考虑纳入本单位不诚信供货单位名单。（质保期开始之日：为设备验收合格之日起）</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本设备要求货物质保期1年。</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118C91">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按照招标文件要求技术指标验收。</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27610A">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1、投标人必须提供仪器的免费现场安装调试，并同时在现场对用户进行操作及维护培训。</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2、投标人在国内必须设有分析仪器教育中心，为用户提供仪器的基本原理、操作、日常维护及基础分析仪器理论课程和相关的应用培训；</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3 、项目合同签订后60日历日内完成供货安装调试，达到验收标准。</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4、投标人提供免费服务电话，为用户提供免费的电话咨询及技术服务。</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5、投标人在国内必须设有专业的维修站，有专职的液相色谱维修工程师及应用工程师有效保证售后维修的及时、快捷，并负责提供技术支持，24小时响应，48小时到场，保证仪器的正常操作。</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6、 约定价款为含税价，中标人在采购人付款前提供符合采购人财务做账需求的等额增值税（专用发票/普通发票），否则采购人有权拒付款项且不承担违约责任。</w:t>
            </w:r>
          </w:p>
        </w:tc>
      </w:tr>
      <w:tr w14:paraId="28411494">
        <w:tblPrEx>
          <w:tblCellMar>
            <w:top w:w="0" w:type="dxa"/>
            <w:left w:w="108" w:type="dxa"/>
            <w:bottom w:w="0" w:type="dxa"/>
            <w:right w:w="108" w:type="dxa"/>
          </w:tblCellMar>
        </w:tblPrEx>
        <w:trPr>
          <w:trHeight w:val="2160" w:hRule="atLeast"/>
        </w:trPr>
        <w:tc>
          <w:tcPr>
            <w:tcW w:w="1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6C1269">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28</w:t>
            </w: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CD6B82">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自动化智能化合成平台（国产）</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2FC1EF">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合同签订后180日历日。</w:t>
            </w:r>
          </w:p>
        </w:tc>
        <w:tc>
          <w:tcPr>
            <w:tcW w:w="11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45B943">
            <w:pPr>
              <w:keepNext w:val="0"/>
              <w:keepLines w:val="0"/>
              <w:pageBreakBefore w:val="0"/>
              <w:widowControl/>
              <w:suppressLineNumbers w:val="0"/>
              <w:kinsoku/>
              <w:wordWrap/>
              <w:overflowPunct/>
              <w:topLinePunct w:val="0"/>
              <w:autoSpaceDE/>
              <w:autoSpaceDN/>
              <w:bidi w:val="0"/>
              <w:adjustRightInd/>
              <w:spacing w:beforeAutospacing="0" w:afterAutospacing="0" w:line="360" w:lineRule="exact"/>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年。正式验收通过后，如货物在使用过程中因质量问题或设计缺陷导致货物损坏、发生故障或性能下降的，供货方应在收到采购方的通知后及时派员对货物进行维修或更换零部件。现场免费培训采购方操作人员，包括仪器基本原理、安装、调试、操作使用及日常保养维修等，使其能独立操作仪器及使用软件。</w:t>
            </w:r>
          </w:p>
        </w:tc>
        <w:tc>
          <w:tcPr>
            <w:tcW w:w="11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582720">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按照招标文件要求技术指标验收。符合招标参数且能稳定工作。</w:t>
            </w:r>
          </w:p>
        </w:tc>
        <w:tc>
          <w:tcPr>
            <w:tcW w:w="1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024DCD">
            <w:pPr>
              <w:pStyle w:val="5"/>
              <w:pageBreakBefore w:val="0"/>
              <w:widowControl/>
              <w:numPr>
                <w:ilvl w:val="0"/>
                <w:numId w:val="0"/>
              </w:numPr>
              <w:suppressLineNumbers w:val="0"/>
              <w:kinsoku/>
              <w:wordWrap/>
              <w:overflowPunct/>
              <w:topLinePunct w:val="0"/>
              <w:autoSpaceDE/>
              <w:autoSpaceDN/>
              <w:bidi w:val="0"/>
              <w:adjustRightInd/>
              <w:spacing w:before="0" w:beforeLines="0" w:beforeAutospacing="0" w:after="0" w:afterLines="0" w:afterAutospacing="0" w:line="360" w:lineRule="exact"/>
              <w:ind w:left="0" w:right="0"/>
              <w:rPr>
                <w:rFonts w:hint="eastAsia" w:ascii="宋体" w:hAnsi="宋体" w:eastAsia="宋体" w:cs="宋体"/>
                <w:snapToGrid w:val="0"/>
                <w:color w:val="000000"/>
                <w:sz w:val="21"/>
                <w:szCs w:val="21"/>
                <w:highlight w:val="none"/>
              </w:rPr>
            </w:pPr>
            <w:r>
              <w:rPr>
                <w:rFonts w:hint="eastAsia" w:ascii="宋体" w:hAnsi="宋体" w:eastAsia="宋体" w:cs="宋体"/>
                <w:sz w:val="21"/>
                <w:szCs w:val="21"/>
                <w:highlight w:val="none"/>
              </w:rPr>
              <w:t>仪器故障接报后</w:t>
            </w:r>
            <w:r>
              <w:rPr>
                <w:rStyle w:val="26"/>
                <w:rFonts w:hint="eastAsia" w:ascii="宋体" w:hAnsi="宋体" w:eastAsia="宋体" w:cs="宋体"/>
                <w:color w:val="000000"/>
                <w:sz w:val="21"/>
                <w:szCs w:val="21"/>
                <w:highlight w:val="none"/>
              </w:rPr>
              <w:t>24 小时内响应</w:t>
            </w:r>
            <w:r>
              <w:rPr>
                <w:rFonts w:hint="eastAsia" w:ascii="宋体" w:hAnsi="宋体" w:eastAsia="宋体" w:cs="宋体"/>
                <w:sz w:val="21"/>
                <w:szCs w:val="21"/>
                <w:highlight w:val="none"/>
              </w:rPr>
              <w:t>，</w:t>
            </w:r>
            <w:r>
              <w:rPr>
                <w:rStyle w:val="26"/>
                <w:rFonts w:hint="eastAsia" w:ascii="宋体" w:hAnsi="宋体" w:eastAsia="宋体" w:cs="宋体"/>
                <w:color w:val="000000"/>
                <w:sz w:val="21"/>
                <w:szCs w:val="21"/>
                <w:highlight w:val="none"/>
              </w:rPr>
              <w:t>48 小时内排除故障并说明原因</w:t>
            </w:r>
            <w:r>
              <w:rPr>
                <w:rFonts w:hint="eastAsia" w:ascii="宋体" w:hAnsi="宋体" w:eastAsia="宋体" w:cs="宋体"/>
                <w:sz w:val="21"/>
                <w:szCs w:val="21"/>
                <w:highlight w:val="none"/>
              </w:rPr>
              <w:t>，直至故障消除</w:t>
            </w:r>
            <w:r>
              <w:rPr>
                <w:rFonts w:hint="eastAsia" w:ascii="宋体" w:hAnsi="宋体" w:eastAsia="宋体" w:cs="宋体"/>
                <w:snapToGrid w:val="0"/>
                <w:sz w:val="21"/>
                <w:szCs w:val="21"/>
                <w:highlight w:val="none"/>
              </w:rPr>
              <w:t>正常。</w:t>
            </w:r>
          </w:p>
          <w:p w14:paraId="40255E09">
            <w:pPr>
              <w:keepNext w:val="0"/>
              <w:keepLines w:val="0"/>
              <w:pageBreakBefore w:val="0"/>
              <w:suppressLineNumbers w:val="0"/>
              <w:kinsoku/>
              <w:wordWrap/>
              <w:overflowPunct/>
              <w:topLinePunct w:val="0"/>
              <w:autoSpaceDE/>
              <w:autoSpaceDN/>
              <w:bidi w:val="0"/>
              <w:adjustRightInd/>
              <w:spacing w:beforeAutospacing="0" w:afterAutospacing="0" w:line="360" w:lineRule="exact"/>
              <w:ind w:left="0" w:right="0"/>
              <w:rPr>
                <w:rFonts w:hint="eastAsia" w:ascii="宋体" w:hAnsi="宋体" w:eastAsia="宋体" w:cs="宋体"/>
                <w:color w:val="000000"/>
                <w:sz w:val="21"/>
                <w:szCs w:val="21"/>
                <w:highlight w:val="none"/>
              </w:rPr>
            </w:pPr>
          </w:p>
        </w:tc>
      </w:tr>
    </w:tbl>
    <w:p w14:paraId="71E7405E">
      <w:pPr>
        <w:rPr>
          <w:rFonts w:hint="eastAsia" w:ascii="宋体" w:hAnsi="宋体" w:eastAsia="宋体" w:cs="宋体"/>
        </w:rPr>
      </w:pPr>
    </w:p>
    <w:p w14:paraId="46C8A748">
      <w:pPr>
        <w:pStyle w:val="77"/>
        <w:rPr>
          <w:rFonts w:hint="eastAsia" w:ascii="宋体" w:hAnsi="宋体" w:eastAsia="宋体" w:cs="宋体"/>
        </w:rPr>
      </w:pPr>
    </w:p>
    <w:p w14:paraId="7D7C724F">
      <w:pPr>
        <w:jc w:val="center"/>
        <w:outlineLvl w:val="1"/>
        <w:rPr>
          <w:rFonts w:hint="eastAsia" w:ascii="宋体" w:hAnsi="宋体" w:eastAsia="宋体" w:cs="宋体"/>
          <w:b/>
          <w:bCs/>
          <w:sz w:val="28"/>
          <w:szCs w:val="28"/>
        </w:rPr>
        <w:sectPr>
          <w:pgSz w:w="16839" w:h="11906" w:orient="landscape"/>
          <w:pgMar w:top="1785" w:right="1431" w:bottom="1785" w:left="1378" w:header="1020" w:footer="1212" w:gutter="0"/>
          <w:pgNumType w:start="177"/>
          <w:cols w:space="720" w:num="1"/>
        </w:sectPr>
      </w:pPr>
    </w:p>
    <w:p w14:paraId="3DD0CB43">
      <w:pPr>
        <w:keepNext/>
        <w:keepLines/>
        <w:spacing w:line="500" w:lineRule="exact"/>
        <w:jc w:val="center"/>
        <w:outlineLvl w:val="0"/>
        <w:rPr>
          <w:rFonts w:hint="eastAsia" w:ascii="宋体" w:hAnsi="宋体" w:eastAsia="宋体" w:cs="宋体"/>
          <w:b/>
          <w:bCs/>
          <w:sz w:val="28"/>
          <w:szCs w:val="28"/>
        </w:rPr>
      </w:pPr>
      <w:r>
        <w:rPr>
          <w:rFonts w:hint="eastAsia" w:ascii="宋体" w:hAnsi="宋体" w:eastAsia="宋体" w:cs="宋体"/>
          <w:b/>
          <w:bCs/>
          <w:sz w:val="28"/>
          <w:szCs w:val="28"/>
        </w:rPr>
        <w:t>第五章  评标办法</w:t>
      </w:r>
      <w:bookmarkEnd w:id="159"/>
      <w:bookmarkEnd w:id="160"/>
      <w:bookmarkEnd w:id="161"/>
      <w:bookmarkEnd w:id="162"/>
      <w:bookmarkEnd w:id="163"/>
      <w:bookmarkEnd w:id="164"/>
      <w:bookmarkEnd w:id="165"/>
      <w:bookmarkEnd w:id="166"/>
      <w:bookmarkEnd w:id="167"/>
      <w:bookmarkEnd w:id="168"/>
      <w:bookmarkStart w:id="191" w:name="_Hlt101846155"/>
      <w:bookmarkEnd w:id="191"/>
      <w:bookmarkStart w:id="192" w:name="_Toc208849007"/>
      <w:bookmarkStart w:id="193" w:name="_Toc183682415"/>
      <w:bookmarkStart w:id="194" w:name="_Toc183582280"/>
      <w:bookmarkStart w:id="195" w:name="_Toc217446097"/>
    </w:p>
    <w:p w14:paraId="50181A5C">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 总则</w:t>
      </w:r>
      <w:bookmarkEnd w:id="192"/>
      <w:bookmarkEnd w:id="193"/>
      <w:bookmarkEnd w:id="194"/>
      <w:bookmarkEnd w:id="195"/>
    </w:p>
    <w:p w14:paraId="5222A766">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 根据相关法律法规相关规定，结合招标项目特点制定本评标办法。</w:t>
      </w:r>
    </w:p>
    <w:p w14:paraId="5BAB72EB">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1.2 </w:t>
      </w:r>
      <w:r>
        <w:rPr>
          <w:rFonts w:hint="eastAsia" w:ascii="宋体" w:hAnsi="宋体" w:eastAsia="宋体" w:cs="宋体"/>
          <w:bCs/>
          <w:sz w:val="28"/>
          <w:szCs w:val="28"/>
        </w:rPr>
        <w:t>评标工作由采购人负责组织，具体评标事务由采购人依法组建的评标委员会负责。评标委员会由采购人代表和有关技术、经济等方面的专家组成。</w:t>
      </w:r>
    </w:p>
    <w:p w14:paraId="4D50AD0C">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1.3 评标工作应遵循公平、公正、科学及择优的原则。</w:t>
      </w:r>
    </w:p>
    <w:p w14:paraId="48E017AB">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1.4 评标委员会按照招标文件规定的评标方法和标准进行评标，并独立履行下列职责：</w:t>
      </w:r>
    </w:p>
    <w:p w14:paraId="7E5C581D">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（1）审查投标文件是否符合招标文件要求，并作出评价；</w:t>
      </w:r>
    </w:p>
    <w:p w14:paraId="206485F8">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（2）要求投标投标人对投标文件有关事项作出解释或者澄清；</w:t>
      </w:r>
    </w:p>
    <w:p w14:paraId="4C638986">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（3）推荐中标候选投标人名单，或者受采购人委托按照事先确定的办法直接确定中标投标人；</w:t>
      </w:r>
    </w:p>
    <w:p w14:paraId="1A990224">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（4）向采购人或者有关部门报告非法干预评标工作的行为。</w:t>
      </w:r>
      <w:bookmarkStart w:id="196" w:name="_Toc217446098"/>
    </w:p>
    <w:p w14:paraId="3C924EEA">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 评标过程严格保密。投标人对评委会的评标过程或合同授予决定施加影响的任何行为都可能导致其投标被拒绝。</w:t>
      </w:r>
    </w:p>
    <w:p w14:paraId="066DC1B4">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1.6评委会决定投标文件的响应性依据投标文件本身的内容，而不寻求外部的证据。</w:t>
      </w:r>
    </w:p>
    <w:p w14:paraId="7A2E5E83">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1.7评委会发现招标文件表述不明确或需要说明的事项，可提请采购人书面解释说明。发现招标文件违反有关法律、法规和规章的，可以拒绝评标，并向采购人书面说明情况。</w:t>
      </w:r>
    </w:p>
    <w:p w14:paraId="5C209896">
      <w:pPr>
        <w:spacing w:line="500" w:lineRule="exact"/>
        <w:ind w:firstLine="562" w:firstLineChars="200"/>
        <w:rPr>
          <w:rFonts w:hint="eastAsia" w:ascii="宋体" w:hAnsi="宋体" w:eastAsia="宋体" w:cs="宋体"/>
          <w:sz w:val="28"/>
          <w:szCs w:val="28"/>
        </w:rPr>
      </w:pPr>
      <w:r>
        <w:rPr>
          <w:rFonts w:hint="eastAsia" w:ascii="宋体" w:hAnsi="宋体" w:eastAsia="宋体" w:cs="宋体"/>
          <w:b/>
          <w:sz w:val="28"/>
          <w:szCs w:val="28"/>
        </w:rPr>
        <w:t>2</w:t>
      </w:r>
      <w:r>
        <w:rPr>
          <w:rFonts w:hint="eastAsia" w:ascii="宋体" w:hAnsi="宋体" w:eastAsia="宋体" w:cs="宋体"/>
          <w:sz w:val="28"/>
          <w:szCs w:val="28"/>
        </w:rPr>
        <w:t xml:space="preserve">. </w:t>
      </w:r>
      <w:r>
        <w:rPr>
          <w:rFonts w:hint="eastAsia" w:ascii="宋体" w:hAnsi="宋体" w:eastAsia="宋体" w:cs="宋体"/>
          <w:b/>
          <w:sz w:val="28"/>
          <w:szCs w:val="28"/>
        </w:rPr>
        <w:t>评标方法</w:t>
      </w:r>
    </w:p>
    <w:p w14:paraId="3A261280">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本项目评标方法为：综合评分法，即投标文件满足招标文件全部实质性要求，且按照评审因素的量化指标评审得分最高的投标人为中标候选人的评标方法。</w:t>
      </w:r>
    </w:p>
    <w:p w14:paraId="31897882">
      <w:pPr>
        <w:spacing w:line="500" w:lineRule="exact"/>
        <w:ind w:firstLine="562" w:firstLineChars="200"/>
        <w:rPr>
          <w:rFonts w:hint="eastAsia" w:ascii="宋体" w:hAnsi="宋体" w:eastAsia="宋体" w:cs="宋体"/>
          <w:b/>
          <w:sz w:val="28"/>
          <w:szCs w:val="28"/>
        </w:rPr>
      </w:pPr>
      <w:r>
        <w:rPr>
          <w:rFonts w:hint="eastAsia" w:ascii="宋体" w:hAnsi="宋体" w:eastAsia="宋体" w:cs="宋体"/>
          <w:b/>
          <w:bCs/>
          <w:sz w:val="28"/>
          <w:szCs w:val="28"/>
        </w:rPr>
        <w:t>3</w:t>
      </w:r>
      <w:r>
        <w:rPr>
          <w:rFonts w:hint="eastAsia" w:ascii="宋体" w:hAnsi="宋体" w:eastAsia="宋体" w:cs="宋体"/>
          <w:sz w:val="28"/>
          <w:szCs w:val="28"/>
        </w:rPr>
        <w:t xml:space="preserve">. </w:t>
      </w:r>
      <w:r>
        <w:rPr>
          <w:rFonts w:hint="eastAsia" w:ascii="宋体" w:hAnsi="宋体" w:eastAsia="宋体" w:cs="宋体"/>
          <w:b/>
          <w:sz w:val="28"/>
          <w:szCs w:val="28"/>
        </w:rPr>
        <w:t>评标程序</w:t>
      </w:r>
      <w:bookmarkEnd w:id="196"/>
    </w:p>
    <w:p w14:paraId="39EFDF93">
      <w:pPr>
        <w:spacing w:line="500" w:lineRule="exact"/>
        <w:ind w:firstLine="560" w:firstLineChars="200"/>
        <w:rPr>
          <w:rFonts w:hint="eastAsia" w:ascii="宋体" w:hAnsi="宋体" w:eastAsia="宋体" w:cs="宋体"/>
          <w:sz w:val="28"/>
          <w:szCs w:val="28"/>
        </w:rPr>
      </w:pPr>
      <w:bookmarkStart w:id="197" w:name="_Toc217446099"/>
      <w:r>
        <w:rPr>
          <w:rFonts w:hint="eastAsia" w:ascii="宋体" w:hAnsi="宋体" w:eastAsia="宋体" w:cs="宋体"/>
          <w:sz w:val="28"/>
          <w:szCs w:val="28"/>
        </w:rPr>
        <w:t>3.1资格审查</w:t>
      </w:r>
    </w:p>
    <w:p w14:paraId="30F6EEBA">
      <w:pPr>
        <w:keepNext/>
        <w:keepLines/>
        <w:spacing w:line="500" w:lineRule="exact"/>
        <w:jc w:val="center"/>
        <w:rPr>
          <w:rFonts w:hint="eastAsia" w:ascii="宋体" w:hAnsi="宋体" w:eastAsia="宋体" w:cs="宋体"/>
          <w:b/>
          <w:sz w:val="28"/>
          <w:szCs w:val="28"/>
        </w:rPr>
      </w:pPr>
      <w:r>
        <w:rPr>
          <w:rFonts w:hint="eastAsia" w:ascii="宋体" w:hAnsi="宋体" w:eastAsia="宋体" w:cs="宋体"/>
          <w:b/>
          <w:sz w:val="28"/>
          <w:szCs w:val="28"/>
        </w:rPr>
        <w:t>资格审查表</w:t>
      </w:r>
    </w:p>
    <w:tbl>
      <w:tblPr>
        <w:tblStyle w:val="23"/>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2"/>
        <w:gridCol w:w="3650"/>
        <w:gridCol w:w="4519"/>
      </w:tblGrid>
      <w:tr w14:paraId="424F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290" w:type="pct"/>
            <w:vAlign w:val="center"/>
          </w:tcPr>
          <w:p w14:paraId="2EE52276">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序号</w:t>
            </w:r>
          </w:p>
        </w:tc>
        <w:tc>
          <w:tcPr>
            <w:tcW w:w="1879" w:type="pct"/>
            <w:vAlign w:val="center"/>
          </w:tcPr>
          <w:p w14:paraId="092ED0F6">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审查因素</w:t>
            </w:r>
          </w:p>
        </w:tc>
        <w:tc>
          <w:tcPr>
            <w:tcW w:w="2829" w:type="pct"/>
            <w:vAlign w:val="center"/>
          </w:tcPr>
          <w:p w14:paraId="4CC99049">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审查标准</w:t>
            </w:r>
          </w:p>
        </w:tc>
      </w:tr>
      <w:tr w14:paraId="1544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290" w:type="pct"/>
            <w:vAlign w:val="center"/>
          </w:tcPr>
          <w:p w14:paraId="2799307B">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1</w:t>
            </w:r>
          </w:p>
        </w:tc>
        <w:tc>
          <w:tcPr>
            <w:tcW w:w="1879" w:type="pct"/>
            <w:vAlign w:val="center"/>
          </w:tcPr>
          <w:p w14:paraId="5B42DA7C">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sz w:val="28"/>
                <w:szCs w:val="28"/>
              </w:rPr>
            </w:pPr>
            <w:r>
              <w:rPr>
                <w:rFonts w:hint="eastAsia" w:ascii="宋体" w:hAnsi="宋体" w:eastAsia="宋体" w:cs="宋体"/>
                <w:sz w:val="28"/>
                <w:szCs w:val="28"/>
              </w:rPr>
              <w:t>具有独立承担民事责任的能力（投标人满足以下条件之一即可）；</w:t>
            </w:r>
          </w:p>
        </w:tc>
        <w:tc>
          <w:tcPr>
            <w:tcW w:w="2829" w:type="pct"/>
            <w:vAlign w:val="center"/>
          </w:tcPr>
          <w:p w14:paraId="021AFFAB">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sz w:val="28"/>
                <w:szCs w:val="28"/>
              </w:rPr>
            </w:pPr>
            <w:r>
              <w:rPr>
                <w:rFonts w:hint="eastAsia" w:ascii="宋体" w:hAnsi="宋体" w:eastAsia="宋体" w:cs="宋体"/>
                <w:sz w:val="28"/>
                <w:szCs w:val="28"/>
              </w:rPr>
              <w:t>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w:t>
            </w:r>
          </w:p>
        </w:tc>
      </w:tr>
      <w:tr w14:paraId="3F2C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0" w:type="pct"/>
            <w:vAlign w:val="center"/>
          </w:tcPr>
          <w:p w14:paraId="72D830CD">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2</w:t>
            </w:r>
          </w:p>
        </w:tc>
        <w:tc>
          <w:tcPr>
            <w:tcW w:w="1879" w:type="pct"/>
            <w:vAlign w:val="center"/>
          </w:tcPr>
          <w:p w14:paraId="7AD942D1">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sz w:val="28"/>
                <w:szCs w:val="28"/>
              </w:rPr>
            </w:pPr>
            <w:r>
              <w:rPr>
                <w:rFonts w:hint="eastAsia" w:ascii="宋体" w:hAnsi="宋体" w:eastAsia="宋体" w:cs="宋体"/>
                <w:sz w:val="28"/>
                <w:szCs w:val="28"/>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加本次采购活动；</w:t>
            </w:r>
            <w:r>
              <w:rPr>
                <w:rFonts w:hint="eastAsia" w:ascii="宋体" w:hAnsi="宋体" w:eastAsia="宋体" w:cs="宋体"/>
                <w:b/>
                <w:bCs/>
                <w:sz w:val="28"/>
                <w:szCs w:val="28"/>
              </w:rPr>
              <w:t>（投标人须同时满足（1）－（2）项）；</w:t>
            </w:r>
          </w:p>
        </w:tc>
        <w:tc>
          <w:tcPr>
            <w:tcW w:w="2829" w:type="pct"/>
            <w:vAlign w:val="center"/>
          </w:tcPr>
          <w:p w14:paraId="763DAE04">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sz w:val="28"/>
                <w:szCs w:val="28"/>
              </w:rPr>
            </w:pPr>
            <w:r>
              <w:rPr>
                <w:rFonts w:hint="eastAsia" w:ascii="宋体" w:hAnsi="宋体" w:eastAsia="宋体" w:cs="宋体"/>
                <w:sz w:val="28"/>
                <w:szCs w:val="28"/>
              </w:rPr>
              <w:t>（1）①投标人未被列入“信用中国”〈www.creditchina.gov.cn〉网站的“失信被执行人”和“重大税收违法失信主体”及“中国政府采购网”。〈www.ccgp.gov.cn〉网站的“政府采购严重违法失信行为记录名单”。②未被列入新疆税务局失信惩戒企业名单。第①-②项以采购人或采购代理机构在开标现场查询为准,</w:t>
            </w:r>
            <w:r>
              <w:rPr>
                <w:rFonts w:hint="eastAsia" w:ascii="宋体" w:hAnsi="宋体" w:eastAsia="宋体" w:cs="宋体"/>
                <w:b/>
                <w:bCs/>
                <w:sz w:val="28"/>
                <w:szCs w:val="28"/>
              </w:rPr>
              <w:t>非法人企业提供承诺函，格式自拟。</w:t>
            </w:r>
          </w:p>
          <w:p w14:paraId="12C9AF0A">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b/>
                <w:bCs/>
                <w:sz w:val="28"/>
                <w:szCs w:val="28"/>
              </w:rPr>
            </w:pPr>
            <w:r>
              <w:rPr>
                <w:rFonts w:hint="eastAsia" w:ascii="宋体" w:hAnsi="宋体" w:eastAsia="宋体" w:cs="宋体"/>
                <w:b/>
                <w:bCs/>
                <w:sz w:val="28"/>
                <w:szCs w:val="28"/>
              </w:rPr>
              <w:t>③</w:t>
            </w:r>
            <w:r>
              <w:rPr>
                <w:rFonts w:hint="eastAsia" w:ascii="宋体" w:hAnsi="宋体" w:eastAsia="宋体" w:cs="宋体"/>
                <w:sz w:val="28"/>
                <w:szCs w:val="28"/>
              </w:rPr>
              <w:t>近三年采购合同履约过程中及其他经营活动履约过程中因围标串标、偷税漏税、制售假冒伪劣商品等行为被有关行政部门处罚（处理）记录。</w:t>
            </w:r>
            <w:r>
              <w:rPr>
                <w:rFonts w:hint="eastAsia" w:ascii="宋体" w:hAnsi="宋体" w:eastAsia="宋体" w:cs="宋体"/>
                <w:b/>
                <w:bCs/>
                <w:sz w:val="28"/>
                <w:szCs w:val="28"/>
              </w:rPr>
              <w:t>第③项投标人提供承诺函，格式自拟。</w:t>
            </w:r>
          </w:p>
          <w:p w14:paraId="1BD533DF">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sz w:val="28"/>
                <w:szCs w:val="28"/>
              </w:rPr>
            </w:pPr>
            <w:r>
              <w:rPr>
                <w:rFonts w:hint="eastAsia" w:ascii="宋体" w:hAnsi="宋体" w:eastAsia="宋体" w:cs="宋体"/>
                <w:sz w:val="28"/>
                <w:szCs w:val="28"/>
              </w:rPr>
              <w:t>（2）（投标人满足以下条件之一即可）①提供近6个月内</w:t>
            </w:r>
            <w:r>
              <w:rPr>
                <w:rFonts w:hint="eastAsia" w:ascii="宋体" w:hAnsi="宋体" w:eastAsia="宋体" w:cs="宋体"/>
                <w:sz w:val="28"/>
                <w:szCs w:val="28"/>
                <w:lang w:val="en-US" w:eastAsia="zh-CN"/>
              </w:rPr>
              <w:t>任意1个月</w:t>
            </w:r>
            <w:r>
              <w:rPr>
                <w:rFonts w:hint="eastAsia" w:ascii="宋体" w:hAnsi="宋体" w:eastAsia="宋体" w:cs="宋体"/>
                <w:sz w:val="28"/>
                <w:szCs w:val="28"/>
              </w:rPr>
              <w:t>银行出具的资信证明；或②提供2024年度或2025年度经第三方审计的财务审计报告；或③承诺函，格式自拟。</w:t>
            </w:r>
          </w:p>
        </w:tc>
      </w:tr>
      <w:tr w14:paraId="0295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0" w:type="pct"/>
            <w:vAlign w:val="center"/>
          </w:tcPr>
          <w:p w14:paraId="3A9AA9C7">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3</w:t>
            </w:r>
          </w:p>
        </w:tc>
        <w:tc>
          <w:tcPr>
            <w:tcW w:w="1879" w:type="pct"/>
            <w:vAlign w:val="center"/>
          </w:tcPr>
          <w:p w14:paraId="75F5663C">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sz w:val="28"/>
                <w:szCs w:val="28"/>
              </w:rPr>
            </w:pPr>
            <w:r>
              <w:rPr>
                <w:rFonts w:hint="eastAsia" w:ascii="宋体" w:hAnsi="宋体" w:eastAsia="宋体" w:cs="宋体"/>
                <w:sz w:val="28"/>
                <w:szCs w:val="28"/>
              </w:rPr>
              <w:t>具有履行合同所必需的设备和专业技术能力</w:t>
            </w:r>
          </w:p>
        </w:tc>
        <w:tc>
          <w:tcPr>
            <w:tcW w:w="2829" w:type="pct"/>
            <w:vAlign w:val="center"/>
          </w:tcPr>
          <w:p w14:paraId="16ED78C2">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sz w:val="28"/>
                <w:szCs w:val="28"/>
              </w:rPr>
            </w:pPr>
            <w:r>
              <w:rPr>
                <w:rFonts w:hint="eastAsia" w:ascii="宋体" w:hAnsi="宋体" w:eastAsia="宋体" w:cs="宋体"/>
                <w:sz w:val="28"/>
                <w:szCs w:val="28"/>
              </w:rPr>
              <w:t>提供：承诺函，格式自拟。</w:t>
            </w:r>
          </w:p>
        </w:tc>
      </w:tr>
      <w:tr w14:paraId="1F91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0" w:type="pct"/>
            <w:vAlign w:val="center"/>
          </w:tcPr>
          <w:p w14:paraId="332EC1A5">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4</w:t>
            </w:r>
          </w:p>
        </w:tc>
        <w:tc>
          <w:tcPr>
            <w:tcW w:w="1879" w:type="pct"/>
            <w:vAlign w:val="center"/>
          </w:tcPr>
          <w:p w14:paraId="2AAAC186">
            <w:pPr>
              <w:pStyle w:val="9"/>
              <w:keepNext w:val="0"/>
              <w:keepLines w:val="0"/>
              <w:widowControl/>
              <w:suppressLineNumbers w:val="0"/>
              <w:spacing w:before="0" w:beforeAutospacing="0" w:after="0" w:afterAutospacing="0" w:line="500" w:lineRule="exact"/>
              <w:ind w:left="0" w:right="0"/>
              <w:jc w:val="left"/>
              <w:rPr>
                <w:rFonts w:hint="eastAsia" w:ascii="宋体" w:hAnsi="宋体" w:eastAsia="宋体" w:cs="宋体"/>
                <w:sz w:val="28"/>
                <w:szCs w:val="28"/>
              </w:rPr>
            </w:pPr>
            <w:r>
              <w:rPr>
                <w:rFonts w:hint="eastAsia" w:ascii="宋体" w:hAnsi="宋体" w:eastAsia="宋体" w:cs="宋体"/>
                <w:sz w:val="28"/>
                <w:szCs w:val="28"/>
              </w:rPr>
              <w:t>有依法缴纳税收和社会保障资金的良好记录</w:t>
            </w:r>
            <w:r>
              <w:rPr>
                <w:rFonts w:hint="eastAsia" w:ascii="宋体" w:hAnsi="宋体" w:eastAsia="宋体" w:cs="宋体"/>
                <w:b/>
                <w:bCs/>
                <w:sz w:val="28"/>
                <w:szCs w:val="28"/>
              </w:rPr>
              <w:t>（投标人须同时满足（1）－（2）项）</w:t>
            </w:r>
            <w:r>
              <w:rPr>
                <w:rFonts w:hint="eastAsia" w:ascii="宋体" w:hAnsi="宋体" w:eastAsia="宋体" w:cs="宋体"/>
                <w:sz w:val="28"/>
                <w:szCs w:val="28"/>
              </w:rPr>
              <w:t>；</w:t>
            </w:r>
          </w:p>
        </w:tc>
        <w:tc>
          <w:tcPr>
            <w:tcW w:w="2829" w:type="pct"/>
            <w:vAlign w:val="center"/>
          </w:tcPr>
          <w:p w14:paraId="7D38A990">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sz w:val="28"/>
                <w:szCs w:val="28"/>
              </w:rPr>
            </w:pPr>
            <w:r>
              <w:rPr>
                <w:rFonts w:hint="eastAsia" w:ascii="宋体" w:hAnsi="宋体" w:eastAsia="宋体" w:cs="宋体"/>
                <w:sz w:val="28"/>
                <w:szCs w:val="28"/>
              </w:rPr>
              <w:t>提供：（1）近6个月内任意1个月已依法缴纳税收的凭据，自然人提供承诺函，格式自拟；</w:t>
            </w:r>
          </w:p>
          <w:p w14:paraId="3747515E">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sz w:val="28"/>
                <w:szCs w:val="28"/>
              </w:rPr>
            </w:pPr>
            <w:r>
              <w:rPr>
                <w:rFonts w:hint="eastAsia" w:ascii="宋体" w:hAnsi="宋体" w:eastAsia="宋体" w:cs="宋体"/>
                <w:sz w:val="28"/>
                <w:szCs w:val="28"/>
              </w:rPr>
              <w:t>（2）近6个月内任意1个月已依法缴纳社会保险的凭据，依法免税的投标人，应提供相应证明文件，自然人提供承诺函，格式自拟。</w:t>
            </w:r>
          </w:p>
        </w:tc>
      </w:tr>
      <w:tr w14:paraId="58C0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0" w:type="pct"/>
            <w:vAlign w:val="center"/>
          </w:tcPr>
          <w:p w14:paraId="3BBEB765">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5</w:t>
            </w:r>
          </w:p>
        </w:tc>
        <w:tc>
          <w:tcPr>
            <w:tcW w:w="1879" w:type="pct"/>
            <w:vAlign w:val="center"/>
          </w:tcPr>
          <w:p w14:paraId="5CC31763">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sz w:val="28"/>
                <w:szCs w:val="28"/>
              </w:rPr>
            </w:pPr>
            <w:r>
              <w:rPr>
                <w:rFonts w:hint="eastAsia" w:ascii="宋体" w:hAnsi="宋体" w:eastAsia="宋体" w:cs="宋体"/>
                <w:sz w:val="28"/>
                <w:szCs w:val="28"/>
              </w:rPr>
              <w:t>参加采购活动前三年内，在经营活动中没有重大违法记录；</w:t>
            </w:r>
          </w:p>
        </w:tc>
        <w:tc>
          <w:tcPr>
            <w:tcW w:w="2829" w:type="pct"/>
            <w:vAlign w:val="center"/>
          </w:tcPr>
          <w:p w14:paraId="6A8E55C1">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sz w:val="28"/>
                <w:szCs w:val="28"/>
              </w:rPr>
            </w:pPr>
            <w:r>
              <w:rPr>
                <w:rFonts w:hint="eastAsia" w:ascii="宋体" w:hAnsi="宋体" w:eastAsia="宋体" w:cs="宋体"/>
                <w:sz w:val="28"/>
                <w:szCs w:val="28"/>
              </w:rPr>
              <w:t xml:space="preserve">提供：承诺函，格式自拟。 </w:t>
            </w:r>
          </w:p>
        </w:tc>
      </w:tr>
      <w:tr w14:paraId="40A6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 w:hRule="atLeast"/>
          <w:jc w:val="center"/>
        </w:trPr>
        <w:tc>
          <w:tcPr>
            <w:tcW w:w="5000" w:type="pct"/>
            <w:gridSpan w:val="3"/>
            <w:vAlign w:val="center"/>
          </w:tcPr>
          <w:p w14:paraId="3CCC1064">
            <w:pPr>
              <w:pStyle w:val="78"/>
              <w:keepNext w:val="0"/>
              <w:keepLines w:val="0"/>
              <w:suppressLineNumbers w:val="0"/>
              <w:spacing w:before="0" w:beforeAutospacing="0" w:after="0" w:afterAutospacing="0" w:line="500" w:lineRule="exact"/>
              <w:ind w:left="0" w:right="0"/>
              <w:rPr>
                <w:rFonts w:hint="eastAsia" w:ascii="宋体" w:hAnsi="宋体" w:eastAsia="宋体" w:cs="宋体"/>
                <w:sz w:val="28"/>
                <w:szCs w:val="28"/>
              </w:rPr>
            </w:pPr>
            <w:r>
              <w:rPr>
                <w:rFonts w:hint="eastAsia" w:ascii="宋体" w:hAnsi="宋体" w:eastAsia="宋体" w:cs="宋体"/>
                <w:sz w:val="28"/>
                <w:szCs w:val="28"/>
              </w:rPr>
              <w:t>注：如果资格性审查有一项未通过上述审查标准，采购人或采购代理机构将认定整个投标文件不响应招标文件而予以无效处理，并且不允许投标人通过修改或撤销其不符合要求的差异或保留，使之成为具有响应性。</w:t>
            </w:r>
          </w:p>
        </w:tc>
      </w:tr>
    </w:tbl>
    <w:p w14:paraId="1582C5B7">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3.2符合性检查。依据招标文件的规定，从投标文件的有效性、完整性和对招标文件的响应程度进行审查，以确定是否对招标文件的实质性要求作出响应。投标人投标文件属于下列情况之一的，在符合性检查时按照</w:t>
      </w:r>
      <w:r>
        <w:rPr>
          <w:rFonts w:hint="eastAsia" w:ascii="宋体" w:hAnsi="宋体" w:eastAsia="宋体" w:cs="宋体"/>
          <w:b/>
          <w:bCs/>
          <w:sz w:val="28"/>
          <w:szCs w:val="28"/>
        </w:rPr>
        <w:t>投标无效</w:t>
      </w:r>
      <w:r>
        <w:rPr>
          <w:rFonts w:hint="eastAsia" w:ascii="宋体" w:hAnsi="宋体" w:eastAsia="宋体" w:cs="宋体"/>
          <w:sz w:val="28"/>
          <w:szCs w:val="28"/>
        </w:rPr>
        <w:t>处理：</w:t>
      </w:r>
    </w:p>
    <w:p w14:paraId="7F336F86">
      <w:pPr>
        <w:pStyle w:val="10"/>
        <w:tabs>
          <w:tab w:val="left" w:pos="600"/>
        </w:tabs>
        <w:spacing w:line="500" w:lineRule="exact"/>
        <w:ind w:firstLine="560" w:firstLineChars="200"/>
        <w:rPr>
          <w:rFonts w:hint="eastAsia" w:ascii="宋体" w:hAnsi="宋体" w:eastAsia="宋体" w:cs="宋体"/>
          <w:b/>
          <w:bCs/>
          <w:sz w:val="28"/>
          <w:szCs w:val="28"/>
        </w:rPr>
      </w:pPr>
      <w:r>
        <w:rPr>
          <w:rFonts w:hint="eastAsia" w:ascii="宋体" w:hAnsi="宋体" w:eastAsia="宋体" w:cs="宋体"/>
          <w:sz w:val="28"/>
          <w:szCs w:val="28"/>
        </w:rPr>
        <w:t>3.3在投标文件符合性检查过程中，如果出现评标委员会成员意见不一致的情况，按照少数服从多数的原则确定，但不得违背招投标基本原则和招标文件规定。</w:t>
      </w:r>
    </w:p>
    <w:p w14:paraId="6547F5CD">
      <w:pPr>
        <w:jc w:val="center"/>
        <w:rPr>
          <w:rFonts w:hint="eastAsia" w:ascii="宋体" w:hAnsi="宋体" w:eastAsia="宋体" w:cs="宋体"/>
          <w:b/>
          <w:bCs/>
          <w:sz w:val="28"/>
          <w:szCs w:val="28"/>
        </w:rPr>
      </w:pPr>
    </w:p>
    <w:p w14:paraId="520F3284">
      <w:pPr>
        <w:jc w:val="center"/>
        <w:rPr>
          <w:rFonts w:hint="eastAsia" w:ascii="宋体" w:hAnsi="宋体" w:eastAsia="宋体" w:cs="宋体"/>
          <w:b/>
          <w:bCs/>
          <w:sz w:val="28"/>
          <w:szCs w:val="28"/>
        </w:rPr>
      </w:pPr>
      <w:r>
        <w:rPr>
          <w:rFonts w:hint="eastAsia" w:ascii="宋体" w:hAnsi="宋体" w:eastAsia="宋体" w:cs="宋体"/>
          <w:b/>
          <w:bCs/>
          <w:sz w:val="28"/>
          <w:szCs w:val="28"/>
        </w:rPr>
        <w:t>符合性审查表</w:t>
      </w:r>
    </w:p>
    <w:tbl>
      <w:tblPr>
        <w:tblStyle w:val="23"/>
        <w:tblW w:w="8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
        <w:gridCol w:w="5714"/>
        <w:gridCol w:w="638"/>
        <w:gridCol w:w="760"/>
        <w:gridCol w:w="750"/>
        <w:gridCol w:w="10"/>
      </w:tblGrid>
      <w:tr w14:paraId="2D90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584" w:hRule="atLeast"/>
          <w:jc w:val="center"/>
        </w:trPr>
        <w:tc>
          <w:tcPr>
            <w:tcW w:w="451" w:type="dxa"/>
            <w:vMerge w:val="restart"/>
            <w:vAlign w:val="center"/>
          </w:tcPr>
          <w:p w14:paraId="312671CD">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序号</w:t>
            </w:r>
          </w:p>
        </w:tc>
        <w:tc>
          <w:tcPr>
            <w:tcW w:w="5721" w:type="dxa"/>
            <w:vMerge w:val="restart"/>
            <w:vAlign w:val="center"/>
          </w:tcPr>
          <w:p w14:paraId="44EAA5BC">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 xml:space="preserve"> 审  查  标  准</w:t>
            </w:r>
          </w:p>
        </w:tc>
        <w:tc>
          <w:tcPr>
            <w:tcW w:w="2151" w:type="dxa"/>
            <w:gridSpan w:val="3"/>
            <w:vAlign w:val="center"/>
          </w:tcPr>
          <w:p w14:paraId="4F7C7DAA">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投标人名称</w:t>
            </w:r>
          </w:p>
        </w:tc>
      </w:tr>
      <w:tr w14:paraId="46B6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504" w:hRule="atLeast"/>
          <w:jc w:val="center"/>
        </w:trPr>
        <w:tc>
          <w:tcPr>
            <w:tcW w:w="451" w:type="dxa"/>
            <w:vMerge w:val="continue"/>
            <w:vAlign w:val="center"/>
          </w:tcPr>
          <w:p w14:paraId="01C24AA9">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5721" w:type="dxa"/>
            <w:vMerge w:val="continue"/>
            <w:vAlign w:val="center"/>
          </w:tcPr>
          <w:p w14:paraId="1DB46926">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639" w:type="dxa"/>
            <w:vAlign w:val="center"/>
          </w:tcPr>
          <w:p w14:paraId="7C29C70A">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A</w:t>
            </w:r>
          </w:p>
        </w:tc>
        <w:tc>
          <w:tcPr>
            <w:tcW w:w="761" w:type="dxa"/>
            <w:vAlign w:val="center"/>
          </w:tcPr>
          <w:p w14:paraId="417B9BDB">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B</w:t>
            </w:r>
          </w:p>
        </w:tc>
        <w:tc>
          <w:tcPr>
            <w:tcW w:w="751" w:type="dxa"/>
            <w:vAlign w:val="center"/>
          </w:tcPr>
          <w:p w14:paraId="6EFDA048">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C</w:t>
            </w:r>
          </w:p>
        </w:tc>
      </w:tr>
      <w:tr w14:paraId="6F08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454" w:hRule="exact"/>
          <w:jc w:val="center"/>
        </w:trPr>
        <w:tc>
          <w:tcPr>
            <w:tcW w:w="451" w:type="dxa"/>
            <w:vAlign w:val="center"/>
          </w:tcPr>
          <w:p w14:paraId="049A1183">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1</w:t>
            </w:r>
          </w:p>
        </w:tc>
        <w:tc>
          <w:tcPr>
            <w:tcW w:w="5721" w:type="dxa"/>
            <w:vAlign w:val="center"/>
          </w:tcPr>
          <w:p w14:paraId="79BEBCCC">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sz w:val="28"/>
                <w:szCs w:val="28"/>
              </w:rPr>
            </w:pPr>
            <w:r>
              <w:rPr>
                <w:rFonts w:hint="eastAsia" w:ascii="宋体" w:hAnsi="宋体" w:eastAsia="宋体" w:cs="宋体"/>
                <w:sz w:val="28"/>
                <w:szCs w:val="28"/>
              </w:rPr>
              <w:t>按照招标文件规定和要求签署、盖章；</w:t>
            </w:r>
          </w:p>
        </w:tc>
        <w:tc>
          <w:tcPr>
            <w:tcW w:w="639" w:type="dxa"/>
            <w:vAlign w:val="center"/>
          </w:tcPr>
          <w:p w14:paraId="079AA19D">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61" w:type="dxa"/>
            <w:vAlign w:val="center"/>
          </w:tcPr>
          <w:p w14:paraId="3AA7871C">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51" w:type="dxa"/>
            <w:vAlign w:val="center"/>
          </w:tcPr>
          <w:p w14:paraId="40AA96B9">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r>
      <w:tr w14:paraId="6626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1148" w:hRule="exact"/>
          <w:jc w:val="center"/>
        </w:trPr>
        <w:tc>
          <w:tcPr>
            <w:tcW w:w="451" w:type="dxa"/>
            <w:vAlign w:val="center"/>
          </w:tcPr>
          <w:p w14:paraId="0EBEA6B3">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2</w:t>
            </w:r>
          </w:p>
        </w:tc>
        <w:tc>
          <w:tcPr>
            <w:tcW w:w="5721" w:type="dxa"/>
            <w:vAlign w:val="center"/>
          </w:tcPr>
          <w:p w14:paraId="2DE6FF97">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sz w:val="28"/>
                <w:szCs w:val="28"/>
              </w:rPr>
            </w:pPr>
            <w:r>
              <w:rPr>
                <w:rFonts w:hint="eastAsia" w:ascii="宋体" w:hAnsi="宋体" w:eastAsia="宋体" w:cs="宋体"/>
                <w:sz w:val="28"/>
                <w:szCs w:val="28"/>
              </w:rPr>
              <w:t>投标报价未出现可选择性或可调整的报价且未超限价；</w:t>
            </w:r>
          </w:p>
        </w:tc>
        <w:tc>
          <w:tcPr>
            <w:tcW w:w="639" w:type="dxa"/>
            <w:vAlign w:val="center"/>
          </w:tcPr>
          <w:p w14:paraId="72586A74">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61" w:type="dxa"/>
            <w:vAlign w:val="center"/>
          </w:tcPr>
          <w:p w14:paraId="323E239B">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51" w:type="dxa"/>
            <w:vAlign w:val="center"/>
          </w:tcPr>
          <w:p w14:paraId="28DB8A25">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r>
      <w:tr w14:paraId="7BF9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1032" w:hRule="exact"/>
          <w:jc w:val="center"/>
        </w:trPr>
        <w:tc>
          <w:tcPr>
            <w:tcW w:w="451" w:type="dxa"/>
            <w:vAlign w:val="center"/>
          </w:tcPr>
          <w:p w14:paraId="28DFA17C">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3</w:t>
            </w:r>
          </w:p>
        </w:tc>
        <w:tc>
          <w:tcPr>
            <w:tcW w:w="5721" w:type="dxa"/>
            <w:vAlign w:val="center"/>
          </w:tcPr>
          <w:p w14:paraId="4F60F3F1">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sz w:val="28"/>
                <w:szCs w:val="28"/>
              </w:rPr>
            </w:pPr>
            <w:r>
              <w:rPr>
                <w:rFonts w:hint="eastAsia" w:ascii="宋体" w:hAnsi="宋体" w:eastAsia="宋体" w:cs="宋体"/>
                <w:sz w:val="28"/>
                <w:szCs w:val="28"/>
              </w:rPr>
              <w:t>供货期、投标有效期、供货地点、质保期、质量标准符合招标文件规定期限；</w:t>
            </w:r>
          </w:p>
        </w:tc>
        <w:tc>
          <w:tcPr>
            <w:tcW w:w="639" w:type="dxa"/>
            <w:vAlign w:val="center"/>
          </w:tcPr>
          <w:p w14:paraId="41F384AC">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61" w:type="dxa"/>
            <w:vAlign w:val="center"/>
          </w:tcPr>
          <w:p w14:paraId="7CC0757F">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51" w:type="dxa"/>
            <w:vAlign w:val="center"/>
          </w:tcPr>
          <w:p w14:paraId="0FCCEB7E">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r>
      <w:tr w14:paraId="2F31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454" w:hRule="exact"/>
          <w:jc w:val="center"/>
        </w:trPr>
        <w:tc>
          <w:tcPr>
            <w:tcW w:w="451" w:type="dxa"/>
            <w:vAlign w:val="center"/>
          </w:tcPr>
          <w:p w14:paraId="402B6198">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4</w:t>
            </w:r>
          </w:p>
        </w:tc>
        <w:tc>
          <w:tcPr>
            <w:tcW w:w="5721" w:type="dxa"/>
            <w:vAlign w:val="center"/>
          </w:tcPr>
          <w:p w14:paraId="17CAC19E">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sz w:val="28"/>
                <w:szCs w:val="28"/>
              </w:rPr>
            </w:pPr>
            <w:r>
              <w:rPr>
                <w:rFonts w:hint="eastAsia" w:ascii="宋体" w:hAnsi="宋体" w:eastAsia="宋体" w:cs="宋体"/>
                <w:sz w:val="28"/>
                <w:szCs w:val="28"/>
              </w:rPr>
              <w:t>投标文件不得附有采购人不能接受的条件；</w:t>
            </w:r>
          </w:p>
        </w:tc>
        <w:tc>
          <w:tcPr>
            <w:tcW w:w="639" w:type="dxa"/>
            <w:vAlign w:val="center"/>
          </w:tcPr>
          <w:p w14:paraId="4BBE3022">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61" w:type="dxa"/>
            <w:vAlign w:val="center"/>
          </w:tcPr>
          <w:p w14:paraId="7C741B5B">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51" w:type="dxa"/>
            <w:vAlign w:val="center"/>
          </w:tcPr>
          <w:p w14:paraId="5B28EDC1">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p w14:paraId="3EE3F242">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r>
      <w:tr w14:paraId="41BF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1187" w:hRule="exact"/>
          <w:jc w:val="center"/>
        </w:trPr>
        <w:tc>
          <w:tcPr>
            <w:tcW w:w="451" w:type="dxa"/>
            <w:vAlign w:val="center"/>
          </w:tcPr>
          <w:p w14:paraId="4FCD48FA">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5</w:t>
            </w:r>
          </w:p>
        </w:tc>
        <w:tc>
          <w:tcPr>
            <w:tcW w:w="5721" w:type="dxa"/>
            <w:vAlign w:val="center"/>
          </w:tcPr>
          <w:p w14:paraId="77FB9289">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sz w:val="28"/>
                <w:szCs w:val="28"/>
              </w:rPr>
            </w:pPr>
            <w:r>
              <w:rPr>
                <w:rFonts w:hint="eastAsia" w:ascii="宋体" w:hAnsi="宋体" w:eastAsia="宋体" w:cs="宋体"/>
                <w:sz w:val="28"/>
                <w:szCs w:val="28"/>
              </w:rPr>
              <w:t>其它违反相关法律法规规定及招标文件实质性条款情形。</w:t>
            </w:r>
          </w:p>
        </w:tc>
        <w:tc>
          <w:tcPr>
            <w:tcW w:w="639" w:type="dxa"/>
            <w:vAlign w:val="center"/>
          </w:tcPr>
          <w:p w14:paraId="4BA105CC">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61" w:type="dxa"/>
            <w:vAlign w:val="center"/>
          </w:tcPr>
          <w:p w14:paraId="6EF1B550">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51" w:type="dxa"/>
            <w:vAlign w:val="center"/>
          </w:tcPr>
          <w:p w14:paraId="3CA52384">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r>
      <w:tr w14:paraId="6AB0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2591" w:hRule="exact"/>
          <w:jc w:val="center"/>
        </w:trPr>
        <w:tc>
          <w:tcPr>
            <w:tcW w:w="451" w:type="dxa"/>
            <w:vAlign w:val="center"/>
          </w:tcPr>
          <w:p w14:paraId="6C296782">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6</w:t>
            </w:r>
          </w:p>
        </w:tc>
        <w:tc>
          <w:tcPr>
            <w:tcW w:w="5721" w:type="dxa"/>
            <w:vAlign w:val="center"/>
          </w:tcPr>
          <w:p w14:paraId="473FE248">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sz w:val="28"/>
                <w:szCs w:val="28"/>
              </w:rPr>
            </w:pPr>
            <w:r>
              <w:rPr>
                <w:rFonts w:hint="eastAsia" w:ascii="宋体" w:hAnsi="宋体" w:eastAsia="宋体" w:cs="宋体"/>
                <w:sz w:val="28"/>
                <w:szCs w:val="28"/>
              </w:rPr>
              <w:t>第四章 项目采购需求“四、详细技术参数”中标“</w:t>
            </w:r>
            <w:bookmarkStart w:id="198" w:name="OLE_LINK8"/>
            <w:r>
              <w:rPr>
                <w:rFonts w:hint="eastAsia" w:ascii="宋体" w:hAnsi="宋体" w:eastAsia="宋体" w:cs="宋体"/>
                <w:sz w:val="28"/>
                <w:szCs w:val="28"/>
                <w:highlight w:val="cyan"/>
              </w:rPr>
              <w:t>★</w:t>
            </w:r>
            <w:bookmarkEnd w:id="198"/>
            <w:r>
              <w:rPr>
                <w:rFonts w:hint="eastAsia" w:ascii="宋体" w:hAnsi="宋体" w:eastAsia="宋体" w:cs="宋体"/>
                <w:sz w:val="28"/>
                <w:szCs w:val="28"/>
              </w:rPr>
              <w:t>”号参数为实质性条款，无负偏离且提供相关证明材料（有要求的按要求提供材料，未要求的自行提供满足参数的证明材料），否则投标无效。</w:t>
            </w:r>
          </w:p>
        </w:tc>
        <w:tc>
          <w:tcPr>
            <w:tcW w:w="639" w:type="dxa"/>
            <w:vAlign w:val="center"/>
          </w:tcPr>
          <w:p w14:paraId="2E20ADC8">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61" w:type="dxa"/>
            <w:vAlign w:val="center"/>
          </w:tcPr>
          <w:p w14:paraId="553FEAB6">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51" w:type="dxa"/>
            <w:vAlign w:val="center"/>
          </w:tcPr>
          <w:p w14:paraId="484371A4">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r>
      <w:tr w14:paraId="0542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921" w:hRule="exact"/>
          <w:jc w:val="center"/>
        </w:trPr>
        <w:tc>
          <w:tcPr>
            <w:tcW w:w="451" w:type="dxa"/>
            <w:vAlign w:val="center"/>
          </w:tcPr>
          <w:p w14:paraId="00016263">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7</w:t>
            </w:r>
          </w:p>
        </w:tc>
        <w:tc>
          <w:tcPr>
            <w:tcW w:w="5721" w:type="dxa"/>
            <w:vAlign w:val="center"/>
          </w:tcPr>
          <w:p w14:paraId="500DB088">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sz w:val="28"/>
                <w:szCs w:val="28"/>
              </w:rPr>
            </w:pPr>
            <w:r>
              <w:rPr>
                <w:rFonts w:hint="eastAsia" w:ascii="宋体" w:hAnsi="宋体" w:eastAsia="宋体" w:cs="宋体"/>
                <w:sz w:val="28"/>
                <w:szCs w:val="28"/>
              </w:rPr>
              <w:t>投标人所投产品非进口产品。</w:t>
            </w:r>
          </w:p>
        </w:tc>
        <w:tc>
          <w:tcPr>
            <w:tcW w:w="639" w:type="dxa"/>
            <w:vAlign w:val="center"/>
          </w:tcPr>
          <w:p w14:paraId="381AB5E1">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61" w:type="dxa"/>
            <w:vAlign w:val="center"/>
          </w:tcPr>
          <w:p w14:paraId="49D42E4A">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51" w:type="dxa"/>
            <w:vAlign w:val="center"/>
          </w:tcPr>
          <w:p w14:paraId="3DFE0E28">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r>
      <w:tr w14:paraId="0DCB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exact"/>
          <w:jc w:val="center"/>
        </w:trPr>
        <w:tc>
          <w:tcPr>
            <w:tcW w:w="451" w:type="dxa"/>
            <w:vAlign w:val="center"/>
          </w:tcPr>
          <w:p w14:paraId="44931B3B">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8</w:t>
            </w:r>
          </w:p>
        </w:tc>
        <w:tc>
          <w:tcPr>
            <w:tcW w:w="5721" w:type="dxa"/>
            <w:vAlign w:val="center"/>
          </w:tcPr>
          <w:p w14:paraId="60975908">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核心产品中，代</w:t>
            </w:r>
            <w:r>
              <w:rPr>
                <w:rFonts w:hint="eastAsia" w:ascii="宋体" w:hAnsi="宋体" w:eastAsia="宋体" w:cs="宋体"/>
                <w:sz w:val="28"/>
                <w:szCs w:val="28"/>
                <w:highlight w:val="cyan"/>
              </w:rPr>
              <w:t>★</w:t>
            </w:r>
            <w:r>
              <w:rPr>
                <w:rFonts w:hint="eastAsia" w:ascii="宋体" w:hAnsi="宋体" w:eastAsia="宋体" w:cs="宋体"/>
                <w:color w:val="000000"/>
                <w:sz w:val="28"/>
                <w:szCs w:val="28"/>
              </w:rPr>
              <w:t>项参数未负偏离。</w:t>
            </w:r>
          </w:p>
        </w:tc>
        <w:tc>
          <w:tcPr>
            <w:tcW w:w="639" w:type="dxa"/>
            <w:vAlign w:val="center"/>
          </w:tcPr>
          <w:p w14:paraId="1E7F2887">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trike/>
                <w:color w:val="FF0000"/>
                <w:sz w:val="28"/>
                <w:szCs w:val="28"/>
              </w:rPr>
            </w:pPr>
          </w:p>
        </w:tc>
        <w:tc>
          <w:tcPr>
            <w:tcW w:w="761" w:type="dxa"/>
            <w:vAlign w:val="center"/>
          </w:tcPr>
          <w:p w14:paraId="6F673159">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trike/>
                <w:color w:val="FF0000"/>
                <w:sz w:val="28"/>
                <w:szCs w:val="28"/>
              </w:rPr>
            </w:pPr>
          </w:p>
        </w:tc>
        <w:tc>
          <w:tcPr>
            <w:tcW w:w="751" w:type="dxa"/>
            <w:gridSpan w:val="2"/>
            <w:vAlign w:val="center"/>
          </w:tcPr>
          <w:p w14:paraId="038B3C68">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trike/>
                <w:color w:val="FF0000"/>
                <w:sz w:val="28"/>
                <w:szCs w:val="28"/>
              </w:rPr>
            </w:pPr>
          </w:p>
        </w:tc>
      </w:tr>
      <w:tr w14:paraId="3ACC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921" w:hRule="exact"/>
          <w:jc w:val="center"/>
        </w:trPr>
        <w:tc>
          <w:tcPr>
            <w:tcW w:w="451" w:type="dxa"/>
            <w:vAlign w:val="center"/>
          </w:tcPr>
          <w:p w14:paraId="35B191EA">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9</w:t>
            </w:r>
          </w:p>
        </w:tc>
        <w:tc>
          <w:tcPr>
            <w:tcW w:w="5721" w:type="dxa"/>
            <w:vAlign w:val="center"/>
          </w:tcPr>
          <w:p w14:paraId="4D21F7AF">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sz w:val="28"/>
                <w:szCs w:val="28"/>
              </w:rPr>
            </w:pPr>
            <w:r>
              <w:rPr>
                <w:rFonts w:hint="eastAsia" w:ascii="宋体" w:hAnsi="宋体" w:eastAsia="宋体" w:cs="宋体"/>
                <w:sz w:val="28"/>
                <w:szCs w:val="28"/>
              </w:rPr>
              <w:t>按招标文件格式提供授权人身份证明书或授权委托书。</w:t>
            </w:r>
          </w:p>
        </w:tc>
        <w:tc>
          <w:tcPr>
            <w:tcW w:w="639" w:type="dxa"/>
            <w:vAlign w:val="center"/>
          </w:tcPr>
          <w:p w14:paraId="01F2BBBD">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61" w:type="dxa"/>
            <w:vAlign w:val="center"/>
          </w:tcPr>
          <w:p w14:paraId="5BEC44D0">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51" w:type="dxa"/>
            <w:vAlign w:val="center"/>
          </w:tcPr>
          <w:p w14:paraId="5CC29500">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r>
      <w:tr w14:paraId="7E48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454" w:hRule="exact"/>
          <w:jc w:val="center"/>
        </w:trPr>
        <w:tc>
          <w:tcPr>
            <w:tcW w:w="6172" w:type="dxa"/>
            <w:gridSpan w:val="2"/>
            <w:vAlign w:val="center"/>
          </w:tcPr>
          <w:p w14:paraId="2BF16AE1">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审查结果（通过√/不通过×）</w:t>
            </w:r>
          </w:p>
        </w:tc>
        <w:tc>
          <w:tcPr>
            <w:tcW w:w="639" w:type="dxa"/>
            <w:vAlign w:val="center"/>
          </w:tcPr>
          <w:p w14:paraId="097D84AE">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61" w:type="dxa"/>
            <w:vAlign w:val="center"/>
          </w:tcPr>
          <w:p w14:paraId="107D3EDB">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c>
          <w:tcPr>
            <w:tcW w:w="751" w:type="dxa"/>
            <w:vAlign w:val="center"/>
          </w:tcPr>
          <w:p w14:paraId="27606D14">
            <w:pPr>
              <w:pStyle w:val="78"/>
              <w:keepNext w:val="0"/>
              <w:keepLines w:val="0"/>
              <w:suppressLineNumbers w:val="0"/>
              <w:spacing w:before="0" w:beforeAutospacing="0" w:after="0" w:afterAutospacing="0" w:line="500" w:lineRule="exact"/>
              <w:ind w:left="0" w:right="0"/>
              <w:jc w:val="center"/>
              <w:textAlignment w:val="center"/>
              <w:rPr>
                <w:rFonts w:hint="eastAsia" w:ascii="宋体" w:hAnsi="宋体" w:eastAsia="宋体" w:cs="宋体"/>
                <w:sz w:val="28"/>
                <w:szCs w:val="28"/>
              </w:rPr>
            </w:pPr>
          </w:p>
        </w:tc>
      </w:tr>
      <w:tr w14:paraId="70A1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2136" w:hRule="exact"/>
          <w:jc w:val="center"/>
        </w:trPr>
        <w:tc>
          <w:tcPr>
            <w:tcW w:w="8323" w:type="dxa"/>
            <w:gridSpan w:val="5"/>
            <w:vAlign w:val="center"/>
          </w:tcPr>
          <w:p w14:paraId="346CA55B">
            <w:pPr>
              <w:pStyle w:val="78"/>
              <w:keepNext w:val="0"/>
              <w:keepLines w:val="0"/>
              <w:suppressLineNumbers w:val="0"/>
              <w:spacing w:before="0" w:beforeAutospacing="0" w:after="0" w:afterAutospacing="0" w:line="500" w:lineRule="exact"/>
              <w:ind w:left="0" w:right="0"/>
              <w:textAlignment w:val="center"/>
              <w:rPr>
                <w:rFonts w:hint="eastAsia" w:ascii="宋体" w:hAnsi="宋体" w:eastAsia="宋体" w:cs="宋体"/>
                <w:sz w:val="28"/>
                <w:szCs w:val="28"/>
              </w:rPr>
            </w:pPr>
            <w:r>
              <w:rPr>
                <w:rFonts w:hint="eastAsia" w:ascii="宋体" w:hAnsi="宋体" w:eastAsia="宋体" w:cs="宋体"/>
                <w:sz w:val="28"/>
                <w:szCs w:val="28"/>
              </w:rPr>
              <w:t>备注：如果投标文件中有一项未通过上述审查标准，</w:t>
            </w:r>
            <w:r>
              <w:rPr>
                <w:rFonts w:hint="eastAsia" w:ascii="宋体" w:hAnsi="宋体" w:cs="宋体"/>
                <w:sz w:val="28"/>
                <w:szCs w:val="28"/>
                <w:lang w:val="en-US" w:eastAsia="zh-CN"/>
              </w:rPr>
              <w:t>评标委员会</w:t>
            </w:r>
            <w:r>
              <w:rPr>
                <w:rFonts w:hint="eastAsia" w:ascii="宋体" w:hAnsi="宋体" w:eastAsia="宋体" w:cs="宋体"/>
                <w:sz w:val="28"/>
                <w:szCs w:val="28"/>
              </w:rPr>
              <w:t>将认定整个投标文件不响应招标文件而予以无效处理，并且不允许投标人通过修改或撤销其不符合要求的差异或保留，使之成为具有响应性的投标。</w:t>
            </w:r>
          </w:p>
        </w:tc>
      </w:tr>
    </w:tbl>
    <w:p w14:paraId="305587D6">
      <w:pPr>
        <w:spacing w:line="500" w:lineRule="exact"/>
        <w:ind w:firstLine="560" w:firstLineChars="200"/>
        <w:rPr>
          <w:rFonts w:hint="eastAsia" w:ascii="宋体" w:hAnsi="宋体" w:eastAsia="宋体" w:cs="宋体"/>
          <w:sz w:val="28"/>
          <w:szCs w:val="28"/>
        </w:rPr>
      </w:pPr>
      <w:bookmarkStart w:id="199" w:name="_Toc217446103"/>
      <w:r>
        <w:rPr>
          <w:rFonts w:hint="eastAsia" w:ascii="宋体" w:hAnsi="宋体" w:eastAsia="宋体" w:cs="宋体"/>
          <w:sz w:val="28"/>
          <w:szCs w:val="28"/>
        </w:rPr>
        <w:t>4. 评标细则及标准</w:t>
      </w:r>
      <w:bookmarkEnd w:id="199"/>
    </w:p>
    <w:p w14:paraId="5D0EA8C6">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 评委会只对通过符合性检查的投标文件，根据招标文件的要求采用相同的评标程序、评审办法及标准进行评价和比较。评委会成员应依据投标文件规定的评审标准和方法独立对其他因素进行比较评审。</w:t>
      </w:r>
    </w:p>
    <w:p w14:paraId="262C7177">
      <w:pPr>
        <w:pStyle w:val="10"/>
        <w:tabs>
          <w:tab w:val="left" w:pos="600"/>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4.2综合评分明细表</w:t>
      </w:r>
    </w:p>
    <w:p w14:paraId="6D3A9931">
      <w:pPr>
        <w:pStyle w:val="10"/>
        <w:tabs>
          <w:tab w:val="left" w:pos="600"/>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4.2.1综合评分明细表的制定以科学合理、降低评标委员会自由裁量权为原则。</w:t>
      </w:r>
    </w:p>
    <w:p w14:paraId="6C31BA70">
      <w:pPr>
        <w:pStyle w:val="10"/>
        <w:tabs>
          <w:tab w:val="left" w:pos="600"/>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4.2.2评标委员会将按照下述评审标准对通过符合性检查的投标文件进行详细评标，投标人评标得分等于所有评委评审的算术平均值，结果保留两位小数。</w:t>
      </w:r>
    </w:p>
    <w:p w14:paraId="2D854566">
      <w:pPr>
        <w:pStyle w:val="10"/>
        <w:tabs>
          <w:tab w:val="left" w:pos="600"/>
        </w:tabs>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4.4.3投标人总分结果保留两位小数。</w:t>
      </w:r>
    </w:p>
    <w:p w14:paraId="7D313CFB">
      <w:pP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评审因素权重表</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2181"/>
        <w:gridCol w:w="2181"/>
        <w:gridCol w:w="2625"/>
      </w:tblGrid>
      <w:tr w14:paraId="7610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14:paraId="0AE22EF3">
            <w:pPr>
              <w:keepNext w:val="0"/>
              <w:keepLines w:val="0"/>
              <w:suppressLineNumbers w:val="0"/>
              <w:autoSpaceDE w:val="0"/>
              <w:autoSpaceDN w:val="0"/>
              <w:adjustRightInd w:val="0"/>
              <w:spacing w:before="0" w:beforeAutospacing="0" w:after="0" w:afterAutospacing="0" w:line="500" w:lineRule="exact"/>
              <w:ind w:left="0" w:right="0"/>
              <w:jc w:val="center"/>
              <w:rPr>
                <w:rFonts w:hint="eastAsia" w:ascii="宋体" w:hAnsi="宋体" w:eastAsia="宋体" w:cs="宋体"/>
                <w:spacing w:val="6"/>
                <w:sz w:val="28"/>
                <w:szCs w:val="28"/>
              </w:rPr>
            </w:pPr>
            <w:r>
              <w:rPr>
                <w:rFonts w:hint="eastAsia" w:ascii="宋体" w:hAnsi="宋体" w:eastAsia="宋体" w:cs="宋体"/>
                <w:spacing w:val="6"/>
                <w:sz w:val="28"/>
                <w:szCs w:val="28"/>
              </w:rPr>
              <w:t>序号</w:t>
            </w:r>
          </w:p>
        </w:tc>
        <w:tc>
          <w:tcPr>
            <w:tcW w:w="1275" w:type="pct"/>
            <w:tcBorders>
              <w:top w:val="single" w:color="auto" w:sz="4" w:space="0"/>
              <w:left w:val="single" w:color="auto" w:sz="4" w:space="0"/>
              <w:bottom w:val="single" w:color="auto" w:sz="4" w:space="0"/>
              <w:right w:val="single" w:color="auto" w:sz="4" w:space="0"/>
            </w:tcBorders>
            <w:vAlign w:val="center"/>
          </w:tcPr>
          <w:p w14:paraId="509F18EC">
            <w:pPr>
              <w:keepNext w:val="0"/>
              <w:keepLines w:val="0"/>
              <w:suppressLineNumbers w:val="0"/>
              <w:autoSpaceDE w:val="0"/>
              <w:autoSpaceDN w:val="0"/>
              <w:adjustRightInd w:val="0"/>
              <w:spacing w:before="0" w:beforeAutospacing="0" w:after="0" w:afterAutospacing="0" w:line="500" w:lineRule="exact"/>
              <w:ind w:left="0" w:right="0"/>
              <w:jc w:val="center"/>
              <w:rPr>
                <w:rFonts w:hint="eastAsia" w:ascii="宋体" w:hAnsi="宋体" w:eastAsia="宋体" w:cs="宋体"/>
                <w:spacing w:val="6"/>
                <w:sz w:val="28"/>
                <w:szCs w:val="28"/>
              </w:rPr>
            </w:pPr>
            <w:r>
              <w:rPr>
                <w:rFonts w:hint="eastAsia" w:ascii="宋体" w:hAnsi="宋体" w:eastAsia="宋体" w:cs="宋体"/>
                <w:spacing w:val="6"/>
                <w:sz w:val="28"/>
                <w:szCs w:val="28"/>
              </w:rPr>
              <w:t>1</w:t>
            </w:r>
          </w:p>
        </w:tc>
        <w:tc>
          <w:tcPr>
            <w:tcW w:w="1275" w:type="pct"/>
            <w:tcBorders>
              <w:top w:val="single" w:color="auto" w:sz="4" w:space="0"/>
              <w:left w:val="single" w:color="auto" w:sz="4" w:space="0"/>
              <w:bottom w:val="single" w:color="auto" w:sz="4" w:space="0"/>
              <w:right w:val="single" w:color="auto" w:sz="4" w:space="0"/>
            </w:tcBorders>
            <w:vAlign w:val="center"/>
          </w:tcPr>
          <w:p w14:paraId="0F2421FF">
            <w:pPr>
              <w:keepNext w:val="0"/>
              <w:keepLines w:val="0"/>
              <w:suppressLineNumbers w:val="0"/>
              <w:autoSpaceDE w:val="0"/>
              <w:autoSpaceDN w:val="0"/>
              <w:adjustRightInd w:val="0"/>
              <w:spacing w:before="0" w:beforeAutospacing="0" w:after="0" w:afterAutospacing="0" w:line="500" w:lineRule="exact"/>
              <w:ind w:left="0" w:right="0"/>
              <w:jc w:val="center"/>
              <w:rPr>
                <w:rFonts w:hint="eastAsia" w:ascii="宋体" w:hAnsi="宋体" w:eastAsia="宋体" w:cs="宋体"/>
                <w:spacing w:val="6"/>
                <w:sz w:val="28"/>
                <w:szCs w:val="28"/>
              </w:rPr>
            </w:pPr>
            <w:r>
              <w:rPr>
                <w:rFonts w:hint="eastAsia" w:ascii="宋体" w:hAnsi="宋体" w:eastAsia="宋体" w:cs="宋体"/>
                <w:spacing w:val="6"/>
                <w:sz w:val="28"/>
                <w:szCs w:val="28"/>
              </w:rPr>
              <w:t>2</w:t>
            </w:r>
          </w:p>
        </w:tc>
        <w:tc>
          <w:tcPr>
            <w:tcW w:w="1535" w:type="pct"/>
            <w:tcBorders>
              <w:top w:val="single" w:color="auto" w:sz="4" w:space="0"/>
              <w:left w:val="single" w:color="auto" w:sz="4" w:space="0"/>
              <w:bottom w:val="single" w:color="auto" w:sz="4" w:space="0"/>
              <w:right w:val="single" w:color="auto" w:sz="4" w:space="0"/>
            </w:tcBorders>
            <w:vAlign w:val="center"/>
          </w:tcPr>
          <w:p w14:paraId="7A4689CC">
            <w:pPr>
              <w:keepNext w:val="0"/>
              <w:keepLines w:val="0"/>
              <w:suppressLineNumbers w:val="0"/>
              <w:autoSpaceDE w:val="0"/>
              <w:autoSpaceDN w:val="0"/>
              <w:adjustRightInd w:val="0"/>
              <w:spacing w:before="0" w:beforeAutospacing="0" w:after="0" w:afterAutospacing="0" w:line="500" w:lineRule="exact"/>
              <w:ind w:left="0" w:right="0"/>
              <w:jc w:val="center"/>
              <w:rPr>
                <w:rFonts w:hint="eastAsia" w:ascii="宋体" w:hAnsi="宋体" w:eastAsia="宋体" w:cs="宋体"/>
                <w:spacing w:val="6"/>
                <w:sz w:val="28"/>
                <w:szCs w:val="28"/>
              </w:rPr>
            </w:pPr>
            <w:r>
              <w:rPr>
                <w:rFonts w:hint="eastAsia" w:ascii="宋体" w:hAnsi="宋体" w:eastAsia="宋体" w:cs="宋体"/>
                <w:spacing w:val="6"/>
                <w:sz w:val="28"/>
                <w:szCs w:val="28"/>
              </w:rPr>
              <w:t>3</w:t>
            </w:r>
          </w:p>
        </w:tc>
      </w:tr>
      <w:tr w14:paraId="6685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14:paraId="0202F476">
            <w:pPr>
              <w:keepNext w:val="0"/>
              <w:keepLines w:val="0"/>
              <w:suppressLineNumbers w:val="0"/>
              <w:autoSpaceDE w:val="0"/>
              <w:autoSpaceDN w:val="0"/>
              <w:adjustRightInd w:val="0"/>
              <w:spacing w:before="0" w:beforeAutospacing="0" w:after="0" w:afterAutospacing="0" w:line="500" w:lineRule="exact"/>
              <w:ind w:left="0" w:right="0"/>
              <w:jc w:val="center"/>
              <w:rPr>
                <w:rFonts w:hint="eastAsia" w:ascii="宋体" w:hAnsi="宋体" w:eastAsia="宋体" w:cs="宋体"/>
                <w:spacing w:val="6"/>
                <w:sz w:val="28"/>
                <w:szCs w:val="28"/>
              </w:rPr>
            </w:pPr>
            <w:r>
              <w:rPr>
                <w:rFonts w:hint="eastAsia" w:ascii="宋体" w:hAnsi="宋体" w:eastAsia="宋体" w:cs="宋体"/>
                <w:spacing w:val="6"/>
                <w:sz w:val="28"/>
                <w:szCs w:val="28"/>
              </w:rPr>
              <w:t>评审因素</w:t>
            </w:r>
          </w:p>
        </w:tc>
        <w:tc>
          <w:tcPr>
            <w:tcW w:w="1275" w:type="pct"/>
            <w:tcBorders>
              <w:top w:val="single" w:color="auto" w:sz="4" w:space="0"/>
              <w:left w:val="single" w:color="auto" w:sz="4" w:space="0"/>
              <w:bottom w:val="single" w:color="auto" w:sz="4" w:space="0"/>
              <w:right w:val="single" w:color="auto" w:sz="4" w:space="0"/>
            </w:tcBorders>
            <w:vAlign w:val="center"/>
          </w:tcPr>
          <w:p w14:paraId="4C49F3CF">
            <w:pPr>
              <w:keepNext w:val="0"/>
              <w:keepLines w:val="0"/>
              <w:suppressLineNumbers w:val="0"/>
              <w:autoSpaceDE w:val="0"/>
              <w:autoSpaceDN w:val="0"/>
              <w:adjustRightInd w:val="0"/>
              <w:spacing w:before="0" w:beforeAutospacing="0" w:after="0" w:afterAutospacing="0" w:line="500" w:lineRule="exact"/>
              <w:ind w:left="0" w:right="0"/>
              <w:jc w:val="center"/>
              <w:rPr>
                <w:rFonts w:hint="eastAsia" w:ascii="宋体" w:hAnsi="宋体" w:eastAsia="宋体" w:cs="宋体"/>
                <w:spacing w:val="6"/>
                <w:sz w:val="28"/>
                <w:szCs w:val="28"/>
              </w:rPr>
            </w:pPr>
            <w:r>
              <w:rPr>
                <w:rFonts w:hint="eastAsia" w:ascii="宋体" w:hAnsi="宋体" w:eastAsia="宋体" w:cs="宋体"/>
                <w:spacing w:val="6"/>
                <w:sz w:val="28"/>
                <w:szCs w:val="28"/>
              </w:rPr>
              <w:t>经济部分</w:t>
            </w:r>
          </w:p>
        </w:tc>
        <w:tc>
          <w:tcPr>
            <w:tcW w:w="1275" w:type="pct"/>
            <w:tcBorders>
              <w:top w:val="single" w:color="auto" w:sz="4" w:space="0"/>
              <w:left w:val="single" w:color="auto" w:sz="4" w:space="0"/>
              <w:bottom w:val="single" w:color="auto" w:sz="4" w:space="0"/>
              <w:right w:val="single" w:color="auto" w:sz="4" w:space="0"/>
            </w:tcBorders>
            <w:vAlign w:val="center"/>
          </w:tcPr>
          <w:p w14:paraId="2AF4A93B">
            <w:pPr>
              <w:keepNext w:val="0"/>
              <w:keepLines w:val="0"/>
              <w:suppressLineNumbers w:val="0"/>
              <w:autoSpaceDE w:val="0"/>
              <w:autoSpaceDN w:val="0"/>
              <w:adjustRightInd w:val="0"/>
              <w:spacing w:before="0" w:beforeAutospacing="0" w:after="0" w:afterAutospacing="0" w:line="500" w:lineRule="exact"/>
              <w:ind w:left="0" w:right="0"/>
              <w:jc w:val="center"/>
              <w:rPr>
                <w:rFonts w:hint="eastAsia" w:ascii="宋体" w:hAnsi="宋体" w:eastAsia="宋体" w:cs="宋体"/>
                <w:spacing w:val="6"/>
                <w:sz w:val="28"/>
                <w:szCs w:val="28"/>
              </w:rPr>
            </w:pPr>
            <w:r>
              <w:rPr>
                <w:rFonts w:hint="eastAsia" w:ascii="宋体" w:hAnsi="宋体" w:eastAsia="宋体" w:cs="宋体"/>
                <w:spacing w:val="6"/>
                <w:sz w:val="28"/>
                <w:szCs w:val="28"/>
              </w:rPr>
              <w:t>商务技术部分</w:t>
            </w:r>
          </w:p>
        </w:tc>
        <w:tc>
          <w:tcPr>
            <w:tcW w:w="1535" w:type="pct"/>
            <w:tcBorders>
              <w:top w:val="single" w:color="auto" w:sz="4" w:space="0"/>
              <w:left w:val="single" w:color="auto" w:sz="4" w:space="0"/>
              <w:bottom w:val="single" w:color="auto" w:sz="4" w:space="0"/>
              <w:right w:val="single" w:color="auto" w:sz="4" w:space="0"/>
            </w:tcBorders>
            <w:vAlign w:val="center"/>
          </w:tcPr>
          <w:p w14:paraId="43C29A1E">
            <w:pPr>
              <w:keepNext w:val="0"/>
              <w:keepLines w:val="0"/>
              <w:suppressLineNumbers w:val="0"/>
              <w:autoSpaceDE w:val="0"/>
              <w:autoSpaceDN w:val="0"/>
              <w:adjustRightInd w:val="0"/>
              <w:spacing w:before="0" w:beforeAutospacing="0" w:after="0" w:afterAutospacing="0" w:line="500" w:lineRule="exact"/>
              <w:ind w:left="0" w:right="0"/>
              <w:jc w:val="center"/>
              <w:rPr>
                <w:rFonts w:hint="eastAsia" w:ascii="宋体" w:hAnsi="宋体" w:eastAsia="宋体" w:cs="宋体"/>
                <w:spacing w:val="6"/>
                <w:sz w:val="28"/>
                <w:szCs w:val="28"/>
              </w:rPr>
            </w:pPr>
            <w:r>
              <w:rPr>
                <w:rFonts w:hint="eastAsia" w:ascii="宋体" w:hAnsi="宋体" w:eastAsia="宋体" w:cs="宋体"/>
                <w:spacing w:val="6"/>
                <w:sz w:val="28"/>
                <w:szCs w:val="28"/>
              </w:rPr>
              <w:t>合计</w:t>
            </w:r>
          </w:p>
        </w:tc>
      </w:tr>
      <w:tr w14:paraId="763B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14:paraId="2809DED4">
            <w:pPr>
              <w:keepNext w:val="0"/>
              <w:keepLines w:val="0"/>
              <w:suppressLineNumbers w:val="0"/>
              <w:autoSpaceDE w:val="0"/>
              <w:autoSpaceDN w:val="0"/>
              <w:adjustRightInd w:val="0"/>
              <w:spacing w:before="0" w:beforeAutospacing="0" w:after="0" w:afterAutospacing="0" w:line="500" w:lineRule="exact"/>
              <w:ind w:left="0" w:right="0"/>
              <w:jc w:val="center"/>
              <w:rPr>
                <w:rFonts w:hint="eastAsia" w:ascii="宋体" w:hAnsi="宋体" w:eastAsia="宋体" w:cs="宋体"/>
                <w:spacing w:val="6"/>
                <w:sz w:val="28"/>
                <w:szCs w:val="28"/>
              </w:rPr>
            </w:pPr>
            <w:r>
              <w:rPr>
                <w:rFonts w:hint="eastAsia" w:ascii="宋体" w:hAnsi="宋体" w:eastAsia="宋体" w:cs="宋体"/>
                <w:spacing w:val="6"/>
                <w:sz w:val="28"/>
                <w:szCs w:val="28"/>
              </w:rPr>
              <w:t>权重</w:t>
            </w:r>
          </w:p>
        </w:tc>
        <w:tc>
          <w:tcPr>
            <w:tcW w:w="1275" w:type="pct"/>
            <w:tcBorders>
              <w:top w:val="single" w:color="auto" w:sz="4" w:space="0"/>
              <w:left w:val="single" w:color="auto" w:sz="4" w:space="0"/>
              <w:bottom w:val="single" w:color="auto" w:sz="4" w:space="0"/>
              <w:right w:val="single" w:color="auto" w:sz="4" w:space="0"/>
            </w:tcBorders>
            <w:vAlign w:val="center"/>
          </w:tcPr>
          <w:p w14:paraId="688BD423">
            <w:pPr>
              <w:keepNext w:val="0"/>
              <w:keepLines w:val="0"/>
              <w:suppressLineNumbers w:val="0"/>
              <w:autoSpaceDE w:val="0"/>
              <w:autoSpaceDN w:val="0"/>
              <w:adjustRightInd w:val="0"/>
              <w:spacing w:before="0" w:beforeAutospacing="0" w:after="0" w:afterAutospacing="0" w:line="500" w:lineRule="exact"/>
              <w:ind w:left="0" w:right="0"/>
              <w:jc w:val="center"/>
              <w:rPr>
                <w:rFonts w:hint="eastAsia" w:ascii="宋体" w:hAnsi="宋体" w:eastAsia="宋体" w:cs="宋体"/>
                <w:spacing w:val="6"/>
                <w:sz w:val="28"/>
                <w:szCs w:val="28"/>
              </w:rPr>
            </w:pPr>
            <w:r>
              <w:rPr>
                <w:rFonts w:hint="eastAsia" w:ascii="宋体" w:hAnsi="宋体" w:eastAsia="宋体" w:cs="宋体"/>
                <w:spacing w:val="6"/>
                <w:sz w:val="28"/>
                <w:szCs w:val="28"/>
              </w:rPr>
              <w:t>30%</w:t>
            </w:r>
          </w:p>
        </w:tc>
        <w:tc>
          <w:tcPr>
            <w:tcW w:w="1275" w:type="pct"/>
            <w:tcBorders>
              <w:top w:val="single" w:color="auto" w:sz="4" w:space="0"/>
              <w:left w:val="single" w:color="auto" w:sz="4" w:space="0"/>
              <w:bottom w:val="single" w:color="auto" w:sz="4" w:space="0"/>
              <w:right w:val="single" w:color="auto" w:sz="4" w:space="0"/>
            </w:tcBorders>
            <w:vAlign w:val="center"/>
          </w:tcPr>
          <w:p w14:paraId="6218D9C1">
            <w:pPr>
              <w:keepNext w:val="0"/>
              <w:keepLines w:val="0"/>
              <w:suppressLineNumbers w:val="0"/>
              <w:autoSpaceDE w:val="0"/>
              <w:autoSpaceDN w:val="0"/>
              <w:adjustRightInd w:val="0"/>
              <w:spacing w:before="0" w:beforeAutospacing="0" w:after="0" w:afterAutospacing="0" w:line="500" w:lineRule="exact"/>
              <w:ind w:left="0" w:right="0"/>
              <w:jc w:val="center"/>
              <w:rPr>
                <w:rFonts w:hint="eastAsia" w:ascii="宋体" w:hAnsi="宋体" w:eastAsia="宋体" w:cs="宋体"/>
                <w:spacing w:val="6"/>
                <w:sz w:val="28"/>
                <w:szCs w:val="28"/>
              </w:rPr>
            </w:pPr>
            <w:r>
              <w:rPr>
                <w:rFonts w:hint="eastAsia" w:ascii="宋体" w:hAnsi="宋体" w:eastAsia="宋体" w:cs="宋体"/>
                <w:spacing w:val="6"/>
                <w:sz w:val="28"/>
                <w:szCs w:val="28"/>
              </w:rPr>
              <w:t>70%</w:t>
            </w:r>
          </w:p>
        </w:tc>
        <w:tc>
          <w:tcPr>
            <w:tcW w:w="1535" w:type="pct"/>
            <w:tcBorders>
              <w:top w:val="single" w:color="auto" w:sz="4" w:space="0"/>
              <w:left w:val="single" w:color="auto" w:sz="4" w:space="0"/>
              <w:bottom w:val="single" w:color="auto" w:sz="4" w:space="0"/>
              <w:right w:val="single" w:color="auto" w:sz="4" w:space="0"/>
            </w:tcBorders>
            <w:vAlign w:val="center"/>
          </w:tcPr>
          <w:p w14:paraId="514FAD16">
            <w:pPr>
              <w:keepNext w:val="0"/>
              <w:keepLines w:val="0"/>
              <w:suppressLineNumbers w:val="0"/>
              <w:autoSpaceDE w:val="0"/>
              <w:autoSpaceDN w:val="0"/>
              <w:adjustRightInd w:val="0"/>
              <w:spacing w:before="0" w:beforeAutospacing="0" w:after="0" w:afterAutospacing="0" w:line="500" w:lineRule="exact"/>
              <w:ind w:left="0" w:right="0"/>
              <w:jc w:val="center"/>
              <w:rPr>
                <w:rFonts w:hint="eastAsia" w:ascii="宋体" w:hAnsi="宋体" w:eastAsia="宋体" w:cs="宋体"/>
                <w:spacing w:val="6"/>
                <w:sz w:val="28"/>
                <w:szCs w:val="28"/>
              </w:rPr>
            </w:pPr>
            <w:r>
              <w:rPr>
                <w:rFonts w:hint="eastAsia" w:ascii="宋体" w:hAnsi="宋体" w:eastAsia="宋体" w:cs="宋体"/>
                <w:spacing w:val="6"/>
                <w:sz w:val="28"/>
                <w:szCs w:val="28"/>
              </w:rPr>
              <w:t>100%</w:t>
            </w:r>
          </w:p>
        </w:tc>
      </w:tr>
    </w:tbl>
    <w:p w14:paraId="4095EF4D">
      <w:pPr>
        <w:rPr>
          <w:rFonts w:hint="eastAsia" w:ascii="宋体" w:hAnsi="宋体" w:eastAsia="宋体" w:cs="宋体"/>
          <w:b/>
          <w:bCs/>
          <w:sz w:val="28"/>
          <w:szCs w:val="28"/>
        </w:rPr>
      </w:pPr>
      <w:r>
        <w:rPr>
          <w:rFonts w:hint="eastAsia" w:ascii="宋体" w:hAnsi="宋体" w:eastAsia="宋体" w:cs="宋体"/>
          <w:b/>
          <w:bCs/>
          <w:sz w:val="28"/>
          <w:szCs w:val="28"/>
        </w:rPr>
        <w:br w:type="page"/>
      </w:r>
    </w:p>
    <w:p w14:paraId="322FB134">
      <w:pP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详细评审标准</w:t>
      </w:r>
    </w:p>
    <w:tbl>
      <w:tblPr>
        <w:tblStyle w:val="2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767"/>
        <w:gridCol w:w="5990"/>
        <w:gridCol w:w="916"/>
      </w:tblGrid>
      <w:tr w14:paraId="6AFD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513" w:type="pct"/>
            <w:vAlign w:val="center"/>
          </w:tcPr>
          <w:p w14:paraId="41A5847C">
            <w:pPr>
              <w:pStyle w:val="3"/>
              <w:keepNext w:val="0"/>
              <w:keepLines w:val="0"/>
              <w:suppressLineNumbers w:val="0"/>
              <w:spacing w:before="0" w:beforeAutospacing="0" w:after="0" w:afterAutospacing="0" w:line="400" w:lineRule="exact"/>
              <w:ind w:left="0" w:right="0"/>
              <w:rPr>
                <w:rFonts w:hint="eastAsia" w:ascii="宋体" w:hAnsi="宋体" w:eastAsia="宋体" w:cs="宋体"/>
                <w:b/>
                <w:bCs/>
                <w:color w:val="auto"/>
                <w:sz w:val="28"/>
                <w:szCs w:val="28"/>
              </w:rPr>
            </w:pPr>
            <w:bookmarkStart w:id="200" w:name="_Toc217446060"/>
            <w:r>
              <w:rPr>
                <w:rFonts w:hint="eastAsia" w:ascii="宋体" w:hAnsi="宋体" w:eastAsia="宋体" w:cs="宋体"/>
                <w:b/>
                <w:bCs/>
                <w:color w:val="auto"/>
                <w:sz w:val="28"/>
                <w:szCs w:val="28"/>
              </w:rPr>
              <w:t>评分项目</w:t>
            </w:r>
          </w:p>
        </w:tc>
        <w:tc>
          <w:tcPr>
            <w:tcW w:w="449" w:type="pct"/>
            <w:vAlign w:val="center"/>
          </w:tcPr>
          <w:p w14:paraId="41C7E26C">
            <w:pPr>
              <w:pStyle w:val="3"/>
              <w:keepNext w:val="0"/>
              <w:keepLines w:val="0"/>
              <w:suppressLineNumbers w:val="0"/>
              <w:spacing w:before="0" w:beforeAutospacing="0" w:after="0" w:afterAutospacing="0" w:line="400" w:lineRule="exact"/>
              <w:ind w:left="0" w:right="0"/>
              <w:rPr>
                <w:rFonts w:hint="eastAsia" w:ascii="宋体" w:hAnsi="宋体" w:eastAsia="宋体" w:cs="宋体"/>
                <w:b/>
                <w:bCs/>
                <w:color w:val="auto"/>
                <w:sz w:val="28"/>
                <w:szCs w:val="28"/>
              </w:rPr>
            </w:pPr>
            <w:r>
              <w:rPr>
                <w:rFonts w:hint="eastAsia" w:ascii="宋体" w:hAnsi="宋体" w:eastAsia="宋体" w:cs="宋体"/>
                <w:b/>
                <w:bCs/>
                <w:color w:val="auto"/>
                <w:sz w:val="28"/>
                <w:szCs w:val="28"/>
              </w:rPr>
              <w:t>评分</w:t>
            </w:r>
          </w:p>
          <w:p w14:paraId="0454337F">
            <w:pPr>
              <w:pStyle w:val="3"/>
              <w:keepNext w:val="0"/>
              <w:keepLines w:val="0"/>
              <w:suppressLineNumbers w:val="0"/>
              <w:spacing w:before="0" w:beforeAutospacing="0" w:after="0" w:afterAutospacing="0" w:line="400" w:lineRule="exact"/>
              <w:ind w:left="0" w:right="0"/>
              <w:rPr>
                <w:rFonts w:hint="eastAsia" w:ascii="宋体" w:hAnsi="宋体" w:eastAsia="宋体" w:cs="宋体"/>
                <w:b/>
                <w:bCs/>
                <w:color w:val="auto"/>
                <w:sz w:val="28"/>
                <w:szCs w:val="28"/>
              </w:rPr>
            </w:pPr>
            <w:r>
              <w:rPr>
                <w:rFonts w:hint="eastAsia" w:ascii="宋体" w:hAnsi="宋体" w:eastAsia="宋体" w:cs="宋体"/>
                <w:b/>
                <w:bCs/>
                <w:color w:val="auto"/>
                <w:sz w:val="28"/>
                <w:szCs w:val="28"/>
              </w:rPr>
              <w:t>因素</w:t>
            </w:r>
          </w:p>
        </w:tc>
        <w:tc>
          <w:tcPr>
            <w:tcW w:w="3503" w:type="pct"/>
            <w:vAlign w:val="center"/>
          </w:tcPr>
          <w:p w14:paraId="7EF3331B">
            <w:pPr>
              <w:pStyle w:val="3"/>
              <w:keepNext w:val="0"/>
              <w:keepLines w:val="0"/>
              <w:suppressLineNumbers w:val="0"/>
              <w:spacing w:before="0" w:beforeAutospacing="0" w:after="0" w:afterAutospacing="0" w:line="400" w:lineRule="exact"/>
              <w:ind w:left="0" w:right="0"/>
              <w:rPr>
                <w:rFonts w:hint="eastAsia" w:ascii="宋体" w:hAnsi="宋体" w:eastAsia="宋体" w:cs="宋体"/>
                <w:b/>
                <w:bCs/>
                <w:color w:val="auto"/>
                <w:sz w:val="28"/>
                <w:szCs w:val="28"/>
              </w:rPr>
            </w:pPr>
            <w:r>
              <w:rPr>
                <w:rFonts w:hint="eastAsia" w:ascii="宋体" w:hAnsi="宋体" w:eastAsia="宋体" w:cs="宋体"/>
                <w:b/>
                <w:bCs/>
                <w:color w:val="auto"/>
                <w:sz w:val="28"/>
                <w:szCs w:val="28"/>
              </w:rPr>
              <w:t>评分标准</w:t>
            </w:r>
          </w:p>
        </w:tc>
        <w:tc>
          <w:tcPr>
            <w:tcW w:w="533" w:type="pct"/>
            <w:vAlign w:val="center"/>
          </w:tcPr>
          <w:p w14:paraId="5CED7A05">
            <w:pPr>
              <w:pStyle w:val="3"/>
              <w:keepNext w:val="0"/>
              <w:keepLines w:val="0"/>
              <w:suppressLineNumbers w:val="0"/>
              <w:spacing w:before="0" w:beforeAutospacing="0" w:after="0" w:afterAutospacing="0" w:line="400" w:lineRule="exact"/>
              <w:ind w:left="0" w:right="0"/>
              <w:rPr>
                <w:rFonts w:hint="eastAsia" w:ascii="宋体" w:hAnsi="宋体" w:eastAsia="宋体" w:cs="宋体"/>
                <w:b/>
                <w:bCs/>
                <w:color w:val="auto"/>
                <w:sz w:val="28"/>
                <w:szCs w:val="28"/>
              </w:rPr>
            </w:pPr>
            <w:r>
              <w:rPr>
                <w:rFonts w:hint="eastAsia" w:ascii="宋体" w:hAnsi="宋体" w:eastAsia="宋体" w:cs="宋体"/>
                <w:b/>
                <w:bCs/>
                <w:color w:val="auto"/>
                <w:sz w:val="28"/>
                <w:szCs w:val="28"/>
              </w:rPr>
              <w:t>细项分值</w:t>
            </w:r>
          </w:p>
        </w:tc>
      </w:tr>
      <w:tr w14:paraId="139B7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0" w:hRule="atLeast"/>
        </w:trPr>
        <w:tc>
          <w:tcPr>
            <w:tcW w:w="513" w:type="pct"/>
            <w:vMerge w:val="restart"/>
            <w:vAlign w:val="center"/>
          </w:tcPr>
          <w:p w14:paraId="552C8CD8">
            <w:pPr>
              <w:pStyle w:val="3"/>
              <w:keepNext w:val="0"/>
              <w:keepLines w:val="0"/>
              <w:suppressLineNumbers w:val="0"/>
              <w:spacing w:before="0" w:beforeAutospacing="0" w:after="0" w:afterAutospacing="0" w:line="400" w:lineRule="exact"/>
              <w:ind w:left="0" w:right="0"/>
              <w:rPr>
                <w:rFonts w:hint="eastAsia" w:ascii="宋体" w:hAnsi="宋体" w:eastAsia="宋体" w:cs="宋体"/>
                <w:color w:val="auto"/>
                <w:sz w:val="28"/>
                <w:szCs w:val="28"/>
              </w:rPr>
            </w:pPr>
            <w:r>
              <w:rPr>
                <w:rFonts w:hint="eastAsia" w:ascii="宋体" w:hAnsi="宋体" w:eastAsia="宋体" w:cs="宋体"/>
                <w:color w:val="auto"/>
                <w:sz w:val="28"/>
                <w:szCs w:val="28"/>
              </w:rPr>
              <w:t>商务</w:t>
            </w:r>
          </w:p>
        </w:tc>
        <w:tc>
          <w:tcPr>
            <w:tcW w:w="449" w:type="pct"/>
            <w:vAlign w:val="center"/>
          </w:tcPr>
          <w:p w14:paraId="1DAEAAE3">
            <w:pPr>
              <w:pStyle w:val="3"/>
              <w:keepNext w:val="0"/>
              <w:keepLines w:val="0"/>
              <w:suppressLineNumbers w:val="0"/>
              <w:spacing w:before="0" w:beforeAutospacing="0" w:after="0" w:afterAutospacing="0" w:line="400" w:lineRule="exact"/>
              <w:ind w:left="0" w:right="0"/>
              <w:rPr>
                <w:rFonts w:hint="eastAsia" w:ascii="宋体" w:hAnsi="宋体" w:eastAsia="宋体" w:cs="宋体"/>
                <w:color w:val="auto"/>
                <w:sz w:val="28"/>
                <w:szCs w:val="28"/>
              </w:rPr>
            </w:pPr>
            <w:r>
              <w:rPr>
                <w:rFonts w:hint="eastAsia" w:ascii="宋体" w:hAnsi="宋体" w:eastAsia="宋体" w:cs="宋体"/>
                <w:color w:val="auto"/>
                <w:sz w:val="28"/>
                <w:szCs w:val="28"/>
              </w:rPr>
              <w:t>产品案例</w:t>
            </w:r>
          </w:p>
        </w:tc>
        <w:tc>
          <w:tcPr>
            <w:tcW w:w="3503" w:type="pct"/>
            <w:vAlign w:val="center"/>
          </w:tcPr>
          <w:p w14:paraId="28CDDF16">
            <w:pPr>
              <w:keepNext w:val="0"/>
              <w:keepLines w:val="0"/>
              <w:suppressLineNumbers w:val="0"/>
              <w:spacing w:before="0" w:beforeAutospacing="0" w:after="0" w:afterAutospacing="0" w:line="400" w:lineRule="exact"/>
              <w:ind w:left="0" w:right="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投标人或产品制造商提供自2023年4月1日（含）至投标文件上传截止时间与本项目核心产品类似业绩，每提供一项得</w:t>
            </w:r>
            <w:r>
              <w:rPr>
                <w:rFonts w:hint="eastAsia" w:hAnsi="宋体" w:cs="宋体"/>
                <w:sz w:val="28"/>
                <w:szCs w:val="28"/>
                <w:highlight w:val="none"/>
                <w:lang w:val="en-US" w:eastAsia="zh-CN"/>
              </w:rPr>
              <w:t>0.83</w:t>
            </w:r>
            <w:r>
              <w:rPr>
                <w:rFonts w:hint="eastAsia" w:ascii="宋体" w:hAnsi="宋体" w:eastAsia="宋体" w:cs="宋体"/>
                <w:sz w:val="28"/>
                <w:szCs w:val="28"/>
                <w:highlight w:val="none"/>
              </w:rPr>
              <w:t>分，最高得</w:t>
            </w:r>
            <w:r>
              <w:rPr>
                <w:rFonts w:hint="eastAsia" w:hAnsi="宋体" w:cs="宋体"/>
                <w:sz w:val="28"/>
                <w:szCs w:val="28"/>
                <w:highlight w:val="none"/>
                <w:lang w:val="en-US" w:eastAsia="zh-CN"/>
              </w:rPr>
              <w:t>3.32</w:t>
            </w:r>
            <w:r>
              <w:rPr>
                <w:rFonts w:hint="eastAsia" w:ascii="宋体" w:hAnsi="宋体" w:eastAsia="宋体" w:cs="宋体"/>
                <w:sz w:val="28"/>
                <w:szCs w:val="28"/>
                <w:highlight w:val="none"/>
              </w:rPr>
              <w:t>分。</w:t>
            </w:r>
          </w:p>
          <w:p w14:paraId="29584248">
            <w:pPr>
              <w:keepNext w:val="0"/>
              <w:keepLines w:val="0"/>
              <w:suppressLineNumbers w:val="0"/>
              <w:spacing w:before="0" w:beforeAutospacing="0" w:after="0" w:afterAutospacing="0" w:line="400" w:lineRule="exact"/>
              <w:ind w:left="0" w:right="0"/>
              <w:jc w:val="left"/>
              <w:rPr>
                <w:rFonts w:hint="eastAsia" w:ascii="宋体" w:hAnsi="宋体" w:eastAsia="宋体" w:cs="宋体"/>
                <w:kern w:val="2"/>
                <w:sz w:val="28"/>
                <w:szCs w:val="28"/>
                <w:highlight w:val="none"/>
              </w:rPr>
            </w:pPr>
            <w:r>
              <w:rPr>
                <w:rFonts w:hint="eastAsia" w:ascii="宋体" w:hAnsi="宋体" w:eastAsia="宋体" w:cs="宋体"/>
                <w:sz w:val="28"/>
                <w:szCs w:val="28"/>
                <w:highlight w:val="none"/>
              </w:rPr>
              <w:t>提</w:t>
            </w:r>
            <w:r>
              <w:rPr>
                <w:rFonts w:hint="eastAsia" w:ascii="宋体" w:hAnsi="宋体" w:eastAsia="宋体" w:cs="宋体"/>
                <w:kern w:val="2"/>
                <w:sz w:val="28"/>
                <w:szCs w:val="28"/>
                <w:highlight w:val="none"/>
              </w:rPr>
              <w:t>供：业绩合同关键页（含：首页、货物内容信息页、合同金额页、签字盖章页）复印件加盖公章，时间以合同签订日期为准。不符合上述要求或未按要求提供有效证明文件的业绩在评审时将不予承认。投标人提供虚假合同的，按虚假投标处理。</w:t>
            </w:r>
          </w:p>
        </w:tc>
        <w:tc>
          <w:tcPr>
            <w:tcW w:w="533" w:type="pct"/>
            <w:vAlign w:val="center"/>
          </w:tcPr>
          <w:p w14:paraId="3234211F">
            <w:pPr>
              <w:pStyle w:val="3"/>
              <w:keepNext w:val="0"/>
              <w:keepLines w:val="0"/>
              <w:suppressLineNumbers w:val="0"/>
              <w:spacing w:before="0" w:beforeAutospacing="0" w:after="0" w:afterAutospacing="0" w:line="400" w:lineRule="exact"/>
              <w:ind w:left="0" w:right="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3.32</w:t>
            </w:r>
          </w:p>
        </w:tc>
      </w:tr>
      <w:tr w14:paraId="5C9B9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3" w:hRule="atLeast"/>
        </w:trPr>
        <w:tc>
          <w:tcPr>
            <w:tcW w:w="513" w:type="pct"/>
            <w:vMerge w:val="continue"/>
            <w:vAlign w:val="center"/>
          </w:tcPr>
          <w:p w14:paraId="6D989E5B">
            <w:pPr>
              <w:pStyle w:val="3"/>
              <w:keepNext w:val="0"/>
              <w:keepLines w:val="0"/>
              <w:suppressLineNumbers w:val="0"/>
              <w:spacing w:before="0" w:beforeAutospacing="0" w:after="0" w:afterAutospacing="0" w:line="400" w:lineRule="exact"/>
              <w:ind w:left="0" w:right="0"/>
              <w:rPr>
                <w:rFonts w:hint="eastAsia" w:ascii="宋体" w:hAnsi="宋体" w:eastAsia="宋体" w:cs="宋体"/>
                <w:color w:val="auto"/>
                <w:sz w:val="28"/>
                <w:szCs w:val="28"/>
              </w:rPr>
            </w:pPr>
          </w:p>
        </w:tc>
        <w:tc>
          <w:tcPr>
            <w:tcW w:w="449" w:type="pct"/>
            <w:vAlign w:val="center"/>
          </w:tcPr>
          <w:p w14:paraId="00C1E4FD">
            <w:pPr>
              <w:pStyle w:val="3"/>
              <w:keepNext w:val="0"/>
              <w:keepLines w:val="0"/>
              <w:suppressLineNumbers w:val="0"/>
              <w:spacing w:before="0" w:beforeAutospacing="0" w:after="0" w:afterAutospacing="0" w:line="400" w:lineRule="exact"/>
              <w:ind w:left="0" w:right="0"/>
              <w:rPr>
                <w:rFonts w:hint="eastAsia" w:ascii="宋体" w:hAnsi="宋体" w:eastAsia="宋体" w:cs="宋体"/>
                <w:color w:val="auto"/>
                <w:sz w:val="28"/>
                <w:szCs w:val="28"/>
              </w:rPr>
            </w:pPr>
            <w:r>
              <w:rPr>
                <w:rFonts w:hint="eastAsia" w:ascii="宋体" w:hAnsi="宋体" w:eastAsia="宋体" w:cs="宋体"/>
                <w:color w:val="auto"/>
                <w:sz w:val="28"/>
                <w:szCs w:val="28"/>
              </w:rPr>
              <w:t>重要参数响应</w:t>
            </w:r>
          </w:p>
        </w:tc>
        <w:tc>
          <w:tcPr>
            <w:tcW w:w="3503" w:type="pct"/>
            <w:vAlign w:val="center"/>
          </w:tcPr>
          <w:p w14:paraId="2A734BB7">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sz w:val="28"/>
                <w:szCs w:val="28"/>
              </w:rPr>
            </w:pPr>
            <w:r>
              <w:rPr>
                <w:rFonts w:hint="eastAsia" w:ascii="宋体" w:hAnsi="宋体" w:eastAsia="宋体" w:cs="宋体"/>
                <w:color w:val="auto"/>
                <w:sz w:val="28"/>
                <w:szCs w:val="28"/>
              </w:rPr>
              <w:t>针对招标文件“第四章 采购需求--四、详细技术参数中技术指标要求部分进行逐条应答，对于招标文件性能指标的响应程度。</w:t>
            </w:r>
            <w:r>
              <w:rPr>
                <w:rFonts w:hint="eastAsia" w:ascii="宋体" w:hAnsi="宋体" w:eastAsia="宋体" w:cs="宋体"/>
                <w:color w:val="auto"/>
                <w:sz w:val="28"/>
                <w:szCs w:val="28"/>
                <w:highlight w:val="green"/>
              </w:rPr>
              <w:t>▲</w:t>
            </w:r>
            <w:r>
              <w:rPr>
                <w:rFonts w:hint="eastAsia" w:ascii="宋体" w:hAnsi="宋体" w:eastAsia="宋体" w:cs="宋体"/>
                <w:color w:val="auto"/>
                <w:sz w:val="28"/>
                <w:szCs w:val="28"/>
              </w:rPr>
              <w:t>号参数为重要参数项,每满足一项得1</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分，需求内容中的15个</w:t>
            </w:r>
            <w:r>
              <w:rPr>
                <w:rFonts w:hint="eastAsia" w:ascii="宋体" w:hAnsi="宋体" w:eastAsia="宋体" w:cs="宋体"/>
                <w:color w:val="auto"/>
                <w:sz w:val="28"/>
                <w:szCs w:val="28"/>
                <w:highlight w:val="green"/>
              </w:rPr>
              <w:t>▲</w:t>
            </w:r>
            <w:r>
              <w:rPr>
                <w:rFonts w:hint="eastAsia" w:ascii="宋体" w:hAnsi="宋体" w:eastAsia="宋体" w:cs="宋体"/>
                <w:color w:val="auto"/>
                <w:sz w:val="28"/>
                <w:szCs w:val="28"/>
              </w:rPr>
              <w:t>号参数合计最高得</w:t>
            </w: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分。</w:t>
            </w:r>
          </w:p>
        </w:tc>
        <w:tc>
          <w:tcPr>
            <w:tcW w:w="533" w:type="pct"/>
            <w:vAlign w:val="center"/>
          </w:tcPr>
          <w:p w14:paraId="4209F237">
            <w:pPr>
              <w:pStyle w:val="3"/>
              <w:keepNext w:val="0"/>
              <w:keepLines w:val="0"/>
              <w:suppressLineNumbers w:val="0"/>
              <w:spacing w:before="0" w:beforeAutospacing="0" w:after="0" w:afterAutospacing="0" w:line="400" w:lineRule="exact"/>
              <w:ind w:left="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21</w:t>
            </w:r>
          </w:p>
        </w:tc>
      </w:tr>
      <w:tr w14:paraId="559B0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3" w:hRule="atLeast"/>
        </w:trPr>
        <w:tc>
          <w:tcPr>
            <w:tcW w:w="513" w:type="pct"/>
            <w:vMerge w:val="continue"/>
            <w:vAlign w:val="center"/>
          </w:tcPr>
          <w:p w14:paraId="5DC87239">
            <w:pPr>
              <w:pStyle w:val="3"/>
              <w:keepNext w:val="0"/>
              <w:keepLines w:val="0"/>
              <w:suppressLineNumbers w:val="0"/>
              <w:spacing w:before="0" w:beforeAutospacing="0" w:after="0" w:afterAutospacing="0" w:line="400" w:lineRule="exact"/>
              <w:ind w:left="0" w:right="0"/>
              <w:rPr>
                <w:rFonts w:hint="eastAsia" w:ascii="宋体" w:hAnsi="宋体" w:eastAsia="宋体" w:cs="宋体"/>
                <w:color w:val="auto"/>
                <w:sz w:val="28"/>
                <w:szCs w:val="28"/>
              </w:rPr>
            </w:pPr>
          </w:p>
        </w:tc>
        <w:tc>
          <w:tcPr>
            <w:tcW w:w="449" w:type="pct"/>
            <w:vAlign w:val="center"/>
          </w:tcPr>
          <w:p w14:paraId="3274232B">
            <w:pPr>
              <w:pStyle w:val="3"/>
              <w:keepNext w:val="0"/>
              <w:keepLines w:val="0"/>
              <w:suppressLineNumbers w:val="0"/>
              <w:spacing w:before="0" w:beforeAutospacing="0" w:after="0" w:afterAutospacing="0" w:line="400" w:lineRule="exact"/>
              <w:ind w:left="0" w:right="0"/>
              <w:rPr>
                <w:rFonts w:hint="eastAsia" w:ascii="宋体" w:hAnsi="宋体" w:eastAsia="宋体" w:cs="宋体"/>
                <w:color w:val="auto"/>
                <w:sz w:val="28"/>
                <w:szCs w:val="28"/>
              </w:rPr>
            </w:pPr>
            <w:r>
              <w:rPr>
                <w:rFonts w:hint="eastAsia" w:ascii="宋体" w:hAnsi="宋体" w:eastAsia="宋体" w:cs="宋体"/>
                <w:color w:val="auto"/>
                <w:sz w:val="28"/>
                <w:szCs w:val="28"/>
              </w:rPr>
              <w:t>一般参数响应</w:t>
            </w:r>
          </w:p>
        </w:tc>
        <w:tc>
          <w:tcPr>
            <w:tcW w:w="3503" w:type="pct"/>
            <w:vAlign w:val="center"/>
          </w:tcPr>
          <w:p w14:paraId="147B7D30">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针对招标文件“第四章 采购需求--四、详细技术参数中技术指标要求部分进行逐条应答，对于招标文件性能指标的响应程度。非</w:t>
            </w:r>
            <w:r>
              <w:rPr>
                <w:rFonts w:hint="eastAsia" w:ascii="宋体" w:hAnsi="宋体" w:eastAsia="宋体" w:cs="宋体"/>
                <w:color w:val="auto"/>
                <w:sz w:val="28"/>
                <w:szCs w:val="28"/>
                <w:highlight w:val="green"/>
              </w:rPr>
              <w:t>▲</w:t>
            </w:r>
            <w:r>
              <w:rPr>
                <w:rFonts w:hint="eastAsia" w:ascii="宋体" w:hAnsi="宋体" w:eastAsia="宋体" w:cs="宋体"/>
                <w:color w:val="auto"/>
                <w:sz w:val="28"/>
                <w:szCs w:val="28"/>
              </w:rPr>
              <w:t>号和非</w:t>
            </w:r>
            <w:r>
              <w:rPr>
                <w:rFonts w:hint="eastAsia" w:ascii="宋体" w:hAnsi="宋体" w:eastAsia="宋体" w:cs="宋体"/>
                <w:color w:val="auto"/>
                <w:sz w:val="28"/>
                <w:szCs w:val="28"/>
                <w:highlight w:val="cyan"/>
              </w:rPr>
              <w:t>★</w:t>
            </w:r>
            <w:r>
              <w:rPr>
                <w:rFonts w:hint="eastAsia" w:ascii="宋体" w:hAnsi="宋体" w:eastAsia="宋体" w:cs="宋体"/>
                <w:color w:val="auto"/>
                <w:sz w:val="28"/>
                <w:szCs w:val="28"/>
              </w:rPr>
              <w:t>号未标注项为一般参数,每负偏离一项扣</w:t>
            </w:r>
            <w:r>
              <w:rPr>
                <w:rFonts w:hint="eastAsia" w:ascii="宋体" w:hAnsi="宋体" w:eastAsia="宋体" w:cs="宋体"/>
                <w:color w:val="auto"/>
                <w:sz w:val="28"/>
                <w:szCs w:val="28"/>
                <w:highlight w:val="none"/>
              </w:rPr>
              <w:t>0.</w:t>
            </w:r>
            <w:r>
              <w:rPr>
                <w:rFonts w:hint="eastAsia" w:ascii="宋体" w:hAnsi="宋体" w:cs="宋体"/>
                <w:color w:val="auto"/>
                <w:sz w:val="28"/>
                <w:szCs w:val="28"/>
                <w:highlight w:val="none"/>
                <w:lang w:val="en-US" w:eastAsia="zh-CN"/>
              </w:rPr>
              <w:t>07</w:t>
            </w:r>
            <w:r>
              <w:rPr>
                <w:rFonts w:hint="eastAsia" w:ascii="宋体" w:hAnsi="宋体" w:eastAsia="宋体" w:cs="宋体"/>
                <w:color w:val="auto"/>
                <w:sz w:val="28"/>
                <w:szCs w:val="28"/>
                <w:highlight w:val="none"/>
              </w:rPr>
              <w:t>分</w:t>
            </w:r>
            <w:r>
              <w:rPr>
                <w:rFonts w:hint="eastAsia" w:ascii="宋体" w:hAnsi="宋体" w:eastAsia="宋体" w:cs="宋体"/>
                <w:color w:val="auto"/>
                <w:sz w:val="28"/>
                <w:szCs w:val="28"/>
              </w:rPr>
              <w:t>，需求内容中</w:t>
            </w:r>
            <w:r>
              <w:rPr>
                <w:rFonts w:hint="eastAsia" w:ascii="宋体" w:hAnsi="宋体" w:eastAsia="宋体" w:cs="宋体"/>
                <w:color w:val="auto"/>
                <w:sz w:val="28"/>
                <w:szCs w:val="28"/>
                <w:highlight w:val="none"/>
              </w:rPr>
              <w:t>的</w:t>
            </w:r>
            <w:r>
              <w:rPr>
                <w:rFonts w:hint="eastAsia" w:ascii="宋体" w:hAnsi="宋体" w:cs="宋体"/>
                <w:color w:val="auto"/>
                <w:sz w:val="28"/>
                <w:szCs w:val="28"/>
                <w:highlight w:val="none"/>
                <w:lang w:val="en-US" w:eastAsia="zh-CN"/>
              </w:rPr>
              <w:t>524</w:t>
            </w:r>
            <w:r>
              <w:rPr>
                <w:rFonts w:hint="eastAsia" w:ascii="宋体" w:hAnsi="宋体" w:eastAsia="宋体" w:cs="宋体"/>
                <w:color w:val="auto"/>
                <w:sz w:val="28"/>
                <w:szCs w:val="28"/>
                <w:highlight w:val="none"/>
              </w:rPr>
              <w:t>个</w:t>
            </w:r>
            <w:r>
              <w:rPr>
                <w:rFonts w:hint="eastAsia" w:ascii="宋体" w:hAnsi="宋体" w:eastAsia="宋体" w:cs="宋体"/>
                <w:color w:val="auto"/>
                <w:sz w:val="28"/>
                <w:szCs w:val="28"/>
              </w:rPr>
              <w:t>非</w:t>
            </w:r>
            <w:r>
              <w:rPr>
                <w:rFonts w:hint="eastAsia" w:ascii="宋体" w:hAnsi="宋体" w:eastAsia="宋体" w:cs="宋体"/>
                <w:color w:val="auto"/>
                <w:sz w:val="28"/>
                <w:szCs w:val="28"/>
                <w:highlight w:val="green"/>
              </w:rPr>
              <w:t>▲</w:t>
            </w:r>
            <w:r>
              <w:rPr>
                <w:rFonts w:hint="eastAsia" w:ascii="宋体" w:hAnsi="宋体" w:eastAsia="宋体" w:cs="宋体"/>
                <w:color w:val="auto"/>
                <w:sz w:val="28"/>
                <w:szCs w:val="28"/>
              </w:rPr>
              <w:t>号参数合计最高得</w:t>
            </w:r>
            <w:r>
              <w:rPr>
                <w:rFonts w:hint="eastAsia" w:ascii="宋体" w:hAnsi="宋体" w:cs="宋体"/>
                <w:color w:val="auto"/>
                <w:sz w:val="28"/>
                <w:szCs w:val="28"/>
                <w:highlight w:val="none"/>
                <w:lang w:val="en-US" w:eastAsia="zh-CN"/>
              </w:rPr>
              <w:t>36.68</w:t>
            </w:r>
            <w:r>
              <w:rPr>
                <w:rFonts w:hint="eastAsia" w:ascii="宋体" w:hAnsi="宋体" w:eastAsia="宋体" w:cs="宋体"/>
                <w:color w:val="auto"/>
                <w:sz w:val="28"/>
                <w:szCs w:val="28"/>
                <w:highlight w:val="none"/>
              </w:rPr>
              <w:t>分。</w:t>
            </w:r>
          </w:p>
        </w:tc>
        <w:tc>
          <w:tcPr>
            <w:tcW w:w="533" w:type="pct"/>
            <w:vAlign w:val="center"/>
          </w:tcPr>
          <w:p w14:paraId="4A2E2F4D">
            <w:pPr>
              <w:pStyle w:val="3"/>
              <w:keepNext w:val="0"/>
              <w:keepLines w:val="0"/>
              <w:suppressLineNumbers w:val="0"/>
              <w:spacing w:before="0" w:beforeAutospacing="0" w:after="0" w:afterAutospacing="0" w:line="400" w:lineRule="exact"/>
              <w:ind w:left="0" w:right="0"/>
              <w:rPr>
                <w:rFonts w:hint="default" w:ascii="宋体" w:hAnsi="宋体" w:eastAsia="宋体" w:cs="宋体"/>
                <w:color w:val="auto"/>
                <w:sz w:val="28"/>
                <w:szCs w:val="28"/>
                <w:lang w:val="en-US" w:eastAsia="zh-CN"/>
              </w:rPr>
            </w:pPr>
            <w:r>
              <w:rPr>
                <w:rFonts w:hint="eastAsia" w:ascii="宋体" w:hAnsi="宋体" w:cs="宋体"/>
                <w:color w:val="auto"/>
                <w:sz w:val="28"/>
                <w:szCs w:val="28"/>
                <w:highlight w:val="none"/>
                <w:lang w:val="en-US" w:eastAsia="zh-CN"/>
              </w:rPr>
              <w:t>36.68</w:t>
            </w:r>
          </w:p>
        </w:tc>
      </w:tr>
      <w:tr w14:paraId="56D13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513" w:type="pct"/>
            <w:vMerge w:val="continue"/>
            <w:vAlign w:val="center"/>
          </w:tcPr>
          <w:p w14:paraId="6C08CB5E">
            <w:pPr>
              <w:pStyle w:val="3"/>
              <w:keepNext w:val="0"/>
              <w:keepLines w:val="0"/>
              <w:suppressLineNumbers w:val="0"/>
              <w:spacing w:before="0" w:beforeAutospacing="0" w:after="0" w:afterAutospacing="0" w:line="400" w:lineRule="exact"/>
              <w:ind w:left="0" w:right="0"/>
              <w:rPr>
                <w:rFonts w:hint="eastAsia" w:ascii="宋体" w:hAnsi="宋体" w:eastAsia="宋体" w:cs="宋体"/>
                <w:color w:val="auto"/>
                <w:sz w:val="28"/>
                <w:szCs w:val="28"/>
              </w:rPr>
            </w:pPr>
          </w:p>
        </w:tc>
        <w:tc>
          <w:tcPr>
            <w:tcW w:w="4486" w:type="pct"/>
            <w:gridSpan w:val="3"/>
            <w:vAlign w:val="center"/>
          </w:tcPr>
          <w:p w14:paraId="4ABE8DDC">
            <w:pPr>
              <w:pStyle w:val="9"/>
              <w:keepNext w:val="0"/>
              <w:keepLines w:val="0"/>
              <w:suppressLineNumbers w:val="0"/>
              <w:spacing w:before="0" w:beforeAutospacing="0" w:after="0" w:afterAutospacing="0" w:line="400" w:lineRule="exact"/>
              <w:ind w:left="0" w:right="0"/>
              <w:rPr>
                <w:rFonts w:hint="eastAsia" w:ascii="宋体" w:hAnsi="宋体" w:eastAsia="宋体" w:cs="宋体"/>
                <w:sz w:val="28"/>
                <w:szCs w:val="28"/>
              </w:rPr>
            </w:pPr>
            <w:r>
              <w:rPr>
                <w:rFonts w:hint="eastAsia" w:ascii="宋体" w:hAnsi="宋体" w:eastAsia="宋体" w:cs="宋体"/>
                <w:sz w:val="28"/>
                <w:szCs w:val="28"/>
              </w:rPr>
              <w:t>负偏离评审依据：</w:t>
            </w:r>
          </w:p>
          <w:p w14:paraId="5FBF79F0">
            <w:pPr>
              <w:pStyle w:val="9"/>
              <w:keepNext w:val="0"/>
              <w:keepLines w:val="0"/>
              <w:suppressLineNumbers w:val="0"/>
              <w:spacing w:before="0" w:beforeAutospacing="0" w:after="0" w:afterAutospacing="0" w:line="400" w:lineRule="exact"/>
              <w:ind w:left="0" w:right="0"/>
              <w:rPr>
                <w:rFonts w:hint="eastAsia" w:ascii="宋体" w:hAnsi="宋体" w:eastAsia="宋体" w:cs="宋体"/>
                <w:sz w:val="28"/>
                <w:szCs w:val="28"/>
              </w:rPr>
            </w:pPr>
            <w:r>
              <w:rPr>
                <w:rFonts w:hint="eastAsia" w:ascii="宋体" w:hAnsi="宋体" w:eastAsia="宋体" w:cs="宋体"/>
                <w:sz w:val="28"/>
                <w:szCs w:val="28"/>
              </w:rPr>
              <w:t>①所提供产品技术参数不满足招标文件要求，未进行实质性应答说明的，视为负偏离；</w:t>
            </w:r>
          </w:p>
          <w:p w14:paraId="3F54254D">
            <w:pPr>
              <w:pStyle w:val="9"/>
              <w:keepNext w:val="0"/>
              <w:keepLines w:val="0"/>
              <w:suppressLineNumbers w:val="0"/>
              <w:spacing w:before="0" w:beforeAutospacing="0" w:after="0" w:afterAutospacing="0" w:line="400" w:lineRule="exact"/>
              <w:ind w:left="0" w:right="0"/>
              <w:rPr>
                <w:rFonts w:hint="eastAsia" w:ascii="宋体" w:hAnsi="宋体" w:eastAsia="宋体" w:cs="宋体"/>
                <w:sz w:val="28"/>
                <w:szCs w:val="28"/>
              </w:rPr>
            </w:pPr>
            <w:r>
              <w:rPr>
                <w:rFonts w:hint="eastAsia" w:ascii="宋体" w:hAnsi="宋体" w:eastAsia="宋体" w:cs="宋体"/>
                <w:sz w:val="28"/>
                <w:szCs w:val="28"/>
              </w:rPr>
              <w:t>②技术参数响应条款（以投标文件内技术偏离表为准）与招标文件对比有缺项、漏项的，视为负偏离；</w:t>
            </w:r>
          </w:p>
          <w:p w14:paraId="74FE6DC0">
            <w:pPr>
              <w:pStyle w:val="9"/>
              <w:keepNext w:val="0"/>
              <w:keepLines w:val="0"/>
              <w:suppressLineNumbers w:val="0"/>
              <w:spacing w:before="0" w:beforeAutospacing="0" w:after="0" w:afterAutospacing="0" w:line="400" w:lineRule="exact"/>
              <w:ind w:left="0" w:right="0"/>
              <w:rPr>
                <w:rFonts w:hint="eastAsia" w:ascii="宋体" w:hAnsi="宋体" w:eastAsia="宋体" w:cs="宋体"/>
                <w:sz w:val="28"/>
                <w:szCs w:val="28"/>
              </w:rPr>
            </w:pPr>
            <w:r>
              <w:rPr>
                <w:rFonts w:hint="eastAsia" w:ascii="宋体" w:hAnsi="宋体" w:eastAsia="宋体" w:cs="宋体"/>
                <w:sz w:val="28"/>
                <w:szCs w:val="28"/>
              </w:rPr>
              <w:t>③投标人须对本招标文件技术要求进行点对点应答，必须在引用本招标文件的基础上,进行逐条逐项答复、说明和解释,特别对有具体参数要求的指标，投标人必须按照项目需求中要求提供的证明材料（以招标文件中每项要求提供的材料为准），投标文件内技术偏离表完全复制招标文件技术参数的（提供证明材料符合要求除外），视为负偏离；</w:t>
            </w:r>
          </w:p>
          <w:p w14:paraId="210A992C">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④投标人提供的投标文件中采购需求偏离表、投标人需提供与产品技术参数相关的证明材料内描述的同一产品技术参数响应值不一致的，视为负偏离。</w:t>
            </w:r>
          </w:p>
          <w:p w14:paraId="2C7A778F">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注：以上相关证明材料是指，已要求的按每项要求提供的材料为准。</w:t>
            </w:r>
            <w:r>
              <w:rPr>
                <w:rFonts w:hint="eastAsia" w:ascii="宋体" w:hAnsi="宋体" w:cs="宋体"/>
                <w:color w:val="auto"/>
                <w:sz w:val="28"/>
                <w:szCs w:val="28"/>
              </w:rPr>
              <w:t>未</w:t>
            </w:r>
            <w:r>
              <w:rPr>
                <w:rFonts w:hint="eastAsia" w:ascii="宋体" w:hAnsi="宋体" w:eastAsia="宋体" w:cs="宋体"/>
                <w:color w:val="auto"/>
                <w:sz w:val="28"/>
                <w:szCs w:val="28"/>
              </w:rPr>
              <w:t>具体要求的不限定证明材料类型，只要能证明完全响应技术参数的证明材料均已认可。</w:t>
            </w:r>
          </w:p>
        </w:tc>
      </w:tr>
      <w:tr w14:paraId="61899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513" w:type="pct"/>
            <w:vAlign w:val="center"/>
          </w:tcPr>
          <w:p w14:paraId="21484BEA">
            <w:pPr>
              <w:pStyle w:val="3"/>
              <w:keepNext w:val="0"/>
              <w:keepLines w:val="0"/>
              <w:suppressLineNumbers w:val="0"/>
              <w:spacing w:before="0" w:beforeAutospacing="0" w:after="0" w:afterAutospacing="0" w:line="400" w:lineRule="exact"/>
              <w:ind w:left="0" w:right="0"/>
              <w:rPr>
                <w:rFonts w:hint="eastAsia" w:ascii="宋体" w:hAnsi="宋体" w:eastAsia="宋体" w:cs="宋体"/>
                <w:color w:val="auto"/>
                <w:sz w:val="28"/>
                <w:szCs w:val="28"/>
              </w:rPr>
            </w:pPr>
          </w:p>
        </w:tc>
        <w:tc>
          <w:tcPr>
            <w:tcW w:w="449" w:type="pct"/>
            <w:vAlign w:val="center"/>
          </w:tcPr>
          <w:p w14:paraId="1706EA1A">
            <w:pPr>
              <w:pStyle w:val="3"/>
              <w:keepNext w:val="0"/>
              <w:keepLines w:val="0"/>
              <w:suppressLineNumbers w:val="0"/>
              <w:spacing w:before="0" w:beforeAutospacing="0" w:after="0" w:afterAutospacing="0" w:line="400" w:lineRule="exact"/>
              <w:ind w:left="0" w:right="0"/>
              <w:rPr>
                <w:rFonts w:hint="eastAsia" w:ascii="宋体" w:hAnsi="宋体" w:eastAsia="宋体" w:cs="宋体"/>
                <w:color w:val="auto"/>
                <w:sz w:val="28"/>
                <w:szCs w:val="28"/>
              </w:rPr>
            </w:pPr>
            <w:r>
              <w:rPr>
                <w:rFonts w:hint="eastAsia" w:ascii="宋体" w:hAnsi="宋体" w:eastAsia="宋体" w:cs="宋体"/>
                <w:color w:val="auto"/>
                <w:sz w:val="28"/>
                <w:szCs w:val="28"/>
              </w:rPr>
              <w:t>实施及服</w:t>
            </w:r>
          </w:p>
          <w:p w14:paraId="5254018D">
            <w:pPr>
              <w:pStyle w:val="3"/>
              <w:keepNext w:val="0"/>
              <w:keepLines w:val="0"/>
              <w:suppressLineNumbers w:val="0"/>
              <w:spacing w:before="0" w:beforeAutospacing="0" w:after="0" w:afterAutospacing="0" w:line="400" w:lineRule="exact"/>
              <w:ind w:left="0" w:right="0"/>
              <w:rPr>
                <w:rFonts w:hint="eastAsia" w:ascii="宋体" w:hAnsi="宋体" w:eastAsia="宋体" w:cs="宋体"/>
                <w:color w:val="auto"/>
                <w:sz w:val="28"/>
                <w:szCs w:val="28"/>
              </w:rPr>
            </w:pPr>
            <w:r>
              <w:rPr>
                <w:rFonts w:hint="eastAsia" w:ascii="宋体" w:hAnsi="宋体" w:eastAsia="宋体" w:cs="宋体"/>
                <w:color w:val="auto"/>
                <w:sz w:val="28"/>
                <w:szCs w:val="28"/>
              </w:rPr>
              <w:t>务 方 案</w:t>
            </w:r>
          </w:p>
        </w:tc>
        <w:tc>
          <w:tcPr>
            <w:tcW w:w="3503" w:type="pct"/>
            <w:vAlign w:val="center"/>
          </w:tcPr>
          <w:p w14:paraId="18459513">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根据提供的实施及服务方案，内容包含但不限于：</w:t>
            </w:r>
          </w:p>
          <w:p w14:paraId="1A089568">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（1）项目实施方案；</w:t>
            </w:r>
          </w:p>
          <w:p w14:paraId="4F8CC213">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（2）按时供货保障方案；</w:t>
            </w:r>
          </w:p>
          <w:p w14:paraId="24504823">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（3）安全保证措施；</w:t>
            </w:r>
          </w:p>
          <w:p w14:paraId="37819D55">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（4）质量保证措施及风险管理措施；</w:t>
            </w:r>
          </w:p>
          <w:p w14:paraId="2CED0031">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此项满分</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 xml:space="preserve">分，每有一项缺项或漏项扣 </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 xml:space="preserve"> 分，每有一处缺陷扣 0.</w:t>
            </w:r>
            <w:r>
              <w:rPr>
                <w:rFonts w:hint="eastAsia" w:ascii="宋体" w:hAnsi="宋体" w:eastAsia="宋体" w:cs="宋体"/>
                <w:color w:val="auto"/>
                <w:sz w:val="28"/>
                <w:szCs w:val="28"/>
                <w:lang w:val="en-US" w:eastAsia="zh-CN"/>
              </w:rPr>
              <w:t>25</w:t>
            </w:r>
            <w:r>
              <w:rPr>
                <w:rFonts w:hint="eastAsia" w:ascii="宋体" w:hAnsi="宋体" w:eastAsia="宋体" w:cs="宋体"/>
                <w:color w:val="auto"/>
                <w:sz w:val="28"/>
                <w:szCs w:val="28"/>
              </w:rPr>
              <w:t>分，扣完为止。</w:t>
            </w:r>
          </w:p>
          <w:p w14:paraId="64754D13">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sz w:val="28"/>
                <w:szCs w:val="28"/>
              </w:rPr>
              <w:t>缺陷是指：（1）方案内容不全（存在未提供上述明确的内容）、（2）方案内所填项目名称错误、项目实施地点错误、方案适用的行业规范或标准有误、（3）方案内容针对同一事项前后表述不一致、（4）方案响应中含有不符合本项目明确的采购需求内容（不含实质性要求）。</w:t>
            </w:r>
          </w:p>
        </w:tc>
        <w:tc>
          <w:tcPr>
            <w:tcW w:w="533" w:type="pct"/>
            <w:vAlign w:val="center"/>
          </w:tcPr>
          <w:p w14:paraId="2F7B36C6">
            <w:pPr>
              <w:pStyle w:val="3"/>
              <w:keepNext w:val="0"/>
              <w:keepLines w:val="0"/>
              <w:suppressLineNumbers w:val="0"/>
              <w:spacing w:before="0" w:beforeAutospacing="0" w:after="0" w:afterAutospacing="0" w:line="400" w:lineRule="exact"/>
              <w:ind w:left="0" w:right="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p>
        </w:tc>
      </w:tr>
      <w:tr w14:paraId="6642C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513" w:type="pct"/>
            <w:vAlign w:val="center"/>
          </w:tcPr>
          <w:p w14:paraId="00FE12F5">
            <w:pPr>
              <w:pStyle w:val="3"/>
              <w:keepNext w:val="0"/>
              <w:keepLines w:val="0"/>
              <w:suppressLineNumbers w:val="0"/>
              <w:spacing w:before="0" w:beforeAutospacing="0" w:after="0" w:afterAutospacing="0" w:line="400" w:lineRule="exact"/>
              <w:ind w:left="0" w:right="0"/>
              <w:rPr>
                <w:rFonts w:hint="eastAsia" w:ascii="宋体" w:hAnsi="宋体" w:eastAsia="宋体" w:cs="宋体"/>
                <w:color w:val="auto"/>
                <w:sz w:val="28"/>
                <w:szCs w:val="28"/>
              </w:rPr>
            </w:pPr>
          </w:p>
        </w:tc>
        <w:tc>
          <w:tcPr>
            <w:tcW w:w="449" w:type="pct"/>
            <w:vAlign w:val="center"/>
          </w:tcPr>
          <w:p w14:paraId="7A21DA5B">
            <w:pPr>
              <w:pStyle w:val="3"/>
              <w:keepNext w:val="0"/>
              <w:keepLines w:val="0"/>
              <w:suppressLineNumbers w:val="0"/>
              <w:spacing w:before="0" w:beforeAutospacing="0" w:after="0" w:afterAutospacing="0" w:line="400" w:lineRule="exact"/>
              <w:ind w:left="0" w:right="0"/>
              <w:rPr>
                <w:rFonts w:hint="eastAsia" w:ascii="宋体" w:hAnsi="宋体" w:eastAsia="宋体" w:cs="宋体"/>
                <w:color w:val="auto"/>
                <w:sz w:val="28"/>
                <w:szCs w:val="28"/>
              </w:rPr>
            </w:pPr>
            <w:r>
              <w:rPr>
                <w:rFonts w:hint="eastAsia" w:ascii="宋体" w:hAnsi="宋体" w:eastAsia="宋体" w:cs="宋体"/>
                <w:color w:val="auto"/>
                <w:sz w:val="28"/>
                <w:szCs w:val="28"/>
              </w:rPr>
              <w:t>售后服务</w:t>
            </w:r>
          </w:p>
          <w:p w14:paraId="7EAC1F58">
            <w:pPr>
              <w:pStyle w:val="3"/>
              <w:keepNext w:val="0"/>
              <w:keepLines w:val="0"/>
              <w:suppressLineNumbers w:val="0"/>
              <w:spacing w:before="0" w:beforeAutospacing="0" w:after="0" w:afterAutospacing="0" w:line="400" w:lineRule="exact"/>
              <w:ind w:left="0" w:right="0"/>
              <w:rPr>
                <w:rFonts w:hint="eastAsia" w:ascii="宋体" w:hAnsi="宋体" w:eastAsia="宋体" w:cs="宋体"/>
                <w:color w:val="auto"/>
                <w:sz w:val="28"/>
                <w:szCs w:val="28"/>
              </w:rPr>
            </w:pPr>
            <w:r>
              <w:rPr>
                <w:rFonts w:hint="eastAsia" w:ascii="宋体" w:hAnsi="宋体" w:eastAsia="宋体" w:cs="宋体"/>
                <w:color w:val="auto"/>
                <w:sz w:val="28"/>
                <w:szCs w:val="28"/>
              </w:rPr>
              <w:t>方案</w:t>
            </w:r>
          </w:p>
        </w:tc>
        <w:tc>
          <w:tcPr>
            <w:tcW w:w="3503" w:type="pct"/>
            <w:vAlign w:val="center"/>
          </w:tcPr>
          <w:p w14:paraId="22CFF7F6">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根据提供的售后服务方案，内容包含但不限于：</w:t>
            </w:r>
          </w:p>
          <w:p w14:paraId="5B34DE51">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（1）售后服务内容；</w:t>
            </w:r>
          </w:p>
          <w:p w14:paraId="3085F0A5">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（2）方式及响应时间；</w:t>
            </w:r>
          </w:p>
          <w:p w14:paraId="6CE24DA1">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（3）人员配置；</w:t>
            </w:r>
          </w:p>
          <w:p w14:paraId="4E624B3E">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（4）应急预案</w:t>
            </w:r>
          </w:p>
          <w:p w14:paraId="5334BAE8">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（5）培训方案（培训方案、培训时长、培训频次、培训计划、培训讲师能力）</w:t>
            </w:r>
          </w:p>
          <w:p w14:paraId="519F50D4">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此项满分5分，每有一项缺项或漏项扣1分，每有一处缺陷扣0.25 分，扣完为止。</w:t>
            </w:r>
          </w:p>
          <w:p w14:paraId="3C80D61A">
            <w:pPr>
              <w:pStyle w:val="3"/>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8"/>
                <w:szCs w:val="28"/>
              </w:rPr>
            </w:pPr>
            <w:r>
              <w:rPr>
                <w:rFonts w:hint="eastAsia" w:ascii="宋体" w:hAnsi="宋体" w:eastAsia="宋体" w:cs="宋体"/>
                <w:sz w:val="28"/>
                <w:szCs w:val="28"/>
              </w:rPr>
              <w:t>缺陷是指：（1）方案内容不全（存在未提供上述明确的内容）、（2）方案内所填项目名称错误、项目实施地点错误、方案适用的行业规范或标准有误、（3）方案内容针对同一事项前后表述不一致、（4）方案响应中含有不符合本项目明确的采购需求内容（不含实质性要求）。</w:t>
            </w:r>
          </w:p>
        </w:tc>
        <w:tc>
          <w:tcPr>
            <w:tcW w:w="533" w:type="pct"/>
            <w:vAlign w:val="center"/>
          </w:tcPr>
          <w:p w14:paraId="12160189">
            <w:pPr>
              <w:pStyle w:val="3"/>
              <w:keepNext w:val="0"/>
              <w:keepLines w:val="0"/>
              <w:suppressLineNumbers w:val="0"/>
              <w:spacing w:before="0" w:beforeAutospacing="0" w:after="0" w:afterAutospacing="0" w:line="400" w:lineRule="exact"/>
              <w:ind w:left="0" w:right="0"/>
              <w:rPr>
                <w:rFonts w:hint="eastAsia" w:ascii="宋体" w:hAnsi="宋体" w:eastAsia="宋体" w:cs="宋体"/>
                <w:color w:val="auto"/>
                <w:sz w:val="28"/>
                <w:szCs w:val="28"/>
              </w:rPr>
            </w:pPr>
            <w:r>
              <w:rPr>
                <w:rFonts w:hint="eastAsia" w:ascii="宋体" w:hAnsi="宋体" w:eastAsia="宋体" w:cs="宋体"/>
                <w:color w:val="auto"/>
                <w:sz w:val="28"/>
                <w:szCs w:val="28"/>
              </w:rPr>
              <w:t>5</w:t>
            </w:r>
          </w:p>
        </w:tc>
      </w:tr>
    </w:tbl>
    <w:p w14:paraId="0A15A2B2">
      <w:pPr>
        <w:pStyle w:val="10"/>
        <w:tabs>
          <w:tab w:val="left" w:pos="600"/>
        </w:tabs>
        <w:spacing w:line="500" w:lineRule="exact"/>
        <w:ind w:firstLine="0"/>
        <w:jc w:val="center"/>
        <w:rPr>
          <w:rFonts w:hint="eastAsia" w:ascii="宋体" w:hAnsi="宋体" w:eastAsia="宋体" w:cs="宋体"/>
          <w:bCs/>
          <w:sz w:val="28"/>
          <w:szCs w:val="28"/>
        </w:rPr>
      </w:pPr>
    </w:p>
    <w:p w14:paraId="083D1155">
      <w:pPr>
        <w:pStyle w:val="10"/>
        <w:tabs>
          <w:tab w:val="left" w:pos="600"/>
        </w:tabs>
        <w:spacing w:line="500" w:lineRule="exact"/>
        <w:ind w:firstLine="0"/>
        <w:jc w:val="center"/>
        <w:rPr>
          <w:rFonts w:hint="eastAsia" w:ascii="宋体" w:hAnsi="宋体" w:eastAsia="宋体" w:cs="宋体"/>
          <w:bCs/>
          <w:sz w:val="28"/>
          <w:szCs w:val="28"/>
        </w:rPr>
      </w:pPr>
      <w:r>
        <w:rPr>
          <w:rFonts w:hint="eastAsia" w:ascii="宋体" w:hAnsi="宋体" w:eastAsia="宋体" w:cs="宋体"/>
          <w:bCs/>
          <w:sz w:val="28"/>
          <w:szCs w:val="28"/>
        </w:rPr>
        <w:t>报价评审标准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429"/>
        <w:gridCol w:w="6518"/>
      </w:tblGrid>
      <w:tr w14:paraId="308A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75" w:type="dxa"/>
            <w:vAlign w:val="center"/>
          </w:tcPr>
          <w:p w14:paraId="293C4D38">
            <w:pPr>
              <w:keepNext w:val="0"/>
              <w:keepLines w:val="0"/>
              <w:suppressLineNumbers w:val="0"/>
              <w:adjustRightInd w:val="0"/>
              <w:spacing w:before="0" w:beforeAutospacing="0" w:after="0" w:afterAutospacing="0" w:line="400" w:lineRule="exact"/>
              <w:ind w:left="0" w:right="0"/>
              <w:jc w:val="center"/>
              <w:rPr>
                <w:rFonts w:hint="eastAsia" w:ascii="宋体" w:hAnsi="宋体" w:eastAsia="宋体" w:cs="宋体"/>
                <w:b/>
                <w:bCs/>
                <w:sz w:val="28"/>
                <w:szCs w:val="28"/>
                <w:lang w:val="zh-CN"/>
              </w:rPr>
            </w:pPr>
            <w:r>
              <w:rPr>
                <w:rFonts w:hint="eastAsia" w:ascii="宋体" w:hAnsi="宋体" w:eastAsia="宋体" w:cs="宋体"/>
                <w:b/>
                <w:bCs/>
                <w:sz w:val="28"/>
                <w:szCs w:val="28"/>
                <w:lang w:val="zh-CN"/>
              </w:rPr>
              <w:t>序号</w:t>
            </w:r>
          </w:p>
        </w:tc>
        <w:tc>
          <w:tcPr>
            <w:tcW w:w="1429" w:type="dxa"/>
            <w:vAlign w:val="center"/>
          </w:tcPr>
          <w:p w14:paraId="0AD56696">
            <w:pPr>
              <w:keepNext w:val="0"/>
              <w:keepLines w:val="0"/>
              <w:suppressLineNumbers w:val="0"/>
              <w:adjustRightInd w:val="0"/>
              <w:spacing w:before="0" w:beforeAutospacing="0" w:after="0" w:afterAutospacing="0" w:line="400" w:lineRule="exact"/>
              <w:ind w:left="0" w:right="0"/>
              <w:jc w:val="center"/>
              <w:rPr>
                <w:rFonts w:hint="eastAsia" w:ascii="宋体" w:hAnsi="宋体" w:eastAsia="宋体" w:cs="宋体"/>
                <w:b/>
                <w:bCs/>
                <w:sz w:val="28"/>
                <w:szCs w:val="28"/>
                <w:lang w:val="zh-CN"/>
              </w:rPr>
            </w:pPr>
            <w:r>
              <w:rPr>
                <w:rFonts w:hint="eastAsia" w:ascii="宋体" w:hAnsi="宋体" w:eastAsia="宋体" w:cs="宋体"/>
                <w:b/>
                <w:bCs/>
                <w:sz w:val="28"/>
                <w:szCs w:val="28"/>
                <w:lang w:val="zh-CN"/>
              </w:rPr>
              <w:t>评审项目</w:t>
            </w:r>
          </w:p>
        </w:tc>
        <w:tc>
          <w:tcPr>
            <w:tcW w:w="6518" w:type="dxa"/>
            <w:vAlign w:val="center"/>
          </w:tcPr>
          <w:p w14:paraId="083904CC">
            <w:pPr>
              <w:keepNext w:val="0"/>
              <w:keepLines w:val="0"/>
              <w:suppressLineNumbers w:val="0"/>
              <w:adjustRightInd w:val="0"/>
              <w:spacing w:before="0" w:beforeAutospacing="0" w:after="0" w:afterAutospacing="0" w:line="400" w:lineRule="exact"/>
              <w:ind w:left="0" w:right="0"/>
              <w:jc w:val="center"/>
              <w:rPr>
                <w:rFonts w:hint="eastAsia" w:ascii="宋体" w:hAnsi="宋体" w:eastAsia="宋体" w:cs="宋体"/>
                <w:b/>
                <w:bCs/>
                <w:sz w:val="28"/>
                <w:szCs w:val="28"/>
                <w:lang w:val="zh-CN"/>
              </w:rPr>
            </w:pPr>
            <w:r>
              <w:rPr>
                <w:rFonts w:hint="eastAsia" w:ascii="宋体" w:hAnsi="宋体" w:eastAsia="宋体" w:cs="宋体"/>
                <w:b/>
                <w:bCs/>
                <w:sz w:val="28"/>
                <w:szCs w:val="28"/>
                <w:lang w:val="zh-CN"/>
              </w:rPr>
              <w:t>评分标准</w:t>
            </w:r>
          </w:p>
        </w:tc>
      </w:tr>
      <w:tr w14:paraId="092B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75" w:type="dxa"/>
            <w:vAlign w:val="center"/>
          </w:tcPr>
          <w:p w14:paraId="1B00F412">
            <w:pPr>
              <w:keepNext w:val="0"/>
              <w:keepLines w:val="0"/>
              <w:suppressLineNumbers w:val="0"/>
              <w:adjustRightInd w:val="0"/>
              <w:spacing w:before="0" w:beforeAutospacing="0" w:after="0" w:afterAutospacing="0" w:line="400" w:lineRule="exact"/>
              <w:ind w:left="0" w:right="0"/>
              <w:jc w:val="center"/>
              <w:rPr>
                <w:rFonts w:hint="eastAsia" w:ascii="宋体" w:hAnsi="宋体" w:eastAsia="宋体" w:cs="宋体"/>
                <w:bCs/>
                <w:sz w:val="28"/>
                <w:szCs w:val="28"/>
                <w:lang w:val="zh-CN"/>
              </w:rPr>
            </w:pPr>
            <w:r>
              <w:rPr>
                <w:rFonts w:hint="eastAsia" w:ascii="宋体" w:hAnsi="宋体" w:eastAsia="宋体" w:cs="宋体"/>
                <w:bCs/>
                <w:sz w:val="28"/>
                <w:szCs w:val="28"/>
                <w:lang w:val="zh-CN"/>
              </w:rPr>
              <w:t>1</w:t>
            </w:r>
          </w:p>
        </w:tc>
        <w:tc>
          <w:tcPr>
            <w:tcW w:w="1429" w:type="dxa"/>
            <w:vAlign w:val="center"/>
          </w:tcPr>
          <w:p w14:paraId="21D1AB02">
            <w:pPr>
              <w:keepNext w:val="0"/>
              <w:keepLines w:val="0"/>
              <w:suppressLineNumbers w:val="0"/>
              <w:adjustRightInd w:val="0"/>
              <w:spacing w:before="0" w:beforeAutospacing="0" w:after="0" w:afterAutospacing="0" w:line="400" w:lineRule="exact"/>
              <w:ind w:left="0" w:right="0"/>
              <w:jc w:val="center"/>
              <w:rPr>
                <w:rFonts w:hint="eastAsia" w:ascii="宋体" w:hAnsi="宋体" w:eastAsia="宋体" w:cs="宋体"/>
                <w:sz w:val="28"/>
                <w:szCs w:val="28"/>
                <w:lang w:val="zh-CN"/>
              </w:rPr>
            </w:pPr>
            <w:r>
              <w:rPr>
                <w:rFonts w:hint="eastAsia" w:ascii="宋体" w:hAnsi="宋体" w:eastAsia="宋体" w:cs="宋体"/>
                <w:sz w:val="28"/>
                <w:szCs w:val="28"/>
              </w:rPr>
              <w:t>报价</w:t>
            </w:r>
          </w:p>
        </w:tc>
        <w:tc>
          <w:tcPr>
            <w:tcW w:w="6518" w:type="dxa"/>
            <w:vAlign w:val="center"/>
          </w:tcPr>
          <w:p w14:paraId="6D9FD0D5">
            <w:pPr>
              <w:keepNext w:val="0"/>
              <w:keepLines w:val="0"/>
              <w:suppressLineNumbers w:val="0"/>
              <w:spacing w:before="0" w:beforeAutospacing="0" w:after="0" w:afterAutospacing="0" w:line="400" w:lineRule="exact"/>
              <w:ind w:left="0" w:right="0"/>
              <w:rPr>
                <w:rFonts w:hint="eastAsia" w:ascii="宋体" w:hAnsi="宋体" w:eastAsia="宋体" w:cs="宋体"/>
                <w:sz w:val="28"/>
                <w:szCs w:val="28"/>
              </w:rPr>
            </w:pPr>
            <w:r>
              <w:rPr>
                <w:rFonts w:hint="eastAsia" w:ascii="宋体" w:hAnsi="宋体" w:eastAsia="宋体" w:cs="宋体"/>
                <w:sz w:val="28"/>
                <w:szCs w:val="28"/>
              </w:rPr>
              <w:br w:type="textWrapping"/>
            </w:r>
            <w:r>
              <w:rPr>
                <w:rFonts w:hint="eastAsia" w:ascii="宋体" w:hAnsi="宋体" w:eastAsia="宋体" w:cs="宋体"/>
                <w:sz w:val="28"/>
                <w:szCs w:val="28"/>
              </w:rPr>
              <w:t>其他投标人的价格得分统一按照下列公式计算：</w:t>
            </w:r>
            <w:r>
              <w:rPr>
                <w:rFonts w:hint="eastAsia" w:ascii="宋体" w:hAnsi="宋体" w:eastAsia="宋体" w:cs="宋体"/>
                <w:sz w:val="28"/>
                <w:szCs w:val="28"/>
              </w:rPr>
              <w:br w:type="textWrapping"/>
            </w:r>
            <w:r>
              <w:rPr>
                <w:rFonts w:hint="eastAsia" w:ascii="宋体" w:hAnsi="宋体" w:eastAsia="宋体" w:cs="宋体"/>
                <w:sz w:val="28"/>
                <w:szCs w:val="28"/>
              </w:rPr>
              <w:t>报价得分 = (评标基准价 / 修正后投标报价) × 30%*100。</w:t>
            </w:r>
          </w:p>
          <w:p w14:paraId="744E53C1">
            <w:pPr>
              <w:keepNext w:val="0"/>
              <w:keepLines w:val="0"/>
              <w:suppressLineNumbers w:val="0"/>
              <w:spacing w:before="0" w:beforeAutospacing="0" w:after="0" w:afterAutospacing="0" w:line="400" w:lineRule="exact"/>
              <w:ind w:left="0" w:right="0"/>
              <w:rPr>
                <w:rFonts w:hint="eastAsia" w:ascii="宋体" w:hAnsi="宋体" w:eastAsia="宋体" w:cs="宋体"/>
                <w:sz w:val="28"/>
                <w:szCs w:val="28"/>
              </w:rPr>
            </w:pPr>
            <w:r>
              <w:rPr>
                <w:rFonts w:hint="eastAsia" w:ascii="宋体" w:hAnsi="宋体" w:eastAsia="宋体" w:cs="宋体"/>
                <w:sz w:val="28"/>
                <w:szCs w:val="28"/>
              </w:rPr>
              <w:t>备注：</w:t>
            </w:r>
          </w:p>
          <w:p w14:paraId="6BBC94A8">
            <w:pPr>
              <w:keepNext w:val="0"/>
              <w:keepLines w:val="0"/>
              <w:suppressLineNumbers w:val="0"/>
              <w:spacing w:before="0" w:beforeAutospacing="0" w:after="0" w:afterAutospacing="0" w:line="400" w:lineRule="exact"/>
              <w:ind w:left="0" w:right="0"/>
              <w:rPr>
                <w:rFonts w:hint="eastAsia" w:ascii="宋体" w:hAnsi="宋体" w:eastAsia="宋体" w:cs="宋体"/>
                <w:sz w:val="28"/>
                <w:szCs w:val="28"/>
              </w:rPr>
            </w:pPr>
            <w:r>
              <w:rPr>
                <w:rFonts w:hint="eastAsia" w:ascii="宋体" w:hAnsi="宋体" w:eastAsia="宋体" w:cs="宋体"/>
                <w:sz w:val="28"/>
                <w:szCs w:val="28"/>
              </w:rPr>
              <w:t>1.投标价格评分采用低价优先法计算，评标过程中，不得去掉报价中的最高报价和最低报价。</w:t>
            </w:r>
          </w:p>
          <w:p w14:paraId="5FFC6BED">
            <w:pPr>
              <w:keepNext w:val="0"/>
              <w:keepLines w:val="0"/>
              <w:suppressLineNumbers w:val="0"/>
              <w:spacing w:before="0" w:beforeAutospacing="0" w:after="0" w:afterAutospacing="0" w:line="400" w:lineRule="exact"/>
              <w:ind w:left="0" w:right="0"/>
              <w:rPr>
                <w:rFonts w:hint="eastAsia" w:ascii="宋体" w:hAnsi="宋体" w:eastAsia="宋体" w:cs="宋体"/>
                <w:sz w:val="28"/>
                <w:szCs w:val="28"/>
              </w:rPr>
            </w:pPr>
            <w:r>
              <w:rPr>
                <w:rFonts w:hint="eastAsia" w:ascii="宋体" w:hAnsi="宋体" w:eastAsia="宋体" w:cs="宋体"/>
                <w:sz w:val="28"/>
                <w:szCs w:val="28"/>
              </w:rPr>
              <w:t>2.评标基准价：满足招标文件要求且经修正，依据政府采购政策进行价格扣除后的最低报价为评标基准价；</w:t>
            </w:r>
          </w:p>
          <w:p w14:paraId="11771A4D">
            <w:pPr>
              <w:keepNext w:val="0"/>
              <w:keepLines w:val="0"/>
              <w:suppressLineNumbers w:val="0"/>
              <w:spacing w:before="0" w:beforeAutospacing="0" w:after="0" w:afterAutospacing="0" w:line="400" w:lineRule="exact"/>
              <w:ind w:left="0" w:right="0"/>
              <w:rPr>
                <w:rFonts w:hint="eastAsia" w:ascii="宋体" w:hAnsi="宋体" w:eastAsia="宋体" w:cs="宋体"/>
                <w:sz w:val="28"/>
                <w:szCs w:val="28"/>
              </w:rPr>
            </w:pPr>
            <w:r>
              <w:rPr>
                <w:rFonts w:hint="eastAsia" w:ascii="宋体" w:hAnsi="宋体" w:eastAsia="宋体" w:cs="宋体"/>
                <w:sz w:val="28"/>
                <w:szCs w:val="28"/>
              </w:rPr>
              <w:t>3.修正后投标报价：评标委员会以投标函中投标报价为基础，对其进行修正，依据政府采购政策进行价格扣除后，作为投标报价计算的依据。</w:t>
            </w:r>
          </w:p>
          <w:p w14:paraId="4EF7700F">
            <w:pPr>
              <w:keepNext w:val="0"/>
              <w:keepLines w:val="0"/>
              <w:suppressLineNumbers w:val="0"/>
              <w:spacing w:before="0" w:beforeAutospacing="0" w:after="0" w:afterAutospacing="0" w:line="400" w:lineRule="exact"/>
              <w:ind w:left="0" w:right="0"/>
              <w:rPr>
                <w:rFonts w:hint="eastAsia" w:ascii="宋体" w:hAnsi="宋体" w:eastAsia="宋体" w:cs="宋体"/>
                <w:sz w:val="28"/>
                <w:szCs w:val="28"/>
              </w:rPr>
            </w:pPr>
            <w:r>
              <w:rPr>
                <w:rFonts w:hint="eastAsia" w:ascii="宋体" w:hAnsi="宋体" w:eastAsia="宋体" w:cs="宋体"/>
                <w:sz w:val="28"/>
                <w:szCs w:val="28"/>
              </w:rPr>
              <w:t>4.政府采购价格扣除政策</w:t>
            </w:r>
          </w:p>
          <w:p w14:paraId="0273DD3D">
            <w:pPr>
              <w:keepNext w:val="0"/>
              <w:keepLines w:val="0"/>
              <w:suppressLineNumbers w:val="0"/>
              <w:spacing w:before="0" w:beforeAutospacing="0" w:after="0" w:afterAutospacing="0" w:line="400" w:lineRule="exact"/>
              <w:ind w:left="0" w:right="0"/>
              <w:rPr>
                <w:rFonts w:hint="eastAsia" w:ascii="宋体" w:hAnsi="宋体" w:eastAsia="宋体" w:cs="宋体"/>
                <w:sz w:val="28"/>
                <w:szCs w:val="28"/>
              </w:rPr>
            </w:pPr>
            <w:r>
              <w:rPr>
                <w:rFonts w:hint="eastAsia" w:ascii="宋体" w:hAnsi="宋体" w:eastAsia="宋体" w:cs="宋体"/>
                <w:sz w:val="28"/>
                <w:szCs w:val="28"/>
              </w:rPr>
              <w:t>（1）根据财库〔2020〕46号及自治区相关的规定，对小微企业（监狱企业、残疾人福利性单位）产品的价格给予</w:t>
            </w:r>
            <w:r>
              <w:rPr>
                <w:rFonts w:hint="eastAsia" w:ascii="宋体" w:hAnsi="宋体" w:eastAsia="宋体" w:cs="宋体"/>
                <w:b/>
                <w:bCs/>
                <w:sz w:val="28"/>
                <w:szCs w:val="28"/>
              </w:rPr>
              <w:t>10%</w:t>
            </w:r>
            <w:r>
              <w:rPr>
                <w:rFonts w:hint="eastAsia" w:ascii="宋体" w:hAnsi="宋体" w:eastAsia="宋体" w:cs="宋体"/>
                <w:sz w:val="28"/>
                <w:szCs w:val="28"/>
              </w:rPr>
              <w:t>的扣除，用扣除后的价格参与评审，监狱企业视同小微型企业，享受同等优惠政策。因落实政府采购政策进行价格调整的，以调整后的价格计算评标基准价和投标报价。</w:t>
            </w:r>
          </w:p>
          <w:p w14:paraId="76D9E648">
            <w:pPr>
              <w:keepNext w:val="0"/>
              <w:keepLines w:val="0"/>
              <w:suppressLineNumbers w:val="0"/>
              <w:spacing w:before="0" w:beforeAutospacing="0" w:after="0" w:afterAutospacing="0" w:line="400" w:lineRule="exact"/>
              <w:ind w:left="0" w:right="0"/>
              <w:rPr>
                <w:rFonts w:hint="eastAsia" w:ascii="宋体" w:hAnsi="宋体" w:eastAsia="宋体" w:cs="宋体"/>
                <w:sz w:val="28"/>
                <w:szCs w:val="28"/>
              </w:rPr>
            </w:pPr>
            <w:r>
              <w:rPr>
                <w:rFonts w:hint="eastAsia" w:ascii="宋体" w:hAnsi="宋体" w:eastAsia="宋体" w:cs="宋体"/>
                <w:sz w:val="28"/>
                <w:szCs w:val="28"/>
              </w:rPr>
              <w:t>（2）根据《国务院办公厅关于在政府采购中实施本国产品标准及相关政策的通知》（国办发[2025]34号），对符合规定的本国产品报价给予</w:t>
            </w:r>
            <w:r>
              <w:rPr>
                <w:rFonts w:hint="eastAsia" w:ascii="宋体" w:hAnsi="宋体" w:eastAsia="宋体" w:cs="宋体"/>
                <w:b/>
                <w:bCs/>
                <w:sz w:val="28"/>
                <w:szCs w:val="28"/>
              </w:rPr>
              <w:t>20%</w:t>
            </w:r>
            <w:r>
              <w:rPr>
                <w:rFonts w:hint="eastAsia" w:ascii="宋体" w:hAnsi="宋体" w:eastAsia="宋体" w:cs="宋体"/>
                <w:sz w:val="28"/>
                <w:szCs w:val="28"/>
              </w:rPr>
              <w:t>的扣除，用扣除后的价格参加评审。</w:t>
            </w:r>
          </w:p>
        </w:tc>
      </w:tr>
    </w:tbl>
    <w:p w14:paraId="26C0D5B3">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 终止招标</w:t>
      </w:r>
    </w:p>
    <w:p w14:paraId="69304AD8">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采购人、采购代理机构在发布招标公告、资格预审公告或者发出投标邀请书后，除因重大变故采购任务取消情况外，不得擅自终止招标活动。</w:t>
      </w:r>
    </w:p>
    <w:p w14:paraId="1332B0D8">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终止招标的，采购人或者采购代理机构应当及时在原公告发布媒体上发布终止公告，以书面形式通知已经获取招标文件、资格预审文件或者被邀请的潜在投标人，并将项目实施情况和采购任务取消原因报告监督部门。已经收取招标文件费用或者投标保证金的，采购人或者采购代理机构应当在终止采购活动后5个工作日内，退还所收取的招标文件费用和所收取的投标保证金及其在银行产生的孳息。</w:t>
      </w:r>
    </w:p>
    <w:bookmarkEnd w:id="197"/>
    <w:bookmarkEnd w:id="200"/>
    <w:p w14:paraId="2CEF1C72">
      <w:pPr>
        <w:spacing w:line="500" w:lineRule="exact"/>
        <w:ind w:firstLine="560" w:firstLineChars="200"/>
        <w:rPr>
          <w:rFonts w:hint="eastAsia" w:ascii="宋体" w:hAnsi="宋体" w:eastAsia="宋体" w:cs="宋体"/>
          <w:sz w:val="28"/>
          <w:szCs w:val="28"/>
        </w:rPr>
      </w:pPr>
      <w:bookmarkStart w:id="201" w:name="_Toc208849022"/>
      <w:bookmarkStart w:id="202" w:name="_Toc183582297"/>
      <w:bookmarkStart w:id="203" w:name="_Toc183682432"/>
      <w:bookmarkStart w:id="204" w:name="_Toc217446105"/>
      <w:r>
        <w:rPr>
          <w:rFonts w:hint="eastAsia" w:ascii="宋体" w:hAnsi="宋体" w:eastAsia="宋体" w:cs="宋体"/>
          <w:sz w:val="28"/>
          <w:szCs w:val="28"/>
        </w:rPr>
        <w:t xml:space="preserve">6. </w:t>
      </w:r>
      <w:bookmarkEnd w:id="201"/>
      <w:bookmarkEnd w:id="202"/>
      <w:bookmarkEnd w:id="203"/>
      <w:bookmarkEnd w:id="204"/>
      <w:r>
        <w:rPr>
          <w:rFonts w:hint="eastAsia" w:ascii="宋体" w:hAnsi="宋体" w:eastAsia="宋体" w:cs="宋体"/>
          <w:sz w:val="28"/>
          <w:szCs w:val="28"/>
        </w:rPr>
        <w:t>评标专家在招投标活动中承担以下义务：</w:t>
      </w:r>
    </w:p>
    <w:p w14:paraId="79BFECBB">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6.1 遵纪守法，客观、公正、廉洁地履行职责。</w:t>
      </w:r>
    </w:p>
    <w:p w14:paraId="234A3A44">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6.2 按照法律法规和招标文件的规定要求对投标人的资格条件和投标人提供的产品技术、服务等方面严格进行评判，提供科学合理、公平公正的评标意见，参与起草评标报告，并予签字确认。</w:t>
      </w:r>
    </w:p>
    <w:p w14:paraId="6154699E">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6.3 保守秘密。不得透露招标文件咨询情况，不得泄漏投标人的投标文件及知悉的商业秘密，不得向投标人透露评标情况。</w:t>
      </w:r>
    </w:p>
    <w:p w14:paraId="691A288A">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6.4 发现投标人在招投标活动中有不正当竞争或恶意串通等违规行为，及时向评标工作的组织者或监督部门报告并加以制止。</w:t>
      </w:r>
    </w:p>
    <w:p w14:paraId="404D5F7A">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发现采购人、采购代理机构及其工作人员在招标活动中有干预评标、发表倾向性和歧视性言论、受贿或者接受投标人的其他好处及其他违法违规行为，及时向监督部门报告。</w:t>
      </w:r>
    </w:p>
    <w:p w14:paraId="276F6C9B">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6.5 解答有关方面对招标评标工作中有关问题的询问，配合采购人或者采购代理机构答复投标人质疑等事宜。</w:t>
      </w:r>
    </w:p>
    <w:p w14:paraId="1394B3DE">
      <w:pPr>
        <w:widowControl/>
        <w:autoSpaceDE w:val="0"/>
        <w:autoSpaceDN w:val="0"/>
        <w:spacing w:line="500" w:lineRule="exact"/>
        <w:ind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6.6 法律、法规和规章规定的其他义务。</w:t>
      </w:r>
    </w:p>
    <w:p w14:paraId="63E07E02">
      <w:pPr>
        <w:spacing w:line="500" w:lineRule="exact"/>
        <w:rPr>
          <w:rFonts w:hint="eastAsia" w:ascii="宋体" w:hAnsi="宋体" w:eastAsia="宋体" w:cs="宋体"/>
          <w:sz w:val="28"/>
          <w:szCs w:val="28"/>
        </w:rPr>
      </w:pPr>
      <w:bookmarkStart w:id="205" w:name="_Toc15627"/>
      <w:bookmarkStart w:id="206" w:name="_Toc18152"/>
      <w:bookmarkStart w:id="207" w:name="_Toc2789"/>
      <w:bookmarkStart w:id="208" w:name="_Toc5889"/>
      <w:bookmarkStart w:id="209" w:name="_Toc26318"/>
      <w:bookmarkStart w:id="210" w:name="_Toc37255689"/>
      <w:bookmarkStart w:id="211" w:name="_Toc28372"/>
      <w:bookmarkStart w:id="212" w:name="_Toc16140"/>
      <w:r>
        <w:rPr>
          <w:rFonts w:hint="eastAsia" w:ascii="宋体" w:hAnsi="宋体" w:eastAsia="宋体" w:cs="宋体"/>
          <w:sz w:val="28"/>
          <w:szCs w:val="28"/>
        </w:rPr>
        <w:br w:type="page"/>
      </w:r>
    </w:p>
    <w:p w14:paraId="41572FF6">
      <w:pPr>
        <w:pStyle w:val="2"/>
        <w:spacing w:before="0" w:after="0" w:line="500" w:lineRule="exact"/>
        <w:jc w:val="center"/>
        <w:rPr>
          <w:rFonts w:hint="eastAsia" w:ascii="宋体" w:hAnsi="宋体" w:eastAsia="宋体" w:cs="宋体"/>
          <w:b/>
          <w:bCs/>
          <w:color w:val="auto"/>
          <w:kern w:val="0"/>
          <w:sz w:val="28"/>
          <w:szCs w:val="28"/>
        </w:rPr>
      </w:pPr>
      <w:bookmarkStart w:id="213" w:name="_Toc1469369807"/>
      <w:r>
        <w:rPr>
          <w:rFonts w:hint="eastAsia" w:ascii="宋体" w:hAnsi="宋体" w:eastAsia="宋体" w:cs="宋体"/>
          <w:b/>
          <w:bCs/>
          <w:color w:val="auto"/>
          <w:kern w:val="0"/>
          <w:sz w:val="28"/>
          <w:szCs w:val="28"/>
        </w:rPr>
        <w:t>第六章  合同条款及格式</w:t>
      </w:r>
      <w:bookmarkEnd w:id="205"/>
      <w:bookmarkEnd w:id="206"/>
      <w:bookmarkEnd w:id="207"/>
      <w:bookmarkEnd w:id="208"/>
      <w:bookmarkEnd w:id="209"/>
      <w:bookmarkEnd w:id="210"/>
      <w:bookmarkEnd w:id="211"/>
      <w:bookmarkEnd w:id="212"/>
      <w:bookmarkEnd w:id="213"/>
    </w:p>
    <w:p w14:paraId="55DB47F0">
      <w:pPr>
        <w:spacing w:line="500" w:lineRule="exact"/>
        <w:ind w:firstLine="281" w:firstLineChars="100"/>
        <w:jc w:val="center"/>
        <w:rPr>
          <w:rFonts w:hint="eastAsia" w:ascii="宋体" w:hAnsi="宋体" w:eastAsia="宋体" w:cs="宋体"/>
          <w:b/>
          <w:bCs/>
          <w:sz w:val="28"/>
          <w:szCs w:val="28"/>
        </w:rPr>
      </w:pPr>
      <w:bookmarkStart w:id="214" w:name="_Toc22570_WPSOffice_Level2"/>
      <w:r>
        <w:rPr>
          <w:rFonts w:hint="eastAsia" w:ascii="宋体" w:hAnsi="宋体" w:eastAsia="宋体" w:cs="宋体"/>
          <w:b/>
          <w:bCs/>
          <w:sz w:val="28"/>
          <w:szCs w:val="28"/>
        </w:rPr>
        <w:t>（</w:t>
      </w:r>
      <w:r>
        <w:rPr>
          <w:rFonts w:hint="eastAsia" w:ascii="宋体" w:hAnsi="宋体" w:eastAsia="宋体" w:cs="宋体"/>
          <w:b/>
          <w:sz w:val="28"/>
          <w:szCs w:val="28"/>
        </w:rPr>
        <w:t>合同仅供参考，具体以实际签订为准</w:t>
      </w:r>
      <w:r>
        <w:rPr>
          <w:rFonts w:hint="eastAsia" w:ascii="宋体" w:hAnsi="宋体" w:eastAsia="宋体" w:cs="宋体"/>
          <w:b/>
          <w:bCs/>
          <w:sz w:val="28"/>
          <w:szCs w:val="28"/>
        </w:rPr>
        <w:t>）</w:t>
      </w:r>
      <w:bookmarkEnd w:id="214"/>
    </w:p>
    <w:p w14:paraId="7E105A94">
      <w:pPr>
        <w:pStyle w:val="9"/>
        <w:spacing w:after="0"/>
        <w:jc w:val="center"/>
        <w:rPr>
          <w:rFonts w:hint="eastAsia" w:ascii="宋体" w:hAnsi="宋体" w:eastAsia="宋体" w:cs="宋体"/>
          <w:b/>
          <w:bCs/>
          <w:spacing w:val="-20"/>
          <w:kern w:val="44"/>
          <w:sz w:val="28"/>
          <w:szCs w:val="28"/>
        </w:rPr>
      </w:pPr>
      <w:bookmarkStart w:id="215" w:name="_Toc3995"/>
      <w:bookmarkStart w:id="216" w:name="_Toc22965"/>
      <w:bookmarkStart w:id="217" w:name="_Toc30479"/>
      <w:bookmarkStart w:id="218" w:name="_Toc1783889396"/>
    </w:p>
    <w:bookmarkEnd w:id="215"/>
    <w:p w14:paraId="4F5323A3">
      <w:pPr>
        <w:jc w:val="center"/>
        <w:rPr>
          <w:rFonts w:hint="eastAsia" w:ascii="宋体" w:hAnsi="宋体" w:eastAsia="宋体" w:cs="宋体"/>
          <w:sz w:val="84"/>
          <w:szCs w:val="84"/>
        </w:rPr>
      </w:pPr>
      <w:r>
        <w:rPr>
          <w:rFonts w:hint="eastAsia" w:ascii="宋体" w:hAnsi="宋体" w:eastAsia="宋体" w:cs="宋体"/>
          <w:sz w:val="84"/>
          <w:szCs w:val="84"/>
        </w:rPr>
        <w:t>新  疆  大  学</w:t>
      </w:r>
    </w:p>
    <w:p w14:paraId="3F1506F7">
      <w:pPr>
        <w:jc w:val="center"/>
        <w:rPr>
          <w:rFonts w:hint="eastAsia" w:ascii="宋体" w:hAnsi="宋体" w:eastAsia="宋体" w:cs="宋体"/>
          <w:sz w:val="48"/>
          <w:szCs w:val="48"/>
        </w:rPr>
      </w:pPr>
      <w:r>
        <w:rPr>
          <w:rFonts w:hint="eastAsia" w:ascii="宋体" w:hAnsi="宋体" w:eastAsia="宋体" w:cs="宋体"/>
          <w:sz w:val="48"/>
          <w:szCs w:val="48"/>
        </w:rPr>
        <w:t>（</w:t>
      </w:r>
      <w:r>
        <w:rPr>
          <w:rFonts w:hint="eastAsia" w:ascii="宋体" w:hAnsi="宋体" w:eastAsia="宋体" w:cs="宋体"/>
          <w:b/>
          <w:bCs/>
          <w:sz w:val="48"/>
          <w:szCs w:val="48"/>
        </w:rPr>
        <w:t>设备类招标采购</w:t>
      </w:r>
      <w:r>
        <w:rPr>
          <w:rFonts w:hint="eastAsia" w:ascii="宋体" w:hAnsi="宋体" w:eastAsia="宋体" w:cs="宋体"/>
          <w:sz w:val="48"/>
          <w:szCs w:val="48"/>
        </w:rPr>
        <w:t>）</w:t>
      </w:r>
    </w:p>
    <w:p w14:paraId="4997353A">
      <w:pPr>
        <w:jc w:val="center"/>
        <w:rPr>
          <w:rFonts w:hint="eastAsia" w:ascii="宋体" w:hAnsi="宋体" w:eastAsia="宋体" w:cs="宋体"/>
          <w:sz w:val="44"/>
          <w:szCs w:val="44"/>
        </w:rPr>
      </w:pPr>
    </w:p>
    <w:p w14:paraId="43B4BB42">
      <w:pPr>
        <w:jc w:val="center"/>
        <w:rPr>
          <w:rFonts w:hint="eastAsia" w:ascii="宋体" w:hAnsi="宋体" w:eastAsia="宋体" w:cs="宋体"/>
          <w:sz w:val="84"/>
          <w:szCs w:val="84"/>
        </w:rPr>
      </w:pPr>
      <w:r>
        <w:rPr>
          <w:rFonts w:hint="eastAsia" w:ascii="宋体" w:hAnsi="宋体" w:eastAsia="宋体" w:cs="宋体"/>
          <w:sz w:val="84"/>
          <w:szCs w:val="84"/>
        </w:rPr>
        <w:t>供</w:t>
      </w:r>
    </w:p>
    <w:p w14:paraId="6787F59B">
      <w:pPr>
        <w:jc w:val="center"/>
        <w:rPr>
          <w:rFonts w:hint="eastAsia" w:ascii="宋体" w:hAnsi="宋体" w:eastAsia="宋体" w:cs="宋体"/>
          <w:sz w:val="84"/>
          <w:szCs w:val="84"/>
        </w:rPr>
      </w:pPr>
      <w:r>
        <w:rPr>
          <w:rFonts w:hint="eastAsia" w:ascii="宋体" w:hAnsi="宋体" w:eastAsia="宋体" w:cs="宋体"/>
          <w:sz w:val="84"/>
          <w:szCs w:val="84"/>
        </w:rPr>
        <w:t>货</w:t>
      </w:r>
    </w:p>
    <w:p w14:paraId="71195B57">
      <w:pPr>
        <w:jc w:val="center"/>
        <w:rPr>
          <w:rFonts w:hint="eastAsia" w:ascii="宋体" w:hAnsi="宋体" w:eastAsia="宋体" w:cs="宋体"/>
          <w:sz w:val="84"/>
          <w:szCs w:val="84"/>
        </w:rPr>
      </w:pPr>
      <w:r>
        <w:rPr>
          <w:rFonts w:hint="eastAsia" w:ascii="宋体" w:hAnsi="宋体" w:eastAsia="宋体" w:cs="宋体"/>
          <w:sz w:val="84"/>
          <w:szCs w:val="84"/>
        </w:rPr>
        <w:t>合</w:t>
      </w:r>
    </w:p>
    <w:p w14:paraId="6084CF53">
      <w:pPr>
        <w:jc w:val="center"/>
        <w:rPr>
          <w:rFonts w:hint="eastAsia" w:ascii="宋体" w:hAnsi="宋体" w:eastAsia="宋体" w:cs="宋体"/>
          <w:sz w:val="84"/>
          <w:szCs w:val="84"/>
        </w:rPr>
      </w:pPr>
      <w:r>
        <w:rPr>
          <w:rFonts w:hint="eastAsia" w:ascii="宋体" w:hAnsi="宋体" w:eastAsia="宋体" w:cs="宋体"/>
          <w:sz w:val="84"/>
          <w:szCs w:val="84"/>
        </w:rPr>
        <w:t>同</w:t>
      </w:r>
    </w:p>
    <w:p w14:paraId="7FB2A844">
      <w:pPr>
        <w:rPr>
          <w:rFonts w:hint="eastAsia" w:ascii="宋体" w:hAnsi="宋体" w:eastAsia="宋体" w:cs="宋体"/>
          <w:sz w:val="36"/>
          <w:szCs w:val="36"/>
        </w:rPr>
      </w:pPr>
    </w:p>
    <w:p w14:paraId="68BE2E4B">
      <w:pPr>
        <w:rPr>
          <w:rFonts w:hint="eastAsia" w:ascii="宋体" w:hAnsi="宋体" w:eastAsia="宋体" w:cs="宋体"/>
          <w:sz w:val="36"/>
          <w:szCs w:val="36"/>
        </w:rPr>
      </w:pPr>
    </w:p>
    <w:p w14:paraId="04A2AE3F">
      <w:pPr>
        <w:rPr>
          <w:rFonts w:hint="eastAsia" w:ascii="宋体" w:hAnsi="宋体" w:eastAsia="宋体" w:cs="宋体"/>
          <w:sz w:val="36"/>
          <w:szCs w:val="36"/>
        </w:rPr>
      </w:pPr>
    </w:p>
    <w:p w14:paraId="61E4BFDE">
      <w:pPr>
        <w:ind w:firstLine="1280" w:firstLineChars="400"/>
        <w:rPr>
          <w:rFonts w:hint="eastAsia" w:ascii="宋体" w:hAnsi="宋体" w:eastAsia="宋体" w:cs="宋体"/>
          <w:spacing w:val="54"/>
          <w:kern w:val="4"/>
          <w:sz w:val="32"/>
          <w:szCs w:val="32"/>
        </w:rPr>
      </w:pPr>
      <w:r>
        <w:rPr>
          <w:rFonts w:hint="eastAsia" w:ascii="宋体" w:hAnsi="宋体" w:eastAsia="宋体" w:cs="宋体"/>
          <w:sz w:val="32"/>
          <w:szCs w:val="32"/>
        </w:rPr>
        <w:t>招标项目名称：</w:t>
      </w:r>
      <w:r>
        <w:rPr>
          <w:rFonts w:hint="eastAsia" w:ascii="宋体" w:hAnsi="宋体" w:eastAsia="宋体" w:cs="宋体"/>
          <w:bCs/>
          <w:sz w:val="32"/>
          <w:szCs w:val="32"/>
          <w:u w:val="single"/>
        </w:rPr>
        <w:t xml:space="preserve">                      </w:t>
      </w:r>
    </w:p>
    <w:p w14:paraId="0E559919">
      <w:pPr>
        <w:ind w:firstLine="1280" w:firstLineChars="400"/>
        <w:rPr>
          <w:rFonts w:hint="eastAsia" w:ascii="宋体" w:hAnsi="宋体" w:eastAsia="宋体" w:cs="宋体"/>
          <w:sz w:val="32"/>
          <w:szCs w:val="32"/>
        </w:rPr>
      </w:pPr>
      <w:r>
        <w:rPr>
          <w:rFonts w:hint="eastAsia" w:ascii="宋体" w:hAnsi="宋体" w:eastAsia="宋体" w:cs="宋体"/>
          <w:sz w:val="32"/>
          <w:szCs w:val="32"/>
        </w:rPr>
        <w:t>招标文件编号：</w:t>
      </w:r>
      <w:r>
        <w:rPr>
          <w:rFonts w:hint="eastAsia" w:ascii="宋体" w:hAnsi="宋体" w:eastAsia="宋体" w:cs="宋体"/>
          <w:bCs/>
          <w:sz w:val="32"/>
          <w:szCs w:val="32"/>
          <w:u w:val="single"/>
        </w:rPr>
        <w:t xml:space="preserve">                       </w:t>
      </w:r>
    </w:p>
    <w:p w14:paraId="16B6B1B7">
      <w:pPr>
        <w:rPr>
          <w:rFonts w:hint="eastAsia" w:ascii="宋体" w:hAnsi="宋体" w:eastAsia="宋体" w:cs="宋体"/>
          <w:sz w:val="30"/>
          <w:szCs w:val="30"/>
        </w:rPr>
      </w:pPr>
    </w:p>
    <w:p w14:paraId="5EFAE3E2">
      <w:pPr>
        <w:jc w:val="center"/>
        <w:rPr>
          <w:rFonts w:hint="eastAsia" w:ascii="宋体" w:hAnsi="宋体" w:eastAsia="宋体" w:cs="宋体"/>
          <w:sz w:val="32"/>
          <w:szCs w:val="32"/>
        </w:rPr>
      </w:pPr>
    </w:p>
    <w:p w14:paraId="5391CBAA">
      <w:pPr>
        <w:jc w:val="center"/>
        <w:rPr>
          <w:rFonts w:hint="eastAsia" w:ascii="宋体" w:hAnsi="宋体" w:eastAsia="宋体" w:cs="宋体"/>
          <w:sz w:val="32"/>
          <w:szCs w:val="32"/>
        </w:rPr>
      </w:pPr>
    </w:p>
    <w:p w14:paraId="075650D4">
      <w:pPr>
        <w:jc w:val="center"/>
        <w:rPr>
          <w:rFonts w:hint="eastAsia" w:ascii="宋体" w:hAnsi="宋体" w:eastAsia="宋体" w:cs="宋体"/>
          <w:sz w:val="32"/>
          <w:szCs w:val="32"/>
        </w:rPr>
      </w:pPr>
    </w:p>
    <w:p w14:paraId="21774467">
      <w:pPr>
        <w:numPr>
          <w:ilvl w:val="255"/>
          <w:numId w:val="0"/>
        </w:numPr>
        <w:spacing w:line="560" w:lineRule="exact"/>
        <w:ind w:firstLine="643" w:firstLineChars="200"/>
        <w:rPr>
          <w:rFonts w:hint="eastAsia" w:ascii="宋体" w:hAnsi="宋体" w:eastAsia="宋体" w:cs="宋体"/>
          <w:b/>
          <w:bCs/>
          <w:sz w:val="32"/>
          <w:szCs w:val="32"/>
        </w:rPr>
      </w:pPr>
    </w:p>
    <w:p w14:paraId="4C825F6D">
      <w:pPr>
        <w:numPr>
          <w:ilvl w:val="255"/>
          <w:numId w:val="0"/>
        </w:numPr>
        <w:spacing w:line="560" w:lineRule="exact"/>
        <w:ind w:firstLine="643" w:firstLineChars="200"/>
        <w:rPr>
          <w:rFonts w:hint="eastAsia" w:ascii="宋体" w:hAnsi="宋体" w:eastAsia="宋体" w:cs="宋体"/>
          <w:b/>
          <w:bCs/>
          <w:sz w:val="32"/>
          <w:szCs w:val="32"/>
        </w:rPr>
      </w:pPr>
    </w:p>
    <w:p w14:paraId="1CC5ECDC">
      <w:pPr>
        <w:numPr>
          <w:ilvl w:val="255"/>
          <w:numId w:val="0"/>
        </w:numPr>
        <w:spacing w:line="560" w:lineRule="exact"/>
        <w:ind w:firstLine="643" w:firstLineChars="200"/>
        <w:rPr>
          <w:rFonts w:hint="eastAsia" w:ascii="宋体" w:hAnsi="宋体" w:eastAsia="宋体" w:cs="宋体"/>
          <w:b/>
          <w:bCs/>
          <w:sz w:val="32"/>
          <w:szCs w:val="32"/>
        </w:rPr>
      </w:pPr>
    </w:p>
    <w:p w14:paraId="265A6E44">
      <w:pPr>
        <w:numPr>
          <w:ilvl w:val="255"/>
          <w:numId w:val="0"/>
        </w:numPr>
        <w:spacing w:line="56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新疆大学合同填写说明：</w:t>
      </w:r>
    </w:p>
    <w:p w14:paraId="2E018368">
      <w:pPr>
        <w:numPr>
          <w:ilvl w:val="255"/>
          <w:numId w:val="0"/>
        </w:num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1.本合同为限制性编辑的制式合同模板，未经合同签订双方同意不得对限制编辑内容进行修改。</w:t>
      </w:r>
    </w:p>
    <w:p w14:paraId="00EFBBB9">
      <w:pPr>
        <w:numPr>
          <w:ilvl w:val="255"/>
          <w:numId w:val="0"/>
        </w:num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2.合同信息内容电话、传真、开户行号等如无使用“/”代替。</w:t>
      </w:r>
    </w:p>
    <w:p w14:paraId="0AD4447D">
      <w:pPr>
        <w:numPr>
          <w:ilvl w:val="255"/>
          <w:numId w:val="0"/>
        </w:num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3.合同标的物参数必须详细列出。</w:t>
      </w:r>
    </w:p>
    <w:p w14:paraId="3B607904">
      <w:pPr>
        <w:numPr>
          <w:ilvl w:val="255"/>
          <w:numId w:val="0"/>
        </w:num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4.合同打印方式双面打印。</w:t>
      </w:r>
    </w:p>
    <w:p w14:paraId="2FB5F329">
      <w:pPr>
        <w:numPr>
          <w:ilvl w:val="255"/>
          <w:numId w:val="0"/>
        </w:num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5.合同签订需双方加盖骑缝章。</w:t>
      </w:r>
    </w:p>
    <w:p w14:paraId="439E041D">
      <w:pPr>
        <w:rPr>
          <w:rFonts w:hint="eastAsia" w:ascii="宋体" w:hAnsi="宋体" w:eastAsia="宋体" w:cs="宋体"/>
          <w:sz w:val="32"/>
          <w:szCs w:val="32"/>
        </w:rPr>
      </w:pPr>
      <w:r>
        <w:rPr>
          <w:rFonts w:hint="eastAsia" w:ascii="宋体" w:hAnsi="宋体" w:eastAsia="宋体" w:cs="宋体"/>
          <w:sz w:val="32"/>
          <w:szCs w:val="32"/>
        </w:rPr>
        <w:br w:type="page"/>
      </w:r>
    </w:p>
    <w:p w14:paraId="344ED4A1">
      <w:pPr>
        <w:jc w:val="center"/>
        <w:rPr>
          <w:rFonts w:hint="eastAsia" w:ascii="宋体" w:hAnsi="宋体" w:eastAsia="宋体" w:cs="宋体"/>
          <w:b/>
          <w:bCs/>
          <w:sz w:val="44"/>
          <w:szCs w:val="44"/>
        </w:rPr>
      </w:pPr>
      <w:r>
        <w:rPr>
          <w:rFonts w:hint="eastAsia" w:ascii="宋体" w:hAnsi="宋体" w:eastAsia="宋体" w:cs="宋体"/>
          <w:b/>
          <w:bCs/>
          <w:sz w:val="44"/>
          <w:szCs w:val="44"/>
        </w:rPr>
        <w:t>新疆大学(设备类招标采购）供货合同</w:t>
      </w:r>
    </w:p>
    <w:p w14:paraId="6A88352C">
      <w:pPr>
        <w:spacing w:line="560" w:lineRule="exact"/>
        <w:rPr>
          <w:rFonts w:hint="eastAsia" w:ascii="宋体" w:hAnsi="宋体" w:eastAsia="宋体" w:cs="宋体"/>
          <w:sz w:val="28"/>
          <w:szCs w:val="28"/>
        </w:rPr>
      </w:pPr>
    </w:p>
    <w:p w14:paraId="673E37A6">
      <w:pPr>
        <w:spacing w:line="560" w:lineRule="exact"/>
        <w:rPr>
          <w:rFonts w:hint="eastAsia" w:ascii="宋体" w:hAnsi="宋体" w:eastAsia="宋体" w:cs="宋体"/>
          <w:b/>
          <w:bCs/>
          <w:sz w:val="28"/>
          <w:szCs w:val="28"/>
        </w:rPr>
      </w:pPr>
      <w:r>
        <w:rPr>
          <w:rFonts w:hint="eastAsia" w:ascii="宋体" w:hAnsi="宋体" w:eastAsia="宋体" w:cs="宋体"/>
          <w:sz w:val="28"/>
          <w:szCs w:val="28"/>
        </w:rPr>
        <w:t>甲   方：</w:t>
      </w:r>
      <w:r>
        <w:rPr>
          <w:rFonts w:hint="eastAsia" w:ascii="宋体" w:hAnsi="宋体" w:eastAsia="宋体" w:cs="宋体"/>
          <w:b/>
          <w:bCs/>
          <w:sz w:val="28"/>
          <w:szCs w:val="28"/>
        </w:rPr>
        <w:t>新疆大学</w:t>
      </w:r>
    </w:p>
    <w:p w14:paraId="6B212114">
      <w:pPr>
        <w:spacing w:line="560" w:lineRule="exact"/>
        <w:rPr>
          <w:rFonts w:hint="eastAsia" w:ascii="宋体" w:hAnsi="宋体" w:eastAsia="宋体" w:cs="宋体"/>
          <w:sz w:val="28"/>
          <w:szCs w:val="28"/>
        </w:rPr>
      </w:pPr>
      <w:r>
        <w:rPr>
          <w:rFonts w:hint="eastAsia" w:ascii="宋体" w:hAnsi="宋体" w:eastAsia="宋体" w:cs="宋体"/>
          <w:sz w:val="28"/>
          <w:szCs w:val="28"/>
        </w:rPr>
        <w:t xml:space="preserve">乙   方：       </w:t>
      </w:r>
    </w:p>
    <w:p w14:paraId="5E01E979">
      <w:pPr>
        <w:numPr>
          <w:ilvl w:val="255"/>
          <w:numId w:val="0"/>
        </w:numPr>
        <w:spacing w:line="560" w:lineRule="exact"/>
        <w:ind w:firstLine="560" w:firstLineChars="200"/>
        <w:rPr>
          <w:rFonts w:hint="eastAsia" w:ascii="宋体" w:hAnsi="宋体" w:eastAsia="宋体" w:cs="宋体"/>
          <w:b/>
          <w:sz w:val="28"/>
          <w:szCs w:val="28"/>
        </w:rPr>
      </w:pPr>
      <w:r>
        <w:rPr>
          <w:rFonts w:hint="eastAsia" w:ascii="宋体" w:hAnsi="宋体" w:eastAsia="宋体" w:cs="宋体"/>
          <w:sz w:val="28"/>
          <w:szCs w:val="28"/>
        </w:rPr>
        <w:t>按照20  年  月   日组织招标的</w:t>
      </w:r>
      <w:r>
        <w:rPr>
          <w:rFonts w:hint="eastAsia" w:ascii="宋体" w:hAnsi="宋体" w:eastAsia="宋体" w:cs="宋体"/>
          <w:bCs/>
          <w:sz w:val="28"/>
          <w:szCs w:val="28"/>
        </w:rPr>
        <w:t xml:space="preserve">          </w:t>
      </w:r>
      <w:r>
        <w:rPr>
          <w:rFonts w:hint="eastAsia" w:ascii="宋体" w:hAnsi="宋体" w:eastAsia="宋体" w:cs="宋体"/>
          <w:sz w:val="28"/>
          <w:szCs w:val="28"/>
        </w:rPr>
        <w:t>项目，项目编号为</w:t>
      </w:r>
      <w:r>
        <w:rPr>
          <w:rFonts w:hint="eastAsia" w:ascii="宋体" w:hAnsi="宋体" w:eastAsia="宋体" w:cs="宋体"/>
          <w:bCs/>
          <w:sz w:val="28"/>
          <w:szCs w:val="28"/>
        </w:rPr>
        <w:t xml:space="preserve">          </w:t>
      </w:r>
      <w:r>
        <w:rPr>
          <w:rFonts w:hint="eastAsia" w:ascii="宋体" w:hAnsi="宋体" w:eastAsia="宋体" w:cs="宋体"/>
          <w:sz w:val="28"/>
          <w:szCs w:val="28"/>
        </w:rPr>
        <w:t>，采购计划号为</w:t>
      </w:r>
      <w:r>
        <w:rPr>
          <w:rFonts w:hint="eastAsia" w:ascii="宋体" w:hAnsi="宋体" w:eastAsia="宋体" w:cs="宋体"/>
          <w:bCs/>
          <w:sz w:val="28"/>
          <w:szCs w:val="28"/>
        </w:rPr>
        <w:t xml:space="preserve">          </w:t>
      </w:r>
      <w:r>
        <w:rPr>
          <w:rFonts w:hint="eastAsia" w:ascii="宋体" w:hAnsi="宋体" w:eastAsia="宋体" w:cs="宋体"/>
          <w:sz w:val="28"/>
          <w:szCs w:val="28"/>
        </w:rPr>
        <w:t>，经评定，乙方     为第</w:t>
      </w:r>
      <w:r>
        <w:rPr>
          <w:rFonts w:hint="eastAsia" w:ascii="宋体" w:hAnsi="宋体" w:eastAsia="宋体" w:cs="宋体"/>
          <w:sz w:val="28"/>
          <w:szCs w:val="28"/>
          <w:u w:val="single"/>
        </w:rPr>
        <w:t xml:space="preserve">   </w:t>
      </w:r>
      <w:r>
        <w:rPr>
          <w:rFonts w:hint="eastAsia" w:ascii="宋体" w:hAnsi="宋体" w:eastAsia="宋体" w:cs="宋体"/>
          <w:sz w:val="28"/>
          <w:szCs w:val="28"/>
        </w:rPr>
        <w:t>包中标方。根据《中华人民共和国政府采购法》和《中华人民共和国民法典》的规定，按照公平、公正、平等自愿和诚实信用、协商一致的原则，甲、乙双方授权代表就所供合同标的物的购销、安装、调试和售后服务等事宜达成如下条款。</w:t>
      </w:r>
    </w:p>
    <w:p w14:paraId="113F9185">
      <w:pPr>
        <w:numPr>
          <w:ilvl w:val="255"/>
          <w:numId w:val="0"/>
        </w:num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一、合同标的物名称、型号、数量、质保期及价格（单位：元）</w:t>
      </w:r>
    </w:p>
    <w:tbl>
      <w:tblPr>
        <w:tblStyle w:val="23"/>
        <w:tblW w:w="8755" w:type="dxa"/>
        <w:tblInd w:w="-318" w:type="dxa"/>
        <w:tblLayout w:type="fixed"/>
        <w:tblCellMar>
          <w:top w:w="0" w:type="dxa"/>
          <w:left w:w="108" w:type="dxa"/>
          <w:bottom w:w="0" w:type="dxa"/>
          <w:right w:w="108" w:type="dxa"/>
        </w:tblCellMar>
      </w:tblPr>
      <w:tblGrid>
        <w:gridCol w:w="1059"/>
        <w:gridCol w:w="1517"/>
        <w:gridCol w:w="1154"/>
        <w:gridCol w:w="777"/>
        <w:gridCol w:w="1416"/>
        <w:gridCol w:w="773"/>
        <w:gridCol w:w="1029"/>
        <w:gridCol w:w="1030"/>
      </w:tblGrid>
      <w:tr w14:paraId="7FFBC035">
        <w:tblPrEx>
          <w:tblCellMar>
            <w:top w:w="0" w:type="dxa"/>
            <w:left w:w="108" w:type="dxa"/>
            <w:bottom w:w="0" w:type="dxa"/>
            <w:right w:w="108" w:type="dxa"/>
          </w:tblCellMar>
        </w:tblPrEx>
        <w:trPr>
          <w:trHeight w:val="778" w:hRule="exact"/>
        </w:trPr>
        <w:tc>
          <w:tcPr>
            <w:tcW w:w="1059" w:type="dxa"/>
            <w:tcBorders>
              <w:top w:val="single" w:color="auto" w:sz="4" w:space="0"/>
              <w:left w:val="single" w:color="auto" w:sz="4" w:space="0"/>
              <w:bottom w:val="single" w:color="auto" w:sz="4" w:space="0"/>
              <w:right w:val="single" w:color="auto" w:sz="4" w:space="0"/>
            </w:tcBorders>
            <w:vAlign w:val="center"/>
          </w:tcPr>
          <w:p w14:paraId="79F44AB1">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sz w:val="28"/>
                <w:szCs w:val="28"/>
              </w:rPr>
              <w:t>序号</w:t>
            </w:r>
          </w:p>
        </w:tc>
        <w:tc>
          <w:tcPr>
            <w:tcW w:w="1517" w:type="dxa"/>
            <w:tcBorders>
              <w:top w:val="single" w:color="auto" w:sz="4" w:space="0"/>
              <w:left w:val="nil"/>
              <w:bottom w:val="single" w:color="auto" w:sz="4" w:space="0"/>
              <w:right w:val="single" w:color="auto" w:sz="4" w:space="0"/>
            </w:tcBorders>
            <w:vAlign w:val="center"/>
          </w:tcPr>
          <w:p w14:paraId="065A1E81">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sz w:val="28"/>
                <w:szCs w:val="28"/>
              </w:rPr>
              <w:t xml:space="preserve"> </w:t>
            </w:r>
          </w:p>
        </w:tc>
        <w:tc>
          <w:tcPr>
            <w:tcW w:w="1154" w:type="dxa"/>
            <w:tcBorders>
              <w:top w:val="single" w:color="auto" w:sz="4" w:space="0"/>
              <w:left w:val="nil"/>
              <w:bottom w:val="single" w:color="auto" w:sz="4" w:space="0"/>
              <w:right w:val="single" w:color="auto" w:sz="4" w:space="0"/>
            </w:tcBorders>
            <w:vAlign w:val="center"/>
          </w:tcPr>
          <w:p w14:paraId="12EEB257">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p>
        </w:tc>
        <w:tc>
          <w:tcPr>
            <w:tcW w:w="777" w:type="dxa"/>
            <w:tcBorders>
              <w:top w:val="single" w:color="auto" w:sz="4" w:space="0"/>
              <w:left w:val="single" w:color="auto" w:sz="4" w:space="0"/>
              <w:bottom w:val="single" w:color="auto" w:sz="4" w:space="0"/>
              <w:right w:val="single" w:color="auto" w:sz="4" w:space="0"/>
            </w:tcBorders>
            <w:vAlign w:val="center"/>
          </w:tcPr>
          <w:p w14:paraId="52ABA688">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sz w:val="28"/>
                <w:szCs w:val="28"/>
              </w:rPr>
              <w:t xml:space="preserve"> </w:t>
            </w:r>
          </w:p>
        </w:tc>
        <w:tc>
          <w:tcPr>
            <w:tcW w:w="1416" w:type="dxa"/>
            <w:tcBorders>
              <w:top w:val="single" w:color="auto" w:sz="4" w:space="0"/>
              <w:left w:val="nil"/>
              <w:bottom w:val="single" w:color="auto" w:sz="4" w:space="0"/>
              <w:right w:val="single" w:color="auto" w:sz="4" w:space="0"/>
            </w:tcBorders>
            <w:vAlign w:val="center"/>
          </w:tcPr>
          <w:p w14:paraId="30941100">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sz w:val="28"/>
                <w:szCs w:val="28"/>
              </w:rPr>
              <w:t xml:space="preserve"> </w:t>
            </w:r>
          </w:p>
        </w:tc>
        <w:tc>
          <w:tcPr>
            <w:tcW w:w="773" w:type="dxa"/>
            <w:tcBorders>
              <w:top w:val="single" w:color="auto" w:sz="4" w:space="0"/>
              <w:left w:val="nil"/>
              <w:bottom w:val="single" w:color="auto" w:sz="4" w:space="0"/>
              <w:right w:val="single" w:color="auto" w:sz="4" w:space="0"/>
            </w:tcBorders>
            <w:vAlign w:val="center"/>
          </w:tcPr>
          <w:p w14:paraId="14CDA14A">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p>
        </w:tc>
        <w:tc>
          <w:tcPr>
            <w:tcW w:w="1029" w:type="dxa"/>
            <w:tcBorders>
              <w:top w:val="single" w:color="auto" w:sz="4" w:space="0"/>
              <w:left w:val="nil"/>
              <w:bottom w:val="single" w:color="auto" w:sz="4" w:space="0"/>
              <w:right w:val="single" w:color="auto" w:sz="4" w:space="0"/>
            </w:tcBorders>
            <w:vAlign w:val="center"/>
          </w:tcPr>
          <w:p w14:paraId="0E2E0ED0">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p>
        </w:tc>
        <w:tc>
          <w:tcPr>
            <w:tcW w:w="1030" w:type="dxa"/>
            <w:tcBorders>
              <w:top w:val="single" w:color="auto" w:sz="4" w:space="0"/>
              <w:left w:val="nil"/>
              <w:bottom w:val="single" w:color="auto" w:sz="4" w:space="0"/>
              <w:right w:val="single" w:color="auto" w:sz="4" w:space="0"/>
            </w:tcBorders>
            <w:vAlign w:val="center"/>
          </w:tcPr>
          <w:p w14:paraId="6F8FAB06">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sz w:val="28"/>
                <w:szCs w:val="28"/>
              </w:rPr>
              <w:t xml:space="preserve"> </w:t>
            </w:r>
          </w:p>
        </w:tc>
      </w:tr>
      <w:tr w14:paraId="7DEFF3F9">
        <w:tblPrEx>
          <w:tblCellMar>
            <w:top w:w="0" w:type="dxa"/>
            <w:left w:w="108" w:type="dxa"/>
            <w:bottom w:w="0" w:type="dxa"/>
            <w:right w:w="108" w:type="dxa"/>
          </w:tblCellMar>
        </w:tblPrEx>
        <w:trPr>
          <w:trHeight w:val="689" w:hRule="exact"/>
        </w:trPr>
        <w:tc>
          <w:tcPr>
            <w:tcW w:w="1059" w:type="dxa"/>
            <w:tcBorders>
              <w:top w:val="nil"/>
              <w:left w:val="single" w:color="auto" w:sz="4" w:space="0"/>
              <w:bottom w:val="single" w:color="auto" w:sz="4" w:space="0"/>
              <w:right w:val="single" w:color="auto" w:sz="4" w:space="0"/>
            </w:tcBorders>
            <w:vAlign w:val="center"/>
          </w:tcPr>
          <w:p w14:paraId="7FC86E42">
            <w:pPr>
              <w:keepNext w:val="0"/>
              <w:keepLines w:val="0"/>
              <w:widowControl/>
              <w:suppressLineNumbers w:val="0"/>
              <w:adjustRightInd w:val="0"/>
              <w:snapToGrid w:val="0"/>
              <w:spacing w:before="0" w:beforeAutospacing="0" w:after="0" w:afterAutospacing="0"/>
              <w:ind w:left="-170" w:leftChars="-50" w:right="-170" w:rightChars="-50"/>
              <w:jc w:val="center"/>
              <w:rPr>
                <w:rFonts w:hint="eastAsia" w:ascii="宋体" w:hAnsi="宋体" w:eastAsia="宋体" w:cs="宋体"/>
                <w:sz w:val="28"/>
                <w:szCs w:val="28"/>
              </w:rPr>
            </w:pPr>
            <w:r>
              <w:rPr>
                <w:rFonts w:hint="eastAsia" w:ascii="宋体" w:hAnsi="宋体" w:eastAsia="宋体" w:cs="宋体"/>
                <w:sz w:val="28"/>
                <w:szCs w:val="28"/>
              </w:rPr>
              <w:t>1</w:t>
            </w:r>
          </w:p>
        </w:tc>
        <w:tc>
          <w:tcPr>
            <w:tcW w:w="1517" w:type="dxa"/>
            <w:tcBorders>
              <w:top w:val="nil"/>
              <w:left w:val="nil"/>
              <w:bottom w:val="single" w:color="auto" w:sz="4" w:space="0"/>
              <w:right w:val="single" w:color="auto" w:sz="4" w:space="0"/>
            </w:tcBorders>
            <w:vAlign w:val="center"/>
          </w:tcPr>
          <w:p w14:paraId="2A9F1ECF">
            <w:pPr>
              <w:keepNext w:val="0"/>
              <w:keepLines w:val="0"/>
              <w:widowControl/>
              <w:suppressLineNumbers w:val="0"/>
              <w:adjustRightInd w:val="0"/>
              <w:snapToGrid w:val="0"/>
              <w:spacing w:before="0" w:beforeAutospacing="0" w:after="0" w:afterAutospacing="0"/>
              <w:ind w:left="-170" w:leftChars="-50" w:right="-170" w:rightChars="-50"/>
              <w:jc w:val="center"/>
              <w:rPr>
                <w:rFonts w:hint="eastAsia" w:ascii="宋体" w:hAnsi="宋体" w:eastAsia="宋体" w:cs="宋体"/>
                <w:sz w:val="28"/>
                <w:szCs w:val="28"/>
              </w:rPr>
            </w:pPr>
            <w:r>
              <w:rPr>
                <w:rFonts w:hint="eastAsia" w:ascii="宋体" w:hAnsi="宋体" w:eastAsia="宋体" w:cs="宋体"/>
                <w:sz w:val="28"/>
                <w:szCs w:val="28"/>
              </w:rPr>
              <w:t xml:space="preserve"> </w:t>
            </w:r>
          </w:p>
        </w:tc>
        <w:tc>
          <w:tcPr>
            <w:tcW w:w="1154" w:type="dxa"/>
            <w:tcBorders>
              <w:top w:val="nil"/>
              <w:left w:val="nil"/>
              <w:bottom w:val="single" w:color="auto" w:sz="4" w:space="0"/>
              <w:right w:val="single" w:color="auto" w:sz="4" w:space="0"/>
            </w:tcBorders>
            <w:vAlign w:val="center"/>
          </w:tcPr>
          <w:p w14:paraId="24F961C2">
            <w:pPr>
              <w:keepNext w:val="0"/>
              <w:keepLines w:val="0"/>
              <w:widowControl/>
              <w:suppressLineNumbers w:val="0"/>
              <w:adjustRightInd w:val="0"/>
              <w:snapToGrid w:val="0"/>
              <w:spacing w:before="0" w:beforeAutospacing="0" w:after="0" w:afterAutospacing="0"/>
              <w:ind w:left="-170" w:leftChars="-50" w:right="-170" w:rightChars="-50"/>
              <w:jc w:val="center"/>
              <w:rPr>
                <w:rFonts w:hint="eastAsia" w:ascii="宋体" w:hAnsi="宋体" w:eastAsia="宋体" w:cs="宋体"/>
                <w:sz w:val="28"/>
                <w:szCs w:val="28"/>
              </w:rPr>
            </w:pPr>
            <w:r>
              <w:rPr>
                <w:rFonts w:hint="eastAsia" w:ascii="宋体" w:hAnsi="宋体" w:eastAsia="宋体" w:cs="宋体"/>
                <w:sz w:val="28"/>
                <w:szCs w:val="28"/>
              </w:rPr>
              <w:t xml:space="preserve"> </w:t>
            </w:r>
          </w:p>
        </w:tc>
        <w:tc>
          <w:tcPr>
            <w:tcW w:w="777" w:type="dxa"/>
            <w:tcBorders>
              <w:top w:val="nil"/>
              <w:left w:val="single" w:color="auto" w:sz="4" w:space="0"/>
              <w:bottom w:val="single" w:color="auto" w:sz="4" w:space="0"/>
              <w:right w:val="single" w:color="auto" w:sz="4" w:space="0"/>
            </w:tcBorders>
            <w:vAlign w:val="center"/>
          </w:tcPr>
          <w:p w14:paraId="3B7C7F44">
            <w:pPr>
              <w:keepNext w:val="0"/>
              <w:keepLines w:val="0"/>
              <w:widowControl/>
              <w:suppressLineNumbers w:val="0"/>
              <w:adjustRightInd w:val="0"/>
              <w:snapToGrid w:val="0"/>
              <w:spacing w:before="0" w:beforeAutospacing="0" w:after="0" w:afterAutospacing="0"/>
              <w:ind w:left="-170" w:leftChars="-50" w:right="-170" w:rightChars="-50"/>
              <w:jc w:val="center"/>
              <w:rPr>
                <w:rFonts w:hint="eastAsia" w:ascii="宋体" w:hAnsi="宋体" w:eastAsia="宋体" w:cs="宋体"/>
                <w:sz w:val="28"/>
                <w:szCs w:val="28"/>
              </w:rPr>
            </w:pPr>
            <w:r>
              <w:rPr>
                <w:rFonts w:hint="eastAsia" w:ascii="宋体" w:hAnsi="宋体" w:eastAsia="宋体" w:cs="宋体"/>
                <w:sz w:val="28"/>
                <w:szCs w:val="28"/>
              </w:rPr>
              <w:t xml:space="preserve"> </w:t>
            </w:r>
          </w:p>
        </w:tc>
        <w:tc>
          <w:tcPr>
            <w:tcW w:w="1416" w:type="dxa"/>
            <w:tcBorders>
              <w:top w:val="nil"/>
              <w:left w:val="nil"/>
              <w:bottom w:val="single" w:color="auto" w:sz="4" w:space="0"/>
              <w:right w:val="single" w:color="auto" w:sz="4" w:space="0"/>
            </w:tcBorders>
            <w:vAlign w:val="center"/>
          </w:tcPr>
          <w:p w14:paraId="2EF887DA">
            <w:pPr>
              <w:keepNext w:val="0"/>
              <w:keepLines w:val="0"/>
              <w:widowControl/>
              <w:suppressLineNumbers w:val="0"/>
              <w:adjustRightInd w:val="0"/>
              <w:snapToGrid w:val="0"/>
              <w:spacing w:before="0" w:beforeAutospacing="0" w:after="0" w:afterAutospacing="0"/>
              <w:ind w:left="-170" w:leftChars="-50" w:right="-170" w:rightChars="-50"/>
              <w:jc w:val="center"/>
              <w:rPr>
                <w:rFonts w:hint="eastAsia" w:ascii="宋体" w:hAnsi="宋体" w:eastAsia="宋体" w:cs="宋体"/>
                <w:sz w:val="28"/>
                <w:szCs w:val="28"/>
              </w:rPr>
            </w:pPr>
            <w:r>
              <w:rPr>
                <w:rFonts w:hint="eastAsia" w:ascii="宋体" w:hAnsi="宋体" w:eastAsia="宋体" w:cs="宋体"/>
                <w:sz w:val="28"/>
                <w:szCs w:val="28"/>
              </w:rPr>
              <w:t xml:space="preserve"> </w:t>
            </w:r>
          </w:p>
        </w:tc>
        <w:tc>
          <w:tcPr>
            <w:tcW w:w="773" w:type="dxa"/>
            <w:tcBorders>
              <w:top w:val="nil"/>
              <w:left w:val="nil"/>
              <w:bottom w:val="single" w:color="auto" w:sz="4" w:space="0"/>
              <w:right w:val="single" w:color="auto" w:sz="4" w:space="0"/>
            </w:tcBorders>
            <w:vAlign w:val="center"/>
          </w:tcPr>
          <w:p w14:paraId="7EB0D28C">
            <w:pPr>
              <w:keepNext w:val="0"/>
              <w:keepLines w:val="0"/>
              <w:widowControl/>
              <w:suppressLineNumbers w:val="0"/>
              <w:adjustRightInd w:val="0"/>
              <w:snapToGrid w:val="0"/>
              <w:spacing w:before="0" w:beforeAutospacing="0" w:after="0" w:afterAutospacing="0"/>
              <w:ind w:left="-170" w:leftChars="-50" w:right="-170" w:rightChars="-50"/>
              <w:jc w:val="center"/>
              <w:rPr>
                <w:rFonts w:hint="eastAsia" w:ascii="宋体" w:hAnsi="宋体" w:eastAsia="宋体" w:cs="宋体"/>
                <w:sz w:val="28"/>
                <w:szCs w:val="28"/>
              </w:rPr>
            </w:pPr>
            <w:r>
              <w:rPr>
                <w:rFonts w:hint="eastAsia" w:ascii="宋体" w:hAnsi="宋体" w:eastAsia="宋体" w:cs="宋体"/>
                <w:sz w:val="28"/>
                <w:szCs w:val="28"/>
              </w:rPr>
              <w:t xml:space="preserve"> </w:t>
            </w:r>
          </w:p>
        </w:tc>
        <w:tc>
          <w:tcPr>
            <w:tcW w:w="1029" w:type="dxa"/>
            <w:tcBorders>
              <w:top w:val="nil"/>
              <w:left w:val="nil"/>
              <w:bottom w:val="single" w:color="auto" w:sz="4" w:space="0"/>
              <w:right w:val="single" w:color="auto" w:sz="4" w:space="0"/>
            </w:tcBorders>
            <w:vAlign w:val="center"/>
          </w:tcPr>
          <w:p w14:paraId="62C2963D">
            <w:pPr>
              <w:keepNext w:val="0"/>
              <w:keepLines w:val="0"/>
              <w:widowControl/>
              <w:suppressLineNumbers w:val="0"/>
              <w:adjustRightInd w:val="0"/>
              <w:snapToGrid w:val="0"/>
              <w:spacing w:before="0" w:beforeAutospacing="0" w:after="0" w:afterAutospacing="0"/>
              <w:ind w:left="-170" w:leftChars="-50" w:right="-170" w:rightChars="-50"/>
              <w:jc w:val="center"/>
              <w:rPr>
                <w:rFonts w:hint="eastAsia" w:ascii="宋体" w:hAnsi="宋体" w:eastAsia="宋体" w:cs="宋体"/>
                <w:sz w:val="28"/>
                <w:szCs w:val="28"/>
              </w:rPr>
            </w:pPr>
            <w:r>
              <w:rPr>
                <w:rFonts w:hint="eastAsia" w:ascii="宋体" w:hAnsi="宋体" w:eastAsia="宋体" w:cs="宋体"/>
                <w:sz w:val="28"/>
                <w:szCs w:val="28"/>
              </w:rPr>
              <w:t xml:space="preserve"> </w:t>
            </w:r>
          </w:p>
        </w:tc>
        <w:tc>
          <w:tcPr>
            <w:tcW w:w="1030" w:type="dxa"/>
            <w:tcBorders>
              <w:top w:val="nil"/>
              <w:left w:val="nil"/>
              <w:bottom w:val="single" w:color="auto" w:sz="4" w:space="0"/>
              <w:right w:val="single" w:color="auto" w:sz="4" w:space="0"/>
            </w:tcBorders>
            <w:vAlign w:val="center"/>
          </w:tcPr>
          <w:p w14:paraId="2A05BC96">
            <w:pPr>
              <w:keepNext w:val="0"/>
              <w:keepLines w:val="0"/>
              <w:widowControl/>
              <w:suppressLineNumbers w:val="0"/>
              <w:adjustRightInd w:val="0"/>
              <w:snapToGrid w:val="0"/>
              <w:spacing w:before="0" w:beforeAutospacing="0" w:after="0" w:afterAutospacing="0"/>
              <w:ind w:left="-170" w:leftChars="-50" w:right="-170" w:rightChars="-50"/>
              <w:jc w:val="center"/>
              <w:rPr>
                <w:rFonts w:hint="eastAsia" w:ascii="宋体" w:hAnsi="宋体" w:eastAsia="宋体" w:cs="宋体"/>
                <w:sz w:val="28"/>
                <w:szCs w:val="28"/>
              </w:rPr>
            </w:pPr>
            <w:r>
              <w:rPr>
                <w:rFonts w:hint="eastAsia" w:ascii="宋体" w:hAnsi="宋体" w:eastAsia="宋体" w:cs="宋体"/>
                <w:sz w:val="28"/>
                <w:szCs w:val="28"/>
              </w:rPr>
              <w:t xml:space="preserve"> </w:t>
            </w:r>
          </w:p>
        </w:tc>
      </w:tr>
      <w:tr w14:paraId="499D4DFD">
        <w:tblPrEx>
          <w:tblCellMar>
            <w:top w:w="0" w:type="dxa"/>
            <w:left w:w="108" w:type="dxa"/>
            <w:bottom w:w="0" w:type="dxa"/>
            <w:right w:w="108" w:type="dxa"/>
          </w:tblCellMar>
        </w:tblPrEx>
        <w:trPr>
          <w:trHeight w:val="689" w:hRule="exact"/>
        </w:trPr>
        <w:tc>
          <w:tcPr>
            <w:tcW w:w="1059" w:type="dxa"/>
            <w:tcBorders>
              <w:top w:val="nil"/>
              <w:left w:val="single" w:color="auto" w:sz="4" w:space="0"/>
              <w:bottom w:val="single" w:color="auto" w:sz="4" w:space="0"/>
              <w:right w:val="single" w:color="auto" w:sz="4" w:space="0"/>
            </w:tcBorders>
            <w:vAlign w:val="center"/>
          </w:tcPr>
          <w:p w14:paraId="07C5CD01">
            <w:pPr>
              <w:keepNext w:val="0"/>
              <w:keepLines w:val="0"/>
              <w:widowControl/>
              <w:suppressLineNumbers w:val="0"/>
              <w:adjustRightInd w:val="0"/>
              <w:snapToGrid w:val="0"/>
              <w:spacing w:before="0" w:beforeAutospacing="0" w:after="0" w:afterAutospacing="0"/>
              <w:ind w:left="-170" w:leftChars="-50" w:right="-170" w:rightChars="-50"/>
              <w:jc w:val="center"/>
              <w:rPr>
                <w:rFonts w:hint="eastAsia" w:ascii="宋体" w:hAnsi="宋体" w:eastAsia="宋体" w:cs="宋体"/>
                <w:sz w:val="28"/>
                <w:szCs w:val="28"/>
              </w:rPr>
            </w:pPr>
          </w:p>
        </w:tc>
        <w:tc>
          <w:tcPr>
            <w:tcW w:w="1517" w:type="dxa"/>
            <w:tcBorders>
              <w:top w:val="nil"/>
              <w:left w:val="nil"/>
              <w:bottom w:val="single" w:color="auto" w:sz="4" w:space="0"/>
              <w:right w:val="single" w:color="auto" w:sz="4" w:space="0"/>
            </w:tcBorders>
            <w:vAlign w:val="center"/>
          </w:tcPr>
          <w:p w14:paraId="4C1178E2">
            <w:pPr>
              <w:keepNext w:val="0"/>
              <w:keepLines w:val="0"/>
              <w:widowControl/>
              <w:suppressLineNumbers w:val="0"/>
              <w:adjustRightInd w:val="0"/>
              <w:snapToGrid w:val="0"/>
              <w:spacing w:before="0" w:beforeAutospacing="0" w:after="0" w:afterAutospacing="0"/>
              <w:ind w:left="-170" w:leftChars="-50" w:right="-170" w:rightChars="-50"/>
              <w:jc w:val="center"/>
              <w:rPr>
                <w:rFonts w:hint="eastAsia" w:ascii="宋体" w:hAnsi="宋体" w:eastAsia="宋体" w:cs="宋体"/>
                <w:sz w:val="28"/>
                <w:szCs w:val="28"/>
              </w:rPr>
            </w:pPr>
          </w:p>
        </w:tc>
        <w:tc>
          <w:tcPr>
            <w:tcW w:w="1154" w:type="dxa"/>
            <w:tcBorders>
              <w:top w:val="nil"/>
              <w:left w:val="nil"/>
              <w:bottom w:val="single" w:color="auto" w:sz="4" w:space="0"/>
              <w:right w:val="single" w:color="auto" w:sz="4" w:space="0"/>
            </w:tcBorders>
            <w:vAlign w:val="center"/>
          </w:tcPr>
          <w:p w14:paraId="76CA2410">
            <w:pPr>
              <w:keepNext w:val="0"/>
              <w:keepLines w:val="0"/>
              <w:widowControl/>
              <w:suppressLineNumbers w:val="0"/>
              <w:adjustRightInd w:val="0"/>
              <w:snapToGrid w:val="0"/>
              <w:spacing w:before="0" w:beforeAutospacing="0" w:after="0" w:afterAutospacing="0"/>
              <w:ind w:left="-170" w:leftChars="-50" w:right="-170" w:rightChars="-50"/>
              <w:jc w:val="center"/>
              <w:rPr>
                <w:rFonts w:hint="eastAsia" w:ascii="宋体" w:hAnsi="宋体" w:eastAsia="宋体" w:cs="宋体"/>
                <w:sz w:val="28"/>
                <w:szCs w:val="28"/>
              </w:rPr>
            </w:pPr>
          </w:p>
        </w:tc>
        <w:tc>
          <w:tcPr>
            <w:tcW w:w="777" w:type="dxa"/>
            <w:tcBorders>
              <w:top w:val="nil"/>
              <w:left w:val="single" w:color="auto" w:sz="4" w:space="0"/>
              <w:bottom w:val="single" w:color="auto" w:sz="4" w:space="0"/>
              <w:right w:val="single" w:color="auto" w:sz="4" w:space="0"/>
            </w:tcBorders>
            <w:vAlign w:val="center"/>
          </w:tcPr>
          <w:p w14:paraId="0E9421EB">
            <w:pPr>
              <w:keepNext w:val="0"/>
              <w:keepLines w:val="0"/>
              <w:widowControl/>
              <w:suppressLineNumbers w:val="0"/>
              <w:adjustRightInd w:val="0"/>
              <w:snapToGrid w:val="0"/>
              <w:spacing w:before="0" w:beforeAutospacing="0" w:after="0" w:afterAutospacing="0"/>
              <w:ind w:left="-170" w:leftChars="-50" w:right="-170" w:rightChars="-50"/>
              <w:jc w:val="center"/>
              <w:rPr>
                <w:rFonts w:hint="eastAsia" w:ascii="宋体" w:hAnsi="宋体" w:eastAsia="宋体" w:cs="宋体"/>
                <w:sz w:val="28"/>
                <w:szCs w:val="28"/>
              </w:rPr>
            </w:pPr>
          </w:p>
        </w:tc>
        <w:tc>
          <w:tcPr>
            <w:tcW w:w="1416" w:type="dxa"/>
            <w:tcBorders>
              <w:top w:val="nil"/>
              <w:left w:val="nil"/>
              <w:bottom w:val="single" w:color="auto" w:sz="4" w:space="0"/>
              <w:right w:val="single" w:color="auto" w:sz="4" w:space="0"/>
            </w:tcBorders>
            <w:vAlign w:val="center"/>
          </w:tcPr>
          <w:p w14:paraId="26CA015F">
            <w:pPr>
              <w:keepNext w:val="0"/>
              <w:keepLines w:val="0"/>
              <w:widowControl/>
              <w:suppressLineNumbers w:val="0"/>
              <w:adjustRightInd w:val="0"/>
              <w:snapToGrid w:val="0"/>
              <w:spacing w:before="0" w:beforeAutospacing="0" w:after="0" w:afterAutospacing="0"/>
              <w:ind w:left="-170" w:leftChars="-50" w:right="-170" w:rightChars="-50"/>
              <w:jc w:val="center"/>
              <w:rPr>
                <w:rFonts w:hint="eastAsia" w:ascii="宋体" w:hAnsi="宋体" w:eastAsia="宋体" w:cs="宋体"/>
                <w:sz w:val="28"/>
                <w:szCs w:val="28"/>
              </w:rPr>
            </w:pPr>
          </w:p>
        </w:tc>
        <w:tc>
          <w:tcPr>
            <w:tcW w:w="773" w:type="dxa"/>
            <w:tcBorders>
              <w:top w:val="nil"/>
              <w:left w:val="nil"/>
              <w:bottom w:val="single" w:color="auto" w:sz="4" w:space="0"/>
              <w:right w:val="single" w:color="auto" w:sz="4" w:space="0"/>
            </w:tcBorders>
            <w:vAlign w:val="center"/>
          </w:tcPr>
          <w:p w14:paraId="3CCE7130">
            <w:pPr>
              <w:keepNext w:val="0"/>
              <w:keepLines w:val="0"/>
              <w:widowControl/>
              <w:suppressLineNumbers w:val="0"/>
              <w:adjustRightInd w:val="0"/>
              <w:snapToGrid w:val="0"/>
              <w:spacing w:before="0" w:beforeAutospacing="0" w:after="0" w:afterAutospacing="0"/>
              <w:ind w:left="-170" w:leftChars="-50" w:right="-170" w:rightChars="-50"/>
              <w:jc w:val="center"/>
              <w:rPr>
                <w:rFonts w:hint="eastAsia" w:ascii="宋体" w:hAnsi="宋体" w:eastAsia="宋体" w:cs="宋体"/>
                <w:sz w:val="28"/>
                <w:szCs w:val="28"/>
              </w:rPr>
            </w:pPr>
          </w:p>
        </w:tc>
        <w:tc>
          <w:tcPr>
            <w:tcW w:w="1029" w:type="dxa"/>
            <w:tcBorders>
              <w:top w:val="nil"/>
              <w:left w:val="nil"/>
              <w:bottom w:val="single" w:color="auto" w:sz="4" w:space="0"/>
              <w:right w:val="single" w:color="auto" w:sz="4" w:space="0"/>
            </w:tcBorders>
            <w:vAlign w:val="center"/>
          </w:tcPr>
          <w:p w14:paraId="7ED4AB92">
            <w:pPr>
              <w:keepNext w:val="0"/>
              <w:keepLines w:val="0"/>
              <w:widowControl/>
              <w:suppressLineNumbers w:val="0"/>
              <w:adjustRightInd w:val="0"/>
              <w:snapToGrid w:val="0"/>
              <w:spacing w:before="0" w:beforeAutospacing="0" w:after="0" w:afterAutospacing="0"/>
              <w:ind w:left="-170" w:leftChars="-50" w:right="-170" w:rightChars="-50"/>
              <w:jc w:val="center"/>
              <w:rPr>
                <w:rFonts w:hint="eastAsia" w:ascii="宋体" w:hAnsi="宋体" w:eastAsia="宋体" w:cs="宋体"/>
                <w:sz w:val="28"/>
                <w:szCs w:val="28"/>
              </w:rPr>
            </w:pPr>
          </w:p>
        </w:tc>
        <w:tc>
          <w:tcPr>
            <w:tcW w:w="1030" w:type="dxa"/>
            <w:tcBorders>
              <w:top w:val="nil"/>
              <w:left w:val="nil"/>
              <w:bottom w:val="single" w:color="auto" w:sz="4" w:space="0"/>
              <w:right w:val="single" w:color="auto" w:sz="4" w:space="0"/>
            </w:tcBorders>
            <w:vAlign w:val="center"/>
          </w:tcPr>
          <w:p w14:paraId="658DDEC4">
            <w:pPr>
              <w:keepNext w:val="0"/>
              <w:keepLines w:val="0"/>
              <w:widowControl/>
              <w:suppressLineNumbers w:val="0"/>
              <w:adjustRightInd w:val="0"/>
              <w:snapToGrid w:val="0"/>
              <w:spacing w:before="0" w:beforeAutospacing="0" w:after="0" w:afterAutospacing="0"/>
              <w:ind w:left="-170" w:leftChars="-50" w:right="-170" w:rightChars="-50"/>
              <w:jc w:val="center"/>
              <w:rPr>
                <w:rFonts w:hint="eastAsia" w:ascii="宋体" w:hAnsi="宋体" w:eastAsia="宋体" w:cs="宋体"/>
                <w:sz w:val="28"/>
                <w:szCs w:val="28"/>
              </w:rPr>
            </w:pPr>
          </w:p>
        </w:tc>
      </w:tr>
      <w:tr w14:paraId="20E96E95">
        <w:tblPrEx>
          <w:tblCellMar>
            <w:top w:w="0" w:type="dxa"/>
            <w:left w:w="108" w:type="dxa"/>
            <w:bottom w:w="0" w:type="dxa"/>
            <w:right w:w="108" w:type="dxa"/>
          </w:tblCellMar>
        </w:tblPrEx>
        <w:trPr>
          <w:trHeight w:val="1358" w:hRule="exact"/>
        </w:trPr>
        <w:tc>
          <w:tcPr>
            <w:tcW w:w="8755" w:type="dxa"/>
            <w:gridSpan w:val="8"/>
            <w:tcBorders>
              <w:top w:val="single" w:color="auto" w:sz="4" w:space="0"/>
              <w:left w:val="single" w:color="auto" w:sz="4" w:space="0"/>
              <w:bottom w:val="single" w:color="auto" w:sz="4" w:space="0"/>
              <w:right w:val="single" w:color="auto" w:sz="4" w:space="0"/>
            </w:tcBorders>
            <w:vAlign w:val="center"/>
          </w:tcPr>
          <w:p w14:paraId="5314C74F">
            <w:pPr>
              <w:keepNext w:val="0"/>
              <w:keepLines w:val="0"/>
              <w:suppressLineNumbers w:val="0"/>
              <w:spacing w:before="0" w:beforeAutospacing="0" w:after="0" w:afterAutospacing="0"/>
              <w:ind w:left="0" w:right="0"/>
              <w:jc w:val="left"/>
              <w:rPr>
                <w:rFonts w:hint="eastAsia" w:ascii="宋体" w:hAnsi="宋体" w:eastAsia="宋体" w:cs="宋体"/>
                <w:sz w:val="28"/>
                <w:szCs w:val="28"/>
              </w:rPr>
            </w:pPr>
            <w:r>
              <w:rPr>
                <w:rFonts w:hint="eastAsia" w:ascii="宋体" w:hAnsi="宋体" w:eastAsia="宋体" w:cs="宋体"/>
                <w:sz w:val="24"/>
                <w:szCs w:val="24"/>
              </w:rPr>
              <w:t>总计：大写人民币       元整，小写¥     元（包括但不限于运输费、保险费及所配套的土建、吊装就位，培训、安装、调试等所有相关费用）</w:t>
            </w:r>
          </w:p>
        </w:tc>
      </w:tr>
    </w:tbl>
    <w:p w14:paraId="0A31864F">
      <w:pPr>
        <w:spacing w:line="560" w:lineRule="exact"/>
        <w:ind w:firstLine="560" w:firstLineChars="200"/>
        <w:rPr>
          <w:rFonts w:hint="eastAsia" w:ascii="宋体" w:hAnsi="宋体" w:eastAsia="宋体" w:cs="宋体"/>
          <w:sz w:val="28"/>
          <w:szCs w:val="28"/>
        </w:rPr>
      </w:pPr>
      <w:r>
        <w:rPr>
          <w:rFonts w:hint="eastAsia" w:ascii="宋体" w:hAnsi="宋体" w:eastAsia="宋体" w:cs="宋体"/>
          <w:bCs/>
          <w:sz w:val="28"/>
          <w:szCs w:val="28"/>
        </w:rPr>
        <w:t>二、报价币种、合同总价</w:t>
      </w:r>
    </w:p>
    <w:p w14:paraId="7A5EE6EA">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本合同总金额为¥    元，大写人民币       元整，含税及运费、安装、调试等所有相关费用。</w:t>
      </w:r>
    </w:p>
    <w:p w14:paraId="05C04FC2">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三、付款方式</w:t>
      </w:r>
    </w:p>
    <w:p w14:paraId="58A8DE80">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甲乙双方合同签订后，甲方向乙方支付合同总金额40%的预付款（乙方需提供甲方认可的预付款保函），乙方在合同约定的时间内将所供合同标的物运至甲方指定地点，乙方在甲方收到合同标的物5日内对合同标的物进行安装调试，经甲方书面验收合格后，甲方向乙方支付合同总金额55%的货款。剩余的合同总金额5%的货款，自甲方书面验收合格之日起满壹年，经甲方再次验收，无质量问题后，甲方无息支付给乙方。</w:t>
      </w:r>
    </w:p>
    <w:p w14:paraId="4E78BB0F">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乙方账户信息如下：</w:t>
      </w:r>
    </w:p>
    <w:p w14:paraId="3327E0CA">
      <w:pPr>
        <w:spacing w:line="560" w:lineRule="exact"/>
        <w:ind w:firstLine="562" w:firstLineChars="200"/>
        <w:rPr>
          <w:rFonts w:hint="eastAsia" w:ascii="宋体" w:hAnsi="宋体" w:eastAsia="宋体" w:cs="宋体"/>
          <w:b/>
          <w:sz w:val="28"/>
          <w:szCs w:val="28"/>
          <w:u w:val="single"/>
        </w:rPr>
      </w:pPr>
      <w:r>
        <w:rPr>
          <w:rFonts w:hint="eastAsia" w:ascii="宋体" w:hAnsi="宋体" w:eastAsia="宋体" w:cs="宋体"/>
          <w:b/>
          <w:sz w:val="28"/>
          <w:szCs w:val="28"/>
        </w:rPr>
        <w:t xml:space="preserve">开户名称：                              </w:t>
      </w:r>
    </w:p>
    <w:p w14:paraId="45ECF36E">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 xml:space="preserve">账    号：                             </w:t>
      </w:r>
    </w:p>
    <w:p w14:paraId="0256F8BD">
      <w:pPr>
        <w:spacing w:line="560" w:lineRule="exact"/>
        <w:ind w:firstLine="562" w:firstLineChars="200"/>
        <w:rPr>
          <w:rFonts w:hint="eastAsia" w:ascii="宋体" w:hAnsi="宋体" w:eastAsia="宋体" w:cs="宋体"/>
          <w:b/>
          <w:sz w:val="28"/>
          <w:szCs w:val="28"/>
          <w:u w:val="single"/>
        </w:rPr>
      </w:pPr>
      <w:r>
        <w:rPr>
          <w:rFonts w:hint="eastAsia" w:ascii="宋体" w:hAnsi="宋体" w:eastAsia="宋体" w:cs="宋体"/>
          <w:b/>
          <w:sz w:val="28"/>
          <w:szCs w:val="28"/>
        </w:rPr>
        <w:t xml:space="preserve">开 户 行：                              </w:t>
      </w:r>
    </w:p>
    <w:p w14:paraId="58471D41">
      <w:pPr>
        <w:spacing w:line="560" w:lineRule="exact"/>
        <w:ind w:firstLine="560" w:firstLineChars="200"/>
        <w:rPr>
          <w:rFonts w:hint="eastAsia" w:ascii="宋体" w:hAnsi="宋体" w:eastAsia="宋体" w:cs="宋体"/>
          <w:b/>
          <w:sz w:val="28"/>
          <w:szCs w:val="28"/>
        </w:rPr>
      </w:pPr>
      <w:r>
        <w:rPr>
          <w:rFonts w:hint="eastAsia" w:ascii="宋体" w:hAnsi="宋体" w:eastAsia="宋体" w:cs="宋体"/>
          <w:sz w:val="28"/>
          <w:szCs w:val="28"/>
        </w:rPr>
        <w:t>2.本合同约定价款为含税价，乙方应在甲方付款前提供符合甲方财务做账需求的等额增值税（ 专用发票/普通发票 ），否则甲方有权拒付款项且不承担违约责任。</w:t>
      </w:r>
    </w:p>
    <w:p w14:paraId="6E8F45AB">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四、交付地点、时间</w:t>
      </w:r>
    </w:p>
    <w:p w14:paraId="1E53135E">
      <w:pPr>
        <w:pStyle w:val="87"/>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1.甲方指定的地点：乌鲁木齐市胜利路666号新疆大学（单位名称：    ）；具体以甲方通知时指定地点为准。 </w:t>
      </w:r>
    </w:p>
    <w:p w14:paraId="10C3C93E">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2.时间：自          后    天内交付。</w:t>
      </w:r>
    </w:p>
    <w:p w14:paraId="458D28D1">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五、产品质量保证</w:t>
      </w:r>
    </w:p>
    <w:p w14:paraId="3437A0FF">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1.乙方保证合同标的物为全新产品。</w:t>
      </w:r>
    </w:p>
    <w:p w14:paraId="4368B490">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2.乙方保证合同标的物的名称、型号、数量、规格及技术、质量标准、售后服务必须满足招标文件要求。</w:t>
      </w:r>
    </w:p>
    <w:p w14:paraId="02C87351">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3.乙方保证合同标的物按国家标准要求制作，质量完全满足用户的要求并能满足甲方的使用需求。</w:t>
      </w:r>
    </w:p>
    <w:p w14:paraId="693EAFB3">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4.乙方的安装调试人员有义务对甲方维修人员及使用人员进行免费培训，确保维修人员能对合同标的物进行日常维护和一般性故障的查找及故障的排除，确保使用人员能够熟练掌握合同标的物的各项功能和操作。</w:t>
      </w:r>
    </w:p>
    <w:p w14:paraId="49705756">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六、质量保证期</w:t>
      </w:r>
    </w:p>
    <w:p w14:paraId="39F7BBE1">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合同标的物质保期见合同标的物明细表，具体质保期以生产厂家提供的质保期为准。生产厂家提供的质保期少于明细表中质保期的，以明细表中质保期为准；生产厂家提供的质保期长于明细表中质保期的，以生产厂家提供的质保期为准。在质量保证期内，因产品质量出现问题，乙方负责免费维修或更换新合同标的物，并承担与维修和更换相关的运费、安装、调试、保险等一切费用。超过质保期后只收取更换部件成本费用，不收取服务费。</w:t>
      </w:r>
    </w:p>
    <w:p w14:paraId="4E1B7985">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2.质保期自甲方书面验收合格之日起计算，质保期内，如合同标的物发生质量问题，乙方应在   小时内到场进行维修。乙方接到甲方通知后未依照约定时间到场的，甲方有权另行聘请专业人员进行维修，产生的合理费用在剩余的合同总金额的5%货款中予以扣除，不足部分，乙方应予以补足。</w:t>
      </w:r>
    </w:p>
    <w:p w14:paraId="19F12188">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七、技术资料</w:t>
      </w:r>
    </w:p>
    <w:p w14:paraId="4CAD71C0">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乙方需向甲方提供下述资料：所供合同标的物的型号、规格、数量及生产厂家的产品检验证书、出厂检验报告、使用说明书等。</w:t>
      </w:r>
    </w:p>
    <w:p w14:paraId="7B61FBCD">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八、包装及验收</w:t>
      </w:r>
    </w:p>
    <w:p w14:paraId="5659A331">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1.所提供合同标的物必须进行合理包装，免收包装费，包装物不回收。</w:t>
      </w:r>
    </w:p>
    <w:p w14:paraId="4A2DEE85">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2.因包装原因造成合同标的物在运输过程中丢失、损坏，乙方承担全部责任。</w:t>
      </w:r>
    </w:p>
    <w:p w14:paraId="331054E1">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验收标准：按甲方规定的名称、型号、技术参数、数量、生产日期、产地，并根据制造商的《产品合格证》《出厂清单》《技术文件》等进行现场验收，并由甲、乙双方签署验收报告。如有异议，各方应当在验收后七天内以书面形式通知对方。验收合格后由甲方提供合同标的物存放地点，并负责合同标的物的保管和安全。</w:t>
      </w:r>
    </w:p>
    <w:p w14:paraId="340BE0E2">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4.验收期限：甲方需在乙方交货后</w:t>
      </w:r>
      <w:r>
        <w:rPr>
          <w:rFonts w:hint="eastAsia" w:ascii="宋体" w:hAnsi="宋体" w:eastAsia="宋体" w:cs="宋体"/>
          <w:sz w:val="28"/>
          <w:szCs w:val="28"/>
          <w:u w:val="single"/>
        </w:rPr>
        <w:t xml:space="preserve">    </w:t>
      </w:r>
      <w:r>
        <w:rPr>
          <w:rFonts w:hint="eastAsia" w:ascii="宋体" w:hAnsi="宋体" w:eastAsia="宋体" w:cs="宋体"/>
          <w:sz w:val="28"/>
          <w:szCs w:val="28"/>
        </w:rPr>
        <w:t>日内完成验收，如遇特殊情况，双方应另行协商确定验收时间。</w:t>
      </w:r>
    </w:p>
    <w:p w14:paraId="2487D52F">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5.合同标的物风险自通过甲方书面验收并交付甲方之后转移。</w:t>
      </w:r>
    </w:p>
    <w:p w14:paraId="6017B996">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九、甲、乙双方的权利及义务</w:t>
      </w:r>
    </w:p>
    <w:p w14:paraId="2CABABD4">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若甲方对合同标的物有任何更改，包括合同标的物名称、型号、品种、规格、数量、颜色、交付时间等事宜，应书面通知乙方，交付时间从变更之日起顺延。若乙方接到通知后不予更改，由此造成的甲方损失，由乙方承担。</w:t>
      </w:r>
    </w:p>
    <w:p w14:paraId="5C0D62C2">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2.若乙方在交付时，由于甲方的原因或要求，不能及时将合同标的物送达指定地点和验收时，则乙方可按甲方要求延期交货，甲方向乙方出具书面确认书。</w:t>
      </w:r>
    </w:p>
    <w:p w14:paraId="48F72C0B">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3.若甲方在验收后的质量保证期内，发现合同标的物出现质量问题，应及时通知乙方，若需要更换时，乙方应在接到通知后10天内给予更换。</w:t>
      </w:r>
    </w:p>
    <w:p w14:paraId="52DE119B">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4.合同标的物需安装调试的，乙方提供免费的安装调试。</w:t>
      </w:r>
    </w:p>
    <w:p w14:paraId="6F0705D4">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5.乙方对售予甲方的合同标的物提供的质量保证期的质量保证范围，不包括意外事件、不可抗力原因及甲方的违规使用。</w:t>
      </w:r>
    </w:p>
    <w:p w14:paraId="33417829">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十、合同变更、违约及其它</w:t>
      </w:r>
    </w:p>
    <w:p w14:paraId="3476BA5B">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1.合同经甲、乙双方法定代表人或授权代理人签字（盖章）并加盖单位公章后立即生效。</w:t>
      </w:r>
    </w:p>
    <w:p w14:paraId="283EDA87">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合同的变更需甲、乙双方协商一致签订补充协议，并由法定代表人或授权代理人签字（盖章）且加盖单位公章后立即生效。补充协议与本合同具有同等法律效力，补充协议与本合同内容不一致的，以补充协议为准。</w:t>
      </w:r>
    </w:p>
    <w:p w14:paraId="6A773D63">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乙方必须在本合同规定的时间内按时交货，否则由乙方负责承担全部责任。乙方逾期交货的，按日承担合同总额千分之五的违约金；逾期交货超过15天的，甲方有权单方解除合同，乙方除退还货款外还应当另行承担合同总额20%的违约金。</w:t>
      </w:r>
      <w:r>
        <w:rPr>
          <w:rFonts w:hint="eastAsia" w:ascii="宋体" w:hAnsi="宋体" w:eastAsia="宋体" w:cs="宋体"/>
          <w:sz w:val="28"/>
        </w:rPr>
        <w:t>甲方选择要求重新供货的，乙方逾期送达的，按日承担合同金额千分之五的违约金；逾期超过15天的，甲方有权单方面解除合同；甲方选择单方解除合同的，乙方</w:t>
      </w:r>
      <w:r>
        <w:rPr>
          <w:rFonts w:hint="eastAsia" w:ascii="宋体" w:hAnsi="宋体" w:eastAsia="宋体" w:cs="宋体"/>
          <w:sz w:val="28"/>
          <w:szCs w:val="28"/>
        </w:rPr>
        <w:t>除退还货款外还应当</w:t>
      </w:r>
      <w:r>
        <w:rPr>
          <w:rFonts w:hint="eastAsia" w:ascii="宋体" w:hAnsi="宋体" w:eastAsia="宋体" w:cs="宋体"/>
          <w:sz w:val="28"/>
        </w:rPr>
        <w:t>另行承担合同总额10%的违约金。</w:t>
      </w:r>
    </w:p>
    <w:p w14:paraId="0A183144">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乙方提供的产品或服务不符合合同约定的，甲方有权选择要求乙方重新供货或单方解除合同。甲方选择要求重新供货的，乙方逾期送达的，按照本条上一款承担违约责任；甲方选择单方解除合同的，按照本条上一款承担违约责任。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14:paraId="7C33AA54">
      <w:pPr>
        <w:pStyle w:val="87"/>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w:t>
      </w:r>
      <w:r>
        <w:rPr>
          <w:rFonts w:hint="eastAsia" w:ascii="宋体" w:hAnsi="宋体" w:eastAsia="宋体" w:cs="宋体"/>
          <w:color w:val="auto"/>
          <w:sz w:val="28"/>
        </w:rPr>
        <w:t>违约金数额不得超过应付未付金额的10%</w:t>
      </w:r>
      <w:r>
        <w:rPr>
          <w:rFonts w:hint="eastAsia" w:ascii="宋体" w:hAnsi="宋体" w:eastAsia="宋体" w:cs="宋体"/>
          <w:color w:val="auto"/>
          <w:sz w:val="28"/>
          <w:szCs w:val="28"/>
        </w:rPr>
        <w:t>。</w:t>
      </w:r>
    </w:p>
    <w:p w14:paraId="31288F54">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5.合同文本不得涂改，如需修改应在合同附件中注明。经甲、乙双方协商达成一致修改意见，需经甲、乙双方代表共同签署此附件，方能生效。</w:t>
      </w:r>
    </w:p>
    <w:p w14:paraId="32F53F14">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rPr>
        <w:t>本合同根据20  年  月   日由         组织的招标文件编号为         招标会的招投标结果签订。招标文件、投标文件、询价文件、报价文件及谈判会议上的答疑记录等均作为合同的附件，是本合同不可分割的组成部分，均与本合同具有同等法律效力，本合同未述及和不详之处，以附件为准。</w:t>
      </w:r>
    </w:p>
    <w:p w14:paraId="2C047F59">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7.甲、乙双方发生争议时，应先协商解决，经协商不能达成一致时，任何一方均可向甲方所在地人民法院提起诉讼。</w:t>
      </w:r>
    </w:p>
    <w:p w14:paraId="331E3780">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8.合同一式陆份，甲方执叁份，乙方执叁份。</w:t>
      </w:r>
    </w:p>
    <w:p w14:paraId="3C312050">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9.乙方向甲方提供专业的售后服务工程师并提供专人长期驻扎甲方（发生的所有相关费用均由乙方自行承担），保证第一时间解决问题。</w:t>
      </w:r>
    </w:p>
    <w:p w14:paraId="5EC59DC2">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10.一方违约，还应赔偿守约方因此遭受的其他损失，包括为主张权益所支付的律师费、交通费、公证费、保全费、保全保险费、鉴定费、评估费等全部费用。</w:t>
      </w:r>
    </w:p>
    <w:p w14:paraId="1467EC3D">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11.乙方违约的，甲方有权将相应违约金从应给乙方支付的货款中直接予以扣除。</w:t>
      </w:r>
    </w:p>
    <w:p w14:paraId="5C1C0B1A">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12.本合同尾部载明的双方地址、电话等信息，系双方有效联系方式，如发生变更，应提前书面通知另一方，否则依该联系方式送达相关文书的，视为送达成功。</w:t>
      </w:r>
    </w:p>
    <w:p w14:paraId="289F16FC">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13.本协议中所载的书面通知方式仅指当事人亲自送达、挂号信、EMS方式。一方采取当事人亲自送达方式的，另一方有积极配合签收的义务。如一方拒绝签收而使另一方变更送达方式的，由此所产生的费用应当由违约方承担；如以EMS或快递方式寄送的，如无相反证据证明，自寄送之日起的第三日为送达之日。</w:t>
      </w:r>
    </w:p>
    <w:p w14:paraId="26C69EF2">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14.未经另外一方的事先书面同意，任何一方均不得向第三方或其关联企业转让本协议项下的权利义务。</w:t>
      </w:r>
    </w:p>
    <w:p w14:paraId="046EFEC7">
      <w:pPr>
        <w:spacing w:line="560" w:lineRule="exact"/>
        <w:ind w:firstLine="560" w:firstLineChars="200"/>
        <w:rPr>
          <w:rFonts w:hint="eastAsia" w:ascii="宋体" w:hAnsi="宋体" w:eastAsia="宋体" w:cs="宋体"/>
          <w:sz w:val="28"/>
          <w:szCs w:val="28"/>
        </w:rPr>
      </w:pPr>
    </w:p>
    <w:tbl>
      <w:tblPr>
        <w:tblStyle w:val="23"/>
        <w:tblW w:w="10431" w:type="dxa"/>
        <w:jc w:val="center"/>
        <w:tblLayout w:type="fixed"/>
        <w:tblCellMar>
          <w:top w:w="0" w:type="dxa"/>
          <w:left w:w="108" w:type="dxa"/>
          <w:bottom w:w="0" w:type="dxa"/>
          <w:right w:w="108" w:type="dxa"/>
        </w:tblCellMar>
      </w:tblPr>
      <w:tblGrid>
        <w:gridCol w:w="1736"/>
        <w:gridCol w:w="3046"/>
        <w:gridCol w:w="1499"/>
        <w:gridCol w:w="4150"/>
      </w:tblGrid>
      <w:tr w14:paraId="1F2FC254">
        <w:tblPrEx>
          <w:tblCellMar>
            <w:top w:w="0" w:type="dxa"/>
            <w:left w:w="108" w:type="dxa"/>
            <w:bottom w:w="0" w:type="dxa"/>
            <w:right w:w="108" w:type="dxa"/>
          </w:tblCellMar>
        </w:tblPrEx>
        <w:trPr>
          <w:trHeight w:val="590" w:hRule="atLeast"/>
          <w:jc w:val="center"/>
        </w:trPr>
        <w:tc>
          <w:tcPr>
            <w:tcW w:w="1736" w:type="dxa"/>
            <w:vAlign w:val="center"/>
          </w:tcPr>
          <w:p w14:paraId="4C18DE11">
            <w:pPr>
              <w:pStyle w:val="87"/>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甲方：</w:t>
            </w:r>
          </w:p>
        </w:tc>
        <w:tc>
          <w:tcPr>
            <w:tcW w:w="3046" w:type="dxa"/>
            <w:vAlign w:val="center"/>
          </w:tcPr>
          <w:p w14:paraId="77FB6D37">
            <w:pPr>
              <w:pStyle w:val="87"/>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1499" w:type="dxa"/>
            <w:vAlign w:val="center"/>
          </w:tcPr>
          <w:p w14:paraId="4096D26D">
            <w:pPr>
              <w:pStyle w:val="87"/>
              <w:keepNext w:val="0"/>
              <w:keepLines w:val="0"/>
              <w:suppressLineNumbers w:val="0"/>
              <w:snapToGrid w:val="0"/>
              <w:spacing w:before="0" w:beforeAutospacing="0" w:after="0" w:afterAutospacing="0" w:line="560" w:lineRule="exact"/>
              <w:ind w:left="0" w:right="0" w:firstLine="560" w:firstLineChars="200"/>
              <w:jc w:val="distribute"/>
              <w:rPr>
                <w:rFonts w:hint="eastAsia" w:ascii="宋体" w:hAnsi="宋体" w:eastAsia="宋体" w:cs="宋体"/>
                <w:color w:val="auto"/>
                <w:sz w:val="28"/>
                <w:szCs w:val="28"/>
              </w:rPr>
            </w:pPr>
            <w:r>
              <w:rPr>
                <w:rFonts w:hint="eastAsia" w:ascii="宋体" w:hAnsi="宋体" w:eastAsia="宋体" w:cs="宋体"/>
                <w:color w:val="auto"/>
                <w:sz w:val="28"/>
                <w:szCs w:val="28"/>
              </w:rPr>
              <w:t>乙方:</w:t>
            </w:r>
          </w:p>
        </w:tc>
        <w:tc>
          <w:tcPr>
            <w:tcW w:w="4150" w:type="dxa"/>
            <w:vAlign w:val="center"/>
          </w:tcPr>
          <w:p w14:paraId="5F350F62">
            <w:pPr>
              <w:pStyle w:val="87"/>
              <w:keepNext w:val="0"/>
              <w:keepLines w:val="0"/>
              <w:suppressLineNumbers w:val="0"/>
              <w:snapToGrid w:val="0"/>
              <w:spacing w:before="0" w:beforeAutospacing="0" w:after="0" w:afterAutospacing="0" w:line="560" w:lineRule="exact"/>
              <w:ind w:left="0" w:right="0" w:firstLine="560" w:firstLineChars="200"/>
              <w:rPr>
                <w:rFonts w:hint="eastAsia" w:ascii="宋体" w:hAnsi="宋体" w:eastAsia="宋体" w:cs="宋体"/>
                <w:color w:val="auto"/>
                <w:sz w:val="28"/>
                <w:szCs w:val="28"/>
              </w:rPr>
            </w:pPr>
          </w:p>
        </w:tc>
      </w:tr>
      <w:tr w14:paraId="55CAE088">
        <w:tblPrEx>
          <w:tblCellMar>
            <w:top w:w="0" w:type="dxa"/>
            <w:left w:w="108" w:type="dxa"/>
            <w:bottom w:w="0" w:type="dxa"/>
            <w:right w:w="108" w:type="dxa"/>
          </w:tblCellMar>
        </w:tblPrEx>
        <w:trPr>
          <w:jc w:val="center"/>
        </w:trPr>
        <w:tc>
          <w:tcPr>
            <w:tcW w:w="1736" w:type="dxa"/>
            <w:vAlign w:val="center"/>
          </w:tcPr>
          <w:p w14:paraId="67BA47A5">
            <w:pPr>
              <w:pStyle w:val="87"/>
              <w:keepNext w:val="0"/>
              <w:keepLines w:val="0"/>
              <w:suppressLineNumbers w:val="0"/>
              <w:spacing w:before="0" w:beforeAutospacing="0" w:after="0" w:afterAutospacing="0" w:line="560" w:lineRule="exact"/>
              <w:ind w:left="0" w:right="0"/>
              <w:jc w:val="distribute"/>
              <w:rPr>
                <w:rFonts w:hint="eastAsia" w:ascii="宋体" w:hAnsi="宋体" w:eastAsia="宋体" w:cs="宋体"/>
                <w:color w:val="auto"/>
                <w:sz w:val="28"/>
                <w:szCs w:val="28"/>
              </w:rPr>
            </w:pPr>
            <w:r>
              <w:rPr>
                <w:rFonts w:hint="eastAsia" w:ascii="宋体" w:hAnsi="宋体" w:eastAsia="宋体" w:cs="宋体"/>
                <w:color w:val="auto"/>
                <w:sz w:val="28"/>
                <w:szCs w:val="28"/>
              </w:rPr>
              <w:t>单位名称：</w:t>
            </w:r>
          </w:p>
          <w:p w14:paraId="769B0638">
            <w:pPr>
              <w:pStyle w:val="87"/>
              <w:keepNext w:val="0"/>
              <w:keepLines w:val="0"/>
              <w:suppressLineNumbers w:val="0"/>
              <w:spacing w:before="0" w:beforeAutospacing="0" w:after="0" w:afterAutospacing="0" w:line="560" w:lineRule="exact"/>
              <w:ind w:left="0" w:right="0"/>
              <w:jc w:val="distribute"/>
              <w:rPr>
                <w:rFonts w:hint="eastAsia" w:ascii="宋体" w:hAnsi="宋体" w:eastAsia="宋体" w:cs="宋体"/>
                <w:color w:val="auto"/>
                <w:sz w:val="28"/>
                <w:szCs w:val="28"/>
              </w:rPr>
            </w:pPr>
          </w:p>
        </w:tc>
        <w:tc>
          <w:tcPr>
            <w:tcW w:w="3046" w:type="dxa"/>
            <w:vAlign w:val="center"/>
          </w:tcPr>
          <w:p w14:paraId="2AF5C972">
            <w:pPr>
              <w:pStyle w:val="87"/>
              <w:keepNext w:val="0"/>
              <w:keepLines w:val="0"/>
              <w:suppressLineNumbers w:val="0"/>
              <w:spacing w:before="0" w:beforeAutospacing="0" w:after="0" w:afterAutospacing="0" w:line="560" w:lineRule="exact"/>
              <w:ind w:left="0" w:right="-422" w:rightChars="-124"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新疆大学</w:t>
            </w:r>
          </w:p>
        </w:tc>
        <w:tc>
          <w:tcPr>
            <w:tcW w:w="1499" w:type="dxa"/>
            <w:vAlign w:val="center"/>
          </w:tcPr>
          <w:p w14:paraId="50903A52">
            <w:pPr>
              <w:pStyle w:val="87"/>
              <w:keepNext w:val="0"/>
              <w:keepLines w:val="0"/>
              <w:suppressLineNumbers w:val="0"/>
              <w:snapToGrid w:val="0"/>
              <w:spacing w:before="0" w:beforeAutospacing="0" w:after="0" w:afterAutospacing="0" w:line="560" w:lineRule="exact"/>
              <w:ind w:left="0" w:right="0"/>
              <w:jc w:val="distribute"/>
              <w:rPr>
                <w:rFonts w:hint="eastAsia" w:ascii="宋体" w:hAnsi="宋体" w:eastAsia="宋体" w:cs="宋体"/>
                <w:color w:val="auto"/>
                <w:sz w:val="28"/>
                <w:szCs w:val="28"/>
              </w:rPr>
            </w:pPr>
            <w:r>
              <w:rPr>
                <w:rFonts w:hint="eastAsia" w:ascii="宋体" w:hAnsi="宋体" w:eastAsia="宋体" w:cs="宋体"/>
                <w:color w:val="auto"/>
                <w:sz w:val="28"/>
                <w:szCs w:val="28"/>
              </w:rPr>
              <w:t>单位名称:</w:t>
            </w:r>
          </w:p>
          <w:p w14:paraId="317DA556">
            <w:pPr>
              <w:pStyle w:val="87"/>
              <w:keepNext w:val="0"/>
              <w:keepLines w:val="0"/>
              <w:suppressLineNumbers w:val="0"/>
              <w:snapToGrid w:val="0"/>
              <w:spacing w:before="0" w:beforeAutospacing="0" w:after="0" w:afterAutospacing="0" w:line="560" w:lineRule="exact"/>
              <w:ind w:left="0" w:right="0"/>
              <w:jc w:val="distribute"/>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4150" w:type="dxa"/>
            <w:vAlign w:val="center"/>
          </w:tcPr>
          <w:p w14:paraId="77499DE1">
            <w:pPr>
              <w:pStyle w:val="87"/>
              <w:keepNext w:val="0"/>
              <w:keepLines w:val="0"/>
              <w:suppressLineNumbers w:val="0"/>
              <w:snapToGrid w:val="0"/>
              <w:spacing w:before="0" w:beforeAutospacing="0" w:after="0" w:afterAutospacing="0" w:line="560" w:lineRule="exact"/>
              <w:ind w:left="0" w:right="-422" w:rightChars="-124"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r>
      <w:tr w14:paraId="050D7705">
        <w:tblPrEx>
          <w:tblCellMar>
            <w:top w:w="0" w:type="dxa"/>
            <w:left w:w="108" w:type="dxa"/>
            <w:bottom w:w="0" w:type="dxa"/>
            <w:right w:w="108" w:type="dxa"/>
          </w:tblCellMar>
        </w:tblPrEx>
        <w:trPr>
          <w:jc w:val="center"/>
        </w:trPr>
        <w:tc>
          <w:tcPr>
            <w:tcW w:w="1736" w:type="dxa"/>
            <w:vAlign w:val="center"/>
          </w:tcPr>
          <w:p w14:paraId="5768897B">
            <w:pPr>
              <w:pStyle w:val="87"/>
              <w:keepNext w:val="0"/>
              <w:keepLines w:val="0"/>
              <w:suppressLineNumbers w:val="0"/>
              <w:spacing w:before="0" w:beforeAutospacing="0" w:after="0" w:afterAutospacing="0" w:line="560" w:lineRule="exact"/>
              <w:ind w:left="0" w:right="0"/>
              <w:jc w:val="distribute"/>
              <w:rPr>
                <w:rFonts w:hint="eastAsia" w:ascii="宋体" w:hAnsi="宋体" w:eastAsia="宋体" w:cs="宋体"/>
                <w:color w:val="auto"/>
                <w:sz w:val="28"/>
                <w:szCs w:val="28"/>
              </w:rPr>
            </w:pPr>
            <w:r>
              <w:rPr>
                <w:rFonts w:hint="eastAsia" w:ascii="宋体" w:hAnsi="宋体" w:eastAsia="宋体" w:cs="宋体"/>
                <w:color w:val="auto"/>
                <w:sz w:val="28"/>
                <w:szCs w:val="28"/>
              </w:rPr>
              <w:t>公章：</w:t>
            </w:r>
          </w:p>
        </w:tc>
        <w:tc>
          <w:tcPr>
            <w:tcW w:w="3046" w:type="dxa"/>
            <w:vAlign w:val="center"/>
          </w:tcPr>
          <w:p w14:paraId="5821AA46">
            <w:pPr>
              <w:pStyle w:val="87"/>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rPr>
            </w:pPr>
          </w:p>
        </w:tc>
        <w:tc>
          <w:tcPr>
            <w:tcW w:w="1499" w:type="dxa"/>
            <w:vAlign w:val="center"/>
          </w:tcPr>
          <w:p w14:paraId="0EE7A07D">
            <w:pPr>
              <w:pStyle w:val="87"/>
              <w:keepNext w:val="0"/>
              <w:keepLines w:val="0"/>
              <w:suppressLineNumbers w:val="0"/>
              <w:snapToGrid w:val="0"/>
              <w:spacing w:before="0" w:beforeAutospacing="0" w:after="0" w:afterAutospacing="0" w:line="560" w:lineRule="exact"/>
              <w:ind w:left="0" w:right="0"/>
              <w:jc w:val="distribute"/>
              <w:rPr>
                <w:rFonts w:hint="eastAsia" w:ascii="宋体" w:hAnsi="宋体" w:eastAsia="宋体" w:cs="宋体"/>
                <w:color w:val="auto"/>
                <w:sz w:val="28"/>
                <w:szCs w:val="28"/>
              </w:rPr>
            </w:pPr>
            <w:r>
              <w:rPr>
                <w:rFonts w:hint="eastAsia" w:ascii="宋体" w:hAnsi="宋体" w:eastAsia="宋体" w:cs="宋体"/>
                <w:color w:val="auto"/>
                <w:sz w:val="28"/>
                <w:szCs w:val="28"/>
              </w:rPr>
              <w:t>公章:</w:t>
            </w:r>
          </w:p>
        </w:tc>
        <w:tc>
          <w:tcPr>
            <w:tcW w:w="4150" w:type="dxa"/>
            <w:vAlign w:val="center"/>
          </w:tcPr>
          <w:p w14:paraId="146D23B3">
            <w:pPr>
              <w:pStyle w:val="87"/>
              <w:keepNext w:val="0"/>
              <w:keepLines w:val="0"/>
              <w:suppressLineNumbers w:val="0"/>
              <w:snapToGrid w:val="0"/>
              <w:spacing w:before="0" w:beforeAutospacing="0" w:after="0" w:afterAutospacing="0" w:line="560" w:lineRule="exact"/>
              <w:ind w:left="0" w:right="0" w:firstLine="560" w:firstLineChars="200"/>
              <w:rPr>
                <w:rFonts w:hint="eastAsia" w:ascii="宋体" w:hAnsi="宋体" w:eastAsia="宋体" w:cs="宋体"/>
                <w:color w:val="auto"/>
                <w:sz w:val="28"/>
                <w:szCs w:val="28"/>
              </w:rPr>
            </w:pPr>
          </w:p>
        </w:tc>
      </w:tr>
      <w:tr w14:paraId="468BB792">
        <w:tblPrEx>
          <w:tblCellMar>
            <w:top w:w="0" w:type="dxa"/>
            <w:left w:w="108" w:type="dxa"/>
            <w:bottom w:w="0" w:type="dxa"/>
            <w:right w:w="108" w:type="dxa"/>
          </w:tblCellMar>
        </w:tblPrEx>
        <w:trPr>
          <w:jc w:val="center"/>
        </w:trPr>
        <w:tc>
          <w:tcPr>
            <w:tcW w:w="4782" w:type="dxa"/>
            <w:gridSpan w:val="2"/>
            <w:vAlign w:val="center"/>
          </w:tcPr>
          <w:p w14:paraId="5D1142E9">
            <w:pPr>
              <w:pStyle w:val="87"/>
              <w:keepNext w:val="0"/>
              <w:keepLines w:val="0"/>
              <w:suppressLineNumbers w:val="0"/>
              <w:spacing w:before="0" w:beforeAutospacing="0" w:after="0" w:afterAutospacing="0" w:line="560" w:lineRule="exact"/>
              <w:ind w:left="0" w:right="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法定代表人或授权代理人签字：</w:t>
            </w:r>
          </w:p>
        </w:tc>
        <w:tc>
          <w:tcPr>
            <w:tcW w:w="5649" w:type="dxa"/>
            <w:gridSpan w:val="2"/>
            <w:vAlign w:val="center"/>
          </w:tcPr>
          <w:p w14:paraId="077C9409">
            <w:pPr>
              <w:pStyle w:val="87"/>
              <w:keepNext w:val="0"/>
              <w:keepLines w:val="0"/>
              <w:suppressLineNumbers w:val="0"/>
              <w:snapToGrid w:val="0"/>
              <w:spacing w:before="0" w:beforeAutospacing="0" w:after="0" w:afterAutospacing="0" w:line="560" w:lineRule="exact"/>
              <w:ind w:left="0"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法定代表人或授权代理人签字：    </w:t>
            </w:r>
          </w:p>
        </w:tc>
      </w:tr>
      <w:tr w14:paraId="430D4E9E">
        <w:tblPrEx>
          <w:tblCellMar>
            <w:top w:w="0" w:type="dxa"/>
            <w:left w:w="108" w:type="dxa"/>
            <w:bottom w:w="0" w:type="dxa"/>
            <w:right w:w="108" w:type="dxa"/>
          </w:tblCellMar>
        </w:tblPrEx>
        <w:trPr>
          <w:jc w:val="center"/>
        </w:trPr>
        <w:tc>
          <w:tcPr>
            <w:tcW w:w="1736" w:type="dxa"/>
            <w:vAlign w:val="center"/>
          </w:tcPr>
          <w:p w14:paraId="21B6700E">
            <w:pPr>
              <w:pStyle w:val="92"/>
              <w:keepNext w:val="0"/>
              <w:keepLines w:val="0"/>
              <w:suppressLineNumbers w:val="0"/>
              <w:spacing w:before="0" w:beforeAutospacing="0" w:after="0" w:afterAutospacing="0" w:line="560" w:lineRule="exact"/>
              <w:ind w:left="0" w:right="0"/>
              <w:jc w:val="distribute"/>
              <w:rPr>
                <w:rFonts w:hint="eastAsia" w:ascii="宋体" w:hAnsi="宋体" w:eastAsia="宋体" w:cs="宋体"/>
                <w:color w:val="auto"/>
                <w:sz w:val="28"/>
                <w:szCs w:val="28"/>
              </w:rPr>
            </w:pPr>
            <w:r>
              <w:rPr>
                <w:rFonts w:hint="eastAsia" w:ascii="宋体" w:hAnsi="宋体" w:eastAsia="宋体" w:cs="宋体"/>
                <w:color w:val="auto"/>
                <w:sz w:val="28"/>
                <w:szCs w:val="28"/>
              </w:rPr>
              <w:t>电 话：</w:t>
            </w:r>
          </w:p>
        </w:tc>
        <w:tc>
          <w:tcPr>
            <w:tcW w:w="3046" w:type="dxa"/>
            <w:vAlign w:val="center"/>
          </w:tcPr>
          <w:p w14:paraId="1074EED1">
            <w:pPr>
              <w:pStyle w:val="92"/>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1499" w:type="dxa"/>
            <w:vAlign w:val="center"/>
          </w:tcPr>
          <w:p w14:paraId="3F1E5E0B">
            <w:pPr>
              <w:pStyle w:val="92"/>
              <w:keepNext w:val="0"/>
              <w:keepLines w:val="0"/>
              <w:suppressLineNumbers w:val="0"/>
              <w:snapToGrid w:val="0"/>
              <w:spacing w:before="0" w:beforeAutospacing="0" w:after="0" w:afterAutospacing="0" w:line="560" w:lineRule="exact"/>
              <w:ind w:left="0" w:right="0"/>
              <w:jc w:val="distribute"/>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c>
          <w:tcPr>
            <w:tcW w:w="4150" w:type="dxa"/>
          </w:tcPr>
          <w:p w14:paraId="71332C42">
            <w:pPr>
              <w:pStyle w:val="87"/>
              <w:keepNext w:val="0"/>
              <w:keepLines w:val="0"/>
              <w:suppressLineNumbers w:val="0"/>
              <w:snapToGrid w:val="0"/>
              <w:spacing w:before="0" w:beforeAutospacing="0" w:after="0" w:afterAutospacing="0" w:line="560" w:lineRule="exact"/>
              <w:ind w:left="0"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r>
      <w:tr w14:paraId="17BFB6D2">
        <w:tblPrEx>
          <w:tblCellMar>
            <w:top w:w="0" w:type="dxa"/>
            <w:left w:w="108" w:type="dxa"/>
            <w:bottom w:w="0" w:type="dxa"/>
            <w:right w:w="108" w:type="dxa"/>
          </w:tblCellMar>
        </w:tblPrEx>
        <w:trPr>
          <w:jc w:val="center"/>
        </w:trPr>
        <w:tc>
          <w:tcPr>
            <w:tcW w:w="1736" w:type="dxa"/>
            <w:vAlign w:val="center"/>
          </w:tcPr>
          <w:p w14:paraId="3BA37B6E">
            <w:pPr>
              <w:pStyle w:val="92"/>
              <w:keepNext w:val="0"/>
              <w:keepLines w:val="0"/>
              <w:suppressLineNumbers w:val="0"/>
              <w:spacing w:before="0" w:beforeAutospacing="0" w:after="0" w:afterAutospacing="0" w:line="560" w:lineRule="exact"/>
              <w:ind w:left="0" w:right="0"/>
              <w:jc w:val="distribute"/>
              <w:rPr>
                <w:rFonts w:hint="eastAsia" w:ascii="宋体" w:hAnsi="宋体" w:eastAsia="宋体" w:cs="宋体"/>
                <w:color w:val="auto"/>
                <w:sz w:val="28"/>
                <w:szCs w:val="28"/>
              </w:rPr>
            </w:pPr>
            <w:r>
              <w:rPr>
                <w:rFonts w:hint="eastAsia" w:ascii="宋体" w:hAnsi="宋体" w:eastAsia="宋体" w:cs="宋体"/>
                <w:color w:val="auto"/>
                <w:sz w:val="28"/>
                <w:szCs w:val="28"/>
              </w:rPr>
              <w:t>传 真：</w:t>
            </w:r>
          </w:p>
        </w:tc>
        <w:tc>
          <w:tcPr>
            <w:tcW w:w="3046" w:type="dxa"/>
            <w:vAlign w:val="center"/>
          </w:tcPr>
          <w:p w14:paraId="52E5AEE7">
            <w:pPr>
              <w:pStyle w:val="92"/>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1499" w:type="dxa"/>
            <w:vAlign w:val="center"/>
          </w:tcPr>
          <w:p w14:paraId="5F908486">
            <w:pPr>
              <w:pStyle w:val="92"/>
              <w:keepNext w:val="0"/>
              <w:keepLines w:val="0"/>
              <w:suppressLineNumbers w:val="0"/>
              <w:snapToGrid w:val="0"/>
              <w:spacing w:before="0" w:beforeAutospacing="0" w:after="0" w:afterAutospacing="0" w:line="560" w:lineRule="exact"/>
              <w:ind w:left="0" w:right="0"/>
              <w:jc w:val="distribute"/>
              <w:rPr>
                <w:rFonts w:hint="eastAsia" w:ascii="宋体" w:hAnsi="宋体" w:eastAsia="宋体" w:cs="宋体"/>
                <w:color w:val="auto"/>
                <w:sz w:val="28"/>
                <w:szCs w:val="28"/>
              </w:rPr>
            </w:pPr>
            <w:r>
              <w:rPr>
                <w:rFonts w:hint="eastAsia" w:ascii="宋体" w:hAnsi="宋体" w:eastAsia="宋体" w:cs="宋体"/>
                <w:color w:val="auto"/>
                <w:sz w:val="28"/>
                <w:szCs w:val="28"/>
              </w:rPr>
              <w:t>传真:</w:t>
            </w:r>
          </w:p>
        </w:tc>
        <w:tc>
          <w:tcPr>
            <w:tcW w:w="4150" w:type="dxa"/>
          </w:tcPr>
          <w:p w14:paraId="038A2DD2">
            <w:pPr>
              <w:pStyle w:val="87"/>
              <w:keepNext w:val="0"/>
              <w:keepLines w:val="0"/>
              <w:suppressLineNumbers w:val="0"/>
              <w:snapToGrid w:val="0"/>
              <w:spacing w:before="0" w:beforeAutospacing="0" w:after="0" w:afterAutospacing="0" w:line="560" w:lineRule="exact"/>
              <w:ind w:left="0"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r>
      <w:tr w14:paraId="5B9C0467">
        <w:tblPrEx>
          <w:tblCellMar>
            <w:top w:w="0" w:type="dxa"/>
            <w:left w:w="108" w:type="dxa"/>
            <w:bottom w:w="0" w:type="dxa"/>
            <w:right w:w="108" w:type="dxa"/>
          </w:tblCellMar>
        </w:tblPrEx>
        <w:trPr>
          <w:jc w:val="center"/>
        </w:trPr>
        <w:tc>
          <w:tcPr>
            <w:tcW w:w="1736" w:type="dxa"/>
            <w:vAlign w:val="center"/>
          </w:tcPr>
          <w:p w14:paraId="1B6D708D">
            <w:pPr>
              <w:pStyle w:val="92"/>
              <w:keepNext w:val="0"/>
              <w:keepLines w:val="0"/>
              <w:suppressLineNumbers w:val="0"/>
              <w:spacing w:before="0" w:beforeAutospacing="0" w:after="0" w:afterAutospacing="0" w:line="560" w:lineRule="exact"/>
              <w:ind w:left="0" w:right="0"/>
              <w:jc w:val="distribute"/>
              <w:rPr>
                <w:rFonts w:hint="eastAsia" w:ascii="宋体" w:hAnsi="宋体" w:eastAsia="宋体" w:cs="宋体"/>
                <w:color w:val="auto"/>
                <w:sz w:val="28"/>
                <w:szCs w:val="28"/>
              </w:rPr>
            </w:pPr>
            <w:r>
              <w:rPr>
                <w:rFonts w:hint="eastAsia" w:ascii="宋体" w:hAnsi="宋体" w:eastAsia="宋体" w:cs="宋体"/>
                <w:color w:val="auto"/>
                <w:sz w:val="28"/>
                <w:szCs w:val="28"/>
              </w:rPr>
              <w:t>联系人：</w:t>
            </w:r>
          </w:p>
        </w:tc>
        <w:tc>
          <w:tcPr>
            <w:tcW w:w="3046" w:type="dxa"/>
            <w:vAlign w:val="center"/>
          </w:tcPr>
          <w:p w14:paraId="6C37E88B">
            <w:pPr>
              <w:pStyle w:val="92"/>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1499" w:type="dxa"/>
            <w:vAlign w:val="center"/>
          </w:tcPr>
          <w:p w14:paraId="38F4A31C">
            <w:pPr>
              <w:pStyle w:val="92"/>
              <w:keepNext w:val="0"/>
              <w:keepLines w:val="0"/>
              <w:suppressLineNumbers w:val="0"/>
              <w:snapToGrid w:val="0"/>
              <w:spacing w:before="0" w:beforeAutospacing="0" w:after="0" w:afterAutospacing="0" w:line="560" w:lineRule="exact"/>
              <w:ind w:left="0" w:right="0"/>
              <w:jc w:val="distribute"/>
              <w:rPr>
                <w:rFonts w:hint="eastAsia" w:ascii="宋体" w:hAnsi="宋体" w:eastAsia="宋体" w:cs="宋体"/>
                <w:color w:val="auto"/>
                <w:sz w:val="28"/>
                <w:szCs w:val="28"/>
              </w:rPr>
            </w:pPr>
            <w:r>
              <w:rPr>
                <w:rFonts w:hint="eastAsia" w:ascii="宋体" w:hAnsi="宋体" w:eastAsia="宋体" w:cs="宋体"/>
                <w:color w:val="auto"/>
                <w:sz w:val="28"/>
                <w:szCs w:val="28"/>
              </w:rPr>
              <w:t xml:space="preserve">联系人: </w:t>
            </w:r>
          </w:p>
        </w:tc>
        <w:tc>
          <w:tcPr>
            <w:tcW w:w="4150" w:type="dxa"/>
            <w:vAlign w:val="center"/>
          </w:tcPr>
          <w:p w14:paraId="21C7FB06">
            <w:pPr>
              <w:pStyle w:val="87"/>
              <w:keepNext w:val="0"/>
              <w:keepLines w:val="0"/>
              <w:suppressLineNumbers w:val="0"/>
              <w:snapToGrid w:val="0"/>
              <w:spacing w:before="0" w:beforeAutospacing="0" w:after="0" w:afterAutospacing="0" w:line="560" w:lineRule="exact"/>
              <w:ind w:left="0"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r>
      <w:tr w14:paraId="3F13391D">
        <w:tblPrEx>
          <w:tblCellMar>
            <w:top w:w="0" w:type="dxa"/>
            <w:left w:w="108" w:type="dxa"/>
            <w:bottom w:w="0" w:type="dxa"/>
            <w:right w:w="108" w:type="dxa"/>
          </w:tblCellMar>
        </w:tblPrEx>
        <w:trPr>
          <w:jc w:val="center"/>
        </w:trPr>
        <w:tc>
          <w:tcPr>
            <w:tcW w:w="1736" w:type="dxa"/>
            <w:vAlign w:val="center"/>
          </w:tcPr>
          <w:p w14:paraId="51035BEB">
            <w:pPr>
              <w:pStyle w:val="92"/>
              <w:keepNext w:val="0"/>
              <w:keepLines w:val="0"/>
              <w:suppressLineNumbers w:val="0"/>
              <w:spacing w:before="0" w:beforeAutospacing="0" w:after="0" w:afterAutospacing="0" w:line="560" w:lineRule="exact"/>
              <w:ind w:left="0" w:right="0"/>
              <w:rPr>
                <w:rFonts w:hint="eastAsia" w:ascii="宋体" w:hAnsi="宋体" w:eastAsia="宋体" w:cs="宋体"/>
                <w:color w:val="auto"/>
                <w:sz w:val="28"/>
                <w:szCs w:val="28"/>
              </w:rPr>
            </w:pPr>
            <w:r>
              <w:rPr>
                <w:rFonts w:hint="eastAsia" w:ascii="宋体" w:hAnsi="宋体" w:eastAsia="宋体" w:cs="宋体"/>
                <w:color w:val="auto"/>
                <w:sz w:val="28"/>
                <w:szCs w:val="28"/>
              </w:rPr>
              <w:t xml:space="preserve">通讯地址:    </w:t>
            </w:r>
          </w:p>
        </w:tc>
        <w:tc>
          <w:tcPr>
            <w:tcW w:w="3046" w:type="dxa"/>
            <w:vAlign w:val="center"/>
          </w:tcPr>
          <w:p w14:paraId="62F8C952">
            <w:pPr>
              <w:pStyle w:val="87"/>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新疆乌鲁木齐市天山区胜利路666号新疆大学</w:t>
            </w:r>
          </w:p>
        </w:tc>
        <w:tc>
          <w:tcPr>
            <w:tcW w:w="1499" w:type="dxa"/>
            <w:vAlign w:val="center"/>
          </w:tcPr>
          <w:p w14:paraId="118AE3D2">
            <w:pPr>
              <w:pStyle w:val="92"/>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z w:val="28"/>
                <w:szCs w:val="28"/>
              </w:rPr>
            </w:pPr>
            <w:r>
              <w:rPr>
                <w:rFonts w:hint="eastAsia" w:ascii="宋体" w:hAnsi="宋体" w:eastAsia="宋体" w:cs="宋体"/>
                <w:color w:val="auto"/>
                <w:sz w:val="28"/>
                <w:szCs w:val="28"/>
              </w:rPr>
              <w:t>通讯地址:</w:t>
            </w:r>
          </w:p>
        </w:tc>
        <w:tc>
          <w:tcPr>
            <w:tcW w:w="4150" w:type="dxa"/>
          </w:tcPr>
          <w:p w14:paraId="2B6B28C3">
            <w:pPr>
              <w:pStyle w:val="87"/>
              <w:keepNext w:val="0"/>
              <w:keepLines w:val="0"/>
              <w:suppressLineNumbers w:val="0"/>
              <w:snapToGrid w:val="0"/>
              <w:spacing w:before="0" w:beforeAutospacing="0" w:after="0" w:afterAutospacing="0" w:line="560" w:lineRule="exact"/>
              <w:ind w:left="0"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r>
      <w:tr w14:paraId="2503BC82">
        <w:tblPrEx>
          <w:tblCellMar>
            <w:top w:w="0" w:type="dxa"/>
            <w:left w:w="108" w:type="dxa"/>
            <w:bottom w:w="0" w:type="dxa"/>
            <w:right w:w="108" w:type="dxa"/>
          </w:tblCellMar>
        </w:tblPrEx>
        <w:trPr>
          <w:jc w:val="center"/>
        </w:trPr>
        <w:tc>
          <w:tcPr>
            <w:tcW w:w="1736" w:type="dxa"/>
            <w:vAlign w:val="center"/>
          </w:tcPr>
          <w:p w14:paraId="6A4D0AEB">
            <w:pPr>
              <w:pStyle w:val="92"/>
              <w:keepNext w:val="0"/>
              <w:keepLines w:val="0"/>
              <w:suppressLineNumbers w:val="0"/>
              <w:spacing w:before="0" w:beforeAutospacing="0" w:after="0" w:afterAutospacing="0" w:line="560" w:lineRule="exact"/>
              <w:ind w:left="0" w:right="0"/>
              <w:jc w:val="distribute"/>
              <w:rPr>
                <w:rFonts w:hint="eastAsia" w:ascii="宋体" w:hAnsi="宋体" w:eastAsia="宋体" w:cs="宋体"/>
                <w:color w:val="auto"/>
                <w:sz w:val="28"/>
                <w:szCs w:val="28"/>
              </w:rPr>
            </w:pPr>
            <w:r>
              <w:rPr>
                <w:rFonts w:hint="eastAsia" w:ascii="宋体" w:hAnsi="宋体" w:eastAsia="宋体" w:cs="宋体"/>
                <w:color w:val="auto"/>
                <w:sz w:val="28"/>
                <w:szCs w:val="28"/>
              </w:rPr>
              <w:t xml:space="preserve">开户银行:                  </w:t>
            </w:r>
          </w:p>
        </w:tc>
        <w:tc>
          <w:tcPr>
            <w:tcW w:w="3046" w:type="dxa"/>
            <w:vAlign w:val="center"/>
          </w:tcPr>
          <w:p w14:paraId="2D162873">
            <w:pPr>
              <w:pStyle w:val="87"/>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中国农业银行乌鲁木齐胜利路（兵团）支行</w:t>
            </w:r>
          </w:p>
        </w:tc>
        <w:tc>
          <w:tcPr>
            <w:tcW w:w="1499" w:type="dxa"/>
            <w:vAlign w:val="center"/>
          </w:tcPr>
          <w:p w14:paraId="60BC4910">
            <w:pPr>
              <w:pStyle w:val="92"/>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tc>
        <w:tc>
          <w:tcPr>
            <w:tcW w:w="4150" w:type="dxa"/>
            <w:vAlign w:val="center"/>
          </w:tcPr>
          <w:p w14:paraId="3678B4B9">
            <w:pPr>
              <w:pStyle w:val="87"/>
              <w:keepNext w:val="0"/>
              <w:keepLines w:val="0"/>
              <w:suppressLineNumbers w:val="0"/>
              <w:snapToGrid w:val="0"/>
              <w:spacing w:before="0" w:beforeAutospacing="0" w:after="0" w:afterAutospacing="0" w:line="560" w:lineRule="exact"/>
              <w:ind w:left="0"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r>
      <w:tr w14:paraId="13627EE6">
        <w:tblPrEx>
          <w:tblCellMar>
            <w:top w:w="0" w:type="dxa"/>
            <w:left w:w="108" w:type="dxa"/>
            <w:bottom w:w="0" w:type="dxa"/>
            <w:right w:w="108" w:type="dxa"/>
          </w:tblCellMar>
        </w:tblPrEx>
        <w:trPr>
          <w:jc w:val="center"/>
        </w:trPr>
        <w:tc>
          <w:tcPr>
            <w:tcW w:w="1736" w:type="dxa"/>
            <w:vAlign w:val="center"/>
          </w:tcPr>
          <w:p w14:paraId="0D1841F4">
            <w:pPr>
              <w:pStyle w:val="92"/>
              <w:keepNext w:val="0"/>
              <w:keepLines w:val="0"/>
              <w:suppressLineNumbers w:val="0"/>
              <w:spacing w:before="0" w:beforeAutospacing="0" w:after="0" w:afterAutospacing="0" w:line="560" w:lineRule="exact"/>
              <w:ind w:left="0" w:right="0"/>
              <w:jc w:val="distribute"/>
              <w:rPr>
                <w:rFonts w:hint="eastAsia" w:ascii="宋体" w:hAnsi="宋体" w:eastAsia="宋体" w:cs="宋体"/>
                <w:color w:val="auto"/>
                <w:sz w:val="28"/>
                <w:szCs w:val="28"/>
              </w:rPr>
            </w:pPr>
            <w:r>
              <w:rPr>
                <w:rFonts w:hint="eastAsia" w:ascii="宋体" w:hAnsi="宋体" w:eastAsia="宋体" w:cs="宋体"/>
                <w:color w:val="auto"/>
                <w:sz w:val="28"/>
                <w:szCs w:val="28"/>
              </w:rPr>
              <w:t xml:space="preserve">账  号：            </w:t>
            </w:r>
          </w:p>
        </w:tc>
        <w:tc>
          <w:tcPr>
            <w:tcW w:w="3046" w:type="dxa"/>
            <w:vAlign w:val="center"/>
          </w:tcPr>
          <w:p w14:paraId="43E35149">
            <w:pPr>
              <w:pStyle w:val="87"/>
              <w:keepNext w:val="0"/>
              <w:keepLines w:val="0"/>
              <w:suppressLineNumbers w:val="0"/>
              <w:spacing w:before="0" w:beforeAutospacing="0" w:after="0" w:afterAutospacing="0" w:line="560" w:lineRule="exact"/>
              <w:ind w:left="0" w:right="0"/>
              <w:rPr>
                <w:rFonts w:hint="eastAsia" w:ascii="宋体" w:hAnsi="宋体" w:eastAsia="宋体" w:cs="宋体"/>
                <w:color w:val="auto"/>
                <w:sz w:val="28"/>
                <w:szCs w:val="28"/>
              </w:rPr>
            </w:pPr>
            <w:r>
              <w:rPr>
                <w:rFonts w:hint="eastAsia" w:ascii="宋体" w:hAnsi="宋体" w:eastAsia="宋体" w:cs="宋体"/>
                <w:color w:val="auto"/>
                <w:sz w:val="28"/>
                <w:szCs w:val="28"/>
              </w:rPr>
              <w:t xml:space="preserve">30704301040002348 </w:t>
            </w:r>
          </w:p>
        </w:tc>
        <w:tc>
          <w:tcPr>
            <w:tcW w:w="1499" w:type="dxa"/>
            <w:vAlign w:val="center"/>
          </w:tcPr>
          <w:p w14:paraId="70E8B122">
            <w:pPr>
              <w:pStyle w:val="92"/>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z w:val="28"/>
                <w:szCs w:val="28"/>
              </w:rPr>
            </w:pPr>
            <w:r>
              <w:rPr>
                <w:rFonts w:hint="eastAsia" w:ascii="宋体" w:hAnsi="宋体" w:eastAsia="宋体" w:cs="宋体"/>
                <w:color w:val="auto"/>
                <w:sz w:val="28"/>
                <w:szCs w:val="28"/>
              </w:rPr>
              <w:t>账    号：</w:t>
            </w:r>
          </w:p>
        </w:tc>
        <w:tc>
          <w:tcPr>
            <w:tcW w:w="4150" w:type="dxa"/>
            <w:vAlign w:val="center"/>
          </w:tcPr>
          <w:p w14:paraId="5F6ECBF7">
            <w:pPr>
              <w:pStyle w:val="87"/>
              <w:keepNext w:val="0"/>
              <w:keepLines w:val="0"/>
              <w:suppressLineNumbers w:val="0"/>
              <w:snapToGrid w:val="0"/>
              <w:spacing w:before="0" w:beforeAutospacing="0" w:after="0" w:afterAutospacing="0" w:line="560" w:lineRule="exact"/>
              <w:ind w:left="0"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r>
    </w:tbl>
    <w:p w14:paraId="2094D37F">
      <w:pPr>
        <w:pStyle w:val="87"/>
        <w:spacing w:line="560" w:lineRule="exact"/>
        <w:ind w:firstLine="560" w:firstLineChars="200"/>
        <w:rPr>
          <w:rFonts w:hint="eastAsia" w:ascii="宋体" w:hAnsi="宋体" w:eastAsia="宋体" w:cs="宋体"/>
          <w:color w:val="auto"/>
          <w:sz w:val="28"/>
          <w:szCs w:val="28"/>
        </w:rPr>
      </w:pPr>
    </w:p>
    <w:p w14:paraId="25EB1398">
      <w:pPr>
        <w:spacing w:line="560" w:lineRule="exact"/>
        <w:rPr>
          <w:rFonts w:hint="eastAsia" w:ascii="宋体" w:hAnsi="宋体" w:eastAsia="宋体" w:cs="宋体"/>
          <w:sz w:val="28"/>
          <w:szCs w:val="28"/>
        </w:rPr>
      </w:pPr>
    </w:p>
    <w:p w14:paraId="60F4B73D">
      <w:pPr>
        <w:spacing w:line="560" w:lineRule="exact"/>
        <w:ind w:right="-105" w:firstLine="4480" w:firstLineChars="1600"/>
        <w:rPr>
          <w:rFonts w:hint="eastAsia" w:ascii="宋体" w:hAnsi="宋体" w:eastAsia="宋体" w:cs="宋体"/>
          <w:sz w:val="28"/>
          <w:szCs w:val="28"/>
        </w:rPr>
      </w:pPr>
      <w:bookmarkStart w:id="219" w:name="OLE_LINK1"/>
      <w:r>
        <w:rPr>
          <w:rFonts w:hint="eastAsia" w:ascii="宋体" w:hAnsi="宋体" w:eastAsia="宋体" w:cs="宋体"/>
          <w:sz w:val="28"/>
          <w:szCs w:val="28"/>
        </w:rPr>
        <w:t>二〇      年    月    日</w:t>
      </w:r>
    </w:p>
    <w:p w14:paraId="692D9668">
      <w:pPr>
        <w:spacing w:line="560" w:lineRule="exact"/>
        <w:ind w:right="-105" w:firstLine="560" w:firstLineChars="200"/>
        <w:rPr>
          <w:rFonts w:hint="eastAsia" w:ascii="宋体" w:hAnsi="宋体" w:eastAsia="宋体" w:cs="宋体"/>
          <w:sz w:val="28"/>
          <w:szCs w:val="28"/>
        </w:rPr>
      </w:pPr>
      <w:r>
        <w:rPr>
          <w:rFonts w:hint="eastAsia" w:ascii="宋体" w:hAnsi="宋体" w:eastAsia="宋体" w:cs="宋体"/>
          <w:sz w:val="28"/>
          <w:szCs w:val="28"/>
        </w:rPr>
        <w:t>合同签订地点：新疆乌鲁木齐市天山区胜利路666号新疆大学</w:t>
      </w:r>
    </w:p>
    <w:bookmarkEnd w:id="219"/>
    <w:p w14:paraId="1EF8D090">
      <w:pPr>
        <w:spacing w:line="560" w:lineRule="exact"/>
        <w:ind w:left="-105" w:right="-105" w:firstLine="562" w:firstLineChars="200"/>
        <w:jc w:val="center"/>
        <w:rPr>
          <w:rFonts w:hint="eastAsia" w:ascii="宋体" w:hAnsi="宋体" w:eastAsia="宋体" w:cs="宋体"/>
          <w:b/>
          <w:sz w:val="28"/>
          <w:szCs w:val="28"/>
        </w:rPr>
      </w:pPr>
    </w:p>
    <w:p w14:paraId="5112955D">
      <w:pPr>
        <w:widowControl/>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w:t>
      </w:r>
    </w:p>
    <w:p w14:paraId="124611F3">
      <w:pPr>
        <w:widowControl/>
        <w:spacing w:line="560" w:lineRule="exact"/>
        <w:ind w:firstLine="560" w:firstLineChars="200"/>
        <w:jc w:val="left"/>
        <w:rPr>
          <w:rFonts w:hint="eastAsia" w:ascii="宋体" w:hAnsi="宋体" w:eastAsia="宋体" w:cs="宋体"/>
          <w:sz w:val="28"/>
          <w:szCs w:val="28"/>
        </w:rPr>
      </w:pPr>
    </w:p>
    <w:p w14:paraId="5FAD80E1">
      <w:pPr>
        <w:widowControl/>
        <w:spacing w:line="560" w:lineRule="exact"/>
        <w:ind w:firstLine="560" w:firstLineChars="200"/>
        <w:jc w:val="left"/>
        <w:rPr>
          <w:rFonts w:hint="eastAsia" w:ascii="宋体" w:hAnsi="宋体" w:eastAsia="宋体" w:cs="宋体"/>
          <w:sz w:val="28"/>
          <w:szCs w:val="28"/>
        </w:rPr>
      </w:pPr>
    </w:p>
    <w:p w14:paraId="58F90907">
      <w:pPr>
        <w:widowControl/>
        <w:spacing w:line="560" w:lineRule="exact"/>
        <w:ind w:firstLine="560" w:firstLineChars="200"/>
        <w:jc w:val="left"/>
        <w:rPr>
          <w:rFonts w:hint="eastAsia" w:ascii="宋体" w:hAnsi="宋体" w:eastAsia="宋体" w:cs="宋体"/>
          <w:sz w:val="28"/>
          <w:szCs w:val="28"/>
        </w:rPr>
      </w:pPr>
    </w:p>
    <w:p w14:paraId="0F790FFC">
      <w:pPr>
        <w:widowControl/>
        <w:spacing w:line="560" w:lineRule="exact"/>
        <w:jc w:val="left"/>
        <w:rPr>
          <w:rFonts w:hint="eastAsia" w:ascii="宋体" w:hAnsi="宋体" w:eastAsia="宋体" w:cs="宋体"/>
          <w:sz w:val="28"/>
          <w:szCs w:val="28"/>
        </w:rPr>
      </w:pPr>
    </w:p>
    <w:p w14:paraId="3A6677D6">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附件：开票信息</w:t>
      </w:r>
    </w:p>
    <w:p w14:paraId="7DA6809E">
      <w:pPr>
        <w:spacing w:line="560" w:lineRule="exact"/>
        <w:ind w:firstLine="560" w:firstLineChars="200"/>
        <w:jc w:val="center"/>
        <w:rPr>
          <w:rFonts w:hint="eastAsia" w:ascii="宋体" w:hAnsi="宋体" w:eastAsia="宋体" w:cs="宋体"/>
          <w:sz w:val="28"/>
          <w:szCs w:val="28"/>
        </w:rPr>
      </w:pPr>
    </w:p>
    <w:p w14:paraId="495AE820">
      <w:pPr>
        <w:jc w:val="center"/>
        <w:rPr>
          <w:rFonts w:hint="eastAsia" w:ascii="宋体" w:hAnsi="宋体" w:eastAsia="宋体" w:cs="宋体"/>
          <w:sz w:val="28"/>
          <w:szCs w:val="28"/>
        </w:rPr>
      </w:pPr>
      <w:r>
        <w:rPr>
          <w:rFonts w:hint="eastAsia" w:ascii="宋体" w:hAnsi="宋体" w:eastAsia="宋体" w:cs="宋体"/>
          <w:sz w:val="28"/>
          <w:szCs w:val="28"/>
        </w:rPr>
        <w:drawing>
          <wp:inline distT="0" distB="0" distL="0" distR="0">
            <wp:extent cx="5377815" cy="3875405"/>
            <wp:effectExtent l="0" t="0" r="13334" b="10795"/>
            <wp:docPr id="1026" name="图片 2" descr="微信图片_20211109110043"/>
            <wp:cNvGraphicFramePr/>
            <a:graphic xmlns:a="http://schemas.openxmlformats.org/drawingml/2006/main">
              <a:graphicData uri="http://schemas.openxmlformats.org/drawingml/2006/picture">
                <pic:pic xmlns:pic="http://schemas.openxmlformats.org/drawingml/2006/picture">
                  <pic:nvPicPr>
                    <pic:cNvPr id="1026" name="图片 2" descr="微信图片_20211109110043"/>
                    <pic:cNvPicPr/>
                  </pic:nvPicPr>
                  <pic:blipFill>
                    <a:blip r:embed="rId14" cstate="print"/>
                    <a:srcRect/>
                    <a:stretch>
                      <a:fillRect/>
                    </a:stretch>
                  </pic:blipFill>
                  <pic:spPr>
                    <a:xfrm>
                      <a:off x="0" y="0"/>
                      <a:ext cx="5377815" cy="3875405"/>
                    </a:xfrm>
                    <a:prstGeom prst="rect">
                      <a:avLst/>
                    </a:prstGeom>
                  </pic:spPr>
                </pic:pic>
              </a:graphicData>
            </a:graphic>
          </wp:inline>
        </w:drawing>
      </w:r>
    </w:p>
    <w:p w14:paraId="2F74EF79">
      <w:pPr>
        <w:rPr>
          <w:rFonts w:hint="eastAsia" w:ascii="宋体" w:hAnsi="宋体" w:eastAsia="宋体" w:cs="宋体"/>
          <w:sz w:val="28"/>
          <w:szCs w:val="28"/>
        </w:rPr>
      </w:pPr>
    </w:p>
    <w:p w14:paraId="4D0818DB">
      <w:pPr>
        <w:rPr>
          <w:rFonts w:hint="eastAsia" w:ascii="宋体" w:hAnsi="宋体" w:eastAsia="宋体" w:cs="宋体"/>
          <w:sz w:val="28"/>
          <w:szCs w:val="28"/>
        </w:rPr>
      </w:pPr>
    </w:p>
    <w:p w14:paraId="60207B6C">
      <w:pPr>
        <w:rPr>
          <w:rFonts w:hint="eastAsia" w:ascii="宋体" w:hAnsi="宋体" w:eastAsia="宋体" w:cs="宋体"/>
          <w:sz w:val="28"/>
          <w:szCs w:val="28"/>
        </w:rPr>
      </w:pPr>
    </w:p>
    <w:p w14:paraId="5136EDFE">
      <w:pPr>
        <w:rPr>
          <w:rFonts w:hint="eastAsia" w:ascii="宋体" w:hAnsi="宋体" w:eastAsia="宋体" w:cs="宋体"/>
          <w:sz w:val="28"/>
          <w:szCs w:val="28"/>
        </w:rPr>
      </w:pPr>
    </w:p>
    <w:p w14:paraId="5141D86C">
      <w:pPr>
        <w:spacing w:line="360" w:lineRule="auto"/>
        <w:ind w:right="-105"/>
        <w:rPr>
          <w:rFonts w:hint="eastAsia" w:ascii="宋体" w:hAnsi="宋体" w:eastAsia="宋体" w:cs="宋体"/>
          <w:sz w:val="28"/>
          <w:szCs w:val="28"/>
        </w:rPr>
      </w:pPr>
    </w:p>
    <w:p w14:paraId="05F66154">
      <w:pPr>
        <w:spacing w:line="360" w:lineRule="auto"/>
        <w:ind w:right="-105"/>
        <w:rPr>
          <w:rFonts w:hint="eastAsia" w:ascii="宋体" w:hAnsi="宋体" w:eastAsia="宋体" w:cs="宋体"/>
          <w:sz w:val="28"/>
          <w:szCs w:val="28"/>
        </w:rPr>
      </w:pPr>
    </w:p>
    <w:p w14:paraId="3385E018">
      <w:pPr>
        <w:spacing w:line="360" w:lineRule="auto"/>
        <w:ind w:right="-105"/>
        <w:rPr>
          <w:rFonts w:hint="eastAsia" w:ascii="宋体" w:hAnsi="宋体" w:eastAsia="宋体" w:cs="宋体"/>
          <w:sz w:val="28"/>
          <w:szCs w:val="28"/>
        </w:rPr>
      </w:pPr>
    </w:p>
    <w:p w14:paraId="26BB16B0">
      <w:pPr>
        <w:spacing w:line="360" w:lineRule="auto"/>
        <w:ind w:right="-105"/>
        <w:rPr>
          <w:rFonts w:hint="eastAsia" w:ascii="宋体" w:hAnsi="宋体" w:eastAsia="宋体" w:cs="宋体"/>
          <w:sz w:val="28"/>
          <w:szCs w:val="28"/>
        </w:rPr>
      </w:pPr>
    </w:p>
    <w:p w14:paraId="3C9C415D">
      <w:pPr>
        <w:spacing w:line="360" w:lineRule="auto"/>
        <w:ind w:left="-3" w:leftChars="-1" w:right="-105" w:firstLine="1"/>
        <w:jc w:val="center"/>
        <w:rPr>
          <w:rFonts w:hint="eastAsia" w:ascii="宋体" w:hAnsi="宋体" w:eastAsia="宋体" w:cs="宋体"/>
          <w:b/>
          <w:sz w:val="28"/>
          <w:szCs w:val="28"/>
        </w:rPr>
      </w:pPr>
    </w:p>
    <w:p w14:paraId="7026BF80">
      <w:pPr>
        <w:spacing w:line="360" w:lineRule="auto"/>
        <w:ind w:left="-3" w:leftChars="-1" w:right="-105" w:firstLine="1"/>
        <w:jc w:val="center"/>
        <w:rPr>
          <w:rFonts w:hint="eastAsia" w:ascii="宋体" w:hAnsi="宋体" w:eastAsia="宋体" w:cs="宋体"/>
          <w:b/>
          <w:sz w:val="28"/>
          <w:szCs w:val="28"/>
        </w:rPr>
      </w:pPr>
    </w:p>
    <w:p w14:paraId="38B8C953">
      <w:pPr>
        <w:spacing w:line="360" w:lineRule="auto"/>
        <w:ind w:left="-3" w:leftChars="-1" w:right="-105" w:firstLine="1"/>
        <w:jc w:val="center"/>
        <w:rPr>
          <w:rFonts w:hint="eastAsia" w:ascii="宋体" w:hAnsi="宋体" w:eastAsia="宋体" w:cs="宋体"/>
          <w:b/>
          <w:sz w:val="28"/>
          <w:szCs w:val="28"/>
        </w:rPr>
      </w:pPr>
    </w:p>
    <w:p w14:paraId="79D28B2E">
      <w:pPr>
        <w:spacing w:line="360" w:lineRule="auto"/>
        <w:ind w:left="-3" w:leftChars="-1" w:right="-105" w:firstLine="1"/>
        <w:jc w:val="center"/>
        <w:rPr>
          <w:rFonts w:hint="eastAsia" w:ascii="宋体" w:hAnsi="宋体" w:eastAsia="宋体" w:cs="宋体"/>
          <w:b/>
          <w:sz w:val="28"/>
          <w:szCs w:val="28"/>
        </w:rPr>
      </w:pPr>
    </w:p>
    <w:p w14:paraId="5770996B">
      <w:pPr>
        <w:spacing w:line="360" w:lineRule="auto"/>
        <w:ind w:left="-3" w:leftChars="-1" w:right="-105" w:firstLine="1"/>
        <w:jc w:val="center"/>
        <w:rPr>
          <w:rFonts w:hint="eastAsia" w:ascii="宋体" w:hAnsi="宋体" w:eastAsia="宋体" w:cs="宋体"/>
          <w:b/>
          <w:sz w:val="28"/>
          <w:szCs w:val="28"/>
        </w:rPr>
      </w:pPr>
    </w:p>
    <w:p w14:paraId="1689621E">
      <w:pPr>
        <w:spacing w:line="360" w:lineRule="auto"/>
        <w:ind w:left="-3" w:leftChars="-1" w:right="-105" w:firstLine="1"/>
        <w:jc w:val="center"/>
        <w:rPr>
          <w:rFonts w:hint="eastAsia" w:ascii="宋体" w:hAnsi="宋体" w:eastAsia="宋体" w:cs="宋体"/>
          <w:b/>
          <w:sz w:val="28"/>
          <w:szCs w:val="28"/>
        </w:rPr>
      </w:pPr>
    </w:p>
    <w:p w14:paraId="5346C1A2">
      <w:pPr>
        <w:widowControl/>
        <w:kinsoku w:val="0"/>
        <w:autoSpaceDE w:val="0"/>
        <w:autoSpaceDN w:val="0"/>
        <w:adjustRightInd w:val="0"/>
        <w:snapToGrid w:val="0"/>
        <w:spacing w:line="480" w:lineRule="exact"/>
        <w:jc w:val="left"/>
        <w:textAlignment w:val="baseline"/>
        <w:outlineLvl w:val="0"/>
        <w:rPr>
          <w:rFonts w:hint="eastAsia" w:ascii="宋体" w:hAnsi="宋体" w:eastAsia="宋体" w:cs="宋体"/>
          <w:snapToGrid w:val="0"/>
          <w:spacing w:val="-9"/>
          <w:sz w:val="28"/>
          <w:szCs w:val="28"/>
        </w:rPr>
      </w:pPr>
      <w:r>
        <w:rPr>
          <w:rFonts w:hint="eastAsia" w:ascii="宋体" w:hAnsi="宋体" w:eastAsia="宋体" w:cs="宋体"/>
          <w:snapToGrid w:val="0"/>
          <w:spacing w:val="-9"/>
          <w:sz w:val="28"/>
          <w:szCs w:val="28"/>
        </w:rPr>
        <w:t>附件1：政府采购促进中小企业发展管理办法</w:t>
      </w:r>
      <w:bookmarkEnd w:id="216"/>
      <w:bookmarkEnd w:id="217"/>
      <w:bookmarkEnd w:id="218"/>
    </w:p>
    <w:p w14:paraId="0ED230E4">
      <w:pPr>
        <w:widowControl/>
        <w:kinsoku w:val="0"/>
        <w:autoSpaceDE w:val="0"/>
        <w:autoSpaceDN w:val="0"/>
        <w:adjustRightInd w:val="0"/>
        <w:snapToGrid w:val="0"/>
        <w:spacing w:line="480" w:lineRule="exact"/>
        <w:jc w:val="center"/>
        <w:textAlignment w:val="baseline"/>
        <w:rPr>
          <w:rFonts w:hint="eastAsia" w:ascii="宋体" w:hAnsi="宋体" w:eastAsia="宋体" w:cs="宋体"/>
          <w:b/>
          <w:bCs/>
          <w:snapToGrid w:val="0"/>
          <w:spacing w:val="-9"/>
          <w:sz w:val="28"/>
          <w:szCs w:val="28"/>
        </w:rPr>
      </w:pPr>
      <w:r>
        <w:rPr>
          <w:rFonts w:hint="eastAsia" w:ascii="宋体" w:hAnsi="宋体" w:eastAsia="宋体" w:cs="宋体"/>
          <w:b/>
          <w:bCs/>
          <w:snapToGrid w:val="0"/>
          <w:spacing w:val="-9"/>
          <w:sz w:val="28"/>
          <w:szCs w:val="28"/>
        </w:rPr>
        <w:t>政府采购促进中小企业发展管理办法</w:t>
      </w:r>
    </w:p>
    <w:p w14:paraId="4A66B8F1">
      <w:pPr>
        <w:kinsoku w:val="0"/>
        <w:autoSpaceDE w:val="0"/>
        <w:autoSpaceDN w:val="0"/>
        <w:adjustRightInd w:val="0"/>
        <w:snapToGrid w:val="0"/>
        <w:spacing w:line="480" w:lineRule="exact"/>
        <w:ind w:firstLine="700"/>
        <w:jc w:val="left"/>
        <w:textAlignment w:val="baseline"/>
        <w:rPr>
          <w:rFonts w:hint="eastAsia" w:ascii="宋体" w:hAnsi="宋体" w:eastAsia="宋体" w:cs="宋体"/>
          <w:snapToGrid w:val="0"/>
          <w:spacing w:val="8"/>
          <w:sz w:val="28"/>
          <w:szCs w:val="28"/>
        </w:rPr>
      </w:pPr>
      <w:r>
        <w:rPr>
          <w:rFonts w:hint="eastAsia" w:ascii="宋体" w:hAnsi="宋体" w:eastAsia="宋体" w:cs="宋体"/>
          <w:snapToGrid w:val="0"/>
          <w:spacing w:val="6"/>
          <w:sz w:val="28"/>
          <w:szCs w:val="28"/>
        </w:rPr>
        <w:t>第一条  为了发挥政府采购的政策功能，</w:t>
      </w:r>
      <w:r>
        <w:rPr>
          <w:rFonts w:hint="eastAsia" w:ascii="宋体" w:hAnsi="宋体" w:eastAsia="宋体" w:cs="宋体"/>
          <w:snapToGrid w:val="0"/>
          <w:spacing w:val="5"/>
          <w:sz w:val="28"/>
          <w:szCs w:val="28"/>
        </w:rPr>
        <w:t>促进中小企业</w:t>
      </w:r>
      <w:r>
        <w:rPr>
          <w:rFonts w:hint="eastAsia" w:ascii="宋体" w:hAnsi="宋体" w:eastAsia="宋体" w:cs="宋体"/>
          <w:snapToGrid w:val="0"/>
          <w:spacing w:val="-3"/>
          <w:sz w:val="28"/>
          <w:szCs w:val="28"/>
        </w:rPr>
        <w:t>健康发展，根据《中华人民共和国政府采购法</w:t>
      </w:r>
      <w:r>
        <w:rPr>
          <w:rFonts w:hint="eastAsia" w:ascii="宋体" w:hAnsi="宋体" w:eastAsia="宋体" w:cs="宋体"/>
          <w:snapToGrid w:val="0"/>
          <w:spacing w:val="-4"/>
          <w:sz w:val="28"/>
          <w:szCs w:val="28"/>
        </w:rPr>
        <w:t>》、《中华人民</w:t>
      </w:r>
      <w:r>
        <w:rPr>
          <w:rFonts w:hint="eastAsia" w:ascii="宋体" w:hAnsi="宋体" w:eastAsia="宋体" w:cs="宋体"/>
          <w:snapToGrid w:val="0"/>
          <w:spacing w:val="8"/>
          <w:sz w:val="28"/>
          <w:szCs w:val="28"/>
        </w:rPr>
        <w:t>共和国中小企业促进法》等有关法律法规，制定本办法。</w:t>
      </w:r>
    </w:p>
    <w:p w14:paraId="169DFFA9">
      <w:pPr>
        <w:kinsoku w:val="0"/>
        <w:autoSpaceDE w:val="0"/>
        <w:autoSpaceDN w:val="0"/>
        <w:adjustRightInd w:val="0"/>
        <w:snapToGrid w:val="0"/>
        <w:spacing w:line="480" w:lineRule="exact"/>
        <w:ind w:firstLine="700"/>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5"/>
          <w:sz w:val="28"/>
          <w:szCs w:val="28"/>
        </w:rPr>
        <w:t>第二条  本办法所称中小企业，是指在中华人民共和国</w:t>
      </w:r>
      <w:r>
        <w:rPr>
          <w:rFonts w:hint="eastAsia" w:ascii="宋体" w:hAnsi="宋体" w:eastAsia="宋体" w:cs="宋体"/>
          <w:snapToGrid w:val="0"/>
          <w:spacing w:val="8"/>
          <w:sz w:val="28"/>
          <w:szCs w:val="28"/>
        </w:rPr>
        <w:t>境内依法设立，依据国务院批准的中小企业划分标准确定的中型企业、小型企业和微型企业，但与大企业的负责人为同一人，或者与大企业存在直接控股、管理关系的除外。</w:t>
      </w:r>
    </w:p>
    <w:p w14:paraId="0A78E129">
      <w:pPr>
        <w:kinsoku w:val="0"/>
        <w:autoSpaceDE w:val="0"/>
        <w:autoSpaceDN w:val="0"/>
        <w:adjustRightInd w:val="0"/>
        <w:snapToGrid w:val="0"/>
        <w:spacing w:line="480" w:lineRule="exact"/>
        <w:jc w:val="right"/>
        <w:textAlignment w:val="baseline"/>
        <w:rPr>
          <w:rFonts w:hint="eastAsia" w:ascii="宋体" w:hAnsi="宋体" w:eastAsia="宋体" w:cs="宋体"/>
          <w:snapToGrid w:val="0"/>
          <w:sz w:val="28"/>
          <w:szCs w:val="28"/>
        </w:rPr>
      </w:pPr>
      <w:r>
        <w:rPr>
          <w:rFonts w:hint="eastAsia" w:ascii="宋体" w:hAnsi="宋体" w:eastAsia="宋体" w:cs="宋体"/>
          <w:snapToGrid w:val="0"/>
          <w:spacing w:val="8"/>
          <w:position w:val="15"/>
          <w:sz w:val="28"/>
          <w:szCs w:val="28"/>
        </w:rPr>
        <w:t>符合中小企业划分标准的个体工商户，在政府采购活动</w:t>
      </w:r>
    </w:p>
    <w:p w14:paraId="1CBBA898">
      <w:pPr>
        <w:kinsoku w:val="0"/>
        <w:autoSpaceDE w:val="0"/>
        <w:autoSpaceDN w:val="0"/>
        <w:adjustRightInd w:val="0"/>
        <w:snapToGrid w:val="0"/>
        <w:spacing w:line="480" w:lineRule="exact"/>
        <w:jc w:val="left"/>
        <w:textAlignment w:val="baseline"/>
        <w:rPr>
          <w:rFonts w:hint="eastAsia" w:ascii="宋体" w:hAnsi="宋体" w:eastAsia="宋体" w:cs="宋体"/>
          <w:snapToGrid w:val="0"/>
          <w:sz w:val="28"/>
          <w:szCs w:val="28"/>
        </w:rPr>
      </w:pPr>
      <w:r>
        <w:rPr>
          <w:rFonts w:hint="eastAsia" w:ascii="宋体" w:hAnsi="宋体" w:eastAsia="宋体" w:cs="宋体"/>
          <w:snapToGrid w:val="0"/>
          <w:sz w:val="28"/>
          <w:szCs w:val="28"/>
        </w:rPr>
        <w:t>中视同中小企业。</w:t>
      </w:r>
    </w:p>
    <w:p w14:paraId="006CD00D">
      <w:pPr>
        <w:kinsoku w:val="0"/>
        <w:autoSpaceDE w:val="0"/>
        <w:autoSpaceDN w:val="0"/>
        <w:adjustRightInd w:val="0"/>
        <w:snapToGrid w:val="0"/>
        <w:spacing w:line="480" w:lineRule="exact"/>
        <w:ind w:firstLine="699"/>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19"/>
          <w:sz w:val="28"/>
          <w:szCs w:val="28"/>
        </w:rPr>
        <w:t>第三条  采购人在政府采购活动中应当通过</w:t>
      </w:r>
      <w:r>
        <w:rPr>
          <w:rFonts w:hint="eastAsia" w:ascii="宋体" w:hAnsi="宋体" w:eastAsia="宋体" w:cs="宋体"/>
          <w:snapToGrid w:val="0"/>
          <w:spacing w:val="18"/>
          <w:sz w:val="28"/>
          <w:szCs w:val="28"/>
        </w:rPr>
        <w:t>加强采购</w:t>
      </w:r>
      <w:r>
        <w:rPr>
          <w:rFonts w:hint="eastAsia" w:ascii="宋体" w:hAnsi="宋体" w:eastAsia="宋体" w:cs="宋体"/>
          <w:snapToGrid w:val="0"/>
          <w:spacing w:val="8"/>
          <w:sz w:val="28"/>
          <w:szCs w:val="28"/>
        </w:rPr>
        <w:t>需求管理，落实预留采购份额、价格评审优惠、优先采购等措施，提高中小企业在政府采购中的份额，支持中小企业发</w:t>
      </w:r>
      <w:r>
        <w:rPr>
          <w:rFonts w:hint="eastAsia" w:ascii="宋体" w:hAnsi="宋体" w:eastAsia="宋体" w:cs="宋体"/>
          <w:snapToGrid w:val="0"/>
          <w:spacing w:val="-7"/>
          <w:sz w:val="28"/>
          <w:szCs w:val="28"/>
        </w:rPr>
        <w:t>展。</w:t>
      </w:r>
    </w:p>
    <w:p w14:paraId="2A751546">
      <w:pPr>
        <w:kinsoku w:val="0"/>
        <w:autoSpaceDE w:val="0"/>
        <w:autoSpaceDN w:val="0"/>
        <w:adjustRightInd w:val="0"/>
        <w:snapToGrid w:val="0"/>
        <w:spacing w:line="480" w:lineRule="exact"/>
        <w:ind w:firstLine="694"/>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5"/>
          <w:sz w:val="28"/>
          <w:szCs w:val="28"/>
        </w:rPr>
        <w:t>第四条  在政府采购活动中，投标人提供的货物、工程</w:t>
      </w:r>
      <w:r>
        <w:rPr>
          <w:rFonts w:hint="eastAsia" w:ascii="宋体" w:hAnsi="宋体" w:eastAsia="宋体" w:cs="宋体"/>
          <w:snapToGrid w:val="0"/>
          <w:spacing w:val="8"/>
          <w:sz w:val="28"/>
          <w:szCs w:val="28"/>
        </w:rPr>
        <w:t>或者服务符合下列情形的，享受本办法规定的中小企业扶持</w:t>
      </w:r>
      <w:r>
        <w:rPr>
          <w:rFonts w:hint="eastAsia" w:ascii="宋体" w:hAnsi="宋体" w:eastAsia="宋体" w:cs="宋体"/>
          <w:snapToGrid w:val="0"/>
          <w:spacing w:val="-2"/>
          <w:sz w:val="28"/>
          <w:szCs w:val="28"/>
        </w:rPr>
        <w:t>政策：</w:t>
      </w:r>
    </w:p>
    <w:p w14:paraId="4C6F2D7B">
      <w:pPr>
        <w:kinsoku w:val="0"/>
        <w:autoSpaceDE w:val="0"/>
        <w:autoSpaceDN w:val="0"/>
        <w:adjustRightInd w:val="0"/>
        <w:snapToGrid w:val="0"/>
        <w:spacing w:line="480" w:lineRule="exact"/>
        <w:ind w:firstLine="580" w:firstLineChars="200"/>
        <w:textAlignment w:val="baseline"/>
        <w:rPr>
          <w:rFonts w:hint="eastAsia" w:ascii="宋体" w:hAnsi="宋体" w:eastAsia="宋体" w:cs="宋体"/>
          <w:snapToGrid w:val="0"/>
          <w:spacing w:val="5"/>
          <w:sz w:val="28"/>
          <w:szCs w:val="28"/>
        </w:rPr>
      </w:pPr>
      <w:r>
        <w:rPr>
          <w:rFonts w:hint="eastAsia" w:ascii="宋体" w:hAnsi="宋体" w:eastAsia="宋体" w:cs="宋体"/>
          <w:snapToGrid w:val="0"/>
          <w:spacing w:val="5"/>
          <w:sz w:val="28"/>
          <w:szCs w:val="28"/>
        </w:rPr>
        <w:t>（一）在货物采购项目中，货物由中小企业制造，即货</w:t>
      </w:r>
    </w:p>
    <w:p w14:paraId="36161DDB">
      <w:pPr>
        <w:kinsoku w:val="0"/>
        <w:autoSpaceDE w:val="0"/>
        <w:autoSpaceDN w:val="0"/>
        <w:adjustRightInd w:val="0"/>
        <w:snapToGrid w:val="0"/>
        <w:spacing w:line="480" w:lineRule="exact"/>
        <w:jc w:val="left"/>
        <w:textAlignment w:val="baseline"/>
        <w:rPr>
          <w:rFonts w:hint="eastAsia" w:ascii="宋体" w:hAnsi="宋体" w:eastAsia="宋体" w:cs="宋体"/>
          <w:snapToGrid w:val="0"/>
          <w:spacing w:val="5"/>
          <w:sz w:val="28"/>
          <w:szCs w:val="28"/>
        </w:rPr>
      </w:pPr>
      <w:r>
        <w:rPr>
          <w:rFonts w:hint="eastAsia" w:ascii="宋体" w:hAnsi="宋体" w:eastAsia="宋体" w:cs="宋体"/>
          <w:snapToGrid w:val="0"/>
          <w:spacing w:val="5"/>
          <w:sz w:val="28"/>
          <w:szCs w:val="28"/>
        </w:rPr>
        <w:t>物由中小企业生产且使用该中小企业商号或者注册商标；</w:t>
      </w:r>
    </w:p>
    <w:p w14:paraId="63D3A8F1">
      <w:pPr>
        <w:kinsoku w:val="0"/>
        <w:autoSpaceDE w:val="0"/>
        <w:autoSpaceDN w:val="0"/>
        <w:adjustRightInd w:val="0"/>
        <w:snapToGrid w:val="0"/>
        <w:spacing w:line="480" w:lineRule="exact"/>
        <w:ind w:firstLine="580" w:firstLineChars="200"/>
        <w:textAlignment w:val="baseline"/>
        <w:rPr>
          <w:rFonts w:hint="eastAsia" w:ascii="宋体" w:hAnsi="宋体" w:eastAsia="宋体" w:cs="宋体"/>
          <w:snapToGrid w:val="0"/>
          <w:spacing w:val="5"/>
          <w:sz w:val="28"/>
          <w:szCs w:val="28"/>
        </w:rPr>
      </w:pPr>
      <w:r>
        <w:rPr>
          <w:rFonts w:hint="eastAsia" w:ascii="宋体" w:hAnsi="宋体" w:eastAsia="宋体" w:cs="宋体"/>
          <w:snapToGrid w:val="0"/>
          <w:spacing w:val="5"/>
          <w:sz w:val="28"/>
          <w:szCs w:val="28"/>
        </w:rPr>
        <w:t>（二）在工程采购项目中，工程由中小企业承建，即工</w:t>
      </w:r>
    </w:p>
    <w:p w14:paraId="082185D1">
      <w:pPr>
        <w:kinsoku w:val="0"/>
        <w:autoSpaceDE w:val="0"/>
        <w:autoSpaceDN w:val="0"/>
        <w:adjustRightInd w:val="0"/>
        <w:snapToGrid w:val="0"/>
        <w:spacing w:line="480" w:lineRule="exact"/>
        <w:jc w:val="left"/>
        <w:textAlignment w:val="baseline"/>
        <w:rPr>
          <w:rFonts w:hint="eastAsia" w:ascii="宋体" w:hAnsi="宋体" w:eastAsia="宋体" w:cs="宋体"/>
          <w:snapToGrid w:val="0"/>
          <w:spacing w:val="5"/>
          <w:sz w:val="28"/>
          <w:szCs w:val="28"/>
        </w:rPr>
      </w:pPr>
      <w:r>
        <w:rPr>
          <w:rFonts w:hint="eastAsia" w:ascii="宋体" w:hAnsi="宋体" w:eastAsia="宋体" w:cs="宋体"/>
          <w:snapToGrid w:val="0"/>
          <w:spacing w:val="5"/>
          <w:sz w:val="28"/>
          <w:szCs w:val="28"/>
        </w:rPr>
        <w:t>程施工单位为中小企业；</w:t>
      </w:r>
    </w:p>
    <w:p w14:paraId="1018EC52">
      <w:pPr>
        <w:kinsoku w:val="0"/>
        <w:autoSpaceDE w:val="0"/>
        <w:autoSpaceDN w:val="0"/>
        <w:adjustRightInd w:val="0"/>
        <w:snapToGrid w:val="0"/>
        <w:spacing w:line="480" w:lineRule="exact"/>
        <w:ind w:firstLine="694"/>
        <w:jc w:val="left"/>
        <w:textAlignment w:val="baseline"/>
        <w:rPr>
          <w:rFonts w:hint="eastAsia" w:ascii="宋体" w:hAnsi="宋体" w:eastAsia="宋体" w:cs="宋体"/>
          <w:snapToGrid w:val="0"/>
          <w:spacing w:val="5"/>
          <w:sz w:val="28"/>
          <w:szCs w:val="28"/>
        </w:rPr>
      </w:pPr>
      <w:r>
        <w:rPr>
          <w:rFonts w:hint="eastAsia" w:ascii="宋体" w:hAnsi="宋体" w:eastAsia="宋体" w:cs="宋体"/>
          <w:snapToGrid w:val="0"/>
          <w:spacing w:val="5"/>
          <w:sz w:val="28"/>
          <w:szCs w:val="28"/>
        </w:rPr>
        <w:t>（三）在服务采购项目中，服务由中小企业承接，即提供服务的人员为中小企业依照《中华人民共和国劳动合同法》订立劳动合同的从业人员。</w:t>
      </w:r>
    </w:p>
    <w:p w14:paraId="5AC9BB58">
      <w:pPr>
        <w:kinsoku w:val="0"/>
        <w:autoSpaceDE w:val="0"/>
        <w:autoSpaceDN w:val="0"/>
        <w:adjustRightInd w:val="0"/>
        <w:snapToGrid w:val="0"/>
        <w:spacing w:line="480" w:lineRule="exact"/>
        <w:ind w:firstLine="694"/>
        <w:jc w:val="left"/>
        <w:textAlignment w:val="baseline"/>
        <w:rPr>
          <w:rFonts w:hint="eastAsia" w:ascii="宋体" w:hAnsi="宋体" w:eastAsia="宋体" w:cs="宋体"/>
          <w:snapToGrid w:val="0"/>
          <w:spacing w:val="5"/>
          <w:sz w:val="28"/>
          <w:szCs w:val="28"/>
        </w:rPr>
      </w:pPr>
      <w:r>
        <w:rPr>
          <w:rFonts w:hint="eastAsia" w:ascii="宋体" w:hAnsi="宋体" w:eastAsia="宋体" w:cs="宋体"/>
          <w:snapToGrid w:val="0"/>
          <w:spacing w:val="5"/>
          <w:sz w:val="28"/>
          <w:szCs w:val="28"/>
        </w:rPr>
        <w:t>在货物采购项目中，投标人提供的货物既有中小企业制造货物，也有大型企业制造货物的，不享受本办法规定的中小企业扶持政策。</w:t>
      </w:r>
    </w:p>
    <w:p w14:paraId="262DC543">
      <w:pPr>
        <w:kinsoku w:val="0"/>
        <w:autoSpaceDE w:val="0"/>
        <w:autoSpaceDN w:val="0"/>
        <w:adjustRightInd w:val="0"/>
        <w:snapToGrid w:val="0"/>
        <w:spacing w:line="480" w:lineRule="exact"/>
        <w:ind w:firstLine="694"/>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5"/>
          <w:sz w:val="28"/>
          <w:szCs w:val="28"/>
        </w:rPr>
        <w:t>以联合体形式参加政府采购活动，联合体各方均为中小企业的，联合体视同中小企业。其中，联合体各方</w:t>
      </w:r>
      <w:r>
        <w:rPr>
          <w:rFonts w:hint="eastAsia" w:ascii="宋体" w:hAnsi="宋体" w:eastAsia="宋体" w:cs="宋体"/>
          <w:snapToGrid w:val="0"/>
          <w:spacing w:val="8"/>
          <w:sz w:val="28"/>
          <w:szCs w:val="28"/>
        </w:rPr>
        <w:t>均为小微</w:t>
      </w:r>
      <w:r>
        <w:rPr>
          <w:rFonts w:hint="eastAsia" w:ascii="宋体" w:hAnsi="宋体" w:eastAsia="宋体" w:cs="宋体"/>
          <w:snapToGrid w:val="0"/>
          <w:spacing w:val="7"/>
          <w:sz w:val="28"/>
          <w:szCs w:val="28"/>
        </w:rPr>
        <w:t>企业的，联合体视同小微企业。</w:t>
      </w:r>
    </w:p>
    <w:p w14:paraId="0476A6EA">
      <w:pPr>
        <w:kinsoku w:val="0"/>
        <w:autoSpaceDE w:val="0"/>
        <w:autoSpaceDN w:val="0"/>
        <w:adjustRightInd w:val="0"/>
        <w:snapToGrid w:val="0"/>
        <w:spacing w:line="480" w:lineRule="exact"/>
        <w:ind w:firstLine="699"/>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19"/>
          <w:sz w:val="28"/>
          <w:szCs w:val="28"/>
        </w:rPr>
        <w:t>第五条  采购人在政府采购活动中应当合理</w:t>
      </w:r>
      <w:r>
        <w:rPr>
          <w:rFonts w:hint="eastAsia" w:ascii="宋体" w:hAnsi="宋体" w:eastAsia="宋体" w:cs="宋体"/>
          <w:snapToGrid w:val="0"/>
          <w:spacing w:val="18"/>
          <w:sz w:val="28"/>
          <w:szCs w:val="28"/>
        </w:rPr>
        <w:t>确定采购</w:t>
      </w:r>
      <w:r>
        <w:rPr>
          <w:rFonts w:hint="eastAsia" w:ascii="宋体" w:hAnsi="宋体" w:eastAsia="宋体" w:cs="宋体"/>
          <w:snapToGrid w:val="0"/>
          <w:spacing w:val="8"/>
          <w:sz w:val="28"/>
          <w:szCs w:val="28"/>
        </w:rPr>
        <w:t>项目的采购需求，不得以企业注册资本、资产总额、营业收入、从业人员、利润、纳税额等规模条件和财务指标作为投标人的资格要求或者评审因素，不得在企业股权结构、经营年限等方面对中小企业实行差别待遇或者歧视待遇。</w:t>
      </w:r>
    </w:p>
    <w:p w14:paraId="3A99458A">
      <w:pPr>
        <w:kinsoku w:val="0"/>
        <w:autoSpaceDE w:val="0"/>
        <w:autoSpaceDN w:val="0"/>
        <w:adjustRightInd w:val="0"/>
        <w:snapToGrid w:val="0"/>
        <w:spacing w:line="480" w:lineRule="exact"/>
        <w:ind w:firstLine="698"/>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19"/>
          <w:sz w:val="28"/>
          <w:szCs w:val="28"/>
        </w:rPr>
        <w:t>第六条  主管预算单位应当组织评估本部门</w:t>
      </w:r>
      <w:r>
        <w:rPr>
          <w:rFonts w:hint="eastAsia" w:ascii="宋体" w:hAnsi="宋体" w:eastAsia="宋体" w:cs="宋体"/>
          <w:snapToGrid w:val="0"/>
          <w:spacing w:val="18"/>
          <w:sz w:val="28"/>
          <w:szCs w:val="28"/>
        </w:rPr>
        <w:t>及所属单</w:t>
      </w:r>
      <w:r>
        <w:rPr>
          <w:rFonts w:hint="eastAsia" w:ascii="宋体" w:hAnsi="宋体" w:eastAsia="宋体" w:cs="宋体"/>
          <w:snapToGrid w:val="0"/>
          <w:spacing w:val="8"/>
          <w:sz w:val="28"/>
          <w:szCs w:val="28"/>
        </w:rPr>
        <w:t>位政府采购项目，统筹制定面向中小企业预留采购份额的具体方案，对适宜由中小企业提供的采购项目和采购包，预留采购份额专门面向中小企业采购，并在政府采购预算中单独</w:t>
      </w:r>
      <w:r>
        <w:rPr>
          <w:rFonts w:hint="eastAsia" w:ascii="宋体" w:hAnsi="宋体" w:eastAsia="宋体" w:cs="宋体"/>
          <w:snapToGrid w:val="0"/>
          <w:spacing w:val="-4"/>
          <w:sz w:val="28"/>
          <w:szCs w:val="28"/>
        </w:rPr>
        <w:t>列示。</w:t>
      </w:r>
    </w:p>
    <w:p w14:paraId="18944551">
      <w:pPr>
        <w:kinsoku w:val="0"/>
        <w:autoSpaceDE w:val="0"/>
        <w:autoSpaceDN w:val="0"/>
        <w:adjustRightInd w:val="0"/>
        <w:snapToGrid w:val="0"/>
        <w:spacing w:line="480" w:lineRule="exact"/>
        <w:ind w:firstLine="636" w:firstLineChars="200"/>
        <w:jc w:val="left"/>
        <w:textAlignment w:val="baseline"/>
        <w:rPr>
          <w:rFonts w:hint="eastAsia" w:ascii="宋体" w:hAnsi="宋体" w:eastAsia="宋体" w:cs="宋体"/>
          <w:snapToGrid w:val="0"/>
          <w:spacing w:val="19"/>
          <w:sz w:val="28"/>
          <w:szCs w:val="28"/>
        </w:rPr>
      </w:pPr>
      <w:r>
        <w:rPr>
          <w:rFonts w:hint="eastAsia" w:ascii="宋体" w:hAnsi="宋体" w:eastAsia="宋体" w:cs="宋体"/>
          <w:snapToGrid w:val="0"/>
          <w:spacing w:val="19"/>
          <w:sz w:val="28"/>
          <w:szCs w:val="28"/>
        </w:rPr>
        <w:t>符合下列情形之一的，可不专门面向中小企业预留采购份额：</w:t>
      </w:r>
    </w:p>
    <w:p w14:paraId="6991698F">
      <w:pPr>
        <w:kinsoku w:val="0"/>
        <w:autoSpaceDE w:val="0"/>
        <w:autoSpaceDN w:val="0"/>
        <w:adjustRightInd w:val="0"/>
        <w:snapToGrid w:val="0"/>
        <w:spacing w:line="480" w:lineRule="exact"/>
        <w:ind w:firstLine="636" w:firstLineChars="200"/>
        <w:jc w:val="left"/>
        <w:textAlignment w:val="baseline"/>
        <w:rPr>
          <w:rFonts w:hint="eastAsia" w:ascii="宋体" w:hAnsi="宋体" w:eastAsia="宋体" w:cs="宋体"/>
          <w:snapToGrid w:val="0"/>
          <w:spacing w:val="19"/>
          <w:sz w:val="28"/>
          <w:szCs w:val="28"/>
        </w:rPr>
      </w:pPr>
      <w:r>
        <w:rPr>
          <w:rFonts w:hint="eastAsia" w:ascii="宋体" w:hAnsi="宋体" w:eastAsia="宋体" w:cs="宋体"/>
          <w:snapToGrid w:val="0"/>
          <w:spacing w:val="19"/>
          <w:sz w:val="28"/>
          <w:szCs w:val="28"/>
        </w:rPr>
        <w:t>（一）法律法规和国家有关政策明确规定优先或者应当面向事业单位、社会组织等非企业主体采购的；</w:t>
      </w:r>
    </w:p>
    <w:p w14:paraId="55D095AF">
      <w:pPr>
        <w:kinsoku w:val="0"/>
        <w:autoSpaceDE w:val="0"/>
        <w:autoSpaceDN w:val="0"/>
        <w:adjustRightInd w:val="0"/>
        <w:snapToGrid w:val="0"/>
        <w:spacing w:line="480" w:lineRule="exact"/>
        <w:ind w:firstLine="698"/>
        <w:jc w:val="left"/>
        <w:textAlignment w:val="baseline"/>
        <w:rPr>
          <w:rFonts w:hint="eastAsia" w:ascii="宋体" w:hAnsi="宋体" w:eastAsia="宋体" w:cs="宋体"/>
          <w:snapToGrid w:val="0"/>
          <w:spacing w:val="8"/>
          <w:sz w:val="28"/>
          <w:szCs w:val="28"/>
        </w:rPr>
      </w:pPr>
      <w:r>
        <w:rPr>
          <w:rFonts w:hint="eastAsia" w:ascii="宋体" w:hAnsi="宋体" w:eastAsia="宋体" w:cs="宋体"/>
          <w:snapToGrid w:val="0"/>
          <w:spacing w:val="8"/>
          <w:sz w:val="28"/>
          <w:szCs w:val="28"/>
        </w:rPr>
        <w:t>（二）因确需使用不可替代的专利、专有技术，基础设施限制，或者提供特定公共服务等原因，只能从中小企业之外的投标人处采购的；</w:t>
      </w:r>
    </w:p>
    <w:p w14:paraId="3FF26F75">
      <w:pPr>
        <w:kinsoku w:val="0"/>
        <w:autoSpaceDE w:val="0"/>
        <w:autoSpaceDN w:val="0"/>
        <w:adjustRightInd w:val="0"/>
        <w:snapToGrid w:val="0"/>
        <w:spacing w:line="480" w:lineRule="exact"/>
        <w:ind w:firstLine="698"/>
        <w:jc w:val="left"/>
        <w:textAlignment w:val="baseline"/>
        <w:rPr>
          <w:rFonts w:hint="eastAsia" w:ascii="宋体" w:hAnsi="宋体" w:eastAsia="宋体" w:cs="宋体"/>
          <w:snapToGrid w:val="0"/>
          <w:spacing w:val="8"/>
          <w:sz w:val="28"/>
          <w:szCs w:val="28"/>
        </w:rPr>
      </w:pPr>
      <w:r>
        <w:rPr>
          <w:rFonts w:hint="eastAsia" w:ascii="宋体" w:hAnsi="宋体" w:eastAsia="宋体" w:cs="宋体"/>
          <w:snapToGrid w:val="0"/>
          <w:spacing w:val="8"/>
          <w:sz w:val="28"/>
          <w:szCs w:val="28"/>
        </w:rPr>
        <w:t>（三）按照本办法规定预留采购份额无法确保充分供应、充分竞争，或者存在可能影响政府采购目标实现的情形；</w:t>
      </w:r>
    </w:p>
    <w:p w14:paraId="74B3E8C9">
      <w:pPr>
        <w:kinsoku w:val="0"/>
        <w:autoSpaceDE w:val="0"/>
        <w:autoSpaceDN w:val="0"/>
        <w:adjustRightInd w:val="0"/>
        <w:snapToGrid w:val="0"/>
        <w:spacing w:line="480" w:lineRule="exact"/>
        <w:ind w:firstLine="698"/>
        <w:jc w:val="left"/>
        <w:textAlignment w:val="baseline"/>
        <w:rPr>
          <w:rFonts w:hint="eastAsia" w:ascii="宋体" w:hAnsi="宋体" w:eastAsia="宋体" w:cs="宋体"/>
          <w:snapToGrid w:val="0"/>
          <w:spacing w:val="8"/>
          <w:sz w:val="28"/>
          <w:szCs w:val="28"/>
        </w:rPr>
      </w:pPr>
      <w:r>
        <w:rPr>
          <w:rFonts w:hint="eastAsia" w:ascii="宋体" w:hAnsi="宋体" w:eastAsia="宋体" w:cs="宋体"/>
          <w:snapToGrid w:val="0"/>
          <w:spacing w:val="8"/>
          <w:sz w:val="28"/>
          <w:szCs w:val="28"/>
        </w:rPr>
        <w:t>（四）框架协议采购项目；</w:t>
      </w:r>
    </w:p>
    <w:p w14:paraId="3A76622A">
      <w:pPr>
        <w:kinsoku w:val="0"/>
        <w:autoSpaceDE w:val="0"/>
        <w:autoSpaceDN w:val="0"/>
        <w:adjustRightInd w:val="0"/>
        <w:snapToGrid w:val="0"/>
        <w:spacing w:line="480" w:lineRule="exact"/>
        <w:ind w:firstLine="698"/>
        <w:jc w:val="left"/>
        <w:textAlignment w:val="baseline"/>
        <w:rPr>
          <w:rFonts w:hint="eastAsia" w:ascii="宋体" w:hAnsi="宋体" w:eastAsia="宋体" w:cs="宋体"/>
          <w:snapToGrid w:val="0"/>
          <w:spacing w:val="8"/>
          <w:sz w:val="28"/>
          <w:szCs w:val="28"/>
        </w:rPr>
      </w:pPr>
      <w:r>
        <w:rPr>
          <w:rFonts w:hint="eastAsia" w:ascii="宋体" w:hAnsi="宋体" w:eastAsia="宋体" w:cs="宋体"/>
          <w:snapToGrid w:val="0"/>
          <w:spacing w:val="8"/>
          <w:sz w:val="28"/>
          <w:szCs w:val="28"/>
        </w:rPr>
        <w:t>（五）省级以上人民政府财政部门规定的其他情形。</w:t>
      </w:r>
    </w:p>
    <w:p w14:paraId="7C1D1942">
      <w:pPr>
        <w:kinsoku w:val="0"/>
        <w:autoSpaceDE w:val="0"/>
        <w:autoSpaceDN w:val="0"/>
        <w:adjustRightInd w:val="0"/>
        <w:snapToGrid w:val="0"/>
        <w:spacing w:line="480" w:lineRule="exact"/>
        <w:ind w:firstLine="698"/>
        <w:jc w:val="left"/>
        <w:textAlignment w:val="baseline"/>
        <w:rPr>
          <w:rFonts w:hint="eastAsia" w:ascii="宋体" w:hAnsi="宋体" w:eastAsia="宋体" w:cs="宋体"/>
          <w:snapToGrid w:val="0"/>
          <w:spacing w:val="8"/>
          <w:sz w:val="28"/>
          <w:szCs w:val="28"/>
        </w:rPr>
      </w:pPr>
      <w:r>
        <w:rPr>
          <w:rFonts w:hint="eastAsia" w:ascii="宋体" w:hAnsi="宋体" w:eastAsia="宋体" w:cs="宋体"/>
          <w:snapToGrid w:val="0"/>
          <w:spacing w:val="8"/>
          <w:sz w:val="28"/>
          <w:szCs w:val="28"/>
        </w:rPr>
        <w:t>除上述情形外，其他均为适宜由中小企业提供的情形。</w:t>
      </w:r>
    </w:p>
    <w:p w14:paraId="239CDC95">
      <w:pPr>
        <w:kinsoku w:val="0"/>
        <w:autoSpaceDE w:val="0"/>
        <w:autoSpaceDN w:val="0"/>
        <w:adjustRightInd w:val="0"/>
        <w:snapToGrid w:val="0"/>
        <w:spacing w:line="480" w:lineRule="exact"/>
        <w:ind w:firstLine="690"/>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7"/>
          <w:sz w:val="28"/>
          <w:szCs w:val="28"/>
        </w:rPr>
        <w:t>第七条  采购限额标准以上，200</w:t>
      </w:r>
      <w:r>
        <w:rPr>
          <w:rFonts w:hint="eastAsia" w:ascii="宋体" w:hAnsi="宋体" w:eastAsia="宋体" w:cs="宋体"/>
          <w:snapToGrid w:val="0"/>
          <w:spacing w:val="-38"/>
          <w:sz w:val="28"/>
          <w:szCs w:val="28"/>
        </w:rPr>
        <w:t xml:space="preserve"> </w:t>
      </w:r>
      <w:r>
        <w:rPr>
          <w:rFonts w:hint="eastAsia" w:ascii="宋体" w:hAnsi="宋体" w:eastAsia="宋体" w:cs="宋体"/>
          <w:snapToGrid w:val="0"/>
          <w:spacing w:val="7"/>
          <w:sz w:val="28"/>
          <w:szCs w:val="28"/>
        </w:rPr>
        <w:t>万元以下的货物和服</w:t>
      </w:r>
      <w:r>
        <w:rPr>
          <w:rFonts w:hint="eastAsia" w:ascii="宋体" w:hAnsi="宋体" w:eastAsia="宋体" w:cs="宋体"/>
          <w:snapToGrid w:val="0"/>
          <w:spacing w:val="9"/>
          <w:sz w:val="28"/>
          <w:szCs w:val="28"/>
        </w:rPr>
        <w:t>务采购项目、400</w:t>
      </w:r>
      <w:r>
        <w:rPr>
          <w:rFonts w:hint="eastAsia" w:ascii="宋体" w:hAnsi="宋体" w:eastAsia="宋体" w:cs="宋体"/>
          <w:snapToGrid w:val="0"/>
          <w:spacing w:val="-31"/>
          <w:sz w:val="28"/>
          <w:szCs w:val="28"/>
        </w:rPr>
        <w:t xml:space="preserve"> </w:t>
      </w:r>
      <w:r>
        <w:rPr>
          <w:rFonts w:hint="eastAsia" w:ascii="宋体" w:hAnsi="宋体" w:eastAsia="宋体" w:cs="宋体"/>
          <w:snapToGrid w:val="0"/>
          <w:spacing w:val="9"/>
          <w:sz w:val="28"/>
          <w:szCs w:val="28"/>
        </w:rPr>
        <w:t>万元以下的工程采购项目，适宜由中小企</w:t>
      </w:r>
      <w:r>
        <w:rPr>
          <w:rFonts w:hint="eastAsia" w:ascii="宋体" w:hAnsi="宋体" w:eastAsia="宋体" w:cs="宋体"/>
          <w:snapToGrid w:val="0"/>
          <w:spacing w:val="8"/>
          <w:sz w:val="28"/>
          <w:szCs w:val="28"/>
        </w:rPr>
        <w:t>业提供的，采购人应当专门面向中小企业采购。</w:t>
      </w:r>
    </w:p>
    <w:p w14:paraId="748B1C57">
      <w:pPr>
        <w:kinsoku w:val="0"/>
        <w:autoSpaceDE w:val="0"/>
        <w:autoSpaceDN w:val="0"/>
        <w:adjustRightInd w:val="0"/>
        <w:snapToGrid w:val="0"/>
        <w:spacing w:line="480" w:lineRule="exact"/>
        <w:ind w:firstLine="710"/>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15"/>
          <w:sz w:val="28"/>
          <w:szCs w:val="28"/>
        </w:rPr>
        <w:t>第八条  超过</w:t>
      </w:r>
      <w:r>
        <w:rPr>
          <w:rFonts w:hint="eastAsia" w:ascii="宋体" w:hAnsi="宋体" w:eastAsia="宋体" w:cs="宋体"/>
          <w:snapToGrid w:val="0"/>
          <w:spacing w:val="-37"/>
          <w:sz w:val="28"/>
          <w:szCs w:val="28"/>
        </w:rPr>
        <w:t xml:space="preserve"> </w:t>
      </w:r>
      <w:r>
        <w:rPr>
          <w:rFonts w:hint="eastAsia" w:ascii="宋体" w:hAnsi="宋体" w:eastAsia="宋体" w:cs="宋体"/>
          <w:snapToGrid w:val="0"/>
          <w:spacing w:val="15"/>
          <w:sz w:val="28"/>
          <w:szCs w:val="28"/>
        </w:rPr>
        <w:t>200</w:t>
      </w:r>
      <w:r>
        <w:rPr>
          <w:rFonts w:hint="eastAsia" w:ascii="宋体" w:hAnsi="宋体" w:eastAsia="宋体" w:cs="宋体"/>
          <w:snapToGrid w:val="0"/>
          <w:spacing w:val="-41"/>
          <w:sz w:val="28"/>
          <w:szCs w:val="28"/>
        </w:rPr>
        <w:t xml:space="preserve"> </w:t>
      </w:r>
      <w:r>
        <w:rPr>
          <w:rFonts w:hint="eastAsia" w:ascii="宋体" w:hAnsi="宋体" w:eastAsia="宋体" w:cs="宋体"/>
          <w:snapToGrid w:val="0"/>
          <w:spacing w:val="15"/>
          <w:sz w:val="28"/>
          <w:szCs w:val="28"/>
        </w:rPr>
        <w:t>万元的货物和服务采购项目、超过</w:t>
      </w:r>
      <w:r>
        <w:rPr>
          <w:rFonts w:hint="eastAsia" w:ascii="宋体" w:hAnsi="宋体" w:eastAsia="宋体" w:cs="宋体"/>
          <w:snapToGrid w:val="0"/>
          <w:spacing w:val="10"/>
          <w:sz w:val="28"/>
          <w:szCs w:val="28"/>
        </w:rPr>
        <w:t>400</w:t>
      </w:r>
      <w:r>
        <w:rPr>
          <w:rFonts w:hint="eastAsia" w:ascii="宋体" w:hAnsi="宋体" w:eastAsia="宋体" w:cs="宋体"/>
          <w:snapToGrid w:val="0"/>
          <w:spacing w:val="-38"/>
          <w:sz w:val="28"/>
          <w:szCs w:val="28"/>
        </w:rPr>
        <w:t xml:space="preserve"> </w:t>
      </w:r>
      <w:r>
        <w:rPr>
          <w:rFonts w:hint="eastAsia" w:ascii="宋体" w:hAnsi="宋体" w:eastAsia="宋体" w:cs="宋体"/>
          <w:snapToGrid w:val="0"/>
          <w:spacing w:val="10"/>
          <w:sz w:val="28"/>
          <w:szCs w:val="28"/>
        </w:rPr>
        <w:t>万元的工程采购项目中适宜由中小企业提供的，预留该</w:t>
      </w:r>
      <w:r>
        <w:rPr>
          <w:rFonts w:hint="eastAsia" w:ascii="宋体" w:hAnsi="宋体" w:eastAsia="宋体" w:cs="宋体"/>
          <w:snapToGrid w:val="0"/>
          <w:spacing w:val="11"/>
          <w:sz w:val="28"/>
          <w:szCs w:val="28"/>
        </w:rPr>
        <w:t>部分采购项目预算总额的</w:t>
      </w:r>
      <w:r>
        <w:rPr>
          <w:rFonts w:hint="eastAsia" w:ascii="宋体" w:hAnsi="宋体" w:eastAsia="宋体" w:cs="宋体"/>
          <w:snapToGrid w:val="0"/>
          <w:spacing w:val="-55"/>
          <w:sz w:val="28"/>
          <w:szCs w:val="28"/>
        </w:rPr>
        <w:t xml:space="preserve"> </w:t>
      </w:r>
      <w:r>
        <w:rPr>
          <w:rFonts w:hint="eastAsia" w:ascii="宋体" w:hAnsi="宋体" w:eastAsia="宋体" w:cs="宋体"/>
          <w:snapToGrid w:val="0"/>
          <w:spacing w:val="11"/>
          <w:sz w:val="28"/>
          <w:szCs w:val="28"/>
        </w:rPr>
        <w:t>30%以上专门面向</w:t>
      </w:r>
      <w:r>
        <w:rPr>
          <w:rFonts w:hint="eastAsia" w:ascii="宋体" w:hAnsi="宋体" w:eastAsia="宋体" w:cs="宋体"/>
          <w:snapToGrid w:val="0"/>
          <w:spacing w:val="10"/>
          <w:sz w:val="28"/>
          <w:szCs w:val="28"/>
        </w:rPr>
        <w:t>中小企业采购，</w:t>
      </w:r>
      <w:r>
        <w:rPr>
          <w:rFonts w:hint="eastAsia" w:ascii="宋体" w:hAnsi="宋体" w:eastAsia="宋体" w:cs="宋体"/>
          <w:snapToGrid w:val="0"/>
          <w:spacing w:val="11"/>
          <w:sz w:val="28"/>
          <w:szCs w:val="28"/>
        </w:rPr>
        <w:t>其中预留给小微企业的比例不低于</w:t>
      </w:r>
      <w:r>
        <w:rPr>
          <w:rFonts w:hint="eastAsia" w:ascii="宋体" w:hAnsi="宋体" w:eastAsia="宋体" w:cs="宋体"/>
          <w:snapToGrid w:val="0"/>
          <w:spacing w:val="-59"/>
          <w:sz w:val="28"/>
          <w:szCs w:val="28"/>
        </w:rPr>
        <w:t xml:space="preserve"> </w:t>
      </w:r>
      <w:r>
        <w:rPr>
          <w:rFonts w:hint="eastAsia" w:ascii="宋体" w:hAnsi="宋体" w:eastAsia="宋体" w:cs="宋体"/>
          <w:snapToGrid w:val="0"/>
          <w:spacing w:val="11"/>
          <w:sz w:val="28"/>
          <w:szCs w:val="28"/>
        </w:rPr>
        <w:t>60%。预留份额通</w:t>
      </w:r>
      <w:r>
        <w:rPr>
          <w:rFonts w:hint="eastAsia" w:ascii="宋体" w:hAnsi="宋体" w:eastAsia="宋体" w:cs="宋体"/>
          <w:snapToGrid w:val="0"/>
          <w:spacing w:val="10"/>
          <w:sz w:val="28"/>
          <w:szCs w:val="28"/>
        </w:rPr>
        <w:t>过下列</w:t>
      </w:r>
      <w:r>
        <w:rPr>
          <w:rFonts w:hint="eastAsia" w:ascii="宋体" w:hAnsi="宋体" w:eastAsia="宋体" w:cs="宋体"/>
          <w:snapToGrid w:val="0"/>
          <w:spacing w:val="3"/>
          <w:sz w:val="28"/>
          <w:szCs w:val="28"/>
        </w:rPr>
        <w:t>措施进行：</w:t>
      </w:r>
    </w:p>
    <w:p w14:paraId="18331142">
      <w:pPr>
        <w:widowControl/>
        <w:kinsoku w:val="0"/>
        <w:autoSpaceDE w:val="0"/>
        <w:autoSpaceDN w:val="0"/>
        <w:adjustRightInd w:val="0"/>
        <w:snapToGrid w:val="0"/>
        <w:spacing w:line="480" w:lineRule="exact"/>
        <w:ind w:firstLine="600" w:firstLineChars="200"/>
        <w:jc w:val="left"/>
        <w:textAlignment w:val="baseline"/>
        <w:rPr>
          <w:rFonts w:hint="eastAsia" w:ascii="宋体" w:hAnsi="宋体" w:eastAsia="宋体" w:cs="宋体"/>
          <w:snapToGrid w:val="0"/>
          <w:spacing w:val="10"/>
          <w:sz w:val="28"/>
          <w:szCs w:val="28"/>
        </w:rPr>
      </w:pPr>
      <w:r>
        <w:rPr>
          <w:rFonts w:hint="eastAsia" w:ascii="宋体" w:hAnsi="宋体" w:eastAsia="宋体" w:cs="宋体"/>
          <w:snapToGrid w:val="0"/>
          <w:spacing w:val="10"/>
          <w:sz w:val="28"/>
          <w:szCs w:val="28"/>
        </w:rPr>
        <w:t>（一）将采购项目整体或者设置采购包专门面向中小企业采购；</w:t>
      </w:r>
    </w:p>
    <w:p w14:paraId="5B38E6C6">
      <w:pPr>
        <w:widowControl/>
        <w:kinsoku w:val="0"/>
        <w:autoSpaceDE w:val="0"/>
        <w:autoSpaceDN w:val="0"/>
        <w:adjustRightInd w:val="0"/>
        <w:snapToGrid w:val="0"/>
        <w:spacing w:line="480" w:lineRule="exact"/>
        <w:ind w:firstLine="600" w:firstLineChars="200"/>
        <w:jc w:val="left"/>
        <w:textAlignment w:val="baseline"/>
        <w:rPr>
          <w:rFonts w:hint="eastAsia" w:ascii="宋体" w:hAnsi="宋体" w:eastAsia="宋体" w:cs="宋体"/>
          <w:snapToGrid w:val="0"/>
          <w:spacing w:val="10"/>
          <w:sz w:val="28"/>
          <w:szCs w:val="28"/>
        </w:rPr>
      </w:pPr>
      <w:r>
        <w:rPr>
          <w:rFonts w:hint="eastAsia" w:ascii="宋体" w:hAnsi="宋体" w:eastAsia="宋体" w:cs="宋体"/>
          <w:snapToGrid w:val="0"/>
          <w:spacing w:val="10"/>
          <w:sz w:val="28"/>
          <w:szCs w:val="28"/>
        </w:rPr>
        <w:t>（二）要求投标人以联合体形式参加采购活动，且联合体中中小企业承担的部分达到一定比例；</w:t>
      </w:r>
    </w:p>
    <w:p w14:paraId="2E6EDAA0">
      <w:pPr>
        <w:widowControl/>
        <w:kinsoku w:val="0"/>
        <w:autoSpaceDE w:val="0"/>
        <w:autoSpaceDN w:val="0"/>
        <w:adjustRightInd w:val="0"/>
        <w:snapToGrid w:val="0"/>
        <w:spacing w:line="480" w:lineRule="exact"/>
        <w:ind w:firstLine="600" w:firstLineChars="200"/>
        <w:jc w:val="left"/>
        <w:textAlignment w:val="baseline"/>
        <w:rPr>
          <w:rFonts w:hint="eastAsia" w:ascii="宋体" w:hAnsi="宋体" w:eastAsia="宋体" w:cs="宋体"/>
          <w:snapToGrid w:val="0"/>
          <w:spacing w:val="10"/>
          <w:sz w:val="28"/>
          <w:szCs w:val="28"/>
        </w:rPr>
      </w:pPr>
      <w:r>
        <w:rPr>
          <w:rFonts w:hint="eastAsia" w:ascii="宋体" w:hAnsi="宋体" w:eastAsia="宋体" w:cs="宋体"/>
          <w:snapToGrid w:val="0"/>
          <w:spacing w:val="10"/>
          <w:sz w:val="28"/>
          <w:szCs w:val="28"/>
        </w:rPr>
        <w:t>（三）要求获得采购合同的投标人将采购项目中的一定比例分包给一家或者多家中小企业。组成联合体或者接受分包合同的中小企业与联合体内其他企业、分包企业之间不得存在直接控股、管理关系。</w:t>
      </w:r>
    </w:p>
    <w:p w14:paraId="6AEABB82">
      <w:pPr>
        <w:kinsoku w:val="0"/>
        <w:autoSpaceDE w:val="0"/>
        <w:autoSpaceDN w:val="0"/>
        <w:adjustRightInd w:val="0"/>
        <w:snapToGrid w:val="0"/>
        <w:spacing w:line="480" w:lineRule="exact"/>
        <w:ind w:firstLine="693"/>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19"/>
          <w:sz w:val="28"/>
          <w:szCs w:val="28"/>
        </w:rPr>
        <w:t>第九条  对于经主管预算单位统筹后未预留</w:t>
      </w:r>
      <w:r>
        <w:rPr>
          <w:rFonts w:hint="eastAsia" w:ascii="宋体" w:hAnsi="宋体" w:eastAsia="宋体" w:cs="宋体"/>
          <w:snapToGrid w:val="0"/>
          <w:spacing w:val="18"/>
          <w:sz w:val="28"/>
          <w:szCs w:val="28"/>
        </w:rPr>
        <w:t>份额专门</w:t>
      </w:r>
      <w:r>
        <w:rPr>
          <w:rFonts w:hint="eastAsia" w:ascii="宋体" w:hAnsi="宋体" w:eastAsia="宋体" w:cs="宋体"/>
          <w:snapToGrid w:val="0"/>
          <w:spacing w:val="8"/>
          <w:sz w:val="28"/>
          <w:szCs w:val="28"/>
        </w:rPr>
        <w:t>面向中小企业采购的采购项目，以及预留份额项目中的非预留部分采购包，采购人、采购代理机构应当对符合本办法规</w:t>
      </w:r>
      <w:r>
        <w:rPr>
          <w:rFonts w:hint="eastAsia" w:ascii="宋体" w:hAnsi="宋体" w:eastAsia="宋体" w:cs="宋体"/>
          <w:snapToGrid w:val="0"/>
          <w:spacing w:val="5"/>
          <w:sz w:val="28"/>
          <w:szCs w:val="28"/>
        </w:rPr>
        <w:t>定的小微企业报价给予</w:t>
      </w:r>
      <w:r>
        <w:rPr>
          <w:rFonts w:hint="eastAsia" w:ascii="宋体" w:hAnsi="宋体" w:eastAsia="宋体" w:cs="宋体"/>
          <w:snapToGrid w:val="0"/>
          <w:spacing w:val="-59"/>
          <w:sz w:val="28"/>
          <w:szCs w:val="28"/>
        </w:rPr>
        <w:t xml:space="preserve"> </w:t>
      </w:r>
      <w:r>
        <w:rPr>
          <w:rFonts w:hint="eastAsia" w:ascii="宋体" w:hAnsi="宋体" w:eastAsia="宋体" w:cs="宋体"/>
          <w:snapToGrid w:val="0"/>
          <w:spacing w:val="5"/>
          <w:sz w:val="28"/>
          <w:szCs w:val="28"/>
        </w:rPr>
        <w:t>6%—</w:t>
      </w:r>
      <w:r>
        <w:rPr>
          <w:rFonts w:hint="eastAsia" w:ascii="宋体" w:hAnsi="宋体" w:eastAsia="宋体" w:cs="宋体"/>
          <w:snapToGrid w:val="0"/>
          <w:spacing w:val="-121"/>
          <w:sz w:val="28"/>
          <w:szCs w:val="28"/>
        </w:rPr>
        <w:t xml:space="preserve"> </w:t>
      </w:r>
      <w:r>
        <w:rPr>
          <w:rFonts w:hint="eastAsia" w:ascii="宋体" w:hAnsi="宋体" w:eastAsia="宋体" w:cs="宋体"/>
          <w:snapToGrid w:val="0"/>
          <w:spacing w:val="5"/>
          <w:sz w:val="28"/>
          <w:szCs w:val="28"/>
        </w:rPr>
        <w:t>10%（工程项</w:t>
      </w:r>
      <w:r>
        <w:rPr>
          <w:rFonts w:hint="eastAsia" w:ascii="宋体" w:hAnsi="宋体" w:eastAsia="宋体" w:cs="宋体"/>
          <w:snapToGrid w:val="0"/>
          <w:spacing w:val="4"/>
          <w:sz w:val="28"/>
          <w:szCs w:val="28"/>
        </w:rPr>
        <w:t>目为3%—5%）的扣</w:t>
      </w:r>
      <w:r>
        <w:rPr>
          <w:rFonts w:hint="eastAsia" w:ascii="宋体" w:hAnsi="宋体" w:eastAsia="宋体" w:cs="宋体"/>
          <w:snapToGrid w:val="0"/>
          <w:spacing w:val="8"/>
          <w:sz w:val="28"/>
          <w:szCs w:val="28"/>
        </w:rPr>
        <w:t>除，用扣除后的价格参加评审。适用招标投标法的政府采购</w:t>
      </w:r>
      <w:r>
        <w:rPr>
          <w:rFonts w:hint="eastAsia" w:ascii="宋体" w:hAnsi="宋体" w:eastAsia="宋体" w:cs="宋体"/>
          <w:snapToGrid w:val="0"/>
          <w:spacing w:val="1"/>
          <w:sz w:val="28"/>
          <w:szCs w:val="28"/>
        </w:rPr>
        <w:t xml:space="preserve"> </w:t>
      </w:r>
      <w:r>
        <w:rPr>
          <w:rFonts w:hint="eastAsia" w:ascii="宋体" w:hAnsi="宋体" w:eastAsia="宋体" w:cs="宋体"/>
          <w:snapToGrid w:val="0"/>
          <w:spacing w:val="8"/>
          <w:sz w:val="28"/>
          <w:szCs w:val="28"/>
        </w:rPr>
        <w:t>工程建设项目，采用综合评估法但未采用低价优先法计算价格分的，评标时应当在采用原报价进行评分的基础上增加其</w:t>
      </w:r>
      <w:r>
        <w:rPr>
          <w:rFonts w:hint="eastAsia" w:ascii="宋体" w:hAnsi="宋体" w:eastAsia="宋体" w:cs="宋体"/>
          <w:snapToGrid w:val="0"/>
          <w:spacing w:val="5"/>
          <w:sz w:val="28"/>
          <w:szCs w:val="28"/>
        </w:rPr>
        <w:t>价格得分的</w:t>
      </w:r>
      <w:r>
        <w:rPr>
          <w:rFonts w:hint="eastAsia" w:ascii="宋体" w:hAnsi="宋体" w:eastAsia="宋体" w:cs="宋体"/>
          <w:snapToGrid w:val="0"/>
          <w:spacing w:val="-44"/>
          <w:sz w:val="28"/>
          <w:szCs w:val="28"/>
        </w:rPr>
        <w:t xml:space="preserve"> </w:t>
      </w:r>
      <w:r>
        <w:rPr>
          <w:rFonts w:hint="eastAsia" w:ascii="宋体" w:hAnsi="宋体" w:eastAsia="宋体" w:cs="宋体"/>
          <w:snapToGrid w:val="0"/>
          <w:spacing w:val="5"/>
          <w:sz w:val="28"/>
          <w:szCs w:val="28"/>
        </w:rPr>
        <w:t>3%—5%作为其价格分。</w:t>
      </w:r>
    </w:p>
    <w:p w14:paraId="4EA6B6E5">
      <w:pPr>
        <w:kinsoku w:val="0"/>
        <w:autoSpaceDE w:val="0"/>
        <w:autoSpaceDN w:val="0"/>
        <w:adjustRightInd w:val="0"/>
        <w:snapToGrid w:val="0"/>
        <w:spacing w:line="480" w:lineRule="exact"/>
        <w:ind w:firstLine="710"/>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19"/>
          <w:sz w:val="28"/>
          <w:szCs w:val="28"/>
        </w:rPr>
        <w:t>接受大中型企业与小微企业组成联合体或者允许大中</w:t>
      </w:r>
      <w:r>
        <w:rPr>
          <w:rFonts w:hint="eastAsia" w:ascii="宋体" w:hAnsi="宋体" w:eastAsia="宋体" w:cs="宋体"/>
          <w:snapToGrid w:val="0"/>
          <w:spacing w:val="8"/>
          <w:sz w:val="28"/>
          <w:szCs w:val="28"/>
        </w:rPr>
        <w:t>型企业向一家或者多家小微企业分包的采购项目，对于联合</w:t>
      </w:r>
      <w:r>
        <w:rPr>
          <w:rFonts w:hint="eastAsia" w:ascii="宋体" w:hAnsi="宋体" w:eastAsia="宋体" w:cs="宋体"/>
          <w:snapToGrid w:val="0"/>
          <w:spacing w:val="21"/>
          <w:sz w:val="28"/>
          <w:szCs w:val="28"/>
        </w:rPr>
        <w:t>协议或者分包意向协议约定小微企业的合同份额占到合同</w:t>
      </w:r>
      <w:r>
        <w:rPr>
          <w:rFonts w:hint="eastAsia" w:ascii="宋体" w:hAnsi="宋体" w:eastAsia="宋体" w:cs="宋体"/>
          <w:snapToGrid w:val="0"/>
          <w:spacing w:val="10"/>
          <w:sz w:val="28"/>
          <w:szCs w:val="28"/>
        </w:rPr>
        <w:t>总金额</w:t>
      </w:r>
      <w:r>
        <w:rPr>
          <w:rFonts w:hint="eastAsia" w:ascii="宋体" w:hAnsi="宋体" w:eastAsia="宋体" w:cs="宋体"/>
          <w:snapToGrid w:val="0"/>
          <w:spacing w:val="-45"/>
          <w:sz w:val="28"/>
          <w:szCs w:val="28"/>
        </w:rPr>
        <w:t xml:space="preserve"> </w:t>
      </w:r>
      <w:r>
        <w:rPr>
          <w:rFonts w:hint="eastAsia" w:ascii="宋体" w:hAnsi="宋体" w:eastAsia="宋体" w:cs="宋体"/>
          <w:snapToGrid w:val="0"/>
          <w:spacing w:val="10"/>
          <w:sz w:val="28"/>
          <w:szCs w:val="28"/>
        </w:rPr>
        <w:t>30%以上的，采购人、采购代理机构应当对联合体或</w:t>
      </w:r>
      <w:r>
        <w:rPr>
          <w:rFonts w:hint="eastAsia" w:ascii="宋体" w:hAnsi="宋体" w:eastAsia="宋体" w:cs="宋体"/>
          <w:snapToGrid w:val="0"/>
          <w:spacing w:val="5"/>
          <w:sz w:val="28"/>
          <w:szCs w:val="28"/>
        </w:rPr>
        <w:t>者大中型企业的报价给予</w:t>
      </w:r>
      <w:r>
        <w:rPr>
          <w:rFonts w:hint="eastAsia" w:ascii="宋体" w:hAnsi="宋体" w:eastAsia="宋体" w:cs="宋体"/>
          <w:snapToGrid w:val="0"/>
          <w:spacing w:val="-44"/>
          <w:sz w:val="28"/>
          <w:szCs w:val="28"/>
        </w:rPr>
        <w:t xml:space="preserve"> </w:t>
      </w:r>
      <w:r>
        <w:rPr>
          <w:rFonts w:hint="eastAsia" w:ascii="宋体" w:hAnsi="宋体" w:eastAsia="宋体" w:cs="宋体"/>
          <w:snapToGrid w:val="0"/>
          <w:spacing w:val="5"/>
          <w:sz w:val="28"/>
          <w:szCs w:val="28"/>
        </w:rPr>
        <w:t>2%-3%（工程项目为</w:t>
      </w:r>
      <w:r>
        <w:rPr>
          <w:rFonts w:hint="eastAsia" w:ascii="宋体" w:hAnsi="宋体" w:eastAsia="宋体" w:cs="宋体"/>
          <w:snapToGrid w:val="0"/>
          <w:spacing w:val="-39"/>
          <w:sz w:val="28"/>
          <w:szCs w:val="28"/>
        </w:rPr>
        <w:t xml:space="preserve"> </w:t>
      </w:r>
      <w:r>
        <w:rPr>
          <w:rFonts w:hint="eastAsia" w:ascii="宋体" w:hAnsi="宋体" w:eastAsia="宋体" w:cs="宋体"/>
          <w:snapToGrid w:val="0"/>
          <w:spacing w:val="5"/>
          <w:sz w:val="28"/>
          <w:szCs w:val="28"/>
        </w:rPr>
        <w:t>1%—2%）的扣</w:t>
      </w:r>
      <w:r>
        <w:rPr>
          <w:rFonts w:hint="eastAsia" w:ascii="宋体" w:hAnsi="宋体" w:eastAsia="宋体" w:cs="宋体"/>
          <w:snapToGrid w:val="0"/>
          <w:spacing w:val="8"/>
          <w:sz w:val="28"/>
          <w:szCs w:val="28"/>
        </w:rPr>
        <w:t>除，用扣除后的价格参加评审。适用招标投标法的政府采购工程建设项目，采用综合评估法但未采用低价优先法计算价格分的，评标时应当在采用原报价进行评分的基础上增加其</w:t>
      </w:r>
      <w:r>
        <w:rPr>
          <w:rFonts w:hint="eastAsia" w:ascii="宋体" w:hAnsi="宋体" w:eastAsia="宋体" w:cs="宋体"/>
          <w:snapToGrid w:val="0"/>
          <w:spacing w:val="4"/>
          <w:sz w:val="28"/>
          <w:szCs w:val="28"/>
        </w:rPr>
        <w:t>价格得分的</w:t>
      </w:r>
      <w:r>
        <w:rPr>
          <w:rFonts w:hint="eastAsia" w:ascii="宋体" w:hAnsi="宋体" w:eastAsia="宋体" w:cs="宋体"/>
          <w:snapToGrid w:val="0"/>
          <w:spacing w:val="-38"/>
          <w:sz w:val="28"/>
          <w:szCs w:val="28"/>
        </w:rPr>
        <w:t xml:space="preserve"> </w:t>
      </w:r>
      <w:r>
        <w:rPr>
          <w:rFonts w:hint="eastAsia" w:ascii="宋体" w:hAnsi="宋体" w:eastAsia="宋体" w:cs="宋体"/>
          <w:snapToGrid w:val="0"/>
          <w:spacing w:val="4"/>
          <w:sz w:val="28"/>
          <w:szCs w:val="28"/>
        </w:rPr>
        <w:t>1%—2%作为其价格分。组成联合</w:t>
      </w:r>
      <w:r>
        <w:rPr>
          <w:rFonts w:hint="eastAsia" w:ascii="宋体" w:hAnsi="宋体" w:eastAsia="宋体" w:cs="宋体"/>
          <w:snapToGrid w:val="0"/>
          <w:spacing w:val="3"/>
          <w:sz w:val="28"/>
          <w:szCs w:val="28"/>
        </w:rPr>
        <w:t>体或者接受分包</w:t>
      </w:r>
      <w:r>
        <w:rPr>
          <w:rFonts w:hint="eastAsia" w:ascii="宋体" w:hAnsi="宋体" w:eastAsia="宋体" w:cs="宋体"/>
          <w:snapToGrid w:val="0"/>
          <w:sz w:val="28"/>
          <w:szCs w:val="28"/>
        </w:rPr>
        <w:t xml:space="preserve"> </w:t>
      </w:r>
      <w:r>
        <w:rPr>
          <w:rFonts w:hint="eastAsia" w:ascii="宋体" w:hAnsi="宋体" w:eastAsia="宋体" w:cs="宋体"/>
          <w:snapToGrid w:val="0"/>
          <w:spacing w:val="8"/>
          <w:sz w:val="28"/>
          <w:szCs w:val="28"/>
        </w:rPr>
        <w:t>的小微企业与联合体内其他企业、分包企业之间存在直接控股、管理关系的，不享受价格扣除优惠政策。</w:t>
      </w:r>
    </w:p>
    <w:p w14:paraId="7E6E05AD">
      <w:pPr>
        <w:kinsoku w:val="0"/>
        <w:autoSpaceDE w:val="0"/>
        <w:autoSpaceDN w:val="0"/>
        <w:adjustRightInd w:val="0"/>
        <w:snapToGrid w:val="0"/>
        <w:spacing w:line="480" w:lineRule="exact"/>
        <w:ind w:firstLine="708"/>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19"/>
          <w:sz w:val="28"/>
          <w:szCs w:val="28"/>
        </w:rPr>
        <w:t>价格扣除比例或者价格分加分比例对小型企业和微型</w:t>
      </w:r>
      <w:r>
        <w:rPr>
          <w:rFonts w:hint="eastAsia" w:ascii="宋体" w:hAnsi="宋体" w:eastAsia="宋体" w:cs="宋体"/>
          <w:snapToGrid w:val="0"/>
          <w:spacing w:val="8"/>
          <w:sz w:val="28"/>
          <w:szCs w:val="28"/>
        </w:rPr>
        <w:t>企业同等对待，不作区分。具体采购项目的价格扣除比例或者价格分加分比例，由采购人根据采购标的相关行业平均利润率、市场竞争状况等，在本办法规定的幅度内确定。</w:t>
      </w:r>
    </w:p>
    <w:p w14:paraId="6C4D1E4F">
      <w:pPr>
        <w:kinsoku w:val="0"/>
        <w:autoSpaceDE w:val="0"/>
        <w:autoSpaceDN w:val="0"/>
        <w:adjustRightInd w:val="0"/>
        <w:snapToGrid w:val="0"/>
        <w:spacing w:line="480" w:lineRule="exact"/>
        <w:ind w:firstLine="693"/>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19"/>
          <w:sz w:val="28"/>
          <w:szCs w:val="28"/>
        </w:rPr>
        <w:t>第十条  采购人应当严格按照本办法规定和</w:t>
      </w:r>
      <w:r>
        <w:rPr>
          <w:rFonts w:hint="eastAsia" w:ascii="宋体" w:hAnsi="宋体" w:eastAsia="宋体" w:cs="宋体"/>
          <w:snapToGrid w:val="0"/>
          <w:spacing w:val="18"/>
          <w:sz w:val="28"/>
          <w:szCs w:val="28"/>
        </w:rPr>
        <w:t>主管预算</w:t>
      </w:r>
      <w:r>
        <w:rPr>
          <w:rFonts w:hint="eastAsia" w:ascii="宋体" w:hAnsi="宋体" w:eastAsia="宋体" w:cs="宋体"/>
          <w:snapToGrid w:val="0"/>
          <w:spacing w:val="8"/>
          <w:sz w:val="28"/>
          <w:szCs w:val="28"/>
        </w:rPr>
        <w:t>单位制定的预留采购份额具体方案开展采购活动。预留份额的采购项目或者采购包，通过发布公告方式邀请投标人后，</w:t>
      </w:r>
      <w:r>
        <w:rPr>
          <w:rFonts w:hint="eastAsia" w:ascii="宋体" w:hAnsi="宋体" w:eastAsia="宋体" w:cs="宋体"/>
          <w:snapToGrid w:val="0"/>
          <w:spacing w:val="6"/>
          <w:sz w:val="28"/>
          <w:szCs w:val="28"/>
        </w:rPr>
        <w:t>符合资格条件的中小企业数量不足</w:t>
      </w:r>
      <w:r>
        <w:rPr>
          <w:rFonts w:hint="eastAsia" w:ascii="宋体" w:hAnsi="宋体" w:eastAsia="宋体" w:cs="宋体"/>
          <w:snapToGrid w:val="0"/>
          <w:spacing w:val="-47"/>
          <w:sz w:val="28"/>
          <w:szCs w:val="28"/>
        </w:rPr>
        <w:t xml:space="preserve"> </w:t>
      </w:r>
      <w:r>
        <w:rPr>
          <w:rFonts w:hint="eastAsia" w:ascii="宋体" w:hAnsi="宋体" w:eastAsia="宋体" w:cs="宋体"/>
          <w:snapToGrid w:val="0"/>
          <w:spacing w:val="6"/>
          <w:sz w:val="28"/>
          <w:szCs w:val="28"/>
        </w:rPr>
        <w:t>3</w:t>
      </w:r>
      <w:r>
        <w:rPr>
          <w:rFonts w:hint="eastAsia" w:ascii="宋体" w:hAnsi="宋体" w:eastAsia="宋体" w:cs="宋体"/>
          <w:snapToGrid w:val="0"/>
          <w:spacing w:val="-49"/>
          <w:sz w:val="28"/>
          <w:szCs w:val="28"/>
        </w:rPr>
        <w:t xml:space="preserve"> </w:t>
      </w:r>
      <w:r>
        <w:rPr>
          <w:rFonts w:hint="eastAsia" w:ascii="宋体" w:hAnsi="宋体" w:eastAsia="宋体" w:cs="宋体"/>
          <w:snapToGrid w:val="0"/>
          <w:spacing w:val="6"/>
          <w:sz w:val="28"/>
          <w:szCs w:val="28"/>
        </w:rPr>
        <w:t>家的，应当中止采购活</w:t>
      </w:r>
      <w:r>
        <w:rPr>
          <w:rFonts w:hint="eastAsia" w:ascii="宋体" w:hAnsi="宋体" w:eastAsia="宋体" w:cs="宋体"/>
          <w:snapToGrid w:val="0"/>
          <w:spacing w:val="8"/>
          <w:sz w:val="28"/>
          <w:szCs w:val="28"/>
        </w:rPr>
        <w:t>动，视同未预留份额的采购项目或者采购包，按照本办法第</w:t>
      </w:r>
      <w:r>
        <w:rPr>
          <w:rFonts w:hint="eastAsia" w:ascii="宋体" w:hAnsi="宋体" w:eastAsia="宋体" w:cs="宋体"/>
          <w:snapToGrid w:val="0"/>
          <w:spacing w:val="7"/>
          <w:sz w:val="28"/>
          <w:szCs w:val="28"/>
        </w:rPr>
        <w:t>九条有关规定重新组织采购活动。</w:t>
      </w:r>
    </w:p>
    <w:p w14:paraId="4AB4FF1C">
      <w:pPr>
        <w:kinsoku w:val="0"/>
        <w:autoSpaceDE w:val="0"/>
        <w:autoSpaceDN w:val="0"/>
        <w:adjustRightInd w:val="0"/>
        <w:snapToGrid w:val="0"/>
        <w:spacing w:line="480" w:lineRule="exact"/>
        <w:ind w:firstLine="699"/>
        <w:jc w:val="left"/>
        <w:textAlignment w:val="baseline"/>
        <w:rPr>
          <w:rFonts w:hint="eastAsia" w:ascii="宋体" w:hAnsi="宋体" w:eastAsia="宋体" w:cs="宋体"/>
          <w:snapToGrid w:val="0"/>
          <w:spacing w:val="8"/>
          <w:sz w:val="28"/>
          <w:szCs w:val="28"/>
        </w:rPr>
      </w:pPr>
      <w:r>
        <w:rPr>
          <w:rFonts w:hint="eastAsia" w:ascii="宋体" w:hAnsi="宋体" w:eastAsia="宋体" w:cs="宋体"/>
          <w:snapToGrid w:val="0"/>
          <w:spacing w:val="3"/>
          <w:sz w:val="28"/>
          <w:szCs w:val="28"/>
        </w:rPr>
        <w:t>第十一条</w:t>
      </w:r>
      <w:r>
        <w:rPr>
          <w:rFonts w:hint="eastAsia" w:ascii="宋体" w:hAnsi="宋体" w:eastAsia="宋体" w:cs="宋体"/>
          <w:snapToGrid w:val="0"/>
          <w:spacing w:val="37"/>
          <w:sz w:val="28"/>
          <w:szCs w:val="28"/>
        </w:rPr>
        <w:t xml:space="preserve">  </w:t>
      </w:r>
      <w:r>
        <w:rPr>
          <w:rFonts w:hint="eastAsia" w:ascii="宋体" w:hAnsi="宋体" w:eastAsia="宋体" w:cs="宋体"/>
          <w:snapToGrid w:val="0"/>
          <w:spacing w:val="3"/>
          <w:sz w:val="28"/>
          <w:szCs w:val="28"/>
        </w:rPr>
        <w:t>中小企业参加政府采购活动，应当出具本办</w:t>
      </w:r>
      <w:r>
        <w:rPr>
          <w:rFonts w:hint="eastAsia" w:ascii="宋体" w:hAnsi="宋体" w:eastAsia="宋体" w:cs="宋体"/>
          <w:snapToGrid w:val="0"/>
          <w:spacing w:val="2"/>
          <w:sz w:val="28"/>
          <w:szCs w:val="28"/>
        </w:rPr>
        <w:t>法规定的《中小企业声明函》（附</w:t>
      </w:r>
      <w:r>
        <w:rPr>
          <w:rFonts w:hint="eastAsia" w:ascii="宋体" w:hAnsi="宋体" w:eastAsia="宋体" w:cs="宋体"/>
          <w:snapToGrid w:val="0"/>
          <w:spacing w:val="-36"/>
          <w:sz w:val="28"/>
          <w:szCs w:val="28"/>
        </w:rPr>
        <w:t xml:space="preserve"> </w:t>
      </w:r>
      <w:r>
        <w:rPr>
          <w:rFonts w:hint="eastAsia" w:ascii="宋体" w:hAnsi="宋体" w:eastAsia="宋体" w:cs="宋体"/>
          <w:snapToGrid w:val="0"/>
          <w:spacing w:val="2"/>
          <w:sz w:val="28"/>
          <w:szCs w:val="28"/>
        </w:rPr>
        <w:t>1</w:t>
      </w:r>
      <w:r>
        <w:rPr>
          <w:rFonts w:hint="eastAsia" w:ascii="宋体" w:hAnsi="宋体" w:eastAsia="宋体" w:cs="宋体"/>
          <w:snapToGrid w:val="0"/>
          <w:spacing w:val="-50"/>
          <w:sz w:val="28"/>
          <w:szCs w:val="28"/>
        </w:rPr>
        <w:t>），</w:t>
      </w:r>
      <w:r>
        <w:rPr>
          <w:rFonts w:hint="eastAsia" w:ascii="宋体" w:hAnsi="宋体" w:eastAsia="宋体" w:cs="宋体"/>
          <w:snapToGrid w:val="0"/>
          <w:spacing w:val="2"/>
          <w:sz w:val="28"/>
          <w:szCs w:val="28"/>
        </w:rPr>
        <w:t>否则不得享受相关中</w:t>
      </w:r>
      <w:r>
        <w:rPr>
          <w:rFonts w:hint="eastAsia" w:ascii="宋体" w:hAnsi="宋体" w:eastAsia="宋体" w:cs="宋体"/>
          <w:snapToGrid w:val="0"/>
          <w:spacing w:val="8"/>
          <w:sz w:val="28"/>
          <w:szCs w:val="28"/>
        </w:rPr>
        <w:t>小企业扶持政策。任何单位和个人不得要求投标人提供《中小企业声明函》之外的中小企业身份证明文件。</w:t>
      </w:r>
    </w:p>
    <w:p w14:paraId="75972C13">
      <w:pPr>
        <w:widowControl/>
        <w:kinsoku w:val="0"/>
        <w:autoSpaceDE w:val="0"/>
        <w:autoSpaceDN w:val="0"/>
        <w:adjustRightInd w:val="0"/>
        <w:snapToGrid w:val="0"/>
        <w:spacing w:line="480" w:lineRule="exact"/>
        <w:ind w:firstLine="699"/>
        <w:jc w:val="left"/>
        <w:textAlignment w:val="baseline"/>
        <w:rPr>
          <w:rFonts w:hint="eastAsia" w:ascii="宋体" w:hAnsi="宋体" w:eastAsia="宋体" w:cs="宋体"/>
          <w:snapToGrid w:val="0"/>
          <w:spacing w:val="2"/>
          <w:sz w:val="28"/>
          <w:szCs w:val="28"/>
        </w:rPr>
      </w:pPr>
      <w:r>
        <w:rPr>
          <w:rFonts w:hint="eastAsia" w:ascii="宋体" w:hAnsi="宋体" w:eastAsia="宋体" w:cs="宋体"/>
          <w:snapToGrid w:val="0"/>
          <w:spacing w:val="3"/>
          <w:sz w:val="28"/>
          <w:szCs w:val="28"/>
        </w:rPr>
        <w:t xml:space="preserve">第十二条  </w:t>
      </w:r>
      <w:r>
        <w:rPr>
          <w:rFonts w:hint="eastAsia" w:ascii="宋体" w:hAnsi="宋体" w:eastAsia="宋体" w:cs="宋体"/>
          <w:snapToGrid w:val="0"/>
          <w:spacing w:val="2"/>
          <w:sz w:val="28"/>
          <w:szCs w:val="28"/>
        </w:rPr>
        <w:t>采购项目涉及中小企业采购的，采购文件应当明确以下内容：</w:t>
      </w:r>
    </w:p>
    <w:p w14:paraId="42D1CAC4">
      <w:pPr>
        <w:widowControl/>
        <w:kinsoku w:val="0"/>
        <w:autoSpaceDE w:val="0"/>
        <w:autoSpaceDN w:val="0"/>
        <w:adjustRightInd w:val="0"/>
        <w:snapToGrid w:val="0"/>
        <w:spacing w:line="480" w:lineRule="exact"/>
        <w:ind w:firstLine="709"/>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5"/>
          <w:sz w:val="28"/>
          <w:szCs w:val="28"/>
        </w:rPr>
        <w:t>（一）预留份额的采购项目或者采购包，明确该项目或</w:t>
      </w:r>
      <w:r>
        <w:rPr>
          <w:rFonts w:hint="eastAsia" w:ascii="宋体" w:hAnsi="宋体" w:eastAsia="宋体" w:cs="宋体"/>
          <w:snapToGrid w:val="0"/>
          <w:spacing w:val="11"/>
          <w:sz w:val="28"/>
          <w:szCs w:val="28"/>
        </w:rPr>
        <w:t xml:space="preserve"> </w:t>
      </w:r>
      <w:r>
        <w:rPr>
          <w:rFonts w:hint="eastAsia" w:ascii="宋体" w:hAnsi="宋体" w:eastAsia="宋体" w:cs="宋体"/>
          <w:snapToGrid w:val="0"/>
          <w:spacing w:val="8"/>
          <w:sz w:val="28"/>
          <w:szCs w:val="28"/>
        </w:rPr>
        <w:t>相关采购包专门面向中小企业采购，以及相关标的及预算金</w:t>
      </w:r>
      <w:r>
        <w:rPr>
          <w:rFonts w:hint="eastAsia" w:ascii="宋体" w:hAnsi="宋体" w:eastAsia="宋体" w:cs="宋体"/>
          <w:snapToGrid w:val="0"/>
          <w:spacing w:val="-6"/>
          <w:sz w:val="28"/>
          <w:szCs w:val="28"/>
        </w:rPr>
        <w:t>额；</w:t>
      </w:r>
    </w:p>
    <w:p w14:paraId="21B8954B">
      <w:pPr>
        <w:widowControl/>
        <w:kinsoku w:val="0"/>
        <w:autoSpaceDE w:val="0"/>
        <w:autoSpaceDN w:val="0"/>
        <w:adjustRightInd w:val="0"/>
        <w:snapToGrid w:val="0"/>
        <w:spacing w:line="480" w:lineRule="exact"/>
        <w:ind w:firstLine="709"/>
        <w:jc w:val="left"/>
        <w:textAlignment w:val="baseline"/>
        <w:rPr>
          <w:rFonts w:hint="eastAsia" w:ascii="宋体" w:hAnsi="宋体" w:eastAsia="宋体" w:cs="宋体"/>
          <w:snapToGrid w:val="0"/>
          <w:spacing w:val="5"/>
          <w:sz w:val="28"/>
          <w:szCs w:val="28"/>
        </w:rPr>
      </w:pPr>
      <w:r>
        <w:rPr>
          <w:rFonts w:hint="eastAsia" w:ascii="宋体" w:hAnsi="宋体" w:eastAsia="宋体" w:cs="宋体"/>
          <w:snapToGrid w:val="0"/>
          <w:spacing w:val="5"/>
          <w:sz w:val="28"/>
          <w:szCs w:val="28"/>
        </w:rPr>
        <w:t>（二）要求以联合体形式参加或者合同分包的，明确联 合协议或者分包意向协议中中小企业合同金额应当达到的比例，并作为投标人资格条件；</w:t>
      </w:r>
    </w:p>
    <w:p w14:paraId="58E092C1">
      <w:pPr>
        <w:widowControl/>
        <w:kinsoku w:val="0"/>
        <w:autoSpaceDE w:val="0"/>
        <w:autoSpaceDN w:val="0"/>
        <w:adjustRightInd w:val="0"/>
        <w:snapToGrid w:val="0"/>
        <w:spacing w:line="480" w:lineRule="exact"/>
        <w:ind w:firstLine="709"/>
        <w:jc w:val="left"/>
        <w:textAlignment w:val="baseline"/>
        <w:rPr>
          <w:rFonts w:hint="eastAsia" w:ascii="宋体" w:hAnsi="宋体" w:eastAsia="宋体" w:cs="宋体"/>
          <w:snapToGrid w:val="0"/>
          <w:spacing w:val="5"/>
          <w:sz w:val="28"/>
          <w:szCs w:val="28"/>
        </w:rPr>
      </w:pPr>
      <w:r>
        <w:rPr>
          <w:rFonts w:hint="eastAsia" w:ascii="宋体" w:hAnsi="宋体" w:eastAsia="宋体" w:cs="宋体"/>
          <w:snapToGrid w:val="0"/>
          <w:spacing w:val="5"/>
          <w:sz w:val="28"/>
          <w:szCs w:val="28"/>
        </w:rPr>
        <w:t>（三）非预留份额的采购项目或者采购包，明确有关价格扣除比例或者价格分加分比例；</w:t>
      </w:r>
    </w:p>
    <w:p w14:paraId="0075A801">
      <w:pPr>
        <w:widowControl/>
        <w:kinsoku w:val="0"/>
        <w:autoSpaceDE w:val="0"/>
        <w:autoSpaceDN w:val="0"/>
        <w:adjustRightInd w:val="0"/>
        <w:snapToGrid w:val="0"/>
        <w:spacing w:line="480" w:lineRule="exact"/>
        <w:ind w:firstLine="709"/>
        <w:jc w:val="left"/>
        <w:textAlignment w:val="baseline"/>
        <w:rPr>
          <w:rFonts w:hint="eastAsia" w:ascii="宋体" w:hAnsi="宋体" w:eastAsia="宋体" w:cs="宋体"/>
          <w:snapToGrid w:val="0"/>
          <w:spacing w:val="5"/>
          <w:sz w:val="28"/>
          <w:szCs w:val="28"/>
        </w:rPr>
      </w:pPr>
      <w:r>
        <w:rPr>
          <w:rFonts w:hint="eastAsia" w:ascii="宋体" w:hAnsi="宋体" w:eastAsia="宋体" w:cs="宋体"/>
          <w:snapToGrid w:val="0"/>
          <w:spacing w:val="5"/>
          <w:sz w:val="28"/>
          <w:szCs w:val="28"/>
        </w:rPr>
        <w:t>（四）规定依据本办法规定享受扶持政策获得政府采购合同的，小微企业不得将合同分包给大中型企业，中型企业不得将合同分包给大型企业；</w:t>
      </w:r>
    </w:p>
    <w:p w14:paraId="3186BF13">
      <w:pPr>
        <w:widowControl/>
        <w:kinsoku w:val="0"/>
        <w:autoSpaceDE w:val="0"/>
        <w:autoSpaceDN w:val="0"/>
        <w:adjustRightInd w:val="0"/>
        <w:snapToGrid w:val="0"/>
        <w:spacing w:line="480" w:lineRule="exact"/>
        <w:ind w:firstLine="709"/>
        <w:jc w:val="left"/>
        <w:textAlignment w:val="baseline"/>
        <w:rPr>
          <w:rFonts w:hint="eastAsia" w:ascii="宋体" w:hAnsi="宋体" w:eastAsia="宋体" w:cs="宋体"/>
          <w:snapToGrid w:val="0"/>
          <w:spacing w:val="5"/>
          <w:sz w:val="28"/>
          <w:szCs w:val="28"/>
        </w:rPr>
      </w:pPr>
      <w:r>
        <w:rPr>
          <w:rFonts w:hint="eastAsia" w:ascii="宋体" w:hAnsi="宋体" w:eastAsia="宋体" w:cs="宋体"/>
          <w:snapToGrid w:val="0"/>
          <w:spacing w:val="5"/>
          <w:sz w:val="28"/>
          <w:szCs w:val="28"/>
        </w:rPr>
        <w:t>（五）采购人认为具备相关条件的，明确对中小企业在资金支付期限、预付款比例等方面的优惠措施；</w:t>
      </w:r>
    </w:p>
    <w:p w14:paraId="42A18C98">
      <w:pPr>
        <w:widowControl/>
        <w:kinsoku w:val="0"/>
        <w:autoSpaceDE w:val="0"/>
        <w:autoSpaceDN w:val="0"/>
        <w:adjustRightInd w:val="0"/>
        <w:snapToGrid w:val="0"/>
        <w:spacing w:line="480" w:lineRule="exact"/>
        <w:ind w:firstLine="709"/>
        <w:jc w:val="left"/>
        <w:textAlignment w:val="baseline"/>
        <w:rPr>
          <w:rFonts w:hint="eastAsia" w:ascii="宋体" w:hAnsi="宋体" w:eastAsia="宋体" w:cs="宋体"/>
          <w:snapToGrid w:val="0"/>
          <w:spacing w:val="5"/>
          <w:sz w:val="28"/>
          <w:szCs w:val="28"/>
        </w:rPr>
      </w:pPr>
      <w:r>
        <w:rPr>
          <w:rFonts w:hint="eastAsia" w:ascii="宋体" w:hAnsi="宋体" w:eastAsia="宋体" w:cs="宋体"/>
          <w:snapToGrid w:val="0"/>
          <w:spacing w:val="5"/>
          <w:sz w:val="28"/>
          <w:szCs w:val="28"/>
        </w:rPr>
        <w:t>（六）明确采购标的对应的中小企业划分标准所属行业；</w:t>
      </w:r>
    </w:p>
    <w:p w14:paraId="2BB8EC53">
      <w:pPr>
        <w:widowControl/>
        <w:kinsoku w:val="0"/>
        <w:autoSpaceDE w:val="0"/>
        <w:autoSpaceDN w:val="0"/>
        <w:adjustRightInd w:val="0"/>
        <w:snapToGrid w:val="0"/>
        <w:spacing w:line="480" w:lineRule="exact"/>
        <w:ind w:firstLine="709"/>
        <w:jc w:val="left"/>
        <w:textAlignment w:val="baseline"/>
        <w:rPr>
          <w:rFonts w:hint="eastAsia" w:ascii="宋体" w:hAnsi="宋体" w:eastAsia="宋体" w:cs="宋体"/>
          <w:snapToGrid w:val="0"/>
          <w:spacing w:val="5"/>
          <w:sz w:val="28"/>
          <w:szCs w:val="28"/>
        </w:rPr>
      </w:pPr>
      <w:r>
        <w:rPr>
          <w:rFonts w:hint="eastAsia" w:ascii="宋体" w:hAnsi="宋体" w:eastAsia="宋体" w:cs="宋体"/>
          <w:snapToGrid w:val="0"/>
          <w:spacing w:val="5"/>
          <w:sz w:val="28"/>
          <w:szCs w:val="28"/>
        </w:rPr>
        <w:t>（七）法律法规和省级以上人民政府财政部门规定的其他事项。</w:t>
      </w:r>
    </w:p>
    <w:p w14:paraId="677B5012">
      <w:pPr>
        <w:kinsoku w:val="0"/>
        <w:autoSpaceDE w:val="0"/>
        <w:autoSpaceDN w:val="0"/>
        <w:adjustRightInd w:val="0"/>
        <w:snapToGrid w:val="0"/>
        <w:spacing w:line="480" w:lineRule="exact"/>
        <w:ind w:firstLine="703"/>
        <w:jc w:val="left"/>
        <w:textAlignment w:val="baseline"/>
        <w:rPr>
          <w:rFonts w:hint="eastAsia" w:ascii="宋体" w:hAnsi="宋体" w:eastAsia="宋体" w:cs="宋体"/>
          <w:snapToGrid w:val="0"/>
          <w:spacing w:val="8"/>
          <w:sz w:val="28"/>
          <w:szCs w:val="28"/>
        </w:rPr>
      </w:pPr>
      <w:r>
        <w:rPr>
          <w:rFonts w:hint="eastAsia" w:ascii="宋体" w:hAnsi="宋体" w:eastAsia="宋体" w:cs="宋体"/>
          <w:snapToGrid w:val="0"/>
          <w:spacing w:val="3"/>
          <w:sz w:val="28"/>
          <w:szCs w:val="28"/>
        </w:rPr>
        <w:t>第十三条</w:t>
      </w:r>
      <w:r>
        <w:rPr>
          <w:rFonts w:hint="eastAsia" w:ascii="宋体" w:hAnsi="宋体" w:eastAsia="宋体" w:cs="宋体"/>
          <w:snapToGrid w:val="0"/>
          <w:spacing w:val="36"/>
          <w:sz w:val="28"/>
          <w:szCs w:val="28"/>
        </w:rPr>
        <w:t xml:space="preserve">  </w:t>
      </w:r>
      <w:r>
        <w:rPr>
          <w:rFonts w:hint="eastAsia" w:ascii="宋体" w:hAnsi="宋体" w:eastAsia="宋体" w:cs="宋体"/>
          <w:snapToGrid w:val="0"/>
          <w:spacing w:val="8"/>
          <w:sz w:val="28"/>
          <w:szCs w:val="28"/>
        </w:rPr>
        <w:t>中标、成交投标人享受本办法规定的中小企业扶持政策的，采购人、采购代理机构应当随中标、成交结果公开中标、成交投标人的《中小企业声明函》。</w:t>
      </w:r>
    </w:p>
    <w:p w14:paraId="02DF4494">
      <w:pPr>
        <w:kinsoku w:val="0"/>
        <w:autoSpaceDE w:val="0"/>
        <w:autoSpaceDN w:val="0"/>
        <w:adjustRightInd w:val="0"/>
        <w:snapToGrid w:val="0"/>
        <w:spacing w:line="480" w:lineRule="exact"/>
        <w:ind w:firstLine="703"/>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8"/>
          <w:sz w:val="28"/>
          <w:szCs w:val="28"/>
        </w:rPr>
        <w:t>适用招标投标法的政府采购工程建设项目，应当在公示中标候选人时公开中标候选</w:t>
      </w:r>
      <w:r>
        <w:rPr>
          <w:rFonts w:hint="eastAsia" w:ascii="宋体" w:hAnsi="宋体" w:eastAsia="宋体" w:cs="宋体"/>
          <w:snapToGrid w:val="0"/>
          <w:spacing w:val="2"/>
          <w:sz w:val="28"/>
          <w:szCs w:val="28"/>
        </w:rPr>
        <w:t>人的《中小企业声明函》。</w:t>
      </w:r>
    </w:p>
    <w:p w14:paraId="56A69180">
      <w:pPr>
        <w:kinsoku w:val="0"/>
        <w:autoSpaceDE w:val="0"/>
        <w:autoSpaceDN w:val="0"/>
        <w:adjustRightInd w:val="0"/>
        <w:snapToGrid w:val="0"/>
        <w:spacing w:line="480" w:lineRule="exact"/>
        <w:ind w:firstLine="693"/>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6"/>
          <w:sz w:val="28"/>
          <w:szCs w:val="28"/>
        </w:rPr>
        <w:t>第十四条  对于通过预留采购项目、预留专门采购包、</w:t>
      </w:r>
      <w:r>
        <w:rPr>
          <w:rFonts w:hint="eastAsia" w:ascii="宋体" w:hAnsi="宋体" w:eastAsia="宋体" w:cs="宋体"/>
          <w:snapToGrid w:val="0"/>
          <w:spacing w:val="21"/>
          <w:sz w:val="28"/>
          <w:szCs w:val="28"/>
        </w:rPr>
        <w:t>要求以联合体形式参加或者合同分包等措施签订的采购合</w:t>
      </w:r>
      <w:r>
        <w:rPr>
          <w:rFonts w:hint="eastAsia" w:ascii="宋体" w:hAnsi="宋体" w:eastAsia="宋体" w:cs="宋体"/>
          <w:snapToGrid w:val="0"/>
          <w:spacing w:val="8"/>
          <w:sz w:val="28"/>
          <w:szCs w:val="28"/>
        </w:rPr>
        <w:t>同，应当明确标注本合同为中小企业预留合同。其中，要求以联合体形式参加采购活动或者合同分包的，应当将联合协议或者分包意向协议作为采购合同的组成部分。</w:t>
      </w:r>
    </w:p>
    <w:p w14:paraId="7A1A5713">
      <w:pPr>
        <w:kinsoku w:val="0"/>
        <w:autoSpaceDE w:val="0"/>
        <w:autoSpaceDN w:val="0"/>
        <w:adjustRightInd w:val="0"/>
        <w:snapToGrid w:val="0"/>
        <w:spacing w:line="480" w:lineRule="exact"/>
        <w:ind w:firstLine="698"/>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5"/>
          <w:sz w:val="28"/>
          <w:szCs w:val="28"/>
        </w:rPr>
        <w:t>第十五条  鼓励各地区、各部门在采购活动中允许中小</w:t>
      </w:r>
      <w:r>
        <w:rPr>
          <w:rFonts w:hint="eastAsia" w:ascii="宋体" w:hAnsi="宋体" w:eastAsia="宋体" w:cs="宋体"/>
          <w:snapToGrid w:val="0"/>
          <w:spacing w:val="8"/>
          <w:sz w:val="28"/>
          <w:szCs w:val="28"/>
        </w:rPr>
        <w:t>企业引入信用担保手段，为中小企业在投标（响应）保证、履约保证等方面提供专业化服务。鼓励中小企业依法合规通</w:t>
      </w:r>
      <w:r>
        <w:rPr>
          <w:rFonts w:hint="eastAsia" w:ascii="宋体" w:hAnsi="宋体" w:eastAsia="宋体" w:cs="宋体"/>
          <w:snapToGrid w:val="0"/>
          <w:spacing w:val="6"/>
          <w:sz w:val="28"/>
          <w:szCs w:val="28"/>
        </w:rPr>
        <w:t>过政府采购合同融资。</w:t>
      </w:r>
    </w:p>
    <w:p w14:paraId="5B8B94FC">
      <w:pPr>
        <w:kinsoku w:val="0"/>
        <w:autoSpaceDE w:val="0"/>
        <w:autoSpaceDN w:val="0"/>
        <w:adjustRightInd w:val="0"/>
        <w:snapToGrid w:val="0"/>
        <w:spacing w:line="480" w:lineRule="exact"/>
        <w:ind w:firstLine="698"/>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5"/>
          <w:sz w:val="28"/>
          <w:szCs w:val="28"/>
        </w:rPr>
        <w:t>第十六条  政府采购监督检查、投诉处理及政府采购行</w:t>
      </w:r>
      <w:r>
        <w:rPr>
          <w:rFonts w:hint="eastAsia" w:ascii="宋体" w:hAnsi="宋体" w:eastAsia="宋体" w:cs="宋体"/>
          <w:snapToGrid w:val="0"/>
          <w:spacing w:val="17"/>
          <w:sz w:val="28"/>
          <w:szCs w:val="28"/>
        </w:rPr>
        <w:t xml:space="preserve"> </w:t>
      </w:r>
      <w:r>
        <w:rPr>
          <w:rFonts w:hint="eastAsia" w:ascii="宋体" w:hAnsi="宋体" w:eastAsia="宋体" w:cs="宋体"/>
          <w:snapToGrid w:val="0"/>
          <w:spacing w:val="8"/>
          <w:sz w:val="28"/>
          <w:szCs w:val="28"/>
        </w:rPr>
        <w:t>政处罚中对中小企业的认定，由货物制造商或者工程、服务</w:t>
      </w:r>
      <w:r>
        <w:rPr>
          <w:rFonts w:hint="eastAsia" w:ascii="宋体" w:hAnsi="宋体" w:eastAsia="宋体" w:cs="宋体"/>
          <w:snapToGrid w:val="0"/>
          <w:spacing w:val="21"/>
          <w:sz w:val="28"/>
          <w:szCs w:val="28"/>
        </w:rPr>
        <w:t>投标人注册登记所在地的县级以上人民政府中小企业主管</w:t>
      </w:r>
      <w:r>
        <w:rPr>
          <w:rFonts w:hint="eastAsia" w:ascii="宋体" w:hAnsi="宋体" w:eastAsia="宋体" w:cs="宋体"/>
          <w:snapToGrid w:val="0"/>
          <w:spacing w:val="3"/>
          <w:sz w:val="28"/>
          <w:szCs w:val="28"/>
        </w:rPr>
        <w:t>部门负责。</w:t>
      </w:r>
    </w:p>
    <w:p w14:paraId="1AD0FFB2">
      <w:pPr>
        <w:kinsoku w:val="0"/>
        <w:autoSpaceDE w:val="0"/>
        <w:autoSpaceDN w:val="0"/>
        <w:adjustRightInd w:val="0"/>
        <w:snapToGrid w:val="0"/>
        <w:spacing w:line="480" w:lineRule="exact"/>
        <w:ind w:firstLine="750"/>
        <w:jc w:val="left"/>
        <w:textAlignment w:val="baseline"/>
        <w:rPr>
          <w:rFonts w:hint="eastAsia" w:ascii="宋体" w:hAnsi="宋体" w:eastAsia="宋体" w:cs="宋体"/>
          <w:snapToGrid w:val="0"/>
          <w:spacing w:val="6"/>
          <w:sz w:val="28"/>
          <w:szCs w:val="28"/>
        </w:rPr>
      </w:pPr>
      <w:r>
        <w:rPr>
          <w:rFonts w:hint="eastAsia" w:ascii="宋体" w:hAnsi="宋体" w:eastAsia="宋体" w:cs="宋体"/>
          <w:snapToGrid w:val="0"/>
          <w:spacing w:val="17"/>
          <w:sz w:val="28"/>
          <w:szCs w:val="28"/>
        </w:rPr>
        <w:t>中小企业主管部门应当在收到财政部门或者有关招标</w:t>
      </w:r>
      <w:r>
        <w:rPr>
          <w:rFonts w:hint="eastAsia" w:ascii="宋体" w:hAnsi="宋体" w:eastAsia="宋体" w:cs="宋体"/>
          <w:snapToGrid w:val="0"/>
          <w:spacing w:val="11"/>
          <w:sz w:val="28"/>
          <w:szCs w:val="28"/>
        </w:rPr>
        <w:t>投标行政监督部门关于协助开展中小企业认定函后10</w:t>
      </w:r>
      <w:r>
        <w:rPr>
          <w:rFonts w:hint="eastAsia" w:ascii="宋体" w:hAnsi="宋体" w:eastAsia="宋体" w:cs="宋体"/>
          <w:snapToGrid w:val="0"/>
          <w:spacing w:val="-48"/>
          <w:sz w:val="28"/>
          <w:szCs w:val="28"/>
        </w:rPr>
        <w:t xml:space="preserve"> </w:t>
      </w:r>
      <w:r>
        <w:rPr>
          <w:rFonts w:hint="eastAsia" w:ascii="宋体" w:hAnsi="宋体" w:eastAsia="宋体" w:cs="宋体"/>
          <w:snapToGrid w:val="0"/>
          <w:spacing w:val="11"/>
          <w:sz w:val="28"/>
          <w:szCs w:val="28"/>
        </w:rPr>
        <w:t>个工</w:t>
      </w:r>
      <w:r>
        <w:rPr>
          <w:rFonts w:hint="eastAsia" w:ascii="宋体" w:hAnsi="宋体" w:eastAsia="宋体" w:cs="宋体"/>
          <w:snapToGrid w:val="0"/>
          <w:spacing w:val="6"/>
          <w:sz w:val="28"/>
          <w:szCs w:val="28"/>
        </w:rPr>
        <w:t>作日内做出书面答复。</w:t>
      </w:r>
    </w:p>
    <w:p w14:paraId="14AC2846">
      <w:pPr>
        <w:kinsoku w:val="0"/>
        <w:autoSpaceDE w:val="0"/>
        <w:autoSpaceDN w:val="0"/>
        <w:adjustRightInd w:val="0"/>
        <w:snapToGrid w:val="0"/>
        <w:spacing w:line="480" w:lineRule="exact"/>
        <w:ind w:firstLine="750"/>
        <w:jc w:val="left"/>
        <w:textAlignment w:val="baseline"/>
        <w:rPr>
          <w:rFonts w:hint="eastAsia" w:ascii="宋体" w:hAnsi="宋体" w:eastAsia="宋体" w:cs="宋体"/>
          <w:snapToGrid w:val="0"/>
          <w:spacing w:val="8"/>
          <w:sz w:val="28"/>
          <w:szCs w:val="28"/>
        </w:rPr>
      </w:pPr>
      <w:r>
        <w:rPr>
          <w:rFonts w:hint="eastAsia" w:ascii="宋体" w:hAnsi="宋体" w:eastAsia="宋体" w:cs="宋体"/>
          <w:snapToGrid w:val="0"/>
          <w:spacing w:val="5"/>
          <w:sz w:val="28"/>
          <w:szCs w:val="28"/>
        </w:rPr>
        <w:t xml:space="preserve">第十七条 </w:t>
      </w:r>
      <w:r>
        <w:rPr>
          <w:rFonts w:hint="eastAsia" w:ascii="宋体" w:hAnsi="宋体" w:eastAsia="宋体" w:cs="宋体"/>
          <w:snapToGrid w:val="0"/>
          <w:spacing w:val="17"/>
          <w:sz w:val="28"/>
          <w:szCs w:val="28"/>
        </w:rPr>
        <w:t xml:space="preserve"> 各地区、各部门应当对涉及中小企业采购的预算项目实施全过</w:t>
      </w:r>
      <w:r>
        <w:rPr>
          <w:rFonts w:hint="eastAsia" w:ascii="宋体" w:hAnsi="宋体" w:eastAsia="宋体" w:cs="宋体"/>
          <w:snapToGrid w:val="0"/>
          <w:spacing w:val="8"/>
          <w:sz w:val="28"/>
          <w:szCs w:val="28"/>
        </w:rPr>
        <w:t>程绩效管理，合理设置绩效目标和指标，落实扶持中小企业有关政策要求，定期开展绩效监控和评价，强化绩效评价结果应用。</w:t>
      </w:r>
    </w:p>
    <w:p w14:paraId="6FC47632">
      <w:pPr>
        <w:widowControl/>
        <w:kinsoku w:val="0"/>
        <w:autoSpaceDE w:val="0"/>
        <w:autoSpaceDN w:val="0"/>
        <w:adjustRightInd w:val="0"/>
        <w:snapToGrid w:val="0"/>
        <w:spacing w:line="480" w:lineRule="exact"/>
        <w:ind w:firstLine="592" w:firstLineChars="200"/>
        <w:jc w:val="left"/>
        <w:textAlignment w:val="baseline"/>
        <w:rPr>
          <w:rFonts w:hint="eastAsia" w:ascii="宋体" w:hAnsi="宋体" w:eastAsia="宋体" w:cs="宋体"/>
          <w:snapToGrid w:val="0"/>
          <w:spacing w:val="8"/>
          <w:position w:val="18"/>
          <w:sz w:val="28"/>
          <w:szCs w:val="28"/>
        </w:rPr>
      </w:pPr>
      <w:r>
        <w:rPr>
          <w:rFonts w:hint="eastAsia" w:ascii="宋体" w:hAnsi="宋体" w:eastAsia="宋体" w:cs="宋体"/>
          <w:snapToGrid w:val="0"/>
          <w:spacing w:val="8"/>
          <w:position w:val="18"/>
          <w:sz w:val="28"/>
          <w:szCs w:val="28"/>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65E5780D">
      <w:pPr>
        <w:widowControl/>
        <w:kinsoku w:val="0"/>
        <w:autoSpaceDE w:val="0"/>
        <w:autoSpaceDN w:val="0"/>
        <w:adjustRightInd w:val="0"/>
        <w:snapToGrid w:val="0"/>
        <w:spacing w:line="480" w:lineRule="exact"/>
        <w:ind w:firstLine="636" w:firstLineChars="200"/>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19"/>
          <w:sz w:val="28"/>
          <w:szCs w:val="28"/>
        </w:rPr>
        <w:t>第十九条  采购人未按本办法规定为中小企</w:t>
      </w:r>
      <w:r>
        <w:rPr>
          <w:rFonts w:hint="eastAsia" w:ascii="宋体" w:hAnsi="宋体" w:eastAsia="宋体" w:cs="宋体"/>
          <w:snapToGrid w:val="0"/>
          <w:spacing w:val="18"/>
          <w:sz w:val="28"/>
          <w:szCs w:val="28"/>
        </w:rPr>
        <w:t>业预留采</w:t>
      </w:r>
      <w:r>
        <w:rPr>
          <w:rFonts w:hint="eastAsia" w:ascii="宋体" w:hAnsi="宋体" w:eastAsia="宋体" w:cs="宋体"/>
          <w:snapToGrid w:val="0"/>
          <w:spacing w:val="8"/>
          <w:sz w:val="28"/>
          <w:szCs w:val="28"/>
        </w:rPr>
        <w:t>购份额，采购人、采购代理机构未按照本办法规定要求实施价格扣除或者价格分加分的，属于未按照规定执行政府采购政策，依照《中华人民共和国政府采购法》等国家有关规定</w:t>
      </w:r>
      <w:r>
        <w:rPr>
          <w:rFonts w:hint="eastAsia" w:ascii="宋体" w:hAnsi="宋体" w:eastAsia="宋体" w:cs="宋体"/>
          <w:snapToGrid w:val="0"/>
          <w:spacing w:val="5"/>
          <w:sz w:val="28"/>
          <w:szCs w:val="28"/>
        </w:rPr>
        <w:t>追究法律责任。</w:t>
      </w:r>
    </w:p>
    <w:p w14:paraId="2064BA9D">
      <w:pPr>
        <w:kinsoku w:val="0"/>
        <w:autoSpaceDE w:val="0"/>
        <w:autoSpaceDN w:val="0"/>
        <w:adjustRightInd w:val="0"/>
        <w:snapToGrid w:val="0"/>
        <w:spacing w:line="480" w:lineRule="exact"/>
        <w:ind w:firstLine="693"/>
        <w:textAlignment w:val="baseline"/>
        <w:rPr>
          <w:rFonts w:hint="eastAsia" w:ascii="宋体" w:hAnsi="宋体" w:eastAsia="宋体" w:cs="宋体"/>
          <w:snapToGrid w:val="0"/>
          <w:sz w:val="28"/>
          <w:szCs w:val="28"/>
        </w:rPr>
      </w:pPr>
      <w:r>
        <w:rPr>
          <w:rFonts w:hint="eastAsia" w:ascii="宋体" w:hAnsi="宋体" w:eastAsia="宋体" w:cs="宋体"/>
          <w:snapToGrid w:val="0"/>
          <w:spacing w:val="19"/>
          <w:sz w:val="28"/>
          <w:szCs w:val="28"/>
        </w:rPr>
        <w:t>第二十条  投标人按照本办法规定提供声明</w:t>
      </w:r>
      <w:r>
        <w:rPr>
          <w:rFonts w:hint="eastAsia" w:ascii="宋体" w:hAnsi="宋体" w:eastAsia="宋体" w:cs="宋体"/>
          <w:snapToGrid w:val="0"/>
          <w:spacing w:val="18"/>
          <w:sz w:val="28"/>
          <w:szCs w:val="28"/>
        </w:rPr>
        <w:t>函内容不</w:t>
      </w:r>
      <w:r>
        <w:rPr>
          <w:rFonts w:hint="eastAsia" w:ascii="宋体" w:hAnsi="宋体" w:eastAsia="宋体" w:cs="宋体"/>
          <w:snapToGrid w:val="0"/>
          <w:spacing w:val="8"/>
          <w:sz w:val="28"/>
          <w:szCs w:val="28"/>
        </w:rPr>
        <w:t>实的，属于提供虚假材料谋取中标、成交，依照《中华人民共和国政府采购法》等国家有关规定追究相应责任。</w:t>
      </w:r>
    </w:p>
    <w:p w14:paraId="1067C457">
      <w:pPr>
        <w:widowControl/>
        <w:kinsoku w:val="0"/>
        <w:autoSpaceDE w:val="0"/>
        <w:autoSpaceDN w:val="0"/>
        <w:adjustRightInd w:val="0"/>
        <w:snapToGrid w:val="0"/>
        <w:spacing w:line="480" w:lineRule="exact"/>
        <w:ind w:firstLine="638"/>
        <w:textAlignment w:val="baseline"/>
        <w:rPr>
          <w:rFonts w:hint="eastAsia" w:ascii="宋体" w:hAnsi="宋体" w:eastAsia="宋体" w:cs="宋体"/>
          <w:snapToGrid w:val="0"/>
          <w:sz w:val="28"/>
          <w:szCs w:val="28"/>
        </w:rPr>
      </w:pPr>
      <w:r>
        <w:rPr>
          <w:rFonts w:hint="eastAsia" w:ascii="宋体" w:hAnsi="宋体" w:eastAsia="宋体" w:cs="宋体"/>
          <w:snapToGrid w:val="0"/>
          <w:spacing w:val="6"/>
          <w:sz w:val="28"/>
          <w:szCs w:val="28"/>
        </w:rPr>
        <w:t>适用招标投标法的政府采购工程建设项目，投标人按照本办法规定提供声明函内容不实的，属于弄虚作假骗取</w:t>
      </w:r>
      <w:r>
        <w:rPr>
          <w:rFonts w:hint="eastAsia" w:ascii="宋体" w:hAnsi="宋体" w:eastAsia="宋体" w:cs="宋体"/>
          <w:snapToGrid w:val="0"/>
          <w:spacing w:val="5"/>
          <w:sz w:val="28"/>
          <w:szCs w:val="28"/>
        </w:rPr>
        <w:t>中标，</w:t>
      </w:r>
      <w:r>
        <w:rPr>
          <w:rFonts w:hint="eastAsia" w:ascii="宋体" w:hAnsi="宋体" w:eastAsia="宋体" w:cs="宋体"/>
          <w:snapToGrid w:val="0"/>
          <w:spacing w:val="8"/>
          <w:sz w:val="28"/>
          <w:szCs w:val="28"/>
        </w:rPr>
        <w:t>依照《中华人民共和国招标投标法》等国家有关规定追究相</w:t>
      </w:r>
      <w:r>
        <w:rPr>
          <w:rFonts w:hint="eastAsia" w:ascii="宋体" w:hAnsi="宋体" w:eastAsia="宋体" w:cs="宋体"/>
          <w:snapToGrid w:val="0"/>
          <w:spacing w:val="2"/>
          <w:sz w:val="28"/>
          <w:szCs w:val="28"/>
        </w:rPr>
        <w:t>应责任。</w:t>
      </w:r>
    </w:p>
    <w:p w14:paraId="63A16CC5">
      <w:pPr>
        <w:widowControl/>
        <w:kinsoku w:val="0"/>
        <w:autoSpaceDE w:val="0"/>
        <w:autoSpaceDN w:val="0"/>
        <w:adjustRightInd w:val="0"/>
        <w:snapToGrid w:val="0"/>
        <w:spacing w:line="480" w:lineRule="exact"/>
        <w:ind w:firstLine="702"/>
        <w:textAlignment w:val="baseline"/>
        <w:rPr>
          <w:rFonts w:hint="eastAsia" w:ascii="宋体" w:hAnsi="宋体" w:eastAsia="宋体" w:cs="宋体"/>
          <w:snapToGrid w:val="0"/>
          <w:sz w:val="28"/>
          <w:szCs w:val="28"/>
        </w:rPr>
      </w:pPr>
      <w:r>
        <w:rPr>
          <w:rFonts w:hint="eastAsia" w:ascii="宋体" w:hAnsi="宋体" w:eastAsia="宋体" w:cs="宋体"/>
          <w:snapToGrid w:val="0"/>
          <w:spacing w:val="5"/>
          <w:sz w:val="28"/>
          <w:szCs w:val="28"/>
        </w:rPr>
        <w:t>第二十一条  财政部门、中小企业主管部门及其工作人</w:t>
      </w:r>
      <w:r>
        <w:rPr>
          <w:rFonts w:hint="eastAsia" w:ascii="宋体" w:hAnsi="宋体" w:eastAsia="宋体" w:cs="宋体"/>
          <w:snapToGrid w:val="0"/>
          <w:spacing w:val="8"/>
          <w:sz w:val="28"/>
          <w:szCs w:val="28"/>
        </w:rPr>
        <w:t>员在履行职责中违反本办法规定及存在其他滥用职权、玩忽职守、徇私舞弊等违法违纪行为的，依照《</w:t>
      </w:r>
      <w:r>
        <w:rPr>
          <w:rFonts w:hint="eastAsia" w:ascii="宋体" w:hAnsi="宋体" w:eastAsia="宋体" w:cs="宋体"/>
        </w:rPr>
        <w:fldChar w:fldCharType="begin"/>
      </w:r>
      <w:r>
        <w:rPr>
          <w:rFonts w:hint="eastAsia" w:ascii="宋体" w:hAnsi="宋体" w:eastAsia="宋体" w:cs="宋体"/>
        </w:rPr>
        <w:instrText xml:space="preserve"> HYPERLINK "http://10.162.100.18:168/golaw?dbnm=gjfg&amp;flid=1116012014128049" </w:instrText>
      </w:r>
      <w:r>
        <w:rPr>
          <w:rFonts w:hint="eastAsia" w:ascii="宋体" w:hAnsi="宋体" w:eastAsia="宋体" w:cs="宋体"/>
        </w:rPr>
        <w:fldChar w:fldCharType="separate"/>
      </w:r>
      <w:r>
        <w:rPr>
          <w:rFonts w:hint="eastAsia" w:ascii="宋体" w:hAnsi="宋体" w:eastAsia="宋体" w:cs="宋体"/>
          <w:snapToGrid w:val="0"/>
          <w:spacing w:val="8"/>
          <w:sz w:val="28"/>
          <w:szCs w:val="28"/>
        </w:rPr>
        <w:t>中华人民共和国</w:t>
      </w:r>
      <w:r>
        <w:rPr>
          <w:rFonts w:hint="eastAsia" w:ascii="宋体" w:hAnsi="宋体" w:eastAsia="宋体" w:cs="宋体"/>
          <w:snapToGrid w:val="0"/>
          <w:spacing w:val="8"/>
          <w:sz w:val="28"/>
          <w:szCs w:val="28"/>
        </w:rPr>
        <w:fldChar w:fldCharType="end"/>
      </w:r>
      <w:r>
        <w:rPr>
          <w:rFonts w:hint="eastAsia" w:ascii="宋体" w:hAnsi="宋体" w:eastAsia="宋体" w:cs="宋体"/>
          <w:snapToGrid w:val="0"/>
          <w:spacing w:val="-14"/>
          <w:sz w:val="28"/>
          <w:szCs w:val="28"/>
        </w:rPr>
        <w:t>政府采购法》、《</w:t>
      </w:r>
      <w:r>
        <w:rPr>
          <w:rFonts w:hint="eastAsia" w:ascii="宋体" w:hAnsi="宋体" w:eastAsia="宋体" w:cs="宋体"/>
        </w:rPr>
        <w:fldChar w:fldCharType="begin"/>
      </w:r>
      <w:r>
        <w:rPr>
          <w:rFonts w:hint="eastAsia" w:ascii="宋体" w:hAnsi="宋体" w:eastAsia="宋体" w:cs="宋体"/>
        </w:rPr>
        <w:instrText xml:space="preserve"> HYPERLINK "http://10.162.100.18:168/golaw?dbnm=gjfg&amp;flid=111601200501" </w:instrText>
      </w:r>
      <w:r>
        <w:rPr>
          <w:rFonts w:hint="eastAsia" w:ascii="宋体" w:hAnsi="宋体" w:eastAsia="宋体" w:cs="宋体"/>
        </w:rPr>
        <w:fldChar w:fldCharType="separate"/>
      </w:r>
      <w:r>
        <w:rPr>
          <w:rFonts w:hint="eastAsia" w:ascii="宋体" w:hAnsi="宋体" w:eastAsia="宋体" w:cs="宋体"/>
          <w:snapToGrid w:val="0"/>
          <w:spacing w:val="-14"/>
          <w:sz w:val="28"/>
          <w:szCs w:val="28"/>
        </w:rPr>
        <w:t>中华人民共和国公务员法</w:t>
      </w:r>
      <w:r>
        <w:rPr>
          <w:rFonts w:hint="eastAsia" w:ascii="宋体" w:hAnsi="宋体" w:eastAsia="宋体" w:cs="宋体"/>
          <w:snapToGrid w:val="0"/>
          <w:spacing w:val="-14"/>
          <w:sz w:val="28"/>
          <w:szCs w:val="28"/>
        </w:rPr>
        <w:fldChar w:fldCharType="end"/>
      </w:r>
      <w:r>
        <w:rPr>
          <w:rFonts w:hint="eastAsia" w:ascii="宋体" w:hAnsi="宋体" w:eastAsia="宋体" w:cs="宋体"/>
          <w:snapToGrid w:val="0"/>
          <w:spacing w:val="-14"/>
          <w:sz w:val="28"/>
          <w:szCs w:val="28"/>
        </w:rPr>
        <w:t>》、《</w:t>
      </w:r>
      <w:r>
        <w:rPr>
          <w:rFonts w:hint="eastAsia" w:ascii="宋体" w:hAnsi="宋体" w:eastAsia="宋体" w:cs="宋体"/>
        </w:rPr>
        <w:fldChar w:fldCharType="begin"/>
      </w:r>
      <w:r>
        <w:rPr>
          <w:rFonts w:hint="eastAsia" w:ascii="宋体" w:hAnsi="宋体" w:eastAsia="宋体" w:cs="宋体"/>
        </w:rPr>
        <w:instrText xml:space="preserve"> HYPERLINK "http://10.162.100.18:168/golaw?dbnm=gjfg&amp;flid=1117032010100014" </w:instrText>
      </w:r>
      <w:r>
        <w:rPr>
          <w:rFonts w:hint="eastAsia" w:ascii="宋体" w:hAnsi="宋体" w:eastAsia="宋体" w:cs="宋体"/>
        </w:rPr>
        <w:fldChar w:fldCharType="separate"/>
      </w:r>
      <w:r>
        <w:rPr>
          <w:rFonts w:hint="eastAsia" w:ascii="宋体" w:hAnsi="宋体" w:eastAsia="宋体" w:cs="宋体"/>
          <w:snapToGrid w:val="0"/>
          <w:spacing w:val="-14"/>
          <w:sz w:val="28"/>
          <w:szCs w:val="28"/>
        </w:rPr>
        <w:t>中华人民共和</w:t>
      </w:r>
      <w:r>
        <w:rPr>
          <w:rFonts w:hint="eastAsia" w:ascii="宋体" w:hAnsi="宋体" w:eastAsia="宋体" w:cs="宋体"/>
          <w:snapToGrid w:val="0"/>
          <w:spacing w:val="-14"/>
          <w:sz w:val="28"/>
          <w:szCs w:val="28"/>
        </w:rPr>
        <w:fldChar w:fldCharType="end"/>
      </w:r>
      <w:r>
        <w:rPr>
          <w:rFonts w:hint="eastAsia" w:ascii="宋体" w:hAnsi="宋体" w:eastAsia="宋体" w:cs="宋体"/>
          <w:snapToGrid w:val="0"/>
          <w:spacing w:val="-3"/>
          <w:sz w:val="28"/>
          <w:szCs w:val="28"/>
        </w:rPr>
        <w:t>国监察法》、《</w:t>
      </w:r>
      <w:r>
        <w:rPr>
          <w:rFonts w:hint="eastAsia" w:ascii="宋体" w:hAnsi="宋体" w:eastAsia="宋体" w:cs="宋体"/>
        </w:rPr>
        <w:fldChar w:fldCharType="begin"/>
      </w:r>
      <w:r>
        <w:rPr>
          <w:rFonts w:hint="eastAsia" w:ascii="宋体" w:hAnsi="宋体" w:eastAsia="宋体" w:cs="宋体"/>
        </w:rPr>
        <w:instrText xml:space="preserve"> HYPERLINK "http://10.162.100.18:168/golaw?dbnm=gjfg&amp;flid=1129012015130679" </w:instrText>
      </w:r>
      <w:r>
        <w:rPr>
          <w:rFonts w:hint="eastAsia" w:ascii="宋体" w:hAnsi="宋体" w:eastAsia="宋体" w:cs="宋体"/>
        </w:rPr>
        <w:fldChar w:fldCharType="separate"/>
      </w:r>
      <w:r>
        <w:rPr>
          <w:rFonts w:hint="eastAsia" w:ascii="宋体" w:hAnsi="宋体" w:eastAsia="宋体" w:cs="宋体"/>
          <w:snapToGrid w:val="0"/>
          <w:spacing w:val="-3"/>
          <w:sz w:val="28"/>
          <w:szCs w:val="28"/>
        </w:rPr>
        <w:t>中华人民共和国政府采购法实施条例</w:t>
      </w:r>
      <w:r>
        <w:rPr>
          <w:rFonts w:hint="eastAsia" w:ascii="宋体" w:hAnsi="宋体" w:eastAsia="宋体" w:cs="宋体"/>
          <w:snapToGrid w:val="0"/>
          <w:spacing w:val="-3"/>
          <w:sz w:val="28"/>
          <w:szCs w:val="28"/>
        </w:rPr>
        <w:fldChar w:fldCharType="end"/>
      </w:r>
      <w:r>
        <w:rPr>
          <w:rFonts w:hint="eastAsia" w:ascii="宋体" w:hAnsi="宋体" w:eastAsia="宋体" w:cs="宋体"/>
          <w:snapToGrid w:val="0"/>
          <w:spacing w:val="-3"/>
          <w:sz w:val="28"/>
          <w:szCs w:val="28"/>
        </w:rPr>
        <w:t>》等</w:t>
      </w:r>
      <w:r>
        <w:rPr>
          <w:rFonts w:hint="eastAsia" w:ascii="宋体" w:hAnsi="宋体" w:eastAsia="宋体" w:cs="宋体"/>
          <w:snapToGrid w:val="0"/>
          <w:spacing w:val="-4"/>
          <w:sz w:val="28"/>
          <w:szCs w:val="28"/>
        </w:rPr>
        <w:t>国家</w:t>
      </w:r>
      <w:r>
        <w:rPr>
          <w:rFonts w:hint="eastAsia" w:ascii="宋体" w:hAnsi="宋体" w:eastAsia="宋体" w:cs="宋体"/>
          <w:snapToGrid w:val="0"/>
          <w:spacing w:val="9"/>
          <w:sz w:val="28"/>
          <w:szCs w:val="28"/>
        </w:rPr>
        <w:t>有关规定追究相应责任；涉嫌犯罪的，依法</w:t>
      </w:r>
      <w:r>
        <w:rPr>
          <w:rFonts w:hint="eastAsia" w:ascii="宋体" w:hAnsi="宋体" w:eastAsia="宋体" w:cs="宋体"/>
          <w:snapToGrid w:val="0"/>
          <w:spacing w:val="8"/>
          <w:sz w:val="28"/>
          <w:szCs w:val="28"/>
        </w:rPr>
        <w:t>移送有关国家机</w:t>
      </w:r>
      <w:r>
        <w:rPr>
          <w:rFonts w:hint="eastAsia" w:ascii="宋体" w:hAnsi="宋体" w:eastAsia="宋体" w:cs="宋体"/>
          <w:snapToGrid w:val="0"/>
          <w:spacing w:val="-1"/>
          <w:sz w:val="28"/>
          <w:szCs w:val="28"/>
        </w:rPr>
        <w:t>关处理。</w:t>
      </w:r>
    </w:p>
    <w:p w14:paraId="3B77A1A2">
      <w:pPr>
        <w:widowControl/>
        <w:kinsoku w:val="0"/>
        <w:autoSpaceDE w:val="0"/>
        <w:autoSpaceDN w:val="0"/>
        <w:adjustRightInd w:val="0"/>
        <w:snapToGrid w:val="0"/>
        <w:spacing w:line="480" w:lineRule="exact"/>
        <w:ind w:firstLine="580" w:firstLineChars="200"/>
        <w:jc w:val="left"/>
        <w:textAlignment w:val="baseline"/>
        <w:rPr>
          <w:rFonts w:hint="eastAsia" w:ascii="宋体" w:hAnsi="宋体" w:eastAsia="宋体" w:cs="宋体"/>
          <w:snapToGrid w:val="0"/>
          <w:sz w:val="28"/>
          <w:szCs w:val="28"/>
        </w:rPr>
      </w:pPr>
      <w:r>
        <w:rPr>
          <w:rFonts w:hint="eastAsia" w:ascii="宋体" w:hAnsi="宋体" w:eastAsia="宋体" w:cs="宋体"/>
          <w:snapToGrid w:val="0"/>
          <w:spacing w:val="5"/>
          <w:sz w:val="28"/>
          <w:szCs w:val="28"/>
        </w:rPr>
        <w:t>第二十二条</w:t>
      </w:r>
      <w:r>
        <w:rPr>
          <w:rFonts w:hint="eastAsia" w:ascii="宋体" w:hAnsi="宋体" w:eastAsia="宋体" w:cs="宋体"/>
          <w:b/>
          <w:bCs/>
          <w:snapToGrid w:val="0"/>
          <w:spacing w:val="8"/>
          <w:sz w:val="28"/>
          <w:szCs w:val="28"/>
        </w:rPr>
        <w:t xml:space="preserve">  </w:t>
      </w:r>
      <w:r>
        <w:rPr>
          <w:rFonts w:hint="eastAsia" w:ascii="宋体" w:hAnsi="宋体" w:eastAsia="宋体" w:cs="宋体"/>
          <w:snapToGrid w:val="0"/>
          <w:spacing w:val="8"/>
          <w:sz w:val="28"/>
          <w:szCs w:val="28"/>
        </w:rPr>
        <w:t>对外援助项目、国家相关资格或者资质管理制度另有规定的项目，不适用本办法。</w:t>
      </w:r>
    </w:p>
    <w:p w14:paraId="7C3BE97C">
      <w:pPr>
        <w:kinsoku w:val="0"/>
        <w:autoSpaceDE w:val="0"/>
        <w:autoSpaceDN w:val="0"/>
        <w:adjustRightInd w:val="0"/>
        <w:snapToGrid w:val="0"/>
        <w:spacing w:line="480" w:lineRule="exact"/>
        <w:ind w:firstLine="580" w:firstLineChars="200"/>
        <w:textAlignment w:val="baseline"/>
        <w:rPr>
          <w:rFonts w:hint="eastAsia" w:ascii="宋体" w:hAnsi="宋体" w:eastAsia="宋体" w:cs="宋体"/>
          <w:snapToGrid w:val="0"/>
          <w:spacing w:val="8"/>
          <w:sz w:val="28"/>
          <w:szCs w:val="28"/>
        </w:rPr>
      </w:pPr>
      <w:r>
        <w:rPr>
          <w:rFonts w:hint="eastAsia" w:ascii="宋体" w:hAnsi="宋体" w:eastAsia="宋体" w:cs="宋体"/>
          <w:snapToGrid w:val="0"/>
          <w:spacing w:val="5"/>
          <w:sz w:val="28"/>
          <w:szCs w:val="28"/>
        </w:rPr>
        <w:t>第二十三条</w:t>
      </w:r>
      <w:r>
        <w:rPr>
          <w:rFonts w:hint="eastAsia" w:ascii="宋体" w:hAnsi="宋体" w:eastAsia="宋体" w:cs="宋体"/>
          <w:snapToGrid w:val="0"/>
          <w:spacing w:val="8"/>
          <w:sz w:val="28"/>
          <w:szCs w:val="28"/>
        </w:rPr>
        <w:t xml:space="preserve">  关于视同中小企业的其他主体的政府采</w:t>
      </w:r>
    </w:p>
    <w:p w14:paraId="396DAD38">
      <w:pPr>
        <w:kinsoku w:val="0"/>
        <w:autoSpaceDE w:val="0"/>
        <w:autoSpaceDN w:val="0"/>
        <w:adjustRightInd w:val="0"/>
        <w:snapToGrid w:val="0"/>
        <w:spacing w:line="480" w:lineRule="exact"/>
        <w:jc w:val="left"/>
        <w:textAlignment w:val="baseline"/>
        <w:rPr>
          <w:rFonts w:hint="eastAsia" w:ascii="宋体" w:hAnsi="宋体" w:eastAsia="宋体" w:cs="宋体"/>
          <w:snapToGrid w:val="0"/>
          <w:spacing w:val="8"/>
          <w:sz w:val="28"/>
          <w:szCs w:val="28"/>
        </w:rPr>
      </w:pPr>
      <w:r>
        <w:rPr>
          <w:rFonts w:hint="eastAsia" w:ascii="宋体" w:hAnsi="宋体" w:eastAsia="宋体" w:cs="宋体"/>
          <w:snapToGrid w:val="0"/>
          <w:spacing w:val="8"/>
          <w:sz w:val="28"/>
          <w:szCs w:val="28"/>
        </w:rPr>
        <w:t>购扶持政策，由财政部会同有关部门另行规定。</w:t>
      </w:r>
    </w:p>
    <w:p w14:paraId="48907A9A">
      <w:pPr>
        <w:kinsoku w:val="0"/>
        <w:autoSpaceDE w:val="0"/>
        <w:autoSpaceDN w:val="0"/>
        <w:adjustRightInd w:val="0"/>
        <w:snapToGrid w:val="0"/>
        <w:spacing w:line="480" w:lineRule="exact"/>
        <w:ind w:firstLine="580" w:firstLineChars="200"/>
        <w:jc w:val="left"/>
        <w:textAlignment w:val="baseline"/>
        <w:rPr>
          <w:rFonts w:hint="eastAsia" w:ascii="宋体" w:hAnsi="宋体" w:eastAsia="宋体" w:cs="宋体"/>
          <w:snapToGrid w:val="0"/>
          <w:spacing w:val="8"/>
          <w:sz w:val="28"/>
          <w:szCs w:val="28"/>
        </w:rPr>
      </w:pPr>
      <w:r>
        <w:rPr>
          <w:rFonts w:hint="eastAsia" w:ascii="宋体" w:hAnsi="宋体" w:eastAsia="宋体" w:cs="宋体"/>
          <w:snapToGrid w:val="0"/>
          <w:spacing w:val="5"/>
          <w:sz w:val="28"/>
          <w:szCs w:val="28"/>
        </w:rPr>
        <w:t>第二十四条</w:t>
      </w:r>
      <w:r>
        <w:rPr>
          <w:rFonts w:hint="eastAsia" w:ascii="宋体" w:hAnsi="宋体" w:eastAsia="宋体" w:cs="宋体"/>
          <w:snapToGrid w:val="0"/>
          <w:spacing w:val="8"/>
          <w:sz w:val="28"/>
          <w:szCs w:val="28"/>
        </w:rPr>
        <w:t xml:space="preserve">  省级财政部门可以会同中小企业主管部门根据本办法的规定制定具体实施办法。</w:t>
      </w:r>
    </w:p>
    <w:p w14:paraId="7C9BAF30">
      <w:pPr>
        <w:kinsoku w:val="0"/>
        <w:autoSpaceDE w:val="0"/>
        <w:autoSpaceDN w:val="0"/>
        <w:adjustRightInd w:val="0"/>
        <w:snapToGrid w:val="0"/>
        <w:spacing w:line="480" w:lineRule="exact"/>
        <w:ind w:firstLine="580" w:firstLineChars="200"/>
        <w:jc w:val="left"/>
        <w:textAlignment w:val="baseline"/>
        <w:rPr>
          <w:rFonts w:hint="eastAsia" w:ascii="宋体" w:hAnsi="宋体" w:eastAsia="宋体" w:cs="宋体"/>
          <w:snapToGrid w:val="0"/>
          <w:spacing w:val="8"/>
          <w:sz w:val="28"/>
          <w:szCs w:val="28"/>
        </w:rPr>
      </w:pPr>
      <w:r>
        <w:rPr>
          <w:rFonts w:hint="eastAsia" w:ascii="宋体" w:hAnsi="宋体" w:eastAsia="宋体" w:cs="宋体"/>
          <w:snapToGrid w:val="0"/>
          <w:spacing w:val="5"/>
          <w:sz w:val="28"/>
          <w:szCs w:val="28"/>
        </w:rPr>
        <w:t>第二十五条</w:t>
      </w:r>
      <w:r>
        <w:rPr>
          <w:rFonts w:hint="eastAsia" w:ascii="宋体" w:hAnsi="宋体" w:eastAsia="宋体" w:cs="宋体"/>
          <w:snapToGrid w:val="0"/>
          <w:spacing w:val="8"/>
          <w:sz w:val="28"/>
          <w:szCs w:val="28"/>
        </w:rPr>
        <w:t xml:space="preserve">  本办法自2021年1月1日起施行。《财政部工业和信息化部关于印发〈政府采购促进中小企业发展暂行办法〉的通知》（财库（2011﹞181号）同时废止。</w:t>
      </w:r>
    </w:p>
    <w:p w14:paraId="1A691CD9">
      <w:pPr>
        <w:widowControl/>
        <w:kinsoku w:val="0"/>
        <w:autoSpaceDE w:val="0"/>
        <w:autoSpaceDN w:val="0"/>
        <w:adjustRightInd w:val="0"/>
        <w:snapToGrid w:val="0"/>
        <w:spacing w:line="500" w:lineRule="exact"/>
        <w:jc w:val="left"/>
        <w:textAlignment w:val="baseline"/>
        <w:rPr>
          <w:rFonts w:hint="eastAsia" w:ascii="宋体" w:hAnsi="宋体" w:eastAsia="宋体" w:cs="宋体"/>
          <w:snapToGrid w:val="0"/>
          <w:sz w:val="28"/>
          <w:szCs w:val="28"/>
        </w:rPr>
      </w:pPr>
    </w:p>
    <w:p w14:paraId="5B7081DD">
      <w:pPr>
        <w:kinsoku w:val="0"/>
        <w:autoSpaceDE w:val="0"/>
        <w:autoSpaceDN w:val="0"/>
        <w:adjustRightInd w:val="0"/>
        <w:snapToGrid w:val="0"/>
        <w:spacing w:line="500" w:lineRule="exact"/>
        <w:jc w:val="left"/>
        <w:textAlignment w:val="baseline"/>
        <w:rPr>
          <w:rFonts w:hint="eastAsia" w:ascii="宋体" w:hAnsi="宋体" w:eastAsia="宋体" w:cs="宋体"/>
          <w:snapToGrid w:val="0"/>
          <w:sz w:val="28"/>
          <w:szCs w:val="28"/>
        </w:rPr>
      </w:pPr>
    </w:p>
    <w:p w14:paraId="28ACD5C3">
      <w:pPr>
        <w:spacing w:line="500" w:lineRule="exact"/>
        <w:rPr>
          <w:rFonts w:hint="eastAsia" w:ascii="宋体" w:hAnsi="宋体" w:eastAsia="宋体" w:cs="宋体"/>
          <w:sz w:val="28"/>
          <w:szCs w:val="28"/>
        </w:rPr>
        <w:sectPr>
          <w:pgSz w:w="11906" w:h="16839"/>
          <w:pgMar w:top="1431" w:right="1785" w:bottom="1378" w:left="1785" w:header="0" w:footer="1212" w:gutter="0"/>
          <w:pgNumType w:start="197"/>
          <w:cols w:space="720" w:num="1"/>
        </w:sectPr>
      </w:pPr>
    </w:p>
    <w:p w14:paraId="15011F95">
      <w:pPr>
        <w:widowControl/>
        <w:kinsoku w:val="0"/>
        <w:autoSpaceDE w:val="0"/>
        <w:autoSpaceDN w:val="0"/>
        <w:adjustRightInd w:val="0"/>
        <w:snapToGrid w:val="0"/>
        <w:spacing w:line="500" w:lineRule="exact"/>
        <w:jc w:val="left"/>
        <w:textAlignment w:val="baseline"/>
        <w:outlineLvl w:val="0"/>
        <w:rPr>
          <w:rFonts w:hint="eastAsia" w:ascii="宋体" w:hAnsi="宋体" w:eastAsia="宋体" w:cs="宋体"/>
          <w:snapToGrid w:val="0"/>
          <w:spacing w:val="-9"/>
          <w:sz w:val="28"/>
          <w:szCs w:val="28"/>
        </w:rPr>
      </w:pPr>
      <w:bookmarkStart w:id="220" w:name="_Toc809882805"/>
      <w:bookmarkStart w:id="221" w:name="_Toc11231"/>
      <w:bookmarkStart w:id="222" w:name="_Toc25114"/>
      <w:r>
        <w:rPr>
          <w:rFonts w:hint="eastAsia" w:ascii="宋体" w:hAnsi="宋体" w:eastAsia="宋体" w:cs="宋体"/>
          <w:snapToGrid w:val="0"/>
          <w:spacing w:val="-9"/>
          <w:sz w:val="28"/>
          <w:szCs w:val="28"/>
        </w:rPr>
        <w:t>附件2：关于进一步加大政府采购支持中小企业力度的通知</w:t>
      </w:r>
      <w:bookmarkEnd w:id="220"/>
      <w:bookmarkEnd w:id="221"/>
      <w:bookmarkEnd w:id="222"/>
    </w:p>
    <w:p w14:paraId="38A0CEB2">
      <w:pPr>
        <w:widowControl/>
        <w:shd w:val="clear" w:color="auto" w:fill="FFFFFF"/>
        <w:spacing w:line="500" w:lineRule="exact"/>
        <w:jc w:val="center"/>
        <w:textAlignment w:val="baseline"/>
        <w:rPr>
          <w:rFonts w:hint="eastAsia" w:ascii="宋体" w:hAnsi="宋体" w:eastAsia="宋体" w:cs="宋体"/>
          <w:b/>
          <w:bCs/>
          <w:sz w:val="28"/>
          <w:szCs w:val="28"/>
        </w:rPr>
      </w:pPr>
      <w:r>
        <w:rPr>
          <w:rFonts w:hint="eastAsia" w:ascii="宋体" w:hAnsi="宋体" w:eastAsia="宋体" w:cs="宋体"/>
          <w:b/>
          <w:bCs/>
          <w:sz w:val="28"/>
          <w:szCs w:val="28"/>
          <w:shd w:val="clear" w:color="auto" w:fill="FFFFFF"/>
        </w:rPr>
        <w:t>关于进一步加大政府采购支持中小企业力度的通知</w:t>
      </w:r>
    </w:p>
    <w:p w14:paraId="3DC35114">
      <w:pPr>
        <w:widowControl/>
        <w:shd w:val="clear" w:color="auto" w:fill="FFFFFF"/>
        <w:spacing w:line="500" w:lineRule="exact"/>
        <w:jc w:val="center"/>
        <w:textAlignment w:val="baseline"/>
        <w:rPr>
          <w:rFonts w:hint="eastAsia" w:ascii="宋体" w:hAnsi="宋体" w:eastAsia="宋体" w:cs="宋体"/>
          <w:sz w:val="28"/>
          <w:szCs w:val="28"/>
        </w:rPr>
      </w:pPr>
      <w:r>
        <w:rPr>
          <w:rFonts w:hint="eastAsia" w:ascii="宋体" w:hAnsi="宋体" w:eastAsia="宋体" w:cs="宋体"/>
          <w:b/>
          <w:bCs/>
          <w:sz w:val="28"/>
          <w:szCs w:val="28"/>
          <w:shd w:val="clear" w:color="auto" w:fill="FFFFFF"/>
        </w:rPr>
        <w:t>财库〔2022〕19号</w:t>
      </w:r>
    </w:p>
    <w:p w14:paraId="01CFA755">
      <w:pPr>
        <w:pStyle w:val="20"/>
        <w:widowControl/>
        <w:spacing w:beforeAutospacing="0" w:afterAutospacing="0" w:line="500" w:lineRule="exact"/>
        <w:jc w:val="both"/>
        <w:textAlignment w:val="baseline"/>
        <w:rPr>
          <w:rFonts w:hint="eastAsia" w:ascii="宋体" w:hAnsi="宋体" w:eastAsia="宋体" w:cs="宋体"/>
          <w:sz w:val="28"/>
          <w:szCs w:val="28"/>
        </w:rPr>
      </w:pPr>
      <w:r>
        <w:rPr>
          <w:rFonts w:hint="eastAsia" w:ascii="宋体" w:hAnsi="宋体" w:eastAsia="宋体" w:cs="宋体"/>
          <w:sz w:val="28"/>
          <w:szCs w:val="28"/>
          <w:shd w:val="clear" w:color="auto" w:fill="FFFFFF"/>
        </w:rPr>
        <w:t>各中央预算单位，各省、自治区、直辖市、计划单列市财政厅（局），新疆生产建设兵团财政局：</w:t>
      </w:r>
    </w:p>
    <w:p w14:paraId="2D75E8E9">
      <w:pPr>
        <w:pStyle w:val="20"/>
        <w:widowControl/>
        <w:spacing w:beforeAutospacing="0" w:afterAutospacing="0" w:line="500" w:lineRule="exact"/>
        <w:jc w:val="both"/>
        <w:textAlignment w:val="baseline"/>
        <w:rPr>
          <w:rFonts w:hint="eastAsia" w:ascii="宋体" w:hAnsi="宋体" w:eastAsia="宋体" w:cs="宋体"/>
          <w:sz w:val="28"/>
          <w:szCs w:val="28"/>
        </w:rPr>
      </w:pPr>
      <w:r>
        <w:rPr>
          <w:rFonts w:hint="eastAsia" w:ascii="宋体" w:hAnsi="宋体" w:eastAsia="宋体" w:cs="宋体"/>
          <w:sz w:val="28"/>
          <w:szCs w:val="28"/>
          <w:shd w:val="clear" w:color="auto" w:fill="FFFFFF"/>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72EB39B9">
      <w:pPr>
        <w:pStyle w:val="20"/>
        <w:widowControl/>
        <w:spacing w:beforeAutospacing="0" w:afterAutospacing="0" w:line="500" w:lineRule="exact"/>
        <w:jc w:val="both"/>
        <w:textAlignment w:val="baseline"/>
        <w:rPr>
          <w:rFonts w:hint="eastAsia" w:ascii="宋体" w:hAnsi="宋体" w:eastAsia="宋体" w:cs="宋体"/>
          <w:sz w:val="28"/>
          <w:szCs w:val="28"/>
        </w:rPr>
      </w:pPr>
      <w:r>
        <w:rPr>
          <w:rFonts w:hint="eastAsia" w:ascii="宋体" w:hAnsi="宋体" w:eastAsia="宋体" w:cs="宋体"/>
          <w:sz w:val="28"/>
          <w:szCs w:val="28"/>
          <w:shd w:val="clear" w:color="auto" w:fill="FFFFFF"/>
        </w:rPr>
        <w:t>　　</w:t>
      </w:r>
      <w:r>
        <w:rPr>
          <w:rFonts w:hint="eastAsia" w:ascii="宋体" w:hAnsi="宋体" w:eastAsia="宋体" w:cs="宋体"/>
          <w:b/>
          <w:bCs/>
          <w:sz w:val="28"/>
          <w:szCs w:val="28"/>
          <w:shd w:val="clear" w:color="auto" w:fill="FFFFFF"/>
        </w:rPr>
        <w:t>一、严格落实支持中小企业政府采购政策。</w:t>
      </w:r>
      <w:r>
        <w:rPr>
          <w:rFonts w:hint="eastAsia" w:ascii="宋体" w:hAnsi="宋体" w:eastAsia="宋体" w:cs="宋体"/>
          <w:sz w:val="28"/>
          <w:szCs w:val="28"/>
          <w:shd w:val="clear" w:color="auto" w:fill="FFFFFF"/>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10A512F8">
      <w:pPr>
        <w:pStyle w:val="20"/>
        <w:widowControl/>
        <w:spacing w:beforeAutospacing="0" w:afterAutospacing="0" w:line="500" w:lineRule="exact"/>
        <w:jc w:val="both"/>
        <w:textAlignment w:val="baseline"/>
        <w:rPr>
          <w:rFonts w:hint="eastAsia" w:ascii="宋体" w:hAnsi="宋体" w:eastAsia="宋体" w:cs="宋体"/>
          <w:sz w:val="28"/>
          <w:szCs w:val="28"/>
        </w:rPr>
      </w:pPr>
      <w:r>
        <w:rPr>
          <w:rFonts w:hint="eastAsia" w:ascii="宋体" w:hAnsi="宋体" w:eastAsia="宋体" w:cs="宋体"/>
          <w:sz w:val="28"/>
          <w:szCs w:val="28"/>
          <w:shd w:val="clear" w:color="auto" w:fill="FFFFFF"/>
        </w:rPr>
        <w:t>　　</w:t>
      </w:r>
      <w:r>
        <w:rPr>
          <w:rFonts w:hint="eastAsia" w:ascii="宋体" w:hAnsi="宋体" w:eastAsia="宋体" w:cs="宋体"/>
          <w:b/>
          <w:bCs/>
          <w:sz w:val="28"/>
          <w:szCs w:val="28"/>
          <w:shd w:val="clear" w:color="auto" w:fill="FFFFFF"/>
        </w:rPr>
        <w:t>二、调整对小微企业的价格评审优惠幅度。</w:t>
      </w:r>
      <w:r>
        <w:rPr>
          <w:rFonts w:hint="eastAsia" w:ascii="宋体" w:hAnsi="宋体" w:eastAsia="宋体" w:cs="宋体"/>
          <w:sz w:val="28"/>
          <w:szCs w:val="28"/>
          <w:shd w:val="clear" w:color="auto" w:fill="FFFFFF"/>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2A521956">
      <w:pPr>
        <w:pStyle w:val="20"/>
        <w:widowControl/>
        <w:spacing w:beforeAutospacing="0" w:afterAutospacing="0" w:line="500" w:lineRule="exact"/>
        <w:jc w:val="both"/>
        <w:textAlignment w:val="baseline"/>
        <w:rPr>
          <w:rFonts w:hint="eastAsia" w:ascii="宋体" w:hAnsi="宋体" w:eastAsia="宋体" w:cs="宋体"/>
          <w:sz w:val="28"/>
          <w:szCs w:val="28"/>
        </w:rPr>
      </w:pPr>
      <w:r>
        <w:rPr>
          <w:rFonts w:hint="eastAsia" w:ascii="宋体" w:hAnsi="宋体" w:eastAsia="宋体" w:cs="宋体"/>
          <w:sz w:val="28"/>
          <w:szCs w:val="28"/>
          <w:shd w:val="clear" w:color="auto" w:fill="FFFFFF"/>
        </w:rPr>
        <w:t>　　</w:t>
      </w:r>
      <w:r>
        <w:rPr>
          <w:rFonts w:hint="eastAsia" w:ascii="宋体" w:hAnsi="宋体" w:eastAsia="宋体" w:cs="宋体"/>
          <w:b/>
          <w:bCs/>
          <w:sz w:val="28"/>
          <w:szCs w:val="28"/>
          <w:shd w:val="clear" w:color="auto" w:fill="FFFFFF"/>
        </w:rPr>
        <w:t>三、提高政府采购工程面向中小企业预留份额。</w:t>
      </w:r>
      <w:r>
        <w:rPr>
          <w:rFonts w:hint="eastAsia" w:ascii="宋体" w:hAnsi="宋体" w:eastAsia="宋体" w:cs="宋体"/>
          <w:sz w:val="28"/>
          <w:szCs w:val="28"/>
          <w:shd w:val="clear" w:color="auto" w:fill="FFFFFF"/>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72639679">
      <w:pPr>
        <w:pStyle w:val="20"/>
        <w:widowControl/>
        <w:spacing w:beforeAutospacing="0" w:afterAutospacing="0" w:line="500" w:lineRule="exact"/>
        <w:jc w:val="both"/>
        <w:textAlignment w:val="baseline"/>
        <w:rPr>
          <w:rFonts w:hint="eastAsia" w:ascii="宋体" w:hAnsi="宋体" w:eastAsia="宋体" w:cs="宋体"/>
          <w:sz w:val="28"/>
          <w:szCs w:val="28"/>
        </w:rPr>
      </w:pPr>
      <w:r>
        <w:rPr>
          <w:rFonts w:hint="eastAsia" w:ascii="宋体" w:hAnsi="宋体" w:eastAsia="宋体" w:cs="宋体"/>
          <w:sz w:val="28"/>
          <w:szCs w:val="28"/>
          <w:shd w:val="clear" w:color="auto" w:fill="FFFFFF"/>
        </w:rPr>
        <w:t>　　</w:t>
      </w:r>
      <w:r>
        <w:rPr>
          <w:rFonts w:hint="eastAsia" w:ascii="宋体" w:hAnsi="宋体" w:eastAsia="宋体" w:cs="宋体"/>
          <w:b/>
          <w:bCs/>
          <w:sz w:val="28"/>
          <w:szCs w:val="28"/>
          <w:shd w:val="clear" w:color="auto" w:fill="FFFFFF"/>
        </w:rPr>
        <w:t>四、认真做好组织实施。</w:t>
      </w:r>
      <w:r>
        <w:rPr>
          <w:rFonts w:hint="eastAsia" w:ascii="宋体" w:hAnsi="宋体" w:eastAsia="宋体" w:cs="宋体"/>
          <w:sz w:val="28"/>
          <w:szCs w:val="28"/>
          <w:shd w:val="clear" w:color="auto" w:fill="FFFFFF"/>
        </w:rPr>
        <w:t>各地区、各部门应当加强组织领导，明确工作责任，细化执行要求，强化监督检查，确保国务院部署落实到位，对通知执行中出现的问题要及时向财政部报告。</w:t>
      </w:r>
    </w:p>
    <w:p w14:paraId="2F545697">
      <w:pPr>
        <w:pStyle w:val="20"/>
        <w:widowControl/>
        <w:spacing w:beforeAutospacing="0" w:afterAutospacing="0" w:line="500" w:lineRule="exact"/>
        <w:jc w:val="both"/>
        <w:textAlignment w:val="baseline"/>
        <w:rPr>
          <w:rFonts w:hint="eastAsia" w:ascii="宋体" w:hAnsi="宋体" w:eastAsia="宋体" w:cs="宋体"/>
          <w:sz w:val="28"/>
          <w:szCs w:val="28"/>
        </w:rPr>
      </w:pPr>
      <w:r>
        <w:rPr>
          <w:rFonts w:hint="eastAsia" w:ascii="宋体" w:hAnsi="宋体" w:eastAsia="宋体" w:cs="宋体"/>
          <w:sz w:val="28"/>
          <w:szCs w:val="28"/>
          <w:shd w:val="clear" w:color="auto" w:fill="FFFFFF"/>
        </w:rPr>
        <w:t>　　本通知自2022年7月1日起执行。</w:t>
      </w:r>
    </w:p>
    <w:p w14:paraId="54140082">
      <w:pPr>
        <w:pStyle w:val="20"/>
        <w:widowControl/>
        <w:spacing w:beforeAutospacing="0" w:afterAutospacing="0" w:line="500" w:lineRule="exact"/>
        <w:jc w:val="right"/>
        <w:textAlignment w:val="baseline"/>
        <w:rPr>
          <w:rFonts w:hint="eastAsia" w:ascii="宋体" w:hAnsi="宋体" w:eastAsia="宋体" w:cs="宋体"/>
          <w:sz w:val="28"/>
          <w:szCs w:val="28"/>
        </w:rPr>
      </w:pPr>
      <w:r>
        <w:rPr>
          <w:rFonts w:hint="eastAsia" w:ascii="宋体" w:hAnsi="宋体" w:eastAsia="宋体" w:cs="宋体"/>
          <w:sz w:val="28"/>
          <w:szCs w:val="28"/>
          <w:shd w:val="clear" w:color="auto" w:fill="FFFFFF"/>
        </w:rPr>
        <w:t>　　财 政 部</w:t>
      </w:r>
    </w:p>
    <w:p w14:paraId="52B35420">
      <w:pPr>
        <w:pStyle w:val="20"/>
        <w:widowControl/>
        <w:spacing w:beforeAutospacing="0" w:afterAutospacing="0" w:line="500" w:lineRule="exact"/>
        <w:jc w:val="right"/>
        <w:textAlignment w:val="baseline"/>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2022年5月30日</w:t>
      </w:r>
    </w:p>
    <w:p w14:paraId="02D37F96">
      <w:pPr>
        <w:spacing w:line="500" w:lineRule="exac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br w:type="page"/>
      </w:r>
    </w:p>
    <w:p w14:paraId="044435B2">
      <w:pPr>
        <w:widowControl/>
        <w:kinsoku w:val="0"/>
        <w:autoSpaceDE w:val="0"/>
        <w:autoSpaceDN w:val="0"/>
        <w:adjustRightInd w:val="0"/>
        <w:snapToGrid w:val="0"/>
        <w:spacing w:line="500" w:lineRule="exact"/>
        <w:jc w:val="left"/>
        <w:textAlignment w:val="baseline"/>
        <w:outlineLvl w:val="0"/>
        <w:rPr>
          <w:rFonts w:hint="eastAsia" w:ascii="宋体" w:hAnsi="宋体" w:eastAsia="宋体" w:cs="宋体"/>
          <w:snapToGrid w:val="0"/>
          <w:spacing w:val="-9"/>
          <w:sz w:val="28"/>
          <w:szCs w:val="28"/>
        </w:rPr>
      </w:pPr>
      <w:bookmarkStart w:id="223" w:name="_Toc948948949"/>
      <w:bookmarkStart w:id="224" w:name="_Toc27969"/>
      <w:bookmarkStart w:id="225" w:name="_Toc11667"/>
      <w:r>
        <w:rPr>
          <w:rFonts w:hint="eastAsia" w:ascii="宋体" w:hAnsi="宋体" w:eastAsia="宋体" w:cs="宋体"/>
          <w:snapToGrid w:val="0"/>
          <w:spacing w:val="-9"/>
          <w:sz w:val="28"/>
          <w:szCs w:val="28"/>
        </w:rPr>
        <w:t>附件3：关于印发中小企业划型标准规定的通知</w:t>
      </w:r>
      <w:bookmarkEnd w:id="223"/>
      <w:bookmarkEnd w:id="224"/>
      <w:bookmarkEnd w:id="225"/>
    </w:p>
    <w:p w14:paraId="0D604FF2">
      <w:pPr>
        <w:widowControl/>
        <w:shd w:val="clear" w:color="auto" w:fill="FFFFFF"/>
        <w:spacing w:line="500" w:lineRule="exact"/>
        <w:jc w:val="center"/>
        <w:textAlignment w:val="baseline"/>
        <w:rPr>
          <w:rFonts w:hint="eastAsia" w:ascii="宋体" w:hAnsi="宋体" w:eastAsia="宋体" w:cs="宋体"/>
          <w:sz w:val="28"/>
          <w:szCs w:val="28"/>
        </w:rPr>
      </w:pPr>
      <w:r>
        <w:rPr>
          <w:rFonts w:hint="eastAsia" w:ascii="宋体" w:hAnsi="宋体" w:eastAsia="宋体" w:cs="宋体"/>
          <w:b/>
          <w:bCs/>
          <w:sz w:val="28"/>
          <w:szCs w:val="28"/>
          <w:shd w:val="clear" w:color="auto" w:fill="FFFFFF"/>
        </w:rPr>
        <w:t>关于印发中小企业划型标准规定的通知</w:t>
      </w:r>
    </w:p>
    <w:p w14:paraId="05407B2E">
      <w:pPr>
        <w:widowControl/>
        <w:spacing w:line="5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shd w:val="clear" w:color="auto" w:fill="FFFFFF"/>
        </w:rPr>
        <w:t>工信部联企业〔2011〕300号</w:t>
      </w:r>
    </w:p>
    <w:p w14:paraId="49BC0B51">
      <w:pPr>
        <w:pStyle w:val="20"/>
        <w:widowControl/>
        <w:spacing w:beforeAutospacing="0" w:afterAutospacing="0" w:line="500" w:lineRule="exact"/>
        <w:textAlignment w:val="baseline"/>
        <w:rPr>
          <w:rFonts w:hint="eastAsia" w:ascii="宋体" w:hAnsi="宋体" w:eastAsia="宋体" w:cs="宋体"/>
          <w:sz w:val="28"/>
          <w:szCs w:val="28"/>
        </w:rPr>
      </w:pPr>
      <w:r>
        <w:rPr>
          <w:rFonts w:hint="eastAsia" w:ascii="宋体" w:hAnsi="宋体" w:eastAsia="宋体" w:cs="宋体"/>
          <w:sz w:val="28"/>
          <w:szCs w:val="28"/>
          <w:shd w:val="clear" w:color="auto" w:fill="FFFFFF"/>
        </w:rPr>
        <w:t>各省、自治区、直辖市人民政府，国务院各部委、各直属机构及有关单位：</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E45930D">
      <w:pPr>
        <w:pStyle w:val="20"/>
        <w:widowControl/>
        <w:spacing w:beforeAutospacing="0" w:afterAutospacing="0" w:line="500" w:lineRule="exact"/>
        <w:jc w:val="right"/>
        <w:textAlignment w:val="baseline"/>
        <w:rPr>
          <w:rFonts w:hint="eastAsia" w:ascii="宋体" w:hAnsi="宋体" w:eastAsia="宋体" w:cs="宋体"/>
          <w:sz w:val="28"/>
          <w:szCs w:val="28"/>
        </w:rPr>
      </w:pPr>
      <w:r>
        <w:rPr>
          <w:rFonts w:hint="eastAsia" w:ascii="宋体" w:hAnsi="宋体" w:eastAsia="宋体" w:cs="宋体"/>
          <w:sz w:val="28"/>
          <w:szCs w:val="28"/>
          <w:shd w:val="clear" w:color="auto" w:fill="FFFFFF"/>
        </w:rPr>
        <w:t>工业和信息化部</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国家统计局</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国家发展和改革委员会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财政部</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二○一一年六月十八日</w:t>
      </w:r>
    </w:p>
    <w:p w14:paraId="140FEE49">
      <w:pPr>
        <w:pStyle w:val="20"/>
        <w:widowControl/>
        <w:spacing w:beforeAutospacing="0" w:afterAutospacing="0" w:line="500" w:lineRule="exact"/>
        <w:jc w:val="center"/>
        <w:textAlignment w:val="baseline"/>
        <w:rPr>
          <w:rFonts w:hint="eastAsia" w:ascii="宋体" w:hAnsi="宋体" w:eastAsia="宋体" w:cs="宋体"/>
          <w:sz w:val="28"/>
          <w:szCs w:val="28"/>
        </w:rPr>
      </w:pPr>
      <w:r>
        <w:rPr>
          <w:rStyle w:val="26"/>
          <w:rFonts w:hint="eastAsia" w:ascii="宋体" w:hAnsi="宋体" w:eastAsia="宋体" w:cs="宋体"/>
          <w:sz w:val="28"/>
          <w:szCs w:val="28"/>
          <w:shd w:val="clear" w:color="auto" w:fill="FFFFFF"/>
        </w:rPr>
        <w:t>中小企业划型标准规定</w:t>
      </w:r>
    </w:p>
    <w:p w14:paraId="0C4F961C">
      <w:pPr>
        <w:pStyle w:val="20"/>
        <w:widowControl/>
        <w:spacing w:beforeAutospacing="0" w:afterAutospacing="0" w:line="500" w:lineRule="exact"/>
        <w:textAlignment w:val="baseline"/>
        <w:rPr>
          <w:rFonts w:hint="eastAsia" w:ascii="宋体" w:hAnsi="宋体" w:eastAsia="宋体" w:cs="宋体"/>
          <w:sz w:val="28"/>
          <w:szCs w:val="28"/>
        </w:rPr>
      </w:pPr>
      <w:r>
        <w:rPr>
          <w:rFonts w:hint="eastAsia" w:ascii="宋体" w:hAnsi="宋体" w:eastAsia="宋体" w:cs="宋体"/>
          <w:sz w:val="28"/>
          <w:szCs w:val="28"/>
          <w:shd w:val="clear" w:color="auto" w:fill="FFFFFF"/>
        </w:rPr>
        <w:t>　　一、根据《中华人民共和国中小企业促进法》和《国务院关于进一步促进中小企业发展的若干意见》(国发〔2009〕36号)，制定本规定。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二、中小企业划分为中型、小型、微型三种类型，具体标准根据企业从业人员、营业收入、资产总额等指标，结合行业特点制定。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四、各行业划型标准为：</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五、企业类型的划分以统计部门的统计数据为依据。</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六、本规定适用于在中华人民共和国境内依法设立的各类所有制和各种组织形式的企业。个体工商户和本规定以外的行业，参照本规定进行划型。</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八、本规定由工业和信息化部、国家统计局会同有关部门根据《国民经济行业分类》修订情况和企业发展变化情况适时修订。</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九、本规定由工业和信息化部、国家统计局会同有关部门负责解释。</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十、本规定自发布之日起执行，原国家经贸委、原国家计委、财政部和国家统计局2003年颁布的《中小企业标准暂行规定》同时废止。</w:t>
      </w:r>
    </w:p>
    <w:p w14:paraId="337E4E47">
      <w:pPr>
        <w:rPr>
          <w:rFonts w:hint="eastAsia" w:ascii="宋体" w:hAnsi="宋体" w:eastAsia="宋体" w:cs="宋体"/>
          <w:sz w:val="28"/>
          <w:szCs w:val="28"/>
        </w:rPr>
      </w:pPr>
      <w:r>
        <w:rPr>
          <w:rFonts w:hint="eastAsia" w:ascii="宋体" w:hAnsi="宋体" w:eastAsia="宋体" w:cs="宋体"/>
          <w:sz w:val="28"/>
          <w:szCs w:val="28"/>
        </w:rPr>
        <w:br w:type="page"/>
      </w:r>
    </w:p>
    <w:p w14:paraId="13A5B8FC">
      <w:pPr>
        <w:pStyle w:val="20"/>
        <w:widowControl/>
        <w:shd w:val="clear" w:color="auto" w:fill="FFFFFF"/>
        <w:spacing w:before="30" w:beforeAutospacing="0" w:after="30" w:afterAutospacing="0"/>
        <w:outlineLvl w:val="0"/>
        <w:rPr>
          <w:rFonts w:hint="eastAsia" w:ascii="宋体" w:hAnsi="宋体" w:eastAsia="宋体" w:cs="宋体"/>
          <w:sz w:val="28"/>
          <w:szCs w:val="28"/>
        </w:rPr>
      </w:pPr>
      <w:bookmarkStart w:id="226" w:name="_Toc14439"/>
      <w:bookmarkStart w:id="227" w:name="_Toc1771423221"/>
      <w:r>
        <w:rPr>
          <w:rFonts w:hint="eastAsia" w:ascii="宋体" w:hAnsi="宋体" w:eastAsia="宋体" w:cs="宋体"/>
          <w:sz w:val="28"/>
          <w:szCs w:val="28"/>
        </w:rPr>
        <w:t>附件4</w:t>
      </w:r>
      <w:r>
        <w:rPr>
          <w:rStyle w:val="26"/>
          <w:rFonts w:hint="eastAsia" w:ascii="宋体" w:hAnsi="宋体" w:eastAsia="宋体" w:cs="宋体"/>
          <w:sz w:val="28"/>
          <w:szCs w:val="28"/>
          <w:shd w:val="clear" w:color="auto" w:fill="FFFFFF"/>
        </w:rPr>
        <w:t>国务院办公厅关于在政府采购中实施本国产品标准及相关政策的通知</w:t>
      </w:r>
      <w:bookmarkEnd w:id="226"/>
      <w:bookmarkEnd w:id="227"/>
    </w:p>
    <w:p w14:paraId="6EC1D8BF">
      <w:pPr>
        <w:pStyle w:val="9"/>
        <w:spacing w:after="0" w:line="500" w:lineRule="exact"/>
        <w:jc w:val="center"/>
        <w:rPr>
          <w:rStyle w:val="26"/>
          <w:rFonts w:hint="eastAsia" w:ascii="宋体" w:hAnsi="宋体" w:eastAsia="宋体" w:cs="宋体"/>
          <w:sz w:val="28"/>
          <w:szCs w:val="28"/>
          <w:shd w:val="clear" w:color="auto" w:fill="FFFFFF"/>
        </w:rPr>
      </w:pPr>
      <w:r>
        <w:rPr>
          <w:rStyle w:val="26"/>
          <w:rFonts w:hint="eastAsia" w:ascii="宋体" w:hAnsi="宋体" w:eastAsia="宋体" w:cs="宋体"/>
          <w:sz w:val="28"/>
          <w:szCs w:val="28"/>
          <w:shd w:val="clear" w:color="auto" w:fill="FFFFFF"/>
        </w:rPr>
        <w:t>国务院办公厅关于在政府采购中</w:t>
      </w:r>
    </w:p>
    <w:p w14:paraId="7492BA90">
      <w:pPr>
        <w:pStyle w:val="9"/>
        <w:spacing w:after="0" w:line="500" w:lineRule="exact"/>
        <w:jc w:val="center"/>
        <w:rPr>
          <w:rFonts w:hint="eastAsia" w:ascii="宋体" w:hAnsi="宋体" w:eastAsia="宋体" w:cs="宋体"/>
          <w:sz w:val="28"/>
          <w:szCs w:val="28"/>
        </w:rPr>
      </w:pPr>
      <w:r>
        <w:rPr>
          <w:rStyle w:val="26"/>
          <w:rFonts w:hint="eastAsia" w:ascii="宋体" w:hAnsi="宋体" w:eastAsia="宋体" w:cs="宋体"/>
          <w:sz w:val="28"/>
          <w:szCs w:val="28"/>
          <w:shd w:val="clear" w:color="auto" w:fill="FFFFFF"/>
        </w:rPr>
        <w:t>实施本国产品标准及相关政策的通知</w:t>
      </w:r>
    </w:p>
    <w:p w14:paraId="56C0E7AA">
      <w:pPr>
        <w:pStyle w:val="20"/>
        <w:widowControl/>
        <w:shd w:val="clear" w:color="auto" w:fill="FFFFFF"/>
        <w:spacing w:before="30" w:beforeAutospacing="0" w:after="30" w:afterAutospacing="0"/>
        <w:jc w:val="right"/>
        <w:rPr>
          <w:rFonts w:hint="eastAsia" w:ascii="宋体" w:hAnsi="宋体" w:eastAsia="宋体" w:cs="宋体"/>
          <w:sz w:val="28"/>
          <w:szCs w:val="28"/>
        </w:rPr>
      </w:pPr>
      <w:r>
        <w:rPr>
          <w:rFonts w:hint="eastAsia" w:ascii="宋体" w:hAnsi="宋体" w:eastAsia="宋体" w:cs="宋体"/>
          <w:sz w:val="28"/>
          <w:szCs w:val="28"/>
          <w:shd w:val="clear" w:color="auto" w:fill="FFFFFF"/>
        </w:rPr>
        <w:t>国办发〔2025〕34号  </w:t>
      </w:r>
    </w:p>
    <w:p w14:paraId="16584687">
      <w:pPr>
        <w:pStyle w:val="20"/>
        <w:widowControl/>
        <w:shd w:val="clear" w:color="auto" w:fill="FFFFFF"/>
        <w:spacing w:before="30" w:beforeAutospacing="0" w:after="30" w:afterAutospacing="0"/>
        <w:rPr>
          <w:rFonts w:hint="eastAsia" w:ascii="宋体" w:hAnsi="宋体" w:eastAsia="宋体" w:cs="宋体"/>
          <w:sz w:val="28"/>
          <w:szCs w:val="28"/>
        </w:rPr>
      </w:pPr>
      <w:r>
        <w:rPr>
          <w:rFonts w:hint="eastAsia" w:ascii="宋体" w:hAnsi="宋体" w:eastAsia="宋体" w:cs="宋体"/>
          <w:sz w:val="28"/>
          <w:szCs w:val="28"/>
          <w:shd w:val="clear" w:color="auto" w:fill="FFFFFF"/>
        </w:rPr>
        <w:t>各省、自治区、直辖市人民政府，国务院各部委、各直属机构：</w:t>
      </w:r>
    </w:p>
    <w:p w14:paraId="7A7369B2">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7EA3BE39">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Style w:val="26"/>
          <w:rFonts w:hint="eastAsia" w:ascii="宋体" w:hAnsi="宋体" w:eastAsia="宋体" w:cs="宋体"/>
          <w:sz w:val="28"/>
          <w:szCs w:val="28"/>
          <w:shd w:val="clear" w:color="auto" w:fill="FFFFFF"/>
        </w:rPr>
        <w:t>一、本国产品标准</w:t>
      </w:r>
    </w:p>
    <w:p w14:paraId="1FD8DC4C">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本国产品应当符合以下条件：</w:t>
      </w:r>
    </w:p>
    <w:p w14:paraId="687CCBCD">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（一）在中国境内生产</w:t>
      </w:r>
    </w:p>
    <w:p w14:paraId="6924BE95">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产品应当在中国境内生产，即在中华人民共和国关境内实现从原材料、组件到产品的属性改变。</w:t>
      </w:r>
    </w:p>
    <w:p w14:paraId="0E53FD2B">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属性改变是指经过制造、加工或者组装等工序，产生完全不同于原材料、组件的新产品，并具有新的名称和特征（用途）。属性改变不包括以下细微操作：</w:t>
      </w:r>
    </w:p>
    <w:p w14:paraId="0CC277F1">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1.为确保产品在运输或者储存期间保持某种状态而进行的操作；</w:t>
      </w:r>
    </w:p>
    <w:p w14:paraId="1E683D3E">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2.为产品运输或者销售进行的包装或者展示；</w:t>
      </w:r>
    </w:p>
    <w:p w14:paraId="7945B48F">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3.在产品或者其包装上粘贴或者印刷品牌、标志、标识以及其他用于区别的标记；</w:t>
      </w:r>
    </w:p>
    <w:p w14:paraId="3B7273BC">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4.简单的上漆、磨光和分装；</w:t>
      </w:r>
    </w:p>
    <w:p w14:paraId="16099674">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5.其他不属于属性改变的情形。</w:t>
      </w:r>
    </w:p>
    <w:p w14:paraId="76F2A5CF">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（二）在中国境内生产的组件成本占比达到规定比例</w:t>
      </w:r>
    </w:p>
    <w:p w14:paraId="718B59C6">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产品在中国境内生产的组件成本占比应当达到规定比例，计算公式为：</w:t>
      </w:r>
    </w:p>
    <w:p w14:paraId="0EA7B1FD">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drawing>
          <wp:inline distT="0" distB="0" distL="0" distR="0">
            <wp:extent cx="2733675" cy="390525"/>
            <wp:effectExtent l="0" t="0" r="9525" b="9525"/>
            <wp:docPr id="1027" name="图片 1" descr="IMG_256"/>
            <wp:cNvGraphicFramePr/>
            <a:graphic xmlns:a="http://schemas.openxmlformats.org/drawingml/2006/main">
              <a:graphicData uri="http://schemas.openxmlformats.org/drawingml/2006/picture">
                <pic:pic xmlns:pic="http://schemas.openxmlformats.org/drawingml/2006/picture">
                  <pic:nvPicPr>
                    <pic:cNvPr id="1027" name="图片 1" descr="IMG_256"/>
                    <pic:cNvPicPr/>
                  </pic:nvPicPr>
                  <pic:blipFill>
                    <a:blip r:embed="rId15" cstate="print"/>
                    <a:srcRect/>
                    <a:stretch>
                      <a:fillRect/>
                    </a:stretch>
                  </pic:blipFill>
                  <pic:spPr>
                    <a:xfrm>
                      <a:off x="0" y="0"/>
                      <a:ext cx="2733675" cy="390525"/>
                    </a:xfrm>
                    <a:prstGeom prst="rect">
                      <a:avLst/>
                    </a:prstGeom>
                    <a:ln>
                      <a:noFill/>
                    </a:ln>
                  </pic:spPr>
                </pic:pic>
              </a:graphicData>
            </a:graphic>
          </wp:inline>
        </w:drawing>
      </w:r>
    </w:p>
    <w:p w14:paraId="18E627C9">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B3A5565">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（三）特定产品的关键组件、关键工序符合相关要求</w:t>
      </w:r>
    </w:p>
    <w:p w14:paraId="691D12A5">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对特定产品，在符合本通知第一条第（一）项和第（二）项条件的基础上，应当符合财政部会同有关行业主管部门确定的其关键组件、关键工序在中国境内生产、完成等要求。</w:t>
      </w:r>
    </w:p>
    <w:p w14:paraId="6D723C84">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1564C3D">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Style w:val="26"/>
          <w:rFonts w:hint="eastAsia" w:ascii="宋体" w:hAnsi="宋体" w:eastAsia="宋体" w:cs="宋体"/>
          <w:sz w:val="28"/>
          <w:szCs w:val="28"/>
          <w:shd w:val="clear" w:color="auto" w:fill="FFFFFF"/>
        </w:rPr>
        <w:t>二、本国产品标准的适用范围</w:t>
      </w:r>
    </w:p>
    <w:p w14:paraId="04DB5F9B">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E97B7C4">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Style w:val="26"/>
          <w:rFonts w:hint="eastAsia" w:ascii="宋体" w:hAnsi="宋体" w:eastAsia="宋体" w:cs="宋体"/>
          <w:sz w:val="28"/>
          <w:szCs w:val="28"/>
          <w:shd w:val="clear" w:color="auto" w:fill="FFFFFF"/>
        </w:rPr>
        <w:t>三、对本国产品的支持政策</w:t>
      </w:r>
    </w:p>
    <w:p w14:paraId="5F96B34D">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政府采购活动中既有本国产品又有非本国产品参与竞争的，依法对本国产品给予价格评审优惠，对本国产品的报价给予20%的价格扣除，用扣除后的价格参与评审。</w:t>
      </w:r>
    </w:p>
    <w:p w14:paraId="7C05F4D6">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CDAD1E6">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Style w:val="26"/>
          <w:rFonts w:hint="eastAsia" w:ascii="宋体" w:hAnsi="宋体" w:eastAsia="宋体" w:cs="宋体"/>
          <w:sz w:val="28"/>
          <w:szCs w:val="28"/>
          <w:shd w:val="clear" w:color="auto" w:fill="FFFFFF"/>
        </w:rPr>
        <w:t>四、政策执行要求</w:t>
      </w:r>
    </w:p>
    <w:p w14:paraId="55BC6F53">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（一）产品在中国境内生产的组件成本核算规则。产品在中国境内生产的组件成本，按照《中国境内生产的组件成本核算基本规则》（见附件1）计算。</w:t>
      </w:r>
    </w:p>
    <w:p w14:paraId="366C4CB8">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1A05C90">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采购人、采购代理机构应当随中标、成交结果同时公告中标、成交供应商提供的《声明函》或有关证明文件。</w:t>
      </w:r>
    </w:p>
    <w:p w14:paraId="0FB84499">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6E2C8AAD">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（四）中华人民共和国缔结或者共同参加的国际条约、协定对政府采购中本国产品政策另有规定的，按照有关条约、协定执行。</w:t>
      </w:r>
    </w:p>
    <w:p w14:paraId="0E380106">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Style w:val="26"/>
          <w:rFonts w:hint="eastAsia" w:ascii="宋体" w:hAnsi="宋体" w:eastAsia="宋体" w:cs="宋体"/>
          <w:sz w:val="28"/>
          <w:szCs w:val="28"/>
          <w:shd w:val="clear" w:color="auto" w:fill="FFFFFF"/>
        </w:rPr>
        <w:t>五、争议处理</w:t>
      </w:r>
    </w:p>
    <w:p w14:paraId="7A4B7606">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5CA2288">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（一）政府采购投诉处理、监督检查中，对产品或组件是否在中国境内生产存在争议的，按照以下原则处理：</w:t>
      </w:r>
    </w:p>
    <w:p w14:paraId="1ABCBBA2">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6EC96161">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37C65EE">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05F9372B">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9B90979">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948080A">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本通知自2026年1月1日起施行。</w:t>
      </w:r>
    </w:p>
    <w:p w14:paraId="0DCA93CD">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附件：（1）中国境内生产的组件成本核算基本规则</w:t>
      </w:r>
    </w:p>
    <w:p w14:paraId="32799DAB">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　　　2.关于符合本国产品标准的声明函</w:t>
      </w:r>
    </w:p>
    <w:p w14:paraId="3C50B7C7">
      <w:pPr>
        <w:pStyle w:val="20"/>
        <w:widowControl/>
        <w:shd w:val="clear" w:color="auto" w:fill="FFFFFF"/>
        <w:spacing w:before="30" w:beforeAutospacing="0" w:after="30" w:afterAutospacing="0"/>
        <w:jc w:val="right"/>
        <w:rPr>
          <w:rFonts w:hint="eastAsia" w:ascii="宋体" w:hAnsi="宋体" w:eastAsia="宋体" w:cs="宋体"/>
          <w:sz w:val="28"/>
          <w:szCs w:val="28"/>
        </w:rPr>
      </w:pPr>
      <w:r>
        <w:rPr>
          <w:rFonts w:hint="eastAsia" w:ascii="宋体" w:hAnsi="宋体" w:eastAsia="宋体" w:cs="宋体"/>
          <w:sz w:val="28"/>
          <w:szCs w:val="28"/>
          <w:shd w:val="clear" w:color="auto" w:fill="FFFFFF"/>
        </w:rPr>
        <w:t>国务院办公厅         </w:t>
      </w:r>
    </w:p>
    <w:p w14:paraId="3D27AA4B">
      <w:pPr>
        <w:pStyle w:val="20"/>
        <w:widowControl/>
        <w:shd w:val="clear" w:color="auto" w:fill="FFFFFF"/>
        <w:spacing w:before="30" w:beforeAutospacing="0" w:after="30" w:afterAutospacing="0"/>
        <w:jc w:val="right"/>
        <w:rPr>
          <w:rFonts w:hint="eastAsia" w:ascii="宋体" w:hAnsi="宋体" w:eastAsia="宋体" w:cs="宋体"/>
          <w:sz w:val="28"/>
          <w:szCs w:val="28"/>
        </w:rPr>
      </w:pPr>
      <w:r>
        <w:rPr>
          <w:rFonts w:hint="eastAsia" w:ascii="宋体" w:hAnsi="宋体" w:eastAsia="宋体" w:cs="宋体"/>
          <w:sz w:val="28"/>
          <w:szCs w:val="28"/>
          <w:shd w:val="clear" w:color="auto" w:fill="FFFFFF"/>
        </w:rPr>
        <w:t>2025年9月28日    </w:t>
      </w:r>
    </w:p>
    <w:p w14:paraId="1CB2FD35">
      <w:pPr>
        <w:pStyle w:val="20"/>
        <w:widowControl/>
        <w:shd w:val="clear" w:color="auto" w:fill="FFFFFF"/>
        <w:spacing w:before="30" w:beforeAutospacing="0" w:after="30" w:afterAutospacing="0"/>
        <w:ind w:firstLine="420"/>
        <w:rPr>
          <w:rFonts w:hint="eastAsia" w:ascii="宋体" w:hAnsi="宋体" w:eastAsia="宋体" w:cs="宋体"/>
          <w:sz w:val="28"/>
          <w:szCs w:val="28"/>
        </w:rPr>
      </w:pPr>
    </w:p>
    <w:p w14:paraId="0D99BEEC">
      <w:pPr>
        <w:pStyle w:val="20"/>
        <w:widowControl/>
        <w:shd w:val="clear" w:color="auto" w:fill="FFFFFF"/>
        <w:spacing w:before="30" w:beforeAutospacing="0" w:after="30" w:afterAutospacing="0"/>
        <w:ind w:firstLine="420"/>
        <w:rPr>
          <w:rFonts w:hint="eastAsia" w:ascii="宋体" w:hAnsi="宋体" w:eastAsia="宋体" w:cs="宋体"/>
          <w:sz w:val="28"/>
          <w:szCs w:val="28"/>
        </w:rPr>
      </w:pPr>
    </w:p>
    <w:p w14:paraId="6C3B46B5">
      <w:pPr>
        <w:rPr>
          <w:rStyle w:val="26"/>
          <w:rFonts w:hint="eastAsia" w:ascii="宋体" w:hAnsi="宋体" w:eastAsia="宋体" w:cs="宋体"/>
          <w:sz w:val="28"/>
          <w:szCs w:val="28"/>
          <w:shd w:val="clear" w:color="auto" w:fill="FFFFFF"/>
        </w:rPr>
      </w:pPr>
      <w:r>
        <w:rPr>
          <w:rStyle w:val="26"/>
          <w:rFonts w:hint="eastAsia" w:ascii="宋体" w:hAnsi="宋体" w:eastAsia="宋体" w:cs="宋体"/>
          <w:sz w:val="28"/>
          <w:szCs w:val="28"/>
          <w:shd w:val="clear" w:color="auto" w:fill="FFFFFF"/>
        </w:rPr>
        <w:br w:type="page"/>
      </w:r>
    </w:p>
    <w:p w14:paraId="78E8BD3E">
      <w:pPr>
        <w:pStyle w:val="20"/>
        <w:widowControl/>
        <w:shd w:val="clear" w:color="auto" w:fill="FFFFFF"/>
        <w:spacing w:before="30" w:beforeAutospacing="0" w:after="30" w:afterAutospacing="0"/>
        <w:rPr>
          <w:rFonts w:hint="eastAsia" w:ascii="宋体" w:hAnsi="宋体" w:eastAsia="宋体" w:cs="宋体"/>
          <w:sz w:val="28"/>
          <w:szCs w:val="28"/>
        </w:rPr>
      </w:pPr>
      <w:r>
        <w:rPr>
          <w:rStyle w:val="26"/>
          <w:rFonts w:hint="eastAsia" w:ascii="宋体" w:hAnsi="宋体" w:eastAsia="宋体" w:cs="宋体"/>
          <w:sz w:val="28"/>
          <w:szCs w:val="28"/>
          <w:shd w:val="clear" w:color="auto" w:fill="FFFFFF"/>
        </w:rPr>
        <w:t>附件（1）</w:t>
      </w:r>
    </w:p>
    <w:p w14:paraId="4F8B97BF">
      <w:pPr>
        <w:pStyle w:val="20"/>
        <w:widowControl/>
        <w:shd w:val="clear" w:color="auto" w:fill="FFFFFF"/>
        <w:spacing w:before="30" w:beforeAutospacing="0" w:after="30" w:afterAutospacing="0"/>
        <w:jc w:val="center"/>
        <w:rPr>
          <w:rFonts w:hint="eastAsia" w:ascii="宋体" w:hAnsi="宋体" w:eastAsia="宋体" w:cs="宋体"/>
          <w:sz w:val="28"/>
          <w:szCs w:val="28"/>
        </w:rPr>
      </w:pPr>
      <w:r>
        <w:rPr>
          <w:rStyle w:val="26"/>
          <w:rFonts w:hint="eastAsia" w:ascii="宋体" w:hAnsi="宋体" w:eastAsia="宋体" w:cs="宋体"/>
          <w:sz w:val="28"/>
          <w:szCs w:val="28"/>
          <w:shd w:val="clear" w:color="auto" w:fill="FFFFFF"/>
        </w:rPr>
        <w:t>中国境内生产的组件成本核算基本规则</w:t>
      </w:r>
    </w:p>
    <w:p w14:paraId="17BE449E">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2924253">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一、产品的一级组件是指直接组成产品的组件。产品的二级组件是指直接组成产品一级组件的组件。一级组件不可分解的，视同二级组件。</w:t>
      </w:r>
    </w:p>
    <w:p w14:paraId="3339C0A8">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二、二级组件在中国境内生产的，其全部成本计入中国境内生产的组件成本；二级组件不在中国境内生产的，其成本不计入中国境内生产的组件成本。</w:t>
      </w:r>
    </w:p>
    <w:p w14:paraId="155BE3EB">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三、产品总成本和组件成本以相关会计核算数据、采购合同、进货记录等为基础进行计算。</w:t>
      </w:r>
    </w:p>
    <w:p w14:paraId="434AEC3E">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四、需要对成本核算规则予以进一步明确的其他有关事项，由财政部会同有关部门另行规定。</w:t>
      </w:r>
    </w:p>
    <w:p w14:paraId="2CE32E2A">
      <w:pPr>
        <w:pStyle w:val="20"/>
        <w:widowControl/>
        <w:shd w:val="clear" w:color="auto" w:fill="FFFFFF"/>
        <w:spacing w:before="30" w:beforeAutospacing="0" w:after="30" w:afterAutospacing="0"/>
        <w:ind w:firstLine="420"/>
        <w:rPr>
          <w:rFonts w:hint="eastAsia" w:ascii="宋体" w:hAnsi="宋体" w:eastAsia="宋体" w:cs="宋体"/>
          <w:sz w:val="28"/>
          <w:szCs w:val="28"/>
        </w:rPr>
      </w:pPr>
    </w:p>
    <w:p w14:paraId="56BEFB02">
      <w:pPr>
        <w:pStyle w:val="20"/>
        <w:widowControl/>
        <w:shd w:val="clear" w:color="auto" w:fill="FFFFFF"/>
        <w:spacing w:before="30" w:beforeAutospacing="0" w:after="30" w:afterAutospacing="0"/>
        <w:ind w:firstLine="420"/>
        <w:rPr>
          <w:rFonts w:hint="eastAsia" w:ascii="宋体" w:hAnsi="宋体" w:eastAsia="宋体" w:cs="宋体"/>
          <w:sz w:val="28"/>
          <w:szCs w:val="28"/>
        </w:rPr>
      </w:pPr>
    </w:p>
    <w:p w14:paraId="68066F76">
      <w:pPr>
        <w:rPr>
          <w:rStyle w:val="26"/>
          <w:rFonts w:hint="eastAsia" w:ascii="宋体" w:hAnsi="宋体" w:eastAsia="宋体" w:cs="宋体"/>
          <w:sz w:val="28"/>
          <w:szCs w:val="28"/>
          <w:shd w:val="clear" w:color="auto" w:fill="FFFFFF"/>
        </w:rPr>
      </w:pPr>
      <w:r>
        <w:rPr>
          <w:rStyle w:val="26"/>
          <w:rFonts w:hint="eastAsia" w:ascii="宋体" w:hAnsi="宋体" w:eastAsia="宋体" w:cs="宋体"/>
          <w:sz w:val="28"/>
          <w:szCs w:val="28"/>
          <w:shd w:val="clear" w:color="auto" w:fill="FFFFFF"/>
        </w:rPr>
        <w:br w:type="page"/>
      </w:r>
    </w:p>
    <w:p w14:paraId="5116778D">
      <w:pPr>
        <w:pStyle w:val="20"/>
        <w:widowControl/>
        <w:shd w:val="clear" w:color="auto" w:fill="FFFFFF"/>
        <w:spacing w:before="30" w:beforeAutospacing="0" w:after="30" w:afterAutospacing="0"/>
        <w:rPr>
          <w:rFonts w:hint="eastAsia" w:ascii="宋体" w:hAnsi="宋体" w:eastAsia="宋体" w:cs="宋体"/>
          <w:sz w:val="28"/>
          <w:szCs w:val="28"/>
        </w:rPr>
      </w:pPr>
      <w:r>
        <w:rPr>
          <w:rStyle w:val="26"/>
          <w:rFonts w:hint="eastAsia" w:ascii="宋体" w:hAnsi="宋体" w:eastAsia="宋体" w:cs="宋体"/>
          <w:sz w:val="28"/>
          <w:szCs w:val="28"/>
          <w:shd w:val="clear" w:color="auto" w:fill="FFFFFF"/>
        </w:rPr>
        <w:t>附件（2）</w:t>
      </w:r>
    </w:p>
    <w:p w14:paraId="1AA26E0C">
      <w:pPr>
        <w:pStyle w:val="20"/>
        <w:widowControl/>
        <w:shd w:val="clear" w:color="auto" w:fill="FFFFFF"/>
        <w:spacing w:before="30" w:beforeAutospacing="0" w:after="30" w:afterAutospacing="0"/>
        <w:jc w:val="center"/>
        <w:rPr>
          <w:rFonts w:hint="eastAsia" w:ascii="宋体" w:hAnsi="宋体" w:eastAsia="宋体" w:cs="宋体"/>
          <w:sz w:val="28"/>
          <w:szCs w:val="28"/>
        </w:rPr>
      </w:pPr>
      <w:r>
        <w:rPr>
          <w:rStyle w:val="26"/>
          <w:rFonts w:hint="eastAsia" w:ascii="宋体" w:hAnsi="宋体" w:eastAsia="宋体" w:cs="宋体"/>
          <w:sz w:val="28"/>
          <w:szCs w:val="28"/>
          <w:shd w:val="clear" w:color="auto" w:fill="FFFFFF"/>
        </w:rPr>
        <w:t>关于符合本国产品标准的声明函</w:t>
      </w:r>
    </w:p>
    <w:p w14:paraId="5D6DD31C">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C092972">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1.</w:t>
      </w:r>
      <w:r>
        <w:rPr>
          <w:rStyle w:val="27"/>
          <w:rFonts w:hint="eastAsia" w:ascii="宋体" w:hAnsi="宋体" w:eastAsia="宋体" w:cs="宋体"/>
          <w:i w:val="0"/>
          <w:sz w:val="28"/>
          <w:szCs w:val="28"/>
          <w:shd w:val="clear" w:color="auto" w:fill="FFFFFF"/>
        </w:rPr>
        <w:t>（产品名称1）</w:t>
      </w:r>
      <w:r>
        <w:rPr>
          <w:rStyle w:val="27"/>
          <w:rFonts w:hint="eastAsia" w:ascii="宋体" w:hAnsi="宋体" w:eastAsia="宋体" w:cs="宋体"/>
          <w:i w:val="0"/>
          <w:sz w:val="28"/>
          <w:szCs w:val="28"/>
          <w:shd w:val="clear" w:color="auto" w:fill="FFFFFF"/>
          <w:vertAlign w:val="superscript"/>
        </w:rPr>
        <w:t>1</w:t>
      </w:r>
      <w:r>
        <w:rPr>
          <w:rFonts w:hint="eastAsia" w:ascii="宋体" w:hAnsi="宋体" w:eastAsia="宋体" w:cs="宋体"/>
          <w:sz w:val="28"/>
          <w:szCs w:val="28"/>
          <w:shd w:val="clear" w:color="auto" w:fill="FFFFFF"/>
        </w:rPr>
        <w:t>，生产厂为</w:t>
      </w:r>
      <w:r>
        <w:rPr>
          <w:rStyle w:val="27"/>
          <w:rFonts w:hint="eastAsia" w:ascii="宋体" w:hAnsi="宋体" w:eastAsia="宋体" w:cs="宋体"/>
          <w:i w:val="0"/>
          <w:sz w:val="28"/>
          <w:szCs w:val="28"/>
          <w:shd w:val="clear" w:color="auto" w:fill="FFFFFF"/>
        </w:rPr>
        <w:t>（厂名）</w:t>
      </w:r>
      <w:r>
        <w:rPr>
          <w:rStyle w:val="27"/>
          <w:rFonts w:hint="eastAsia" w:ascii="宋体" w:hAnsi="宋体" w:eastAsia="宋体" w:cs="宋体"/>
          <w:i w:val="0"/>
          <w:sz w:val="28"/>
          <w:szCs w:val="28"/>
          <w:shd w:val="clear" w:color="auto" w:fill="FFFFFF"/>
          <w:vertAlign w:val="superscript"/>
        </w:rPr>
        <w:t>2</w:t>
      </w:r>
      <w:r>
        <w:rPr>
          <w:rFonts w:hint="eastAsia" w:ascii="宋体" w:hAnsi="宋体" w:eastAsia="宋体" w:cs="宋体"/>
          <w:sz w:val="28"/>
          <w:szCs w:val="28"/>
          <w:shd w:val="clear" w:color="auto" w:fill="FFFFFF"/>
        </w:rPr>
        <w:t>，厂址为</w:t>
      </w:r>
      <w:r>
        <w:rPr>
          <w:rStyle w:val="27"/>
          <w:rFonts w:hint="eastAsia" w:ascii="宋体" w:hAnsi="宋体" w:eastAsia="宋体" w:cs="宋体"/>
          <w:i w:val="0"/>
          <w:sz w:val="28"/>
          <w:szCs w:val="28"/>
          <w:shd w:val="clear" w:color="auto" w:fill="FFFFFF"/>
        </w:rPr>
        <w:t>（生产厂址）</w:t>
      </w:r>
      <w:r>
        <w:rPr>
          <w:rFonts w:hint="eastAsia" w:ascii="宋体" w:hAnsi="宋体" w:eastAsia="宋体" w:cs="宋体"/>
          <w:sz w:val="28"/>
          <w:szCs w:val="28"/>
          <w:shd w:val="clear" w:color="auto" w:fill="FFFFFF"/>
        </w:rPr>
        <w:t>。</w:t>
      </w:r>
      <w:r>
        <w:rPr>
          <w:rStyle w:val="27"/>
          <w:rFonts w:hint="eastAsia" w:ascii="宋体" w:hAnsi="宋体" w:eastAsia="宋体" w:cs="宋体"/>
          <w:i w:val="0"/>
          <w:sz w:val="28"/>
          <w:szCs w:val="28"/>
          <w:shd w:val="clear" w:color="auto" w:fill="FFFFFF"/>
        </w:rPr>
        <w:t>（产品名称1）</w:t>
      </w:r>
      <w:r>
        <w:rPr>
          <w:rFonts w:hint="eastAsia" w:ascii="宋体" w:hAnsi="宋体" w:eastAsia="宋体" w:cs="宋体"/>
          <w:sz w:val="28"/>
          <w:szCs w:val="28"/>
          <w:shd w:val="clear" w:color="auto" w:fill="FFFFFF"/>
        </w:rPr>
        <w:t>的中国境内生产的组件成本占比≥</w:t>
      </w:r>
      <w:r>
        <w:rPr>
          <w:rStyle w:val="27"/>
          <w:rFonts w:hint="eastAsia" w:ascii="宋体" w:hAnsi="宋体" w:eastAsia="宋体" w:cs="宋体"/>
          <w:i w:val="0"/>
          <w:sz w:val="28"/>
          <w:szCs w:val="28"/>
          <w:shd w:val="clear" w:color="auto" w:fill="FFFFFF"/>
        </w:rPr>
        <w:t>（规定比例）</w:t>
      </w:r>
      <w:r>
        <w:rPr>
          <w:rStyle w:val="27"/>
          <w:rFonts w:hint="eastAsia" w:ascii="宋体" w:hAnsi="宋体" w:eastAsia="宋体" w:cs="宋体"/>
          <w:i w:val="0"/>
          <w:sz w:val="28"/>
          <w:szCs w:val="28"/>
          <w:shd w:val="clear" w:color="auto" w:fill="FFFFFF"/>
          <w:vertAlign w:val="superscript"/>
        </w:rPr>
        <w:t>3</w:t>
      </w:r>
      <w:r>
        <w:rPr>
          <w:rFonts w:hint="eastAsia" w:ascii="宋体" w:hAnsi="宋体" w:eastAsia="宋体" w:cs="宋体"/>
          <w:sz w:val="28"/>
          <w:szCs w:val="28"/>
          <w:shd w:val="clear" w:color="auto" w:fill="FFFFFF"/>
        </w:rPr>
        <w:t>。</w:t>
      </w:r>
      <w:r>
        <w:rPr>
          <w:rStyle w:val="27"/>
          <w:rFonts w:hint="eastAsia" w:ascii="宋体" w:hAnsi="宋体" w:eastAsia="宋体" w:cs="宋体"/>
          <w:i w:val="0"/>
          <w:sz w:val="28"/>
          <w:szCs w:val="28"/>
          <w:shd w:val="clear" w:color="auto" w:fill="FFFFFF"/>
        </w:rPr>
        <w:t>（产品名称1）</w:t>
      </w:r>
      <w:r>
        <w:rPr>
          <w:rFonts w:hint="eastAsia" w:ascii="宋体" w:hAnsi="宋体" w:eastAsia="宋体" w:cs="宋体"/>
          <w:sz w:val="28"/>
          <w:szCs w:val="28"/>
          <w:shd w:val="clear" w:color="auto" w:fill="FFFFFF"/>
        </w:rPr>
        <w:t>的</w:t>
      </w:r>
      <w:r>
        <w:rPr>
          <w:rStyle w:val="27"/>
          <w:rFonts w:hint="eastAsia" w:ascii="宋体" w:hAnsi="宋体" w:eastAsia="宋体" w:cs="宋体"/>
          <w:i w:val="0"/>
          <w:sz w:val="28"/>
          <w:szCs w:val="28"/>
          <w:shd w:val="clear" w:color="auto" w:fill="FFFFFF"/>
        </w:rPr>
        <w:t>（关键组件）</w:t>
      </w:r>
      <w:r>
        <w:rPr>
          <w:rStyle w:val="27"/>
          <w:rFonts w:hint="eastAsia" w:ascii="宋体" w:hAnsi="宋体" w:eastAsia="宋体" w:cs="宋体"/>
          <w:i w:val="0"/>
          <w:sz w:val="28"/>
          <w:szCs w:val="28"/>
          <w:shd w:val="clear" w:color="auto" w:fill="FFFFFF"/>
          <w:vertAlign w:val="superscript"/>
        </w:rPr>
        <w:t>4</w:t>
      </w:r>
      <w:r>
        <w:rPr>
          <w:rFonts w:hint="eastAsia" w:ascii="宋体" w:hAnsi="宋体" w:eastAsia="宋体" w:cs="宋体"/>
          <w:sz w:val="28"/>
          <w:szCs w:val="28"/>
          <w:shd w:val="clear" w:color="auto" w:fill="FFFFFF"/>
        </w:rPr>
        <w:t>在中国境内生产。</w:t>
      </w:r>
      <w:r>
        <w:rPr>
          <w:rStyle w:val="27"/>
          <w:rFonts w:hint="eastAsia" w:ascii="宋体" w:hAnsi="宋体" w:eastAsia="宋体" w:cs="宋体"/>
          <w:i w:val="0"/>
          <w:sz w:val="28"/>
          <w:szCs w:val="28"/>
          <w:shd w:val="clear" w:color="auto" w:fill="FFFFFF"/>
        </w:rPr>
        <w:t>（产品名称1）</w:t>
      </w:r>
      <w:r>
        <w:rPr>
          <w:rFonts w:hint="eastAsia" w:ascii="宋体" w:hAnsi="宋体" w:eastAsia="宋体" w:cs="宋体"/>
          <w:sz w:val="28"/>
          <w:szCs w:val="28"/>
          <w:shd w:val="clear" w:color="auto" w:fill="FFFFFF"/>
        </w:rPr>
        <w:t>的</w:t>
      </w:r>
      <w:r>
        <w:rPr>
          <w:rStyle w:val="27"/>
          <w:rFonts w:hint="eastAsia" w:ascii="宋体" w:hAnsi="宋体" w:eastAsia="宋体" w:cs="宋体"/>
          <w:i w:val="0"/>
          <w:sz w:val="28"/>
          <w:szCs w:val="28"/>
          <w:shd w:val="clear" w:color="auto" w:fill="FFFFFF"/>
        </w:rPr>
        <w:t>（关键工序）</w:t>
      </w:r>
      <w:r>
        <w:rPr>
          <w:rStyle w:val="27"/>
          <w:rFonts w:hint="eastAsia" w:ascii="宋体" w:hAnsi="宋体" w:eastAsia="宋体" w:cs="宋体"/>
          <w:i w:val="0"/>
          <w:sz w:val="28"/>
          <w:szCs w:val="28"/>
          <w:shd w:val="clear" w:color="auto" w:fill="FFFFFF"/>
          <w:vertAlign w:val="superscript"/>
        </w:rPr>
        <w:t>5</w:t>
      </w:r>
      <w:r>
        <w:rPr>
          <w:rFonts w:hint="eastAsia" w:ascii="宋体" w:hAnsi="宋体" w:eastAsia="宋体" w:cs="宋体"/>
          <w:sz w:val="28"/>
          <w:szCs w:val="28"/>
          <w:shd w:val="clear" w:color="auto" w:fill="FFFFFF"/>
        </w:rPr>
        <w:t>在中国境内完成。</w:t>
      </w:r>
    </w:p>
    <w:p w14:paraId="45894D00">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2.</w:t>
      </w:r>
      <w:r>
        <w:rPr>
          <w:rStyle w:val="27"/>
          <w:rFonts w:hint="eastAsia" w:ascii="宋体" w:hAnsi="宋体" w:eastAsia="宋体" w:cs="宋体"/>
          <w:i w:val="0"/>
          <w:sz w:val="28"/>
          <w:szCs w:val="28"/>
          <w:shd w:val="clear" w:color="auto" w:fill="FFFFFF"/>
        </w:rPr>
        <w:t>（产品名称2）</w:t>
      </w:r>
      <w:r>
        <w:rPr>
          <w:rFonts w:hint="eastAsia" w:ascii="宋体" w:hAnsi="宋体" w:eastAsia="宋体" w:cs="宋体"/>
          <w:sz w:val="28"/>
          <w:szCs w:val="28"/>
          <w:shd w:val="clear" w:color="auto" w:fill="FFFFFF"/>
        </w:rPr>
        <w:t>，生产厂为</w:t>
      </w:r>
      <w:r>
        <w:rPr>
          <w:rStyle w:val="27"/>
          <w:rFonts w:hint="eastAsia" w:ascii="宋体" w:hAnsi="宋体" w:eastAsia="宋体" w:cs="宋体"/>
          <w:i w:val="0"/>
          <w:sz w:val="28"/>
          <w:szCs w:val="28"/>
          <w:shd w:val="clear" w:color="auto" w:fill="FFFFFF"/>
        </w:rPr>
        <w:t>（厂名）</w:t>
      </w:r>
      <w:r>
        <w:rPr>
          <w:rFonts w:hint="eastAsia" w:ascii="宋体" w:hAnsi="宋体" w:eastAsia="宋体" w:cs="宋体"/>
          <w:sz w:val="28"/>
          <w:szCs w:val="28"/>
          <w:shd w:val="clear" w:color="auto" w:fill="FFFFFF"/>
        </w:rPr>
        <w:t>，厂址为</w:t>
      </w:r>
      <w:r>
        <w:rPr>
          <w:rStyle w:val="27"/>
          <w:rFonts w:hint="eastAsia" w:ascii="宋体" w:hAnsi="宋体" w:eastAsia="宋体" w:cs="宋体"/>
          <w:i w:val="0"/>
          <w:sz w:val="28"/>
          <w:szCs w:val="28"/>
          <w:shd w:val="clear" w:color="auto" w:fill="FFFFFF"/>
        </w:rPr>
        <w:t>（生产厂址）</w:t>
      </w:r>
      <w:r>
        <w:rPr>
          <w:rFonts w:hint="eastAsia" w:ascii="宋体" w:hAnsi="宋体" w:eastAsia="宋体" w:cs="宋体"/>
          <w:sz w:val="28"/>
          <w:szCs w:val="28"/>
          <w:shd w:val="clear" w:color="auto" w:fill="FFFFFF"/>
        </w:rPr>
        <w:t>。</w:t>
      </w:r>
      <w:r>
        <w:rPr>
          <w:rStyle w:val="27"/>
          <w:rFonts w:hint="eastAsia" w:ascii="宋体" w:hAnsi="宋体" w:eastAsia="宋体" w:cs="宋体"/>
          <w:i w:val="0"/>
          <w:sz w:val="28"/>
          <w:szCs w:val="28"/>
          <w:shd w:val="clear" w:color="auto" w:fill="FFFFFF"/>
        </w:rPr>
        <w:t>（产品名称2）</w:t>
      </w:r>
      <w:r>
        <w:rPr>
          <w:rFonts w:hint="eastAsia" w:ascii="宋体" w:hAnsi="宋体" w:eastAsia="宋体" w:cs="宋体"/>
          <w:sz w:val="28"/>
          <w:szCs w:val="28"/>
          <w:shd w:val="clear" w:color="auto" w:fill="FFFFFF"/>
        </w:rPr>
        <w:t>的中国境内生产的组件成本占比≥</w:t>
      </w:r>
      <w:r>
        <w:rPr>
          <w:rStyle w:val="27"/>
          <w:rFonts w:hint="eastAsia" w:ascii="宋体" w:hAnsi="宋体" w:eastAsia="宋体" w:cs="宋体"/>
          <w:i w:val="0"/>
          <w:sz w:val="28"/>
          <w:szCs w:val="28"/>
          <w:shd w:val="clear" w:color="auto" w:fill="FFFFFF"/>
        </w:rPr>
        <w:t>（规定比例）</w:t>
      </w:r>
      <w:r>
        <w:rPr>
          <w:rFonts w:hint="eastAsia" w:ascii="宋体" w:hAnsi="宋体" w:eastAsia="宋体" w:cs="宋体"/>
          <w:sz w:val="28"/>
          <w:szCs w:val="28"/>
          <w:shd w:val="clear" w:color="auto" w:fill="FFFFFF"/>
        </w:rPr>
        <w:t>。</w:t>
      </w:r>
      <w:r>
        <w:rPr>
          <w:rStyle w:val="27"/>
          <w:rFonts w:hint="eastAsia" w:ascii="宋体" w:hAnsi="宋体" w:eastAsia="宋体" w:cs="宋体"/>
          <w:i w:val="0"/>
          <w:sz w:val="28"/>
          <w:szCs w:val="28"/>
          <w:shd w:val="clear" w:color="auto" w:fill="FFFFFF"/>
        </w:rPr>
        <w:t>（产品名称2）</w:t>
      </w:r>
      <w:r>
        <w:rPr>
          <w:rFonts w:hint="eastAsia" w:ascii="宋体" w:hAnsi="宋体" w:eastAsia="宋体" w:cs="宋体"/>
          <w:sz w:val="28"/>
          <w:szCs w:val="28"/>
          <w:shd w:val="clear" w:color="auto" w:fill="FFFFFF"/>
        </w:rPr>
        <w:t>的</w:t>
      </w:r>
      <w:r>
        <w:rPr>
          <w:rStyle w:val="27"/>
          <w:rFonts w:hint="eastAsia" w:ascii="宋体" w:hAnsi="宋体" w:eastAsia="宋体" w:cs="宋体"/>
          <w:i w:val="0"/>
          <w:sz w:val="28"/>
          <w:szCs w:val="28"/>
          <w:shd w:val="clear" w:color="auto" w:fill="FFFFFF"/>
        </w:rPr>
        <w:t>（关键组件）</w:t>
      </w:r>
      <w:r>
        <w:rPr>
          <w:rFonts w:hint="eastAsia" w:ascii="宋体" w:hAnsi="宋体" w:eastAsia="宋体" w:cs="宋体"/>
          <w:sz w:val="28"/>
          <w:szCs w:val="28"/>
          <w:shd w:val="clear" w:color="auto" w:fill="FFFFFF"/>
        </w:rPr>
        <w:t>在中国境内生产。</w:t>
      </w:r>
      <w:r>
        <w:rPr>
          <w:rStyle w:val="27"/>
          <w:rFonts w:hint="eastAsia" w:ascii="宋体" w:hAnsi="宋体" w:eastAsia="宋体" w:cs="宋体"/>
          <w:i w:val="0"/>
          <w:sz w:val="28"/>
          <w:szCs w:val="28"/>
          <w:shd w:val="clear" w:color="auto" w:fill="FFFFFF"/>
        </w:rPr>
        <w:t>（产品名称2）</w:t>
      </w:r>
      <w:r>
        <w:rPr>
          <w:rFonts w:hint="eastAsia" w:ascii="宋体" w:hAnsi="宋体" w:eastAsia="宋体" w:cs="宋体"/>
          <w:sz w:val="28"/>
          <w:szCs w:val="28"/>
          <w:shd w:val="clear" w:color="auto" w:fill="FFFFFF"/>
        </w:rPr>
        <w:t>的</w:t>
      </w:r>
      <w:r>
        <w:rPr>
          <w:rStyle w:val="27"/>
          <w:rFonts w:hint="eastAsia" w:ascii="宋体" w:hAnsi="宋体" w:eastAsia="宋体" w:cs="宋体"/>
          <w:i w:val="0"/>
          <w:sz w:val="28"/>
          <w:szCs w:val="28"/>
          <w:shd w:val="clear" w:color="auto" w:fill="FFFFFF"/>
        </w:rPr>
        <w:t>（关键工序）</w:t>
      </w:r>
      <w:r>
        <w:rPr>
          <w:rFonts w:hint="eastAsia" w:ascii="宋体" w:hAnsi="宋体" w:eastAsia="宋体" w:cs="宋体"/>
          <w:sz w:val="28"/>
          <w:szCs w:val="28"/>
          <w:shd w:val="clear" w:color="auto" w:fill="FFFFFF"/>
        </w:rPr>
        <w:t>在中国境内完成。</w:t>
      </w:r>
    </w:p>
    <w:p w14:paraId="234F6675">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w:t>
      </w:r>
    </w:p>
    <w:p w14:paraId="655282D9">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本公司（单位）对上述声明内容的真实性负责。如有虚假，愿承担相应法律责任。</w:t>
      </w:r>
    </w:p>
    <w:p w14:paraId="00F72464">
      <w:pPr>
        <w:pStyle w:val="20"/>
        <w:widowControl/>
        <w:shd w:val="clear" w:color="auto" w:fill="FFFFFF"/>
        <w:spacing w:before="30" w:beforeAutospacing="0" w:after="30" w:afterAutospacing="0"/>
        <w:ind w:firstLine="420"/>
        <w:jc w:val="right"/>
        <w:rPr>
          <w:rFonts w:hint="eastAsia" w:ascii="宋体" w:hAnsi="宋体" w:eastAsia="宋体" w:cs="宋体"/>
          <w:sz w:val="28"/>
          <w:szCs w:val="28"/>
        </w:rPr>
      </w:pPr>
      <w:r>
        <w:rPr>
          <w:rFonts w:hint="eastAsia" w:ascii="宋体" w:hAnsi="宋体" w:eastAsia="宋体" w:cs="宋体"/>
          <w:sz w:val="28"/>
          <w:szCs w:val="28"/>
          <w:shd w:val="clear" w:color="auto" w:fill="FFFFFF"/>
        </w:rPr>
        <w:t>公司（单位）名称（盖章）：      </w:t>
      </w:r>
    </w:p>
    <w:p w14:paraId="468A7156">
      <w:pPr>
        <w:pStyle w:val="20"/>
        <w:widowControl/>
        <w:shd w:val="clear" w:color="auto" w:fill="FFFFFF"/>
        <w:spacing w:before="30" w:beforeAutospacing="0" w:after="30" w:afterAutospacing="0"/>
        <w:ind w:firstLine="420"/>
        <w:jc w:val="right"/>
        <w:rPr>
          <w:rFonts w:hint="eastAsia" w:ascii="宋体" w:hAnsi="宋体" w:eastAsia="宋体" w:cs="宋体"/>
          <w:sz w:val="28"/>
          <w:szCs w:val="28"/>
        </w:rPr>
      </w:pPr>
      <w:r>
        <w:rPr>
          <w:rFonts w:hint="eastAsia" w:ascii="宋体" w:hAnsi="宋体" w:eastAsia="宋体" w:cs="宋体"/>
          <w:sz w:val="28"/>
          <w:szCs w:val="28"/>
          <w:shd w:val="clear" w:color="auto" w:fill="FFFFFF"/>
        </w:rPr>
        <w:t>日期：　　　　　年　　月　日    </w:t>
      </w:r>
    </w:p>
    <w:p w14:paraId="49303672">
      <w:pPr>
        <w:pStyle w:val="20"/>
        <w:widowControl/>
        <w:shd w:val="clear" w:color="auto" w:fill="FFFFFF"/>
        <w:spacing w:before="30" w:beforeAutospacing="0" w:after="30" w:afterAutospacing="0"/>
        <w:ind w:firstLine="420"/>
        <w:rPr>
          <w:rFonts w:hint="eastAsia" w:ascii="宋体" w:hAnsi="宋体" w:eastAsia="宋体" w:cs="宋体"/>
          <w:sz w:val="28"/>
          <w:szCs w:val="28"/>
        </w:rPr>
      </w:pPr>
    </w:p>
    <w:p w14:paraId="047CD255">
      <w:pPr>
        <w:pStyle w:val="20"/>
        <w:widowControl/>
        <w:shd w:val="clear" w:color="auto" w:fill="FFFFFF"/>
        <w:spacing w:before="30" w:beforeAutospacing="0" w:after="30" w:afterAutospacing="0"/>
        <w:ind w:firstLine="420"/>
        <w:rPr>
          <w:rFonts w:hint="eastAsia" w:ascii="宋体" w:hAnsi="宋体" w:eastAsia="宋体" w:cs="宋体"/>
          <w:sz w:val="28"/>
          <w:szCs w:val="28"/>
        </w:rPr>
      </w:pPr>
    </w:p>
    <w:p w14:paraId="6ABF633C">
      <w:pPr>
        <w:pStyle w:val="20"/>
        <w:widowControl/>
        <w:shd w:val="clear" w:color="auto" w:fill="FFFFFF"/>
        <w:spacing w:before="30" w:beforeAutospacing="0" w:after="30" w:afterAutospacing="0"/>
        <w:rPr>
          <w:rFonts w:hint="eastAsia" w:ascii="宋体" w:hAnsi="宋体" w:eastAsia="宋体" w:cs="宋体"/>
          <w:sz w:val="28"/>
          <w:szCs w:val="28"/>
        </w:rPr>
      </w:pPr>
      <w:r>
        <w:rPr>
          <w:rFonts w:hint="eastAsia" w:ascii="宋体" w:hAnsi="宋体" w:eastAsia="宋体" w:cs="宋体"/>
          <w:sz w:val="28"/>
          <w:szCs w:val="28"/>
          <w:shd w:val="clear" w:color="auto" w:fill="FFFFFF"/>
        </w:rPr>
        <w:t>_____________________________</w:t>
      </w:r>
    </w:p>
    <w:p w14:paraId="3772E556">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1.产品如有型号，请在“产品名称”栏一并填写。</w:t>
      </w:r>
    </w:p>
    <w:p w14:paraId="23BA33C8">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2.生产厂名与厂址应与生产厂营业执照载明的相关信息保持一致。</w:t>
      </w:r>
    </w:p>
    <w:p w14:paraId="53081A94">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3.该产品的中国境内生产的组件成本占比相关要求实施前，“规定比例”栏可不填，下同。</w:t>
      </w:r>
    </w:p>
    <w:p w14:paraId="04D50AAA">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4.该产品的关键组件要求实施前，“关键组件”栏可不填，下同。</w:t>
      </w:r>
    </w:p>
    <w:p w14:paraId="79306062">
      <w:pPr>
        <w:pStyle w:val="20"/>
        <w:widowControl/>
        <w:shd w:val="clear" w:color="auto" w:fill="FFFFFF"/>
        <w:spacing w:before="30" w:beforeAutospacing="0" w:after="30" w:afterAutospacing="0"/>
        <w:ind w:firstLine="420"/>
        <w:rPr>
          <w:rFonts w:hint="eastAsia" w:ascii="宋体" w:hAnsi="宋体" w:eastAsia="宋体" w:cs="宋体"/>
          <w:sz w:val="28"/>
          <w:szCs w:val="28"/>
        </w:rPr>
      </w:pPr>
      <w:r>
        <w:rPr>
          <w:rFonts w:hint="eastAsia" w:ascii="宋体" w:hAnsi="宋体" w:eastAsia="宋体" w:cs="宋体"/>
          <w:sz w:val="28"/>
          <w:szCs w:val="28"/>
          <w:shd w:val="clear" w:color="auto" w:fill="FFFFFF"/>
        </w:rPr>
        <w:t>5.该产品的关键工序要求实施前，“关键工序”栏可不填，下同。</w:t>
      </w:r>
    </w:p>
    <w:p w14:paraId="03C9FBC9">
      <w:pPr>
        <w:spacing w:line="500" w:lineRule="exact"/>
        <w:rPr>
          <w:rFonts w:hint="eastAsia" w:ascii="宋体" w:hAnsi="宋体" w:eastAsia="宋体" w:cs="宋体"/>
          <w:sz w:val="28"/>
          <w:szCs w:val="28"/>
        </w:rPr>
      </w:pPr>
    </w:p>
    <w:p w14:paraId="595702A8">
      <w:pPr>
        <w:rPr>
          <w:rFonts w:hint="eastAsia" w:ascii="宋体" w:hAnsi="宋体" w:eastAsia="宋体" w:cs="宋体"/>
        </w:rPr>
      </w:pPr>
    </w:p>
    <w:p w14:paraId="7A27AEF9"/>
    <w:sectPr>
      <w:headerReference r:id="rId11" w:type="default"/>
      <w:footerReference r:id="rId12"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000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000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Adobe 仿宋 Std R">
    <w:altName w:val="仿宋"/>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8480">
    <w:pPr>
      <w:pStyle w:val="14"/>
      <w:tabs>
        <w:tab w:val="clear" w:pos="4140"/>
        <w:tab w:val="clear" w:pos="8300"/>
      </w:tabs>
      <w:jc w:val="both"/>
      <w:rPr>
        <w:rStyle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DC4C0">
    <w:pPr>
      <w:pStyle w:val="14"/>
      <w:framePr w:wrap="around" w:vAnchor="margin" w:hAnchor="text" w:xAlign="center" w:yAlign="top"/>
      <w:tabs>
        <w:tab w:val="clear" w:pos="4140"/>
        <w:tab w:val="clear" w:pos="8300"/>
      </w:tabs>
      <w:rPr>
        <w:rStyle w:val="93"/>
      </w:rPr>
    </w:pPr>
  </w:p>
  <w:p w14:paraId="5D5C2F65">
    <w:pPr>
      <w:pStyle w:val="14"/>
      <w:tabs>
        <w:tab w:val="clear" w:pos="4140"/>
        <w:tab w:val="clear" w:pos="8300"/>
      </w:tabs>
      <w:rPr>
        <w:rStyle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ECD7">
    <w:pPr>
      <w:widowControl/>
      <w:kinsoku w:val="0"/>
      <w:autoSpaceDE w:val="0"/>
      <w:autoSpaceDN w:val="0"/>
      <w:adjustRightInd w:val="0"/>
      <w:snapToGrid w:val="0"/>
      <w:spacing w:line="169" w:lineRule="auto"/>
      <w:ind w:left="4127"/>
      <w:jc w:val="left"/>
      <w:textAlignment w:val="baseline"/>
      <w:rPr>
        <w:rFonts w:ascii="Calibri" w:eastAsia="Calibri" w:cs="Calibri"/>
        <w:snapToGrid w:val="0"/>
        <w:color w:val="000000"/>
        <w:sz w:val="18"/>
        <w:szCs w:val="18"/>
        <w:lang w:eastAsia="en-US"/>
      </w:rPr>
    </w:pPr>
    <w:r>
      <w:rPr>
        <w:sz w:val="18"/>
      </w:rPr>
      <mc:AlternateContent>
        <mc:Choice Requires="wps">
          <w:drawing>
            <wp:anchor distT="0" distB="0" distL="0" distR="0" simplePos="0" relativeHeight="251659264" behindDoc="0" locked="0" layoutInCell="1" allowOverlap="1">
              <wp:simplePos x="0" y="0"/>
              <wp:positionH relativeFrom="margin">
                <wp:posOffset>2611120</wp:posOffset>
              </wp:positionH>
              <wp:positionV relativeFrom="paragraph">
                <wp:posOffset>2540</wp:posOffset>
              </wp:positionV>
              <wp:extent cx="214630" cy="1828800"/>
              <wp:effectExtent l="0" t="0" r="0" b="0"/>
              <wp:wrapNone/>
              <wp:docPr id="4101" name="文本框 4"/>
              <wp:cNvGraphicFramePr/>
              <a:graphic xmlns:a="http://schemas.openxmlformats.org/drawingml/2006/main">
                <a:graphicData uri="http://schemas.microsoft.com/office/word/2010/wordprocessingShape">
                  <wps:wsp>
                    <wps:cNvSpPr/>
                    <wps:spPr>
                      <a:xfrm>
                        <a:off x="0" y="0"/>
                        <a:ext cx="214629" cy="1828800"/>
                      </a:xfrm>
                      <a:prstGeom prst="rect">
                        <a:avLst/>
                      </a:prstGeom>
                      <a:ln>
                        <a:noFill/>
                      </a:ln>
                    </wps:spPr>
                    <wps:txbx>
                      <w:txbxContent>
                        <w:p w14:paraId="5B604BAA">
                          <w:pPr>
                            <w:pStyle w:val="14"/>
                          </w:pPr>
                          <w:r>
                            <w:fldChar w:fldCharType="begin"/>
                          </w:r>
                          <w:r>
                            <w:instrText xml:space="preserve"> PAGE  \* MERGEFORMAT </w:instrText>
                          </w:r>
                          <w:r>
                            <w:fldChar w:fldCharType="separate"/>
                          </w:r>
                          <w:r>
                            <w:t>2</w:t>
                          </w:r>
                          <w:r>
                            <w:fldChar w:fldCharType="end"/>
                          </w:r>
                        </w:p>
                      </w:txbxContent>
                    </wps:txbx>
                    <wps:bodyPr vert="horz" wrap="square" lIns="0" tIns="0" rIns="0" bIns="0" anchor="t">
                      <a:spAutoFit/>
                    </wps:bodyPr>
                  </wps:wsp>
                </a:graphicData>
              </a:graphic>
            </wp:anchor>
          </w:drawing>
        </mc:Choice>
        <mc:Fallback>
          <w:pict>
            <v:rect id="文本框 4" o:spid="_x0000_s1026" o:spt="1" style="position:absolute;left:0pt;margin-left:205.6pt;margin-top:0.2pt;height:144pt;width:16.9pt;mso-position-horizontal-relative:margin;z-index:251659264;mso-width-relative:page;mso-height-relative:page;" filled="f" stroked="f" coordsize="21600,21600" o:gfxdata="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vIEqD2AAAAAgBAAAPAAAAAAAAAAEAIAAAACIA&#10;AABkcnMvZG93bnJldi54bWxQSwECFAAUAAAACACHTuJAd7d+g9ABAACTAwAADgAAAAAAAAABACAA&#10;AAAnAQAAZHJzL2Uyb0RvYy54bWxQSwUGAAAAAAYABgBZAQAAaQUAAAAA&#10;">
              <v:fill on="f" focussize="0,0"/>
              <v:stroke on="f"/>
              <v:imagedata o:title=""/>
              <o:lock v:ext="edit" aspectratio="f"/>
              <v:textbox inset="0mm,0mm,0mm,0mm" style="mso-fit-shape-to-text:t;">
                <w:txbxContent>
                  <w:p w14:paraId="5B604BAA">
                    <w:pPr>
                      <w:pStyle w:val="14"/>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7E27">
    <w:pPr>
      <w:pStyle w:val="14"/>
      <w:tabs>
        <w:tab w:val="clear" w:pos="4140"/>
        <w:tab w:val="clear" w:pos="8300"/>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1EE8F1A">
                          <w:pPr>
                            <w:pStyle w:val="14"/>
                          </w:pPr>
                          <w:r>
                            <w:fldChar w:fldCharType="begin"/>
                          </w:r>
                          <w:r>
                            <w:instrText xml:space="preserve"> PAGE  \* MERGEFORMAT </w:instrText>
                          </w:r>
                          <w:r>
                            <w:fldChar w:fldCharType="separate"/>
                          </w:r>
                          <w:r>
                            <w:t>83</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HcGWD/KAQAAkgMAAA4AAAAAAAAAAQAgAAAAHwEAAGRycy9lMm9E&#10;b2MueG1sUEsFBgAAAAAGAAYAWQEAAFsFAAAAAA==&#10;">
              <v:fill on="f" focussize="0,0"/>
              <v:stroke on="f"/>
              <v:imagedata o:title=""/>
              <o:lock v:ext="edit" aspectratio="f"/>
              <v:textbox inset="0mm,0mm,0mm,0mm" style="mso-fit-shape-to-text:t;">
                <w:txbxContent>
                  <w:p w14:paraId="01EE8F1A">
                    <w:pPr>
                      <w:pStyle w:val="14"/>
                    </w:pPr>
                    <w:r>
                      <w:fldChar w:fldCharType="begin"/>
                    </w:r>
                    <w:r>
                      <w:instrText xml:space="preserve"> PAGE  \* MERGEFORMAT </w:instrText>
                    </w:r>
                    <w:r>
                      <w:fldChar w:fldCharType="separate"/>
                    </w:r>
                    <w:r>
                      <w:t>83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77F46">
    <w:pPr>
      <w:pStyle w:val="15"/>
      <w:pBdr>
        <w:top w:val="none" w:color="auto" w:sz="0" w:space="1"/>
        <w:left w:val="none" w:color="auto" w:sz="0" w:space="4"/>
        <w:bottom w:val="none" w:color="auto" w:sz="0" w:space="1"/>
        <w:right w:val="none" w:color="auto" w:sz="0" w:space="4"/>
      </w:pBdr>
      <w:tabs>
        <w:tab w:val="clear" w:pos="4140"/>
        <w:tab w:val="clear" w:pos="8300"/>
      </w:tabs>
      <w:jc w:val="both"/>
      <w:rPr>
        <w:rStyle w:val="30"/>
        <w:rFonts w:ascii="宋体" w:hAnsi="宋体" w:eastAsia="宋体" w:cs="宋体"/>
        <w:lang w:eastAsia="zh-CN"/>
      </w:rPr>
    </w:pPr>
    <w:r>
      <w:rPr>
        <w:rStyle w:val="30"/>
        <w:szCs w:val="24"/>
      </w:rPr>
      <w:drawing>
        <wp:inline distT="0" distB="0" distL="0" distR="0">
          <wp:extent cx="374015" cy="375920"/>
          <wp:effectExtent l="0" t="0" r="6985" b="5080"/>
          <wp:docPr id="4097" name="图片 2"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097" name="图片 2"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30"/>
        <w:rFonts w:hint="eastAsia"/>
        <w:szCs w:val="24"/>
        <w:lang w:eastAsia="zh-CN"/>
      </w:rPr>
      <w:t xml:space="preserve">                                </w:t>
    </w:r>
    <w:r>
      <w:rPr>
        <w:rStyle w:val="30"/>
        <w:rFonts w:hint="eastAsia" w:ascii="宋体" w:hAnsi="宋体" w:eastAsia="宋体" w:cs="宋体"/>
        <w:szCs w:val="24"/>
        <w:lang w:eastAsia="zh-CN"/>
      </w:rPr>
      <w:t xml:space="preserve">   新疆拓源工程管理咨询有限公司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30AB">
    <w:pPr>
      <w:pStyle w:val="15"/>
      <w:tabs>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823C">
    <w:pPr>
      <w:pStyle w:val="15"/>
      <w:pBdr>
        <w:bottom w:val="none" w:color="auto" w:sz="0" w:space="1"/>
      </w:pBdr>
      <w:tabs>
        <w:tab w:val="clear" w:pos="4140"/>
        <w:tab w:val="clear" w:pos="8300"/>
      </w:tabs>
      <w:jc w:val="both"/>
      <w:rPr>
        <w:rStyle w:val="30"/>
        <w:rFonts w:ascii="宋体" w:hAnsi="宋体" w:eastAsia="宋体" w:cs="宋体"/>
        <w:szCs w:val="24"/>
        <w:lang w:eastAsia="zh-CN"/>
      </w:rPr>
    </w:pPr>
    <w:r>
      <w:rPr>
        <w:rStyle w:val="30"/>
        <w:rFonts w:hint="eastAsia" w:ascii="宋体" w:hAnsi="宋体" w:eastAsia="宋体" w:cs="宋体"/>
        <w:szCs w:val="24"/>
        <w:lang w:eastAsia="zh-CN"/>
      </w:rPr>
      <w:t xml:space="preserve">  </w:t>
    </w:r>
    <w:r>
      <w:rPr>
        <w:rStyle w:val="30"/>
        <w:rFonts w:hint="eastAsia" w:ascii="宋体" w:hAnsi="宋体" w:eastAsia="宋体" w:cs="宋体"/>
        <w:szCs w:val="24"/>
      </w:rPr>
      <w:drawing>
        <wp:inline distT="0" distB="0" distL="0" distR="0">
          <wp:extent cx="374015" cy="375920"/>
          <wp:effectExtent l="0" t="0" r="6985" b="5080"/>
          <wp:docPr id="4098" name="图片 1"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098" name="图片 1"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30"/>
        <w:rFonts w:hint="eastAsia" w:ascii="宋体" w:hAnsi="宋体" w:eastAsia="宋体" w:cs="宋体"/>
        <w:szCs w:val="24"/>
        <w:lang w:eastAsia="zh-CN"/>
      </w:rPr>
      <w:t xml:space="preserve">                             新疆拓源工程管理咨询有限公司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9B347">
    <w:pPr>
      <w:pStyle w:val="15"/>
      <w:pBdr>
        <w:bottom w:val="none" w:color="auto" w:sz="0" w:space="1"/>
      </w:pBdr>
      <w:tabs>
        <w:tab w:val="clear" w:pos="4140"/>
        <w:tab w:val="clear" w:pos="8300"/>
      </w:tabs>
      <w:jc w:val="both"/>
    </w:pPr>
    <w:r>
      <w:rPr>
        <w:rStyle w:val="30"/>
        <w:rFonts w:hint="eastAsia"/>
        <w:szCs w:val="24"/>
        <w:lang w:eastAsia="zh-CN"/>
      </w:rPr>
      <w:t xml:space="preserve">  </w:t>
    </w:r>
    <w:r>
      <w:rPr>
        <w:rStyle w:val="30"/>
        <w:szCs w:val="24"/>
      </w:rPr>
      <w:drawing>
        <wp:inline distT="0" distB="0" distL="0" distR="0">
          <wp:extent cx="374015" cy="375920"/>
          <wp:effectExtent l="0" t="0" r="6985" b="5080"/>
          <wp:docPr id="4099" name="图片 3"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099" name="图片 3"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30"/>
        <w:rFonts w:hint="eastAsia"/>
        <w:szCs w:val="24"/>
        <w:lang w:eastAsia="zh-CN"/>
      </w:rPr>
      <w:t xml:space="preserve">                                新疆拓源工程管理咨询有限公司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4304">
    <w:pPr>
      <w:pStyle w:val="15"/>
      <w:pBdr>
        <w:bottom w:val="none" w:color="auto" w:sz="0" w:space="1"/>
      </w:pBdr>
      <w:tabs>
        <w:tab w:val="clear" w:pos="4140"/>
        <w:tab w:val="clear" w:pos="8300"/>
      </w:tabs>
      <w:jc w:val="both"/>
    </w:pPr>
    <w:r>
      <w:rPr>
        <w:rStyle w:val="30"/>
        <w:rFonts w:hint="eastAsia"/>
        <w:szCs w:val="24"/>
        <w:lang w:eastAsia="zh-CN"/>
      </w:rPr>
      <w:t xml:space="preserve">  </w:t>
    </w:r>
    <w:r>
      <w:rPr>
        <w:rStyle w:val="30"/>
        <w:szCs w:val="24"/>
      </w:rPr>
      <w:drawing>
        <wp:inline distT="0" distB="0" distL="0" distR="0">
          <wp:extent cx="374015" cy="375920"/>
          <wp:effectExtent l="0" t="0" r="6985" b="5080"/>
          <wp:docPr id="4100" name="图片 2"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100" name="图片 2"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30"/>
        <w:rFonts w:hint="eastAsia"/>
        <w:szCs w:val="24"/>
        <w:lang w:eastAsia="zh-CN"/>
      </w:rPr>
      <w:t xml:space="preserve">                                  新疆拓源工程管理咨询有限公司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5F776">
    <w:pPr>
      <w:pStyle w:val="15"/>
      <w:pBdr>
        <w:bottom w:val="none" w:color="auto" w:sz="0" w:space="1"/>
      </w:pBdr>
      <w:tabs>
        <w:tab w:val="clear" w:pos="4140"/>
        <w:tab w:val="clear" w:pos="8300"/>
      </w:tabs>
    </w:pPr>
    <w:r>
      <w:rPr>
        <w:rStyle w:val="30"/>
        <w:rFonts w:hint="eastAsia" w:ascii="宋体" w:hAnsi="宋体" w:eastAsia="宋体" w:cs="宋体"/>
        <w:szCs w:val="24"/>
        <w:lang w:eastAsia="zh-CN"/>
      </w:rPr>
      <w:t xml:space="preserve">  </w:t>
    </w:r>
    <w:r>
      <w:rPr>
        <w:rStyle w:val="30"/>
        <w:rFonts w:hint="eastAsia" w:ascii="宋体" w:hAnsi="宋体" w:eastAsia="宋体" w:cs="宋体"/>
        <w:szCs w:val="24"/>
      </w:rPr>
      <w:drawing>
        <wp:inline distT="0" distB="0" distL="0" distR="0">
          <wp:extent cx="374015" cy="375920"/>
          <wp:effectExtent l="0" t="0" r="6985" b="5080"/>
          <wp:docPr id="4102" name="图片 4"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102" name="图片 4"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30"/>
        <w:rFonts w:hint="eastAsia" w:ascii="宋体" w:hAnsi="宋体" w:eastAsia="宋体" w:cs="宋体"/>
        <w:szCs w:val="24"/>
        <w:lang w:eastAsia="zh-CN"/>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decimalEnclosedCircleChinese"/>
      <w:suff w:val="nothing"/>
      <w:lvlText w:val="%1　"/>
      <w:lvlJc w:val="left"/>
      <w:pPr>
        <w:ind w:left="0" w:firstLine="400"/>
      </w:pPr>
      <w:rPr>
        <w:rFonts w:hint="eastAsia"/>
      </w:rPr>
    </w:lvl>
  </w:abstractNum>
  <w:abstractNum w:abstractNumId="2">
    <w:nsid w:val="00000002"/>
    <w:multiLevelType w:val="singleLevel"/>
    <w:tmpl w:val="00000002"/>
    <w:lvl w:ilvl="0" w:tentative="0">
      <w:start w:val="1"/>
      <w:numFmt w:val="decimalEnclosedCircleChinese"/>
      <w:suff w:val="nothing"/>
      <w:lvlText w:val="%1　"/>
      <w:lvlJc w:val="left"/>
      <w:pPr>
        <w:ind w:left="0" w:firstLine="400"/>
      </w:pPr>
      <w:rPr>
        <w:rFonts w:hint="eastAsia"/>
      </w:rPr>
    </w:lvl>
  </w:abstractNum>
  <w:abstractNum w:abstractNumId="3">
    <w:nsid w:val="00000003"/>
    <w:multiLevelType w:val="singleLevel"/>
    <w:tmpl w:val="00000003"/>
    <w:lvl w:ilvl="0" w:tentative="0">
      <w:start w:val="1"/>
      <w:numFmt w:val="decimal"/>
      <w:lvlText w:val="%1)"/>
      <w:lvlJc w:val="left"/>
      <w:pPr>
        <w:ind w:left="425" w:hanging="425"/>
      </w:pPr>
      <w:rPr>
        <w:rFonts w:hint="default"/>
      </w:rPr>
    </w:lvl>
  </w:abstractNum>
  <w:abstractNum w:abstractNumId="4">
    <w:nsid w:val="00000004"/>
    <w:multiLevelType w:val="singleLevel"/>
    <w:tmpl w:val="00000004"/>
    <w:lvl w:ilvl="0" w:tentative="0">
      <w:start w:val="21"/>
      <w:numFmt w:val="decimal"/>
      <w:lvlText w:val="%1."/>
      <w:lvlJc w:val="left"/>
      <w:pPr>
        <w:tabs>
          <w:tab w:val="left" w:pos="312"/>
        </w:tabs>
      </w:pPr>
    </w:lvl>
  </w:abstractNum>
  <w:abstractNum w:abstractNumId="5">
    <w:nsid w:val="00000005"/>
    <w:multiLevelType w:val="singleLevel"/>
    <w:tmpl w:val="00000005"/>
    <w:lvl w:ilvl="0" w:tentative="0">
      <w:start w:val="1"/>
      <w:numFmt w:val="decimal"/>
      <w:lvlText w:val="%1)"/>
      <w:lvlJc w:val="left"/>
      <w:pPr>
        <w:ind w:left="425" w:hanging="425"/>
      </w:pPr>
      <w:rPr>
        <w:rFonts w:hint="default"/>
      </w:r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singleLevel"/>
    <w:tmpl w:val="00000007"/>
    <w:lvl w:ilvl="0" w:tentative="0">
      <w:start w:val="1"/>
      <w:numFmt w:val="decimalEnclosedCircleChinese"/>
      <w:suff w:val="nothing"/>
      <w:lvlText w:val="%1　"/>
      <w:lvlJc w:val="left"/>
      <w:pPr>
        <w:ind w:left="0" w:firstLine="400"/>
      </w:pPr>
      <w:rPr>
        <w:rFonts w:hint="eastAsia"/>
      </w:rPr>
    </w:lvl>
  </w:abstractNum>
  <w:abstractNum w:abstractNumId="8">
    <w:nsid w:val="00000008"/>
    <w:multiLevelType w:val="singleLevel"/>
    <w:tmpl w:val="00000008"/>
    <w:lvl w:ilvl="0" w:tentative="0">
      <w:start w:val="1"/>
      <w:numFmt w:val="decimal"/>
      <w:lvlText w:val="%1)"/>
      <w:lvlJc w:val="left"/>
      <w:pPr>
        <w:ind w:left="865" w:hanging="425"/>
      </w:pPr>
      <w:rPr>
        <w:rFonts w:hint="default"/>
      </w:rPr>
    </w:lvl>
  </w:abstractNum>
  <w:abstractNum w:abstractNumId="9">
    <w:nsid w:val="00000009"/>
    <w:multiLevelType w:val="singleLevel"/>
    <w:tmpl w:val="00000009"/>
    <w:lvl w:ilvl="0" w:tentative="0">
      <w:start w:val="1"/>
      <w:numFmt w:val="decimalEnclosedCircleChinese"/>
      <w:suff w:val="nothing"/>
      <w:lvlText w:val="%1　"/>
      <w:lvlJc w:val="left"/>
      <w:pPr>
        <w:ind w:left="0" w:firstLine="400"/>
      </w:pPr>
      <w:rPr>
        <w:rFonts w:hint="eastAsia"/>
      </w:rPr>
    </w:lvl>
  </w:abstractNum>
  <w:abstractNum w:abstractNumId="10">
    <w:nsid w:val="0000000A"/>
    <w:multiLevelType w:val="singleLevel"/>
    <w:tmpl w:val="0000000A"/>
    <w:lvl w:ilvl="0" w:tentative="0">
      <w:start w:val="1"/>
      <w:numFmt w:val="decimalEnclosedCircleChinese"/>
      <w:suff w:val="nothing"/>
      <w:lvlText w:val="%1　"/>
      <w:lvlJc w:val="left"/>
      <w:pPr>
        <w:ind w:left="0" w:firstLine="400"/>
      </w:pPr>
      <w:rPr>
        <w:rFonts w:hint="eastAsia"/>
      </w:rPr>
    </w:lvl>
  </w:abstractNum>
  <w:abstractNum w:abstractNumId="11">
    <w:nsid w:val="0000000B"/>
    <w:multiLevelType w:val="singleLevel"/>
    <w:tmpl w:val="0000000B"/>
    <w:lvl w:ilvl="0" w:tentative="0">
      <w:start w:val="1"/>
      <w:numFmt w:val="decimal"/>
      <w:suff w:val="nothing"/>
      <w:lvlText w:val="%1、"/>
      <w:lvlJc w:val="left"/>
    </w:lvl>
  </w:abstractNum>
  <w:abstractNum w:abstractNumId="12">
    <w:nsid w:val="0000000C"/>
    <w:multiLevelType w:val="multilevel"/>
    <w:tmpl w:val="0000000C"/>
    <w:lvl w:ilvl="0" w:tentative="0">
      <w:start w:val="1"/>
      <w:numFmt w:val="decimal"/>
      <w:lvlText w:val="%1、"/>
      <w:lvlJc w:val="left"/>
      <w:pPr>
        <w:tabs>
          <w:tab w:val="left" w:pos="740"/>
        </w:tabs>
        <w:ind w:left="1081" w:hanging="1081"/>
      </w:pPr>
      <w:rPr>
        <w:rFonts w:hint="default"/>
      </w:rPr>
    </w:lvl>
    <w:lvl w:ilvl="1" w:tentative="0">
      <w:start w:val="1"/>
      <w:numFmt w:val="decimal"/>
      <w:pStyle w:val="80"/>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0D"/>
    <w:multiLevelType w:val="multilevel"/>
    <w:tmpl w:val="0000000D"/>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0E"/>
    <w:multiLevelType w:val="singleLevel"/>
    <w:tmpl w:val="0000000E"/>
    <w:lvl w:ilvl="0" w:tentative="0">
      <w:start w:val="1"/>
      <w:numFmt w:val="chineseCounting"/>
      <w:suff w:val="nothing"/>
      <w:lvlText w:val="（%1）"/>
      <w:lvlJc w:val="left"/>
      <w:rPr>
        <w:rFonts w:hint="eastAsia"/>
      </w:rPr>
    </w:lvl>
  </w:abstractNum>
  <w:abstractNum w:abstractNumId="15">
    <w:nsid w:val="0000000F"/>
    <w:multiLevelType w:val="singleLevel"/>
    <w:tmpl w:val="0000000F"/>
    <w:lvl w:ilvl="0" w:tentative="0">
      <w:start w:val="2"/>
      <w:numFmt w:val="chineseCounting"/>
      <w:suff w:val="nothing"/>
      <w:lvlText w:val="（%1）"/>
      <w:lvlJc w:val="left"/>
      <w:rPr>
        <w:rFonts w:hint="eastAsia"/>
      </w:rPr>
    </w:lvl>
  </w:abstractNum>
  <w:abstractNum w:abstractNumId="16">
    <w:nsid w:val="00000010"/>
    <w:multiLevelType w:val="multilevel"/>
    <w:tmpl w:val="00000010"/>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00000011"/>
    <w:multiLevelType w:val="singleLevel"/>
    <w:tmpl w:val="00000011"/>
    <w:lvl w:ilvl="0" w:tentative="0">
      <w:start w:val="1"/>
      <w:numFmt w:val="decimalEnclosedCircleChinese"/>
      <w:suff w:val="nothing"/>
      <w:lvlText w:val="%1　"/>
      <w:lvlJc w:val="left"/>
      <w:pPr>
        <w:ind w:left="0" w:firstLine="400"/>
      </w:pPr>
      <w:rPr>
        <w:rFonts w:hint="eastAsia"/>
      </w:rPr>
    </w:lvl>
  </w:abstractNum>
  <w:abstractNum w:abstractNumId="18">
    <w:nsid w:val="00000012"/>
    <w:multiLevelType w:val="singleLevel"/>
    <w:tmpl w:val="00000012"/>
    <w:lvl w:ilvl="0" w:tentative="0">
      <w:start w:val="1"/>
      <w:numFmt w:val="decimalEnclosedCircleChinese"/>
      <w:suff w:val="nothing"/>
      <w:lvlText w:val="%1　"/>
      <w:lvlJc w:val="left"/>
      <w:pPr>
        <w:ind w:left="0" w:firstLine="400"/>
      </w:pPr>
      <w:rPr>
        <w:rFonts w:hint="eastAsia"/>
      </w:rPr>
    </w:lvl>
  </w:abstractNum>
  <w:abstractNum w:abstractNumId="19">
    <w:nsid w:val="00000013"/>
    <w:multiLevelType w:val="singleLevel"/>
    <w:tmpl w:val="00000013"/>
    <w:lvl w:ilvl="0" w:tentative="0">
      <w:start w:val="1"/>
      <w:numFmt w:val="decimalEnclosedCircleChinese"/>
      <w:suff w:val="nothing"/>
      <w:lvlText w:val="%1　"/>
      <w:lvlJc w:val="left"/>
      <w:pPr>
        <w:ind w:left="0" w:firstLine="400"/>
      </w:pPr>
      <w:rPr>
        <w:rFonts w:hint="eastAsia"/>
      </w:rPr>
    </w:lvl>
  </w:abstractNum>
  <w:abstractNum w:abstractNumId="20">
    <w:nsid w:val="00000014"/>
    <w:multiLevelType w:val="singleLevel"/>
    <w:tmpl w:val="00000014"/>
    <w:lvl w:ilvl="0" w:tentative="0">
      <w:start w:val="1"/>
      <w:numFmt w:val="decimal"/>
      <w:lvlText w:val="%1)"/>
      <w:lvlJc w:val="left"/>
      <w:pPr>
        <w:ind w:left="425" w:hanging="425"/>
      </w:pPr>
      <w:rPr>
        <w:rFonts w:hint="default"/>
      </w:rPr>
    </w:lvl>
  </w:abstractNum>
  <w:abstractNum w:abstractNumId="21">
    <w:nsid w:val="00000015"/>
    <w:multiLevelType w:val="singleLevel"/>
    <w:tmpl w:val="00000015"/>
    <w:lvl w:ilvl="0" w:tentative="0">
      <w:start w:val="1"/>
      <w:numFmt w:val="decimal"/>
      <w:lvlText w:val="%1)"/>
      <w:lvlJc w:val="left"/>
      <w:pPr>
        <w:ind w:left="425" w:hanging="425"/>
      </w:pPr>
      <w:rPr>
        <w:rFonts w:hint="default"/>
      </w:rPr>
    </w:lvl>
  </w:abstractNum>
  <w:abstractNum w:abstractNumId="22">
    <w:nsid w:val="00000016"/>
    <w:multiLevelType w:val="multilevel"/>
    <w:tmpl w:val="0000001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00000017"/>
    <w:multiLevelType w:val="singleLevel"/>
    <w:tmpl w:val="00000017"/>
    <w:lvl w:ilvl="0" w:tentative="0">
      <w:start w:val="1"/>
      <w:numFmt w:val="decimalEnclosedCircleChinese"/>
      <w:suff w:val="nothing"/>
      <w:lvlText w:val="%1　"/>
      <w:lvlJc w:val="left"/>
      <w:pPr>
        <w:ind w:left="0" w:firstLine="400"/>
      </w:pPr>
      <w:rPr>
        <w:rFonts w:hint="eastAsia"/>
      </w:rPr>
    </w:lvl>
  </w:abstractNum>
  <w:abstractNum w:abstractNumId="24">
    <w:nsid w:val="00000018"/>
    <w:multiLevelType w:val="multilevel"/>
    <w:tmpl w:val="00000018"/>
    <w:lvl w:ilvl="0" w:tentative="0">
      <w:start w:val="2"/>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5">
    <w:nsid w:val="00000019"/>
    <w:multiLevelType w:val="multilevel"/>
    <w:tmpl w:val="00000019"/>
    <w:lvl w:ilvl="0" w:tentative="0">
      <w:start w:val="1"/>
      <w:numFmt w:val="decimalEnclosedCircle"/>
      <w:lvlText w:val="%1"/>
      <w:lvlJc w:val="left"/>
      <w:pPr>
        <w:ind w:left="785" w:hanging="360"/>
      </w:pPr>
      <w:rPr>
        <w:rFonts w:hint="default"/>
      </w:r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26">
    <w:nsid w:val="0000001A"/>
    <w:multiLevelType w:val="multilevel"/>
    <w:tmpl w:val="0000001A"/>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0000001B"/>
    <w:multiLevelType w:val="multilevel"/>
    <w:tmpl w:val="0000001B"/>
    <w:lvl w:ilvl="0" w:tentative="0">
      <w:start w:val="1"/>
      <w:numFmt w:val="decimal"/>
      <w:lvlText w:val="%1"/>
      <w:lvlJc w:val="left"/>
      <w:pPr>
        <w:ind w:left="420" w:hanging="420"/>
      </w:pPr>
      <w:rPr>
        <w:rFonts w:hint="eastAsia" w:ascii="宋体" w:hAnsi="宋体" w:eastAsia="宋体" w:cs="Times New Roman"/>
        <w:b/>
        <w:i w:val="0"/>
        <w:color w:val="000000"/>
        <w:sz w:val="32"/>
      </w:rPr>
    </w:lvl>
    <w:lvl w:ilvl="1" w:tentative="0">
      <w:start w:val="1"/>
      <w:numFmt w:val="decimal"/>
      <w:lvlText w:val="%1.%2"/>
      <w:lvlJc w:val="left"/>
      <w:pPr>
        <w:ind w:left="-417" w:hanging="576"/>
      </w:pPr>
      <w:rPr>
        <w:rFonts w:hint="default" w:ascii="宋体" w:hAnsi="宋体" w:eastAsia="宋体"/>
        <w:b/>
        <w:i w:val="0"/>
        <w:color w:val="000000"/>
        <w:sz w:val="28"/>
      </w:rPr>
    </w:lvl>
    <w:lvl w:ilvl="2" w:tentative="0">
      <w:start w:val="1"/>
      <w:numFmt w:val="decimal"/>
      <w:pStyle w:val="5"/>
      <w:lvlText w:val="%1.%2.%3"/>
      <w:lvlJc w:val="left"/>
      <w:pPr>
        <w:ind w:left="-273" w:hanging="720"/>
      </w:pPr>
      <w:rPr>
        <w:rFonts w:hint="eastAsia" w:ascii="宋体" w:hAnsi="宋体" w:eastAsia="宋体" w:cs="宋体"/>
        <w:b/>
        <w:i w:val="0"/>
        <w:color w:val="000000"/>
        <w:sz w:val="28"/>
      </w:rPr>
    </w:lvl>
    <w:lvl w:ilvl="3" w:tentative="0">
      <w:start w:val="1"/>
      <w:numFmt w:val="decimal"/>
      <w:lvlText w:val="%4."/>
      <w:lvlJc w:val="left"/>
      <w:pPr>
        <w:tabs>
          <w:tab w:val="left" w:pos="-426"/>
        </w:tabs>
        <w:ind w:left="-57" w:hanging="680"/>
      </w:pPr>
      <w:rPr>
        <w:rFonts w:hint="eastAsia"/>
      </w:rPr>
    </w:lvl>
    <w:lvl w:ilvl="4" w:tentative="0">
      <w:start w:val="1"/>
      <w:numFmt w:val="decimal"/>
      <w:lvlText w:val="%5）"/>
      <w:lvlJc w:val="left"/>
      <w:pPr>
        <w:tabs>
          <w:tab w:val="left" w:pos="-426"/>
        </w:tabs>
        <w:ind w:left="-57" w:hanging="680"/>
      </w:pPr>
      <w:rPr>
        <w:rFonts w:hint="eastAsia"/>
      </w:rPr>
    </w:lvl>
    <w:lvl w:ilvl="5" w:tentative="0">
      <w:start w:val="1"/>
      <w:numFmt w:val="lowerLetter"/>
      <w:lvlText w:val="%6）"/>
      <w:lvlJc w:val="left"/>
      <w:pPr>
        <w:tabs>
          <w:tab w:val="left" w:pos="-426"/>
        </w:tabs>
        <w:ind w:left="-57" w:hanging="680"/>
      </w:pPr>
      <w:rPr>
        <w:rFonts w:hint="eastAsia"/>
      </w:rPr>
    </w:lvl>
    <w:lvl w:ilvl="6" w:tentative="0">
      <w:start w:val="1"/>
      <w:numFmt w:val="lowerRoman"/>
      <w:lvlText w:val="%7"/>
      <w:lvlJc w:val="left"/>
      <w:pPr>
        <w:tabs>
          <w:tab w:val="left" w:pos="-426"/>
        </w:tabs>
        <w:ind w:left="-57" w:hanging="680"/>
      </w:pPr>
      <w:rPr>
        <w:rFonts w:hint="default"/>
      </w:rPr>
    </w:lvl>
    <w:lvl w:ilvl="7" w:tentative="0">
      <w:start w:val="1"/>
      <w:numFmt w:val="decimal"/>
      <w:lvlText w:val="%1.%2.%3.%4.%5.%6.%7.%8"/>
      <w:lvlJc w:val="left"/>
      <w:pPr>
        <w:tabs>
          <w:tab w:val="left" w:pos="447"/>
        </w:tabs>
        <w:ind w:left="447" w:hanging="1440"/>
      </w:pPr>
      <w:rPr>
        <w:rFonts w:hint="eastAsia"/>
      </w:rPr>
    </w:lvl>
    <w:lvl w:ilvl="8" w:tentative="0">
      <w:start w:val="1"/>
      <w:numFmt w:val="decimal"/>
      <w:lvlText w:val="%1.%2.%3.%4.%5.%6.%7.%8.%9"/>
      <w:lvlJc w:val="left"/>
      <w:pPr>
        <w:tabs>
          <w:tab w:val="left" w:pos="591"/>
        </w:tabs>
        <w:ind w:left="591" w:hanging="1584"/>
      </w:pPr>
      <w:rPr>
        <w:rFonts w:hint="eastAsia"/>
      </w:rPr>
    </w:lvl>
  </w:abstractNum>
  <w:abstractNum w:abstractNumId="28">
    <w:nsid w:val="0000001C"/>
    <w:multiLevelType w:val="singleLevel"/>
    <w:tmpl w:val="0000001C"/>
    <w:lvl w:ilvl="0" w:tentative="0">
      <w:start w:val="1"/>
      <w:numFmt w:val="decimal"/>
      <w:suff w:val="nothing"/>
      <w:lvlText w:val="（%1）"/>
      <w:lvlJc w:val="left"/>
    </w:lvl>
  </w:abstractNum>
  <w:abstractNum w:abstractNumId="29">
    <w:nsid w:val="0000001D"/>
    <w:multiLevelType w:val="singleLevel"/>
    <w:tmpl w:val="0000001D"/>
    <w:lvl w:ilvl="0" w:tentative="0">
      <w:start w:val="1"/>
      <w:numFmt w:val="decimal"/>
      <w:lvlText w:val="%1)"/>
      <w:lvlJc w:val="left"/>
      <w:pPr>
        <w:ind w:left="425" w:hanging="425"/>
      </w:pPr>
      <w:rPr>
        <w:rFonts w:hint="default"/>
      </w:rPr>
    </w:lvl>
  </w:abstractNum>
  <w:abstractNum w:abstractNumId="30">
    <w:nsid w:val="0000001E"/>
    <w:multiLevelType w:val="singleLevel"/>
    <w:tmpl w:val="0000001E"/>
    <w:lvl w:ilvl="0" w:tentative="0">
      <w:start w:val="1"/>
      <w:numFmt w:val="decimalEnclosedCircleChinese"/>
      <w:suff w:val="nothing"/>
      <w:lvlText w:val="%1　"/>
      <w:lvlJc w:val="left"/>
      <w:pPr>
        <w:ind w:left="0" w:firstLine="400"/>
      </w:pPr>
      <w:rPr>
        <w:rFonts w:hint="eastAsia"/>
      </w:rPr>
    </w:lvl>
  </w:abstractNum>
  <w:abstractNum w:abstractNumId="31">
    <w:nsid w:val="0000001F"/>
    <w:multiLevelType w:val="singleLevel"/>
    <w:tmpl w:val="0000001F"/>
    <w:lvl w:ilvl="0" w:tentative="0">
      <w:start w:val="1"/>
      <w:numFmt w:val="decimalEnclosedCircleChinese"/>
      <w:suff w:val="nothing"/>
      <w:lvlText w:val="%1　"/>
      <w:lvlJc w:val="left"/>
      <w:pPr>
        <w:ind w:left="0" w:firstLine="400"/>
      </w:pPr>
      <w:rPr>
        <w:rFonts w:hint="eastAsia"/>
      </w:rPr>
    </w:lvl>
  </w:abstractNum>
  <w:num w:numId="1">
    <w:abstractNumId w:val="27"/>
  </w:num>
  <w:num w:numId="2">
    <w:abstractNumId w:val="12"/>
  </w:num>
  <w:num w:numId="3">
    <w:abstractNumId w:val="18"/>
  </w:num>
  <w:num w:numId="4">
    <w:abstractNumId w:val="28"/>
  </w:num>
  <w:num w:numId="5">
    <w:abstractNumId w:val="4"/>
  </w:num>
  <w:num w:numId="6">
    <w:abstractNumId w:val="13"/>
  </w:num>
  <w:num w:numId="7">
    <w:abstractNumId w:val="14"/>
  </w:num>
  <w:num w:numId="8">
    <w:abstractNumId w:val="11"/>
  </w:num>
  <w:num w:numId="9">
    <w:abstractNumId w:val="15"/>
  </w:num>
  <w:num w:numId="10">
    <w:abstractNumId w:val="20"/>
  </w:num>
  <w:num w:numId="11">
    <w:abstractNumId w:val="21"/>
  </w:num>
  <w:num w:numId="12">
    <w:abstractNumId w:val="0"/>
  </w:num>
  <w:num w:numId="13">
    <w:abstractNumId w:val="8"/>
  </w:num>
  <w:num w:numId="14">
    <w:abstractNumId w:val="5"/>
  </w:num>
  <w:num w:numId="15">
    <w:abstractNumId w:val="1"/>
  </w:num>
  <w:num w:numId="16">
    <w:abstractNumId w:val="10"/>
  </w:num>
  <w:num w:numId="17">
    <w:abstractNumId w:val="9"/>
  </w:num>
  <w:num w:numId="18">
    <w:abstractNumId w:val="30"/>
  </w:num>
  <w:num w:numId="19">
    <w:abstractNumId w:val="23"/>
  </w:num>
  <w:num w:numId="20">
    <w:abstractNumId w:val="2"/>
  </w:num>
  <w:num w:numId="21">
    <w:abstractNumId w:val="17"/>
  </w:num>
  <w:num w:numId="22">
    <w:abstractNumId w:val="31"/>
  </w:num>
  <w:num w:numId="23">
    <w:abstractNumId w:val="19"/>
  </w:num>
  <w:num w:numId="24">
    <w:abstractNumId w:val="7"/>
  </w:num>
  <w:num w:numId="25">
    <w:abstractNumId w:val="25"/>
  </w:num>
  <w:num w:numId="26">
    <w:abstractNumId w:val="3"/>
  </w:num>
  <w:num w:numId="27">
    <w:abstractNumId w:val="24"/>
  </w:num>
  <w:num w:numId="28">
    <w:abstractNumId w:val="6"/>
  </w:num>
  <w:num w:numId="29">
    <w:abstractNumId w:val="29"/>
  </w:num>
  <w:num w:numId="30">
    <w:abstractNumId w:val="16"/>
  </w:num>
  <w:num w:numId="31">
    <w:abstractNumId w:val="2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F0277"/>
    <w:rsid w:val="008815F0"/>
    <w:rsid w:val="02DE7C7D"/>
    <w:rsid w:val="03D2472D"/>
    <w:rsid w:val="060F2843"/>
    <w:rsid w:val="08555EF4"/>
    <w:rsid w:val="0D007BE0"/>
    <w:rsid w:val="0D2673D9"/>
    <w:rsid w:val="0E253BD1"/>
    <w:rsid w:val="18012879"/>
    <w:rsid w:val="18F27B86"/>
    <w:rsid w:val="22482F0D"/>
    <w:rsid w:val="24A02B8C"/>
    <w:rsid w:val="24E011DB"/>
    <w:rsid w:val="32096215"/>
    <w:rsid w:val="320E29DF"/>
    <w:rsid w:val="320F75A3"/>
    <w:rsid w:val="365E28A7"/>
    <w:rsid w:val="36E96615"/>
    <w:rsid w:val="374B61CE"/>
    <w:rsid w:val="376C68FE"/>
    <w:rsid w:val="43776D56"/>
    <w:rsid w:val="4A08695A"/>
    <w:rsid w:val="4D7F33D7"/>
    <w:rsid w:val="4E6006D4"/>
    <w:rsid w:val="50BD69CE"/>
    <w:rsid w:val="53764D99"/>
    <w:rsid w:val="54933143"/>
    <w:rsid w:val="56F40992"/>
    <w:rsid w:val="5A834B52"/>
    <w:rsid w:val="5A9A1850"/>
    <w:rsid w:val="62495BAC"/>
    <w:rsid w:val="6A1C0B56"/>
    <w:rsid w:val="6EED7D49"/>
    <w:rsid w:val="6F795A80"/>
    <w:rsid w:val="70EB475C"/>
    <w:rsid w:val="74C777A6"/>
    <w:rsid w:val="75BE9D36"/>
    <w:rsid w:val="79B778D1"/>
    <w:rsid w:val="79DE0B8D"/>
    <w:rsid w:val="7D7F1D3B"/>
    <w:rsid w:val="7DDF684C"/>
    <w:rsid w:val="7E8871A8"/>
    <w:rsid w:val="DBD9C0F3"/>
    <w:rsid w:val="FEFF0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alibri" w:eastAsia="宋体" w:cs="Times New Roman"/>
      <w:sz w:val="34"/>
      <w:lang w:val="en-US" w:eastAsia="zh-CN" w:bidi="ar-SA"/>
    </w:rPr>
  </w:style>
  <w:style w:type="paragraph" w:styleId="2">
    <w:name w:val="heading 1"/>
    <w:basedOn w:val="3"/>
    <w:next w:val="1"/>
    <w:link w:val="83"/>
    <w:qFormat/>
    <w:uiPriority w:val="0"/>
    <w:pPr>
      <w:keepNext/>
      <w:keepLines/>
      <w:spacing w:before="340" w:after="330" w:line="578" w:lineRule="auto"/>
      <w:jc w:val="both"/>
      <w:outlineLvl w:val="0"/>
    </w:pPr>
    <w:rPr>
      <w:rFonts w:ascii="Calibri" w:hAnsi="Calibri"/>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kern w:val="2"/>
      <w:sz w:val="32"/>
      <w:szCs w:val="32"/>
    </w:rPr>
  </w:style>
  <w:style w:type="paragraph" w:styleId="5">
    <w:name w:val="heading 3"/>
    <w:basedOn w:val="1"/>
    <w:next w:val="1"/>
    <w:qFormat/>
    <w:uiPriority w:val="0"/>
    <w:pPr>
      <w:keepNext/>
      <w:keepLines/>
      <w:numPr>
        <w:ilvl w:val="2"/>
        <w:numId w:val="1"/>
      </w:numPr>
      <w:spacing w:before="190" w:beforeLines="50" w:after="190" w:afterLines="50" w:line="360" w:lineRule="auto"/>
      <w:ind w:firstLine="0"/>
      <w:jc w:val="left"/>
      <w:outlineLvl w:val="2"/>
    </w:pPr>
    <w:rPr>
      <w:rFonts w:ascii="Times New Roman" w:hAnsi="Times New Roman"/>
      <w:b/>
      <w:bCs/>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3">
    <w:name w:val="列表段落1"/>
    <w:basedOn w:val="1"/>
    <w:qFormat/>
    <w:uiPriority w:val="99"/>
    <w:pPr>
      <w:jc w:val="center"/>
    </w:pPr>
    <w:rPr>
      <w:rFonts w:ascii="Times New Roman" w:hAnsi="Times New Roman"/>
      <w:color w:val="000000"/>
      <w:sz w:val="24"/>
      <w:szCs w:val="24"/>
    </w:rPr>
  </w:style>
  <w:style w:type="paragraph" w:styleId="6">
    <w:name w:val="Normal Indent"/>
    <w:basedOn w:val="1"/>
    <w:qFormat/>
    <w:uiPriority w:val="0"/>
    <w:pPr>
      <w:ind w:firstLine="420" w:firstLineChars="200"/>
    </w:pPr>
    <w:rPr>
      <w:rFonts w:ascii="Calibri"/>
      <w:kern w:val="2"/>
      <w:sz w:val="21"/>
      <w:szCs w:val="24"/>
    </w:rPr>
  </w:style>
  <w:style w:type="paragraph" w:styleId="7">
    <w:name w:val="caption"/>
    <w:basedOn w:val="1"/>
    <w:next w:val="1"/>
    <w:qFormat/>
    <w:uiPriority w:val="0"/>
    <w:rPr>
      <w:rFonts w:ascii="Arial" w:hAnsi="Arial" w:eastAsia="黑体" w:cs="Arial"/>
      <w:sz w:val="20"/>
    </w:rPr>
  </w:style>
  <w:style w:type="paragraph" w:styleId="8">
    <w:name w:val="annotation text"/>
    <w:basedOn w:val="1"/>
    <w:qFormat/>
    <w:uiPriority w:val="0"/>
    <w:pPr>
      <w:keepNext w:val="0"/>
      <w:keepLines w:val="0"/>
      <w:widowControl w:val="0"/>
      <w:suppressLineNumbers w:val="0"/>
      <w:spacing w:before="0" w:beforeAutospacing="0" w:after="0" w:afterAutospacing="0"/>
      <w:ind w:left="0" w:right="0"/>
      <w:jc w:val="left"/>
    </w:pPr>
    <w:rPr>
      <w:rFonts w:hint="eastAsia" w:ascii="宋体" w:hAnsi="Calibri" w:eastAsia="宋体" w:cs="Times New Roman"/>
      <w:kern w:val="0"/>
      <w:sz w:val="34"/>
      <w:szCs w:val="20"/>
      <w:lang w:val="en-US" w:eastAsia="zh-CN"/>
    </w:rPr>
  </w:style>
  <w:style w:type="paragraph" w:styleId="9">
    <w:name w:val="Body Text"/>
    <w:basedOn w:val="1"/>
    <w:qFormat/>
    <w:uiPriority w:val="0"/>
    <w:pPr>
      <w:spacing w:after="120"/>
    </w:pPr>
    <w:rPr>
      <w:rFonts w:ascii="Calibri"/>
      <w:kern w:val="2"/>
      <w:sz w:val="21"/>
      <w:szCs w:val="24"/>
    </w:rPr>
  </w:style>
  <w:style w:type="paragraph" w:styleId="10">
    <w:name w:val="Body Text Indent"/>
    <w:basedOn w:val="1"/>
    <w:next w:val="11"/>
    <w:qFormat/>
    <w:uiPriority w:val="0"/>
    <w:pPr>
      <w:ind w:firstLine="630"/>
    </w:pPr>
    <w:rPr>
      <w:rFonts w:ascii="Calibri"/>
      <w:sz w:val="32"/>
    </w:rPr>
  </w:style>
  <w:style w:type="paragraph" w:customStyle="1" w:styleId="11">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12">
    <w:name w:val="Plain Text"/>
    <w:basedOn w:val="1"/>
    <w:qFormat/>
    <w:uiPriority w:val="0"/>
    <w:rPr>
      <w:rFonts w:hAnsi="Courier New"/>
      <w:kern w:val="2"/>
      <w:sz w:val="21"/>
    </w:rPr>
  </w:style>
  <w:style w:type="paragraph" w:styleId="13">
    <w:name w:val="Body Text Indent 2"/>
    <w:basedOn w:val="1"/>
    <w:qFormat/>
    <w:uiPriority w:val="0"/>
    <w:pPr>
      <w:spacing w:after="120" w:line="480" w:lineRule="auto"/>
      <w:ind w:left="420" w:leftChars="200"/>
    </w:pPr>
    <w:rPr>
      <w:rFonts w:ascii="Calibri"/>
      <w:kern w:val="2"/>
      <w:sz w:val="21"/>
      <w:szCs w:val="24"/>
    </w:rPr>
  </w:style>
  <w:style w:type="paragraph" w:styleId="14">
    <w:name w:val="footer"/>
    <w:basedOn w:val="1"/>
    <w:qFormat/>
    <w:uiPriority w:val="0"/>
    <w:pPr>
      <w:tabs>
        <w:tab w:val="center" w:pos="4140"/>
        <w:tab w:val="right" w:pos="8300"/>
      </w:tabs>
      <w:snapToGrid w:val="0"/>
      <w:jc w:val="left"/>
    </w:pPr>
    <w:rPr>
      <w:rFonts w:ascii="Calibri"/>
      <w:kern w:val="2"/>
      <w:sz w:val="18"/>
    </w:rPr>
  </w:style>
  <w:style w:type="paragraph" w:styleId="15">
    <w:name w:val="header"/>
    <w:basedOn w:val="1"/>
    <w:qFormat/>
    <w:uiPriority w:val="0"/>
    <w:pPr>
      <w:pBdr>
        <w:bottom w:val="single" w:color="auto" w:sz="6" w:space="1"/>
      </w:pBdr>
      <w:tabs>
        <w:tab w:val="center" w:pos="4140"/>
        <w:tab w:val="right" w:pos="8300"/>
      </w:tabs>
      <w:snapToGrid w:val="0"/>
      <w:jc w:val="center"/>
    </w:pPr>
    <w:rPr>
      <w:rFonts w:ascii="Calibri"/>
      <w:kern w:val="2"/>
      <w:sz w:val="18"/>
    </w:rPr>
  </w:style>
  <w:style w:type="paragraph" w:styleId="16">
    <w:name w:val="toc 1"/>
    <w:basedOn w:val="1"/>
    <w:next w:val="1"/>
    <w:qFormat/>
    <w:uiPriority w:val="0"/>
    <w:pPr>
      <w:spacing w:line="480" w:lineRule="auto"/>
    </w:pPr>
    <w:rPr>
      <w:rFonts w:ascii="Times New Roman" w:hAnsi="Times New Roman"/>
      <w:kern w:val="2"/>
      <w:sz w:val="30"/>
      <w:szCs w:val="24"/>
    </w:rPr>
  </w:style>
  <w:style w:type="paragraph" w:styleId="17">
    <w:name w:val="index heading"/>
    <w:basedOn w:val="1"/>
    <w:next w:val="18"/>
    <w:qFormat/>
    <w:uiPriority w:val="0"/>
    <w:pPr>
      <w:adjustRightInd w:val="0"/>
      <w:spacing w:line="312" w:lineRule="atLeast"/>
    </w:pPr>
    <w:rPr>
      <w:rFonts w:ascii="Arial" w:hAnsi="Arial" w:eastAsia="仿宋" w:cs="Arial"/>
      <w:b/>
      <w:bCs/>
      <w:sz w:val="32"/>
    </w:rPr>
  </w:style>
  <w:style w:type="paragraph" w:styleId="18">
    <w:name w:val="index 1"/>
    <w:basedOn w:val="1"/>
    <w:next w:val="1"/>
    <w:qFormat/>
    <w:uiPriority w:val="0"/>
  </w:style>
  <w:style w:type="paragraph" w:styleId="19">
    <w:name w:val="List 5"/>
    <w:basedOn w:val="1"/>
    <w:qFormat/>
    <w:uiPriority w:val="0"/>
    <w:pPr>
      <w:ind w:left="2100" w:hanging="420"/>
    </w:pPr>
    <w:rPr>
      <w:rFonts w:ascii="Calibri" w:eastAsia="楷体_GB2312"/>
      <w:kern w:val="2"/>
      <w:sz w:val="32"/>
    </w:rPr>
  </w:style>
  <w:style w:type="paragraph" w:styleId="20">
    <w:name w:val="Normal (Web)"/>
    <w:basedOn w:val="1"/>
    <w:next w:val="1"/>
    <w:qFormat/>
    <w:uiPriority w:val="0"/>
    <w:pPr>
      <w:spacing w:beforeAutospacing="1" w:afterAutospacing="1"/>
      <w:jc w:val="left"/>
    </w:pPr>
    <w:rPr>
      <w:sz w:val="24"/>
    </w:rPr>
  </w:style>
  <w:style w:type="paragraph" w:styleId="21">
    <w:name w:val="Body Text First Indent"/>
    <w:basedOn w:val="9"/>
    <w:next w:val="1"/>
    <w:qFormat/>
    <w:uiPriority w:val="0"/>
    <w:pPr>
      <w:ind w:firstLine="420" w:firstLineChars="100"/>
    </w:pPr>
    <w:rPr>
      <w:rFonts w:ascii="Times New Roman" w:hAnsi="Times New Roman"/>
    </w:rPr>
  </w:style>
  <w:style w:type="paragraph" w:styleId="22">
    <w:name w:val="Body Text First Indent 2"/>
    <w:basedOn w:val="10"/>
    <w:next w:val="1"/>
    <w:qFormat/>
    <w:uiPriority w:val="0"/>
    <w:pPr>
      <w:ind w:firstLine="420"/>
    </w:p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kern w:val="2"/>
      <w:sz w:val="21"/>
      <w:szCs w:val="24"/>
      <w:lang w:val="en-US" w:eastAsia="zh-CN" w:bidi="ar-SA"/>
    </w:rPr>
  </w:style>
  <w:style w:type="character" w:styleId="27">
    <w:name w:val="Emphasis"/>
    <w:basedOn w:val="25"/>
    <w:qFormat/>
    <w:uiPriority w:val="0"/>
    <w:rPr>
      <w:i/>
    </w:rPr>
  </w:style>
  <w:style w:type="character" w:styleId="28">
    <w:name w:val="Hyperlink"/>
    <w:basedOn w:val="25"/>
    <w:qFormat/>
    <w:uiPriority w:val="0"/>
    <w:rPr>
      <w:rFonts w:ascii="Times New Roman" w:hAnsi="Times New Roman" w:eastAsia="微软雅黑" w:cs="Times New Roman"/>
      <w:color w:val="0000FF"/>
      <w:sz w:val="21"/>
      <w:u w:val="single"/>
    </w:rPr>
  </w:style>
  <w:style w:type="character" w:styleId="29">
    <w:name w:val="annotation reference"/>
    <w:qFormat/>
    <w:uiPriority w:val="99"/>
    <w:rPr>
      <w:sz w:val="21"/>
      <w:szCs w:val="21"/>
    </w:rPr>
  </w:style>
  <w:style w:type="character" w:customStyle="1" w:styleId="30">
    <w:name w:val="NormalCharacter"/>
    <w:link w:val="31"/>
    <w:qFormat/>
    <w:uiPriority w:val="0"/>
    <w:rPr>
      <w:rFonts w:ascii="Verdana" w:hAnsi="Verdana" w:eastAsia="仿宋_GB2312"/>
      <w:sz w:val="24"/>
      <w:lang w:eastAsia="en-US"/>
    </w:rPr>
  </w:style>
  <w:style w:type="paragraph" w:customStyle="1" w:styleId="31">
    <w:name w:val="UserStyle_20"/>
    <w:basedOn w:val="1"/>
    <w:link w:val="30"/>
    <w:qFormat/>
    <w:uiPriority w:val="0"/>
    <w:pPr>
      <w:spacing w:after="160" w:line="240" w:lineRule="exact"/>
      <w:jc w:val="left"/>
    </w:pPr>
    <w:rPr>
      <w:rFonts w:ascii="Verdana" w:hAnsi="Verdana" w:eastAsia="仿宋_GB2312"/>
      <w:sz w:val="24"/>
      <w:lang w:eastAsia="en-US"/>
    </w:rPr>
  </w:style>
  <w:style w:type="paragraph" w:customStyle="1" w:styleId="32">
    <w:name w:val="无间隔1"/>
    <w:qFormat/>
    <w:uiPriority w:val="0"/>
    <w:pPr>
      <w:widowControl w:val="0"/>
    </w:pPr>
    <w:rPr>
      <w:rFonts w:ascii="Calibri" w:hAnsi="Calibri" w:eastAsia="仿宋_GB2312" w:cs="Times New Roman"/>
      <w:kern w:val="2"/>
      <w:sz w:val="28"/>
      <w:szCs w:val="21"/>
      <w:lang w:val="en-US" w:eastAsia="zh-CN" w:bidi="ar-SA"/>
    </w:rPr>
  </w:style>
  <w:style w:type="paragraph" w:customStyle="1" w:styleId="33">
    <w:name w:val="UserStyle_0"/>
    <w:basedOn w:val="1"/>
    <w:qFormat/>
    <w:uiPriority w:val="0"/>
    <w:rPr>
      <w:rFonts w:ascii="Courier New" w:hAnsi="Courier New"/>
      <w:sz w:val="20"/>
    </w:rPr>
  </w:style>
  <w:style w:type="paragraph" w:customStyle="1" w:styleId="34">
    <w:name w:val="HtmlNormal"/>
    <w:basedOn w:val="1"/>
    <w:qFormat/>
    <w:uiPriority w:val="0"/>
    <w:pPr>
      <w:textAlignment w:val="baseline"/>
    </w:pPr>
    <w:rPr>
      <w:rFonts w:ascii="Calibri"/>
      <w:sz w:val="24"/>
      <w:szCs w:val="22"/>
    </w:rPr>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正文_2_0"/>
    <w:basedOn w:val="37"/>
    <w:next w:val="62"/>
    <w:qFormat/>
    <w:uiPriority w:val="0"/>
    <w:rPr>
      <w:rFonts w:ascii="Calibri" w:hAnsi="Calibri"/>
      <w:szCs w:val="22"/>
    </w:rPr>
  </w:style>
  <w:style w:type="paragraph" w:customStyle="1" w:styleId="37">
    <w:name w:val="正文_2_1"/>
    <w:basedOn w:val="38"/>
    <w:next w:val="59"/>
    <w:qFormat/>
    <w:uiPriority w:val="0"/>
    <w:rPr>
      <w:szCs w:val="24"/>
    </w:rPr>
  </w:style>
  <w:style w:type="paragraph" w:customStyle="1" w:styleId="38">
    <w:name w:val="正文_3_0"/>
    <w:basedOn w:val="39"/>
    <w:next w:val="42"/>
    <w:qFormat/>
    <w:uiPriority w:val="0"/>
    <w:rPr>
      <w:rFonts w:ascii="Times New Roman" w:hAnsi="Times New Roman"/>
    </w:rPr>
  </w:style>
  <w:style w:type="paragraph" w:customStyle="1" w:styleId="39">
    <w:name w:val="Normal_0_0"/>
    <w:next w:val="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Body Text_0"/>
    <w:basedOn w:val="41"/>
    <w:qFormat/>
    <w:uiPriority w:val="0"/>
    <w:pPr>
      <w:spacing w:after="120"/>
    </w:pPr>
    <w:rPr>
      <w:rFonts w:ascii="Times New Roman" w:hAnsi="Times New Roman"/>
    </w:rPr>
  </w:style>
  <w:style w:type="paragraph" w:customStyle="1" w:styleId="41">
    <w:name w:val="Normal_1"/>
    <w:next w:val="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缩进_0_0_1"/>
    <w:basedOn w:val="43"/>
    <w:qFormat/>
    <w:uiPriority w:val="0"/>
    <w:pPr>
      <w:ind w:firstLine="420" w:firstLineChars="200"/>
    </w:pPr>
    <w:rPr>
      <w:rFonts w:eastAsia="宋体"/>
    </w:rPr>
  </w:style>
  <w:style w:type="paragraph" w:customStyle="1" w:styleId="43">
    <w:name w:val="正文_0_1_1"/>
    <w:basedOn w:val="44"/>
    <w:next w:val="56"/>
    <w:qFormat/>
    <w:uiPriority w:val="0"/>
    <w:rPr>
      <w:rFonts w:ascii="Times New Roman" w:hAnsi="Times New Roman" w:eastAsia="Calibri"/>
    </w:rPr>
  </w:style>
  <w:style w:type="paragraph" w:customStyle="1" w:styleId="44">
    <w:name w:val="正文_3_1"/>
    <w:basedOn w:val="45"/>
    <w:next w:val="48"/>
    <w:qFormat/>
    <w:uiPriority w:val="0"/>
    <w:rPr>
      <w:rFonts w:ascii="Calibri" w:hAnsi="Calibri" w:eastAsia="宋体"/>
      <w:sz w:val="21"/>
      <w:szCs w:val="22"/>
    </w:rPr>
  </w:style>
  <w:style w:type="paragraph" w:customStyle="1" w:styleId="45">
    <w:name w:val="Normal_0_1"/>
    <w:basedOn w:val="46"/>
    <w:qFormat/>
    <w:uiPriority w:val="0"/>
    <w:rPr>
      <w:rFonts w:ascii="黑体" w:hAnsi="黑体" w:eastAsia="黑体"/>
      <w:b/>
      <w:sz w:val="32"/>
      <w:szCs w:val="24"/>
    </w:rPr>
  </w:style>
  <w:style w:type="paragraph" w:customStyle="1" w:styleId="46">
    <w:name w:val="Normal_2"/>
    <w:next w:val="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Body Text_1"/>
    <w:basedOn w:val="46"/>
    <w:qFormat/>
    <w:uiPriority w:val="0"/>
    <w:pPr>
      <w:spacing w:after="120"/>
    </w:pPr>
    <w:rPr>
      <w:rFonts w:ascii="Times New Roman" w:hAnsi="Times New Roman"/>
    </w:rPr>
  </w:style>
  <w:style w:type="paragraph" w:customStyle="1" w:styleId="48">
    <w:name w:val="正文缩进_0_0_0"/>
    <w:basedOn w:val="49"/>
    <w:qFormat/>
    <w:uiPriority w:val="0"/>
    <w:pPr>
      <w:ind w:firstLine="420" w:firstLineChars="200"/>
    </w:pPr>
    <w:rPr>
      <w:rFonts w:eastAsia="宋体"/>
    </w:rPr>
  </w:style>
  <w:style w:type="paragraph" w:customStyle="1" w:styleId="49">
    <w:name w:val="正文_0_1_0"/>
    <w:basedOn w:val="50"/>
    <w:next w:val="51"/>
    <w:qFormat/>
    <w:uiPriority w:val="0"/>
    <w:rPr>
      <w:rFonts w:ascii="Times New Roman" w:hAnsi="Times New Roman" w:eastAsia="Calibri"/>
    </w:rPr>
  </w:style>
  <w:style w:type="paragraph" w:customStyle="1" w:styleId="50">
    <w:name w:val="正文_1_1"/>
    <w:next w:val="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脚注文本_0"/>
    <w:basedOn w:val="52"/>
    <w:next w:val="54"/>
    <w:qFormat/>
    <w:uiPriority w:val="0"/>
    <w:pPr>
      <w:snapToGrid w:val="0"/>
      <w:jc w:val="left"/>
    </w:pPr>
    <w:rPr>
      <w:rFonts w:ascii="Calibri" w:hAnsi="Calibri" w:eastAsia="Calibri"/>
      <w:sz w:val="18"/>
    </w:rPr>
  </w:style>
  <w:style w:type="paragraph" w:customStyle="1" w:styleId="52">
    <w:name w:val="正文_0_2"/>
    <w:next w:val="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页脚_0_0"/>
    <w:basedOn w:val="52"/>
    <w:qFormat/>
    <w:uiPriority w:val="0"/>
    <w:pPr>
      <w:tabs>
        <w:tab w:val="center" w:pos="4153"/>
        <w:tab w:val="right" w:pos="8306"/>
      </w:tabs>
      <w:snapToGrid w:val="0"/>
      <w:jc w:val="left"/>
    </w:pPr>
    <w:rPr>
      <w:sz w:val="18"/>
      <w:szCs w:val="18"/>
    </w:rPr>
  </w:style>
  <w:style w:type="paragraph" w:customStyle="1" w:styleId="54">
    <w:name w:val="正文_2"/>
    <w:next w:val="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文本_0"/>
    <w:basedOn w:val="36"/>
    <w:qFormat/>
    <w:uiPriority w:val="0"/>
    <w:rPr>
      <w:rFonts w:ascii="Times New Roman" w:hAnsi="Times New Roman"/>
    </w:rPr>
  </w:style>
  <w:style w:type="paragraph" w:customStyle="1" w:styleId="56">
    <w:name w:val="脚注文本1"/>
    <w:basedOn w:val="57"/>
    <w:next w:val="58"/>
    <w:qFormat/>
    <w:uiPriority w:val="0"/>
    <w:pPr>
      <w:snapToGrid w:val="0"/>
      <w:jc w:val="left"/>
    </w:pPr>
    <w:rPr>
      <w:rFonts w:ascii="Times New Roman" w:hAnsi="Times New Roman"/>
      <w:kern w:val="0"/>
      <w:sz w:val="18"/>
      <w:szCs w:val="18"/>
    </w:rPr>
  </w:style>
  <w:style w:type="paragraph" w:customStyle="1" w:styleId="57">
    <w:name w:val="正文_1_0"/>
    <w:next w:val="56"/>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索引 51"/>
    <w:basedOn w:val="57"/>
    <w:next w:val="57"/>
    <w:qFormat/>
    <w:uiPriority w:val="0"/>
    <w:pPr>
      <w:ind w:left="1680"/>
    </w:pPr>
    <w:rPr>
      <w:rFonts w:ascii="Times New Roman" w:hAnsi="Times New Roman"/>
    </w:rPr>
  </w:style>
  <w:style w:type="paragraph" w:customStyle="1" w:styleId="59">
    <w:name w:val="No Spacing_0"/>
    <w:basedOn w:val="60"/>
    <w:qFormat/>
    <w:uiPriority w:val="0"/>
    <w:rPr>
      <w:rFonts w:ascii="Times New Roman" w:hAnsi="Times New Roman"/>
    </w:rPr>
  </w:style>
  <w:style w:type="paragraph" w:customStyle="1" w:styleId="60">
    <w:name w:val="正文_5"/>
    <w:basedOn w:val="54"/>
    <w:next w:val="61"/>
    <w:qFormat/>
    <w:uiPriority w:val="0"/>
    <w:rPr>
      <w:rFonts w:ascii="Calibri" w:hAnsi="Calibri"/>
      <w:szCs w:val="22"/>
    </w:rPr>
  </w:style>
  <w:style w:type="paragraph" w:customStyle="1" w:styleId="61">
    <w:name w:val="段_0"/>
    <w:next w:val="60"/>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62">
    <w:name w:val="正文1_0"/>
    <w:basedOn w:val="63"/>
    <w:qFormat/>
    <w:uiPriority w:val="0"/>
    <w:pPr>
      <w:widowControl/>
      <w:spacing w:before="120" w:after="120"/>
      <w:ind w:firstLine="200" w:firstLineChars="200"/>
      <w:jc w:val="left"/>
    </w:pPr>
    <w:rPr>
      <w:rFonts w:eastAsia="Adobe 仿宋 Std R"/>
    </w:rPr>
  </w:style>
  <w:style w:type="paragraph" w:customStyle="1" w:styleId="63">
    <w:name w:val="正文_3"/>
    <w:basedOn w:val="64"/>
    <w:next w:val="66"/>
    <w:qFormat/>
    <w:uiPriority w:val="0"/>
    <w:rPr>
      <w:rFonts w:ascii="Times New Roman" w:hAnsi="Times New Roman"/>
    </w:rPr>
  </w:style>
  <w:style w:type="paragraph" w:customStyle="1" w:styleId="64">
    <w:name w:val="Normal_0"/>
    <w:basedOn w:val="65"/>
    <w:next w:val="22"/>
    <w:qFormat/>
    <w:uiPriority w:val="0"/>
    <w:rPr>
      <w:rFonts w:ascii="Calibri" w:hAnsi="Calibri"/>
      <w:sz w:val="21"/>
    </w:rPr>
  </w:style>
  <w:style w:type="paragraph" w:customStyle="1" w:styleId="65">
    <w:name w:val="正文1"/>
    <w:basedOn w:val="60"/>
    <w:next w:val="22"/>
    <w:qFormat/>
    <w:uiPriority w:val="0"/>
    <w:pPr>
      <w:adjustRightInd w:val="0"/>
      <w:spacing w:line="312" w:lineRule="atLeast"/>
      <w:textAlignment w:val="baseline"/>
    </w:pPr>
    <w:rPr>
      <w:rFonts w:ascii="宋体" w:hAnsi="Times New Roman"/>
      <w:sz w:val="34"/>
    </w:rPr>
  </w:style>
  <w:style w:type="paragraph" w:customStyle="1" w:styleId="66">
    <w:name w:val="正文缩进_0_0"/>
    <w:basedOn w:val="67"/>
    <w:qFormat/>
    <w:uiPriority w:val="0"/>
    <w:pPr>
      <w:ind w:firstLine="420" w:firstLineChars="200"/>
    </w:pPr>
    <w:rPr>
      <w:rFonts w:cs="Times New Roman"/>
    </w:rPr>
  </w:style>
  <w:style w:type="paragraph" w:customStyle="1" w:styleId="67">
    <w:name w:val="正文_2_0_0"/>
    <w:basedOn w:val="68"/>
    <w:next w:val="72"/>
    <w:qFormat/>
    <w:uiPriority w:val="0"/>
    <w:rPr>
      <w:rFonts w:ascii="Times New Roman" w:hAnsi="Times New Roman" w:cs="Calibri"/>
      <w:szCs w:val="21"/>
    </w:rPr>
  </w:style>
  <w:style w:type="paragraph" w:customStyle="1" w:styleId="68">
    <w:name w:val="正文_3_0_0"/>
    <w:basedOn w:val="69"/>
    <w:next w:val="70"/>
    <w:qFormat/>
    <w:uiPriority w:val="0"/>
    <w:rPr>
      <w:rFonts w:ascii="Calibri" w:hAnsi="Calibri"/>
    </w:rPr>
  </w:style>
  <w:style w:type="paragraph" w:customStyle="1" w:styleId="69">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正文文本_1_0_0"/>
    <w:basedOn w:val="71"/>
    <w:qFormat/>
    <w:uiPriority w:val="0"/>
    <w:pPr>
      <w:spacing w:after="120"/>
    </w:pPr>
  </w:style>
  <w:style w:type="paragraph" w:customStyle="1" w:styleId="71">
    <w:name w:val="正文_2_0_0_0_0"/>
    <w:next w:val="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首行缩进 2_4"/>
    <w:basedOn w:val="73"/>
    <w:qFormat/>
    <w:uiPriority w:val="0"/>
    <w:pPr>
      <w:ind w:firstLine="420" w:firstLineChars="200"/>
    </w:pPr>
  </w:style>
  <w:style w:type="paragraph" w:customStyle="1" w:styleId="73">
    <w:name w:val="正文文本缩进_5"/>
    <w:basedOn w:val="74"/>
    <w:qFormat/>
    <w:uiPriority w:val="0"/>
    <w:pPr>
      <w:spacing w:line="500" w:lineRule="exact"/>
      <w:ind w:left="1588" w:leftChars="832" w:firstLine="433" w:firstLineChars="196"/>
    </w:pPr>
    <w:rPr>
      <w:kern w:val="0"/>
      <w:sz w:val="24"/>
    </w:rPr>
  </w:style>
  <w:style w:type="paragraph" w:customStyle="1" w:styleId="74">
    <w:name w:val="正文_2_0_0_0"/>
    <w:next w:val="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Char"/>
    <w:basedOn w:val="1"/>
    <w:qFormat/>
    <w:uiPriority w:val="0"/>
    <w:rPr>
      <w:rFonts w:ascii="Times New Roman" w:hAnsi="Times New Roman"/>
      <w:sz w:val="21"/>
      <w:szCs w:val="24"/>
    </w:rPr>
  </w:style>
  <w:style w:type="paragraph" w:customStyle="1" w:styleId="76">
    <w:name w:val="正文2"/>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77">
    <w:name w:val="4正文"/>
    <w:basedOn w:val="1"/>
    <w:qFormat/>
    <w:uiPriority w:val="0"/>
    <w:pPr>
      <w:snapToGrid w:val="0"/>
      <w:spacing w:line="360" w:lineRule="auto"/>
      <w:ind w:firstLine="480" w:firstLineChars="200"/>
    </w:pPr>
    <w:rPr>
      <w:rFonts w:ascii="Times New Roman" w:hAnsi="Times New Roman" w:eastAsia="仿宋"/>
      <w:sz w:val="24"/>
    </w:rPr>
  </w:style>
  <w:style w:type="paragraph" w:customStyle="1" w:styleId="78">
    <w:name w:val="WPS Plain"/>
    <w:basedOn w:val="1"/>
    <w:qFormat/>
    <w:uiPriority w:val="0"/>
    <w:pPr>
      <w:widowControl/>
      <w:jc w:val="left"/>
    </w:pPr>
    <w:rPr>
      <w:rFonts w:ascii="Times New Roman"/>
      <w:sz w:val="24"/>
      <w:szCs w:val="24"/>
    </w:rPr>
  </w:style>
  <w:style w:type="paragraph" w:customStyle="1" w:styleId="79">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sz w:val="24"/>
    </w:rPr>
  </w:style>
  <w:style w:type="paragraph" w:customStyle="1" w:styleId="80">
    <w:name w:val="题注5"/>
    <w:basedOn w:val="1"/>
    <w:next w:val="7"/>
    <w:qFormat/>
    <w:uiPriority w:val="0"/>
    <w:pPr>
      <w:numPr>
        <w:ilvl w:val="1"/>
        <w:numId w:val="2"/>
      </w:numPr>
      <w:tabs>
        <w:tab w:val="left" w:pos="0"/>
        <w:tab w:val="left" w:pos="720"/>
      </w:tabs>
      <w:spacing w:line="360" w:lineRule="auto"/>
      <w:ind w:left="720" w:hanging="720"/>
    </w:pPr>
    <w:rPr>
      <w:rFonts w:ascii="Times New Roman" w:hAnsi="Times New Roman"/>
      <w:b/>
      <w:color w:val="000000"/>
      <w:sz w:val="28"/>
      <w:szCs w:val="28"/>
    </w:rPr>
  </w:style>
  <w:style w:type="paragraph" w:customStyle="1" w:styleId="81">
    <w:name w:val="表格"/>
    <w:basedOn w:val="1"/>
    <w:qFormat/>
    <w:uiPriority w:val="0"/>
    <w:pPr>
      <w:spacing w:line="400" w:lineRule="exact"/>
    </w:pPr>
    <w:rPr>
      <w:rFonts w:ascii="Calibri"/>
      <w:sz w:val="24"/>
    </w:rPr>
  </w:style>
  <w:style w:type="paragraph" w:customStyle="1" w:styleId="82">
    <w:name w:val="首行缩进:  0.85 厘米"/>
    <w:basedOn w:val="1"/>
    <w:qFormat/>
    <w:uiPriority w:val="0"/>
    <w:pPr>
      <w:widowControl/>
      <w:spacing w:after="100" w:line="360" w:lineRule="auto"/>
      <w:ind w:firstLine="482"/>
      <w:jc w:val="left"/>
    </w:pPr>
    <w:rPr>
      <w:rFonts w:ascii="Calibri"/>
      <w:sz w:val="24"/>
      <w:lang w:eastAsia="en-US"/>
    </w:rPr>
  </w:style>
  <w:style w:type="character" w:customStyle="1" w:styleId="83">
    <w:name w:val="标题 1 字符"/>
    <w:link w:val="2"/>
    <w:qFormat/>
    <w:uiPriority w:val="0"/>
    <w:rPr>
      <w:rFonts w:ascii="Calibri" w:hAnsi="Calibri"/>
      <w:kern w:val="44"/>
      <w:sz w:val="44"/>
      <w:szCs w:val="44"/>
    </w:rPr>
  </w:style>
  <w:style w:type="paragraph" w:customStyle="1" w:styleId="8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reader-word-layer reader-word-s1-14"/>
    <w:basedOn w:val="1"/>
    <w:qFormat/>
    <w:uiPriority w:val="0"/>
    <w:pPr>
      <w:widowControl/>
      <w:spacing w:before="100" w:beforeAutospacing="1" w:after="100" w:afterAutospacing="1"/>
      <w:jc w:val="left"/>
    </w:pPr>
    <w:rPr>
      <w:rFonts w:hAnsi="宋体" w:cs="宋体"/>
      <w:sz w:val="24"/>
    </w:rPr>
  </w:style>
  <w:style w:type="paragraph" w:styleId="86">
    <w:name w:val="List Paragraph"/>
    <w:basedOn w:val="1"/>
    <w:qFormat/>
    <w:uiPriority w:val="99"/>
    <w:pPr>
      <w:ind w:firstLine="420" w:firstLineChars="200"/>
    </w:pPr>
  </w:style>
  <w:style w:type="paragraph" w:customStyle="1" w:styleId="87">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88">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Calibri" w:eastAsia="宋体" w:cs="Times New Roman"/>
      <w:kern w:val="0"/>
      <w:sz w:val="34"/>
      <w:szCs w:val="20"/>
      <w:lang w:val="en-US" w:eastAsia="zh-CN"/>
    </w:rPr>
  </w:style>
  <w:style w:type="paragraph" w:styleId="89">
    <w:name w:val="No Spacing"/>
    <w:qFormat/>
    <w:uiPriority w:val="1"/>
    <w:rPr>
      <w:rFonts w:ascii="等线" w:hAnsi="等线" w:eastAsia="等线" w:cs="Times New Roman"/>
      <w:sz w:val="22"/>
      <w:szCs w:val="22"/>
      <w:lang w:val="en-US" w:eastAsia="zh-CN" w:bidi="ar-SA"/>
    </w:rPr>
  </w:style>
  <w:style w:type="paragraph" w:customStyle="1" w:styleId="90">
    <w:name w:val="paragraph"/>
    <w:basedOn w:val="1"/>
    <w:qFormat/>
    <w:uiPriority w:val="0"/>
    <w:pPr>
      <w:widowControl/>
      <w:spacing w:before="100" w:beforeAutospacing="1" w:after="100" w:afterAutospacing="1"/>
      <w:jc w:val="left"/>
    </w:pPr>
    <w:rPr>
      <w:rFonts w:ascii="等线" w:hAnsi="等线" w:eastAsia="等线"/>
      <w:sz w:val="24"/>
      <w:szCs w:val="24"/>
    </w:rPr>
  </w:style>
  <w:style w:type="paragraph" w:customStyle="1" w:styleId="91">
    <w:name w:val="表格文字"/>
    <w:basedOn w:val="1"/>
    <w:next w:val="1"/>
    <w:qFormat/>
    <w:uiPriority w:val="0"/>
    <w:pPr>
      <w:spacing w:before="25" w:after="25"/>
      <w:jc w:val="left"/>
    </w:pPr>
    <w:rPr>
      <w:bCs/>
      <w:spacing w:val="10"/>
      <w:sz w:val="24"/>
    </w:rPr>
  </w:style>
  <w:style w:type="paragraph" w:customStyle="1" w:styleId="9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PageNumber"/>
    <w:basedOn w:val="30"/>
    <w:qFormat/>
    <w:uiPriority w:val="0"/>
    <w:rPr>
      <w:rFonts w:ascii="Times New Roman" w:hAnsi="Times New Roman" w:eastAsia="宋体" w:cs="Times New Roman"/>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244</Pages>
  <Words>9963</Words>
  <Characters>10764</Characters>
  <Lines>0</Lines>
  <Paragraphs>0</Paragraphs>
  <TotalTime>11</TotalTime>
  <ScaleCrop>false</ScaleCrop>
  <LinksUpToDate>false</LinksUpToDate>
  <CharactersWithSpaces>10938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2026-04-25T03:03:00Z</dcterms:created>
  <dc:creator>Mr.Right</dc:creator>
  <cp:lastModifiedBy>R、</cp:lastModifiedBy>
  <dcterms:modified xsi:type="dcterms:W3CDTF">2026-04-28T10:22:48Z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1CD0A0C75A6C49B0BE57186106AF0AB7_13</vt:lpwstr>
  </property>
  <property fmtid="{D5CDD505-2E9C-101B-9397-08002B2CF9AE}" pid="4" name="KSOTemplateDocerSaveRecord">
    <vt:lpwstr>eyJoZGlkIjoiMTRlMzViOGY2NzJjZThmMTZkMWQ4MGU2MTNkNjFjZGMiLCJ1c2VySWQiOiI0NjM2NDIzMTQifQ==</vt:lpwstr>
  </property>
</Properties>
</file>