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5833">
      <w:pPr>
        <w:pStyle w:val="35"/>
        <w:spacing w:line="840" w:lineRule="exact"/>
        <w:outlineLvl w:val="0"/>
        <w:rPr>
          <w:rFonts w:hint="eastAsia" w:ascii="新宋体" w:hAnsi="新宋体" w:eastAsia="新宋体"/>
          <w:b/>
          <w:bCs/>
          <w:sz w:val="52"/>
        </w:rPr>
      </w:pPr>
    </w:p>
    <w:p w14:paraId="31FD796E">
      <w:pPr>
        <w:spacing w:before="156" w:beforeLines="50"/>
        <w:jc w:val="both"/>
        <w:rPr>
          <w:rFonts w:hint="eastAsia"/>
        </w:rPr>
      </w:pPr>
    </w:p>
    <w:p w14:paraId="7282780D">
      <w:pPr>
        <w:spacing w:before="156" w:beforeLines="50"/>
        <w:jc w:val="center"/>
        <w:rPr>
          <w:rFonts w:hint="eastAsia" w:ascii="新宋体" w:hAnsi="新宋体" w:eastAsia="新宋体"/>
          <w:b/>
          <w:color w:val="auto"/>
          <w:sz w:val="48"/>
          <w:szCs w:val="48"/>
          <w:highlight w:val="none"/>
          <w:u w:val="single"/>
          <w:lang w:eastAsia="zh-CN"/>
        </w:rPr>
      </w:pPr>
      <w:r>
        <w:rPr>
          <w:rFonts w:hint="eastAsia" w:ascii="新宋体" w:hAnsi="新宋体" w:eastAsia="新宋体"/>
          <w:b/>
          <w:color w:val="auto"/>
          <w:sz w:val="48"/>
          <w:szCs w:val="48"/>
          <w:highlight w:val="none"/>
          <w:u w:val="single"/>
          <w:lang w:eastAsia="zh-CN"/>
        </w:rPr>
        <w:t>义乌市机关后勤服务中心</w:t>
      </w:r>
    </w:p>
    <w:p w14:paraId="26C19CA7">
      <w:pPr>
        <w:spacing w:before="156" w:beforeLines="50"/>
        <w:jc w:val="center"/>
        <w:rPr>
          <w:rFonts w:hint="eastAsia" w:ascii="新宋体" w:hAnsi="新宋体" w:eastAsia="新宋体"/>
          <w:b/>
          <w:sz w:val="32"/>
          <w:szCs w:val="32"/>
        </w:rPr>
      </w:pPr>
      <w:r>
        <w:rPr>
          <w:rFonts w:hint="eastAsia" w:ascii="新宋体" w:hAnsi="新宋体" w:eastAsia="新宋体"/>
          <w:b/>
          <w:color w:val="auto"/>
          <w:sz w:val="48"/>
          <w:szCs w:val="48"/>
          <w:highlight w:val="none"/>
          <w:u w:val="single"/>
          <w:lang w:eastAsia="zh-CN"/>
        </w:rPr>
        <w:t>行政五号楼物业管理服务</w:t>
      </w:r>
      <w:r>
        <w:rPr>
          <w:rFonts w:hint="eastAsia" w:ascii="新宋体" w:hAnsi="新宋体" w:eastAsia="新宋体"/>
          <w:color w:val="auto"/>
          <w:sz w:val="48"/>
          <w:szCs w:val="48"/>
          <w:highlight w:val="none"/>
        </w:rPr>
        <w:t>采购项目</w:t>
      </w:r>
    </w:p>
    <w:p w14:paraId="653D5913">
      <w:pPr>
        <w:spacing w:line="360" w:lineRule="auto"/>
        <w:rPr>
          <w:rFonts w:hint="eastAsia" w:ascii="新宋体" w:hAnsi="新宋体" w:eastAsia="新宋体"/>
          <w:b/>
          <w:sz w:val="48"/>
          <w:szCs w:val="48"/>
        </w:rPr>
      </w:pPr>
    </w:p>
    <w:p w14:paraId="4AC7B466">
      <w:pPr>
        <w:spacing w:line="360" w:lineRule="auto"/>
        <w:rPr>
          <w:rFonts w:hint="eastAsia" w:ascii="新宋体" w:hAnsi="新宋体" w:eastAsia="新宋体"/>
          <w:b/>
          <w:sz w:val="48"/>
          <w:szCs w:val="48"/>
          <w:lang w:val="en-US" w:eastAsia="zh-CN"/>
        </w:rPr>
      </w:pPr>
    </w:p>
    <w:p w14:paraId="6EC7ED60">
      <w:pPr>
        <w:spacing w:line="360" w:lineRule="auto"/>
        <w:rPr>
          <w:rFonts w:hint="eastAsia" w:ascii="新宋体" w:hAnsi="新宋体" w:eastAsia="新宋体"/>
          <w:b/>
          <w:sz w:val="48"/>
          <w:szCs w:val="48"/>
          <w:lang w:val="en-US" w:eastAsia="zh-CN"/>
        </w:rPr>
      </w:pPr>
    </w:p>
    <w:p w14:paraId="28804FCC">
      <w:pPr>
        <w:spacing w:line="360" w:lineRule="auto"/>
        <w:jc w:val="center"/>
        <w:rPr>
          <w:rFonts w:hint="eastAsia" w:ascii="新宋体" w:hAnsi="新宋体" w:eastAsia="新宋体"/>
          <w:sz w:val="84"/>
          <w:szCs w:val="84"/>
        </w:rPr>
      </w:pPr>
      <w:r>
        <w:rPr>
          <w:rFonts w:hint="eastAsia" w:ascii="新宋体" w:hAnsi="新宋体" w:eastAsia="新宋体"/>
          <w:sz w:val="84"/>
          <w:szCs w:val="84"/>
        </w:rPr>
        <w:t>招标文件</w:t>
      </w:r>
    </w:p>
    <w:p w14:paraId="78D06999">
      <w:pPr>
        <w:spacing w:line="360" w:lineRule="auto"/>
        <w:rPr>
          <w:rFonts w:hint="eastAsia" w:ascii="新宋体" w:hAnsi="新宋体" w:eastAsia="新宋体"/>
          <w:sz w:val="72"/>
          <w:szCs w:val="72"/>
        </w:rPr>
      </w:pPr>
    </w:p>
    <w:p w14:paraId="300517C6">
      <w:pPr>
        <w:pStyle w:val="35"/>
        <w:snapToGrid w:val="0"/>
        <w:spacing w:before="120" w:after="120" w:line="360" w:lineRule="auto"/>
        <w:jc w:val="center"/>
        <w:rPr>
          <w:rFonts w:hint="eastAsia" w:ascii="新宋体" w:hAnsi="新宋体" w:eastAsia="新宋体"/>
          <w:b/>
          <w:bCs/>
          <w:sz w:val="32"/>
          <w:szCs w:val="32"/>
          <w:lang w:eastAsia="zh-CN"/>
        </w:rPr>
      </w:pPr>
      <w:r>
        <w:rPr>
          <w:rFonts w:hint="eastAsia" w:ascii="新宋体" w:hAnsi="新宋体" w:eastAsia="新宋体"/>
          <w:b/>
          <w:bCs/>
          <w:sz w:val="32"/>
          <w:szCs w:val="32"/>
        </w:rPr>
        <w:t>项目编号</w:t>
      </w:r>
      <w:r>
        <w:rPr>
          <w:rFonts w:ascii="新宋体" w:hAnsi="新宋体" w:eastAsia="新宋体"/>
          <w:b/>
          <w:bCs/>
          <w:sz w:val="32"/>
          <w:szCs w:val="32"/>
        </w:rPr>
        <w:t>：</w:t>
      </w:r>
      <w:r>
        <w:rPr>
          <w:rFonts w:hint="eastAsia" w:ascii="新宋体" w:hAnsi="新宋体" w:eastAsia="新宋体"/>
          <w:b/>
          <w:bCs/>
          <w:sz w:val="32"/>
          <w:szCs w:val="32"/>
          <w:lang w:eastAsia="zh-CN"/>
        </w:rPr>
        <w:t>330782260080040000044-YWCG2026023GK</w:t>
      </w:r>
    </w:p>
    <w:p w14:paraId="18A465CF">
      <w:pPr>
        <w:snapToGrid w:val="0"/>
        <w:spacing w:line="360" w:lineRule="auto"/>
        <w:ind w:firstLine="600" w:firstLineChars="200"/>
        <w:rPr>
          <w:rFonts w:hint="eastAsia" w:ascii="新宋体" w:hAnsi="新宋体" w:eastAsia="新宋体"/>
          <w:sz w:val="30"/>
          <w:szCs w:val="72"/>
        </w:rPr>
      </w:pPr>
    </w:p>
    <w:p w14:paraId="78509DC2">
      <w:pPr>
        <w:pStyle w:val="35"/>
        <w:snapToGrid w:val="0"/>
        <w:spacing w:before="120" w:after="120" w:line="360" w:lineRule="auto"/>
        <w:rPr>
          <w:rFonts w:hint="eastAsia" w:ascii="新宋体" w:hAnsi="新宋体" w:eastAsia="新宋体"/>
          <w:sz w:val="30"/>
          <w:szCs w:val="72"/>
        </w:rPr>
      </w:pPr>
    </w:p>
    <w:p w14:paraId="685B3B83">
      <w:pPr>
        <w:pStyle w:val="35"/>
        <w:ind w:firstLine="2137" w:firstLineChars="700"/>
        <w:rPr>
          <w:rFonts w:hint="eastAsia" w:ascii="新宋体" w:hAnsi="新宋体" w:eastAsia="新宋体"/>
          <w:b/>
          <w:bCs/>
          <w:w w:val="95"/>
          <w:sz w:val="32"/>
          <w:szCs w:val="32"/>
          <w:lang w:eastAsia="zh-CN"/>
        </w:rPr>
      </w:pPr>
      <w:r>
        <w:rPr>
          <w:rFonts w:hint="eastAsia" w:ascii="新宋体" w:hAnsi="新宋体" w:eastAsia="新宋体"/>
          <w:b/>
          <w:bCs/>
          <w:w w:val="95"/>
          <w:sz w:val="32"/>
          <w:szCs w:val="32"/>
        </w:rPr>
        <w:t>采   购　 人：</w:t>
      </w:r>
      <w:r>
        <w:rPr>
          <w:rFonts w:hint="eastAsia" w:ascii="新宋体" w:hAnsi="新宋体" w:eastAsia="新宋体"/>
          <w:b/>
          <w:color w:val="auto"/>
          <w:sz w:val="32"/>
          <w:szCs w:val="32"/>
          <w:highlight w:val="none"/>
          <w:u w:val="single"/>
          <w:lang w:eastAsia="zh-CN"/>
        </w:rPr>
        <w:t>义乌市机关后勤服务中心</w:t>
      </w:r>
    </w:p>
    <w:p w14:paraId="69778122">
      <w:pPr>
        <w:pStyle w:val="35"/>
        <w:ind w:firstLine="2137" w:firstLineChars="700"/>
        <w:rPr>
          <w:rFonts w:ascii="新宋体" w:hAnsi="新宋体" w:eastAsia="新宋体"/>
          <w:b/>
          <w:sz w:val="32"/>
          <w:szCs w:val="32"/>
        </w:rPr>
      </w:pPr>
      <w:r>
        <w:rPr>
          <w:rFonts w:hint="eastAsia" w:ascii="新宋体" w:hAnsi="新宋体" w:eastAsia="新宋体"/>
          <w:b/>
          <w:bCs/>
          <w:w w:val="95"/>
          <w:sz w:val="32"/>
          <w:szCs w:val="32"/>
        </w:rPr>
        <w:t>采购</w:t>
      </w:r>
      <w:r>
        <w:rPr>
          <w:rFonts w:ascii="新宋体" w:hAnsi="新宋体" w:eastAsia="新宋体"/>
          <w:b/>
          <w:bCs/>
          <w:w w:val="95"/>
          <w:sz w:val="32"/>
          <w:szCs w:val="32"/>
        </w:rPr>
        <w:t>代理机构：</w:t>
      </w:r>
      <w:r>
        <w:rPr>
          <w:rFonts w:hint="eastAsia" w:ascii="新宋体" w:hAnsi="新宋体" w:eastAsia="新宋体"/>
          <w:b/>
          <w:sz w:val="32"/>
          <w:szCs w:val="32"/>
          <w:u w:val="single"/>
        </w:rPr>
        <w:t>义乌市政府采购中心</w:t>
      </w:r>
    </w:p>
    <w:p w14:paraId="1297CC4E">
      <w:pPr>
        <w:pStyle w:val="35"/>
        <w:snapToGrid w:val="0"/>
        <w:spacing w:before="120" w:after="120" w:line="360" w:lineRule="auto"/>
        <w:ind w:firstLine="2249" w:firstLineChars="700"/>
        <w:rPr>
          <w:rFonts w:hint="eastAsia" w:ascii="新宋体" w:hAnsi="新宋体" w:eastAsia="新宋体"/>
          <w:b/>
          <w:sz w:val="32"/>
          <w:szCs w:val="32"/>
        </w:rPr>
      </w:pPr>
      <w:r>
        <w:rPr>
          <w:rFonts w:ascii="新宋体" w:hAnsi="新宋体" w:eastAsia="新宋体"/>
          <w:b/>
          <w:sz w:val="32"/>
          <w:szCs w:val="32"/>
        </w:rPr>
        <w:t>日　　　 期：</w:t>
      </w:r>
      <w:r>
        <w:rPr>
          <w:rFonts w:hint="eastAsia" w:ascii="新宋体" w:hAnsi="新宋体" w:eastAsia="新宋体"/>
          <w:b/>
          <w:sz w:val="32"/>
          <w:szCs w:val="32"/>
          <w:u w:val="single"/>
        </w:rPr>
        <w:t>202</w:t>
      </w:r>
      <w:r>
        <w:rPr>
          <w:rFonts w:hint="eastAsia" w:ascii="新宋体" w:hAnsi="新宋体" w:eastAsia="新宋体"/>
          <w:b/>
          <w:sz w:val="32"/>
          <w:szCs w:val="32"/>
          <w:u w:val="single"/>
          <w:lang w:val="en-US" w:eastAsia="zh-CN"/>
        </w:rPr>
        <w:t>6</w:t>
      </w:r>
      <w:r>
        <w:rPr>
          <w:rFonts w:hint="eastAsia" w:ascii="新宋体" w:hAnsi="新宋体" w:eastAsia="新宋体"/>
          <w:b/>
          <w:sz w:val="32"/>
          <w:szCs w:val="32"/>
          <w:u w:val="single"/>
        </w:rPr>
        <w:t>年</w:t>
      </w:r>
      <w:r>
        <w:rPr>
          <w:rFonts w:hint="eastAsia" w:ascii="新宋体" w:hAnsi="新宋体" w:eastAsia="新宋体"/>
          <w:b/>
          <w:sz w:val="32"/>
          <w:szCs w:val="32"/>
          <w:u w:val="single"/>
          <w:lang w:val="en-US" w:eastAsia="zh-CN"/>
        </w:rPr>
        <w:t>04</w:t>
      </w:r>
      <w:r>
        <w:rPr>
          <w:rFonts w:hint="eastAsia" w:ascii="新宋体" w:hAnsi="新宋体" w:eastAsia="新宋体"/>
          <w:b/>
          <w:sz w:val="32"/>
          <w:szCs w:val="32"/>
          <w:u w:val="single"/>
        </w:rPr>
        <w:t>月</w:t>
      </w:r>
      <w:r>
        <w:rPr>
          <w:rFonts w:hint="eastAsia" w:ascii="新宋体" w:hAnsi="新宋体" w:eastAsia="新宋体"/>
          <w:b/>
          <w:sz w:val="32"/>
          <w:szCs w:val="32"/>
          <w:u w:val="single"/>
          <w:lang w:val="en-US" w:eastAsia="zh-CN"/>
        </w:rPr>
        <w:t>29</w:t>
      </w:r>
      <w:r>
        <w:rPr>
          <w:rFonts w:hint="eastAsia" w:ascii="新宋体" w:hAnsi="新宋体" w:eastAsia="新宋体"/>
          <w:b/>
          <w:sz w:val="32"/>
          <w:szCs w:val="32"/>
          <w:u w:val="single"/>
        </w:rPr>
        <w:t>日</w:t>
      </w:r>
    </w:p>
    <w:p w14:paraId="11A0AD0B">
      <w:pPr>
        <w:pStyle w:val="35"/>
        <w:spacing w:before="120" w:after="120" w:line="400" w:lineRule="exact"/>
        <w:ind w:firstLine="420" w:firstLineChars="200"/>
        <w:jc w:val="center"/>
        <w:rPr>
          <w:rFonts w:hint="eastAsia" w:ascii="新宋体" w:hAnsi="新宋体" w:eastAsia="新宋体"/>
        </w:rPr>
      </w:pPr>
    </w:p>
    <w:p w14:paraId="6B40FC84">
      <w:pPr>
        <w:pStyle w:val="35"/>
        <w:spacing w:before="120" w:after="120" w:line="400" w:lineRule="exact"/>
        <w:jc w:val="both"/>
        <w:rPr>
          <w:rFonts w:hint="eastAsia" w:ascii="新宋体" w:hAnsi="新宋体" w:eastAsia="新宋体"/>
        </w:rPr>
      </w:pPr>
    </w:p>
    <w:p w14:paraId="28EC1C7E">
      <w:pPr>
        <w:pStyle w:val="35"/>
        <w:spacing w:before="120" w:after="120" w:line="520" w:lineRule="exact"/>
        <w:ind w:firstLine="883" w:firstLineChars="200"/>
        <w:jc w:val="center"/>
        <w:rPr>
          <w:rFonts w:ascii="新宋体" w:hAnsi="新宋体" w:eastAsia="新宋体"/>
          <w:b/>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851" w:footer="992" w:gutter="0"/>
          <w:pgNumType w:fmt="numberInDash" w:start="0"/>
          <w:cols w:space="720" w:num="1"/>
          <w:titlePg/>
          <w:docGrid w:type="lines" w:linePitch="312" w:charSpace="0"/>
        </w:sectPr>
      </w:pPr>
    </w:p>
    <w:p w14:paraId="2BE8AD15">
      <w:pPr>
        <w:pStyle w:val="35"/>
        <w:spacing w:before="120" w:after="120" w:line="520" w:lineRule="exact"/>
        <w:ind w:firstLine="883" w:firstLineChars="200"/>
        <w:jc w:val="center"/>
        <w:rPr>
          <w:rFonts w:hint="eastAsia" w:ascii="新宋体" w:hAnsi="新宋体" w:eastAsia="新宋体"/>
          <w:b/>
          <w:sz w:val="44"/>
          <w:szCs w:val="44"/>
        </w:rPr>
      </w:pPr>
      <w:r>
        <w:rPr>
          <w:rFonts w:ascii="新宋体" w:hAnsi="新宋体" w:eastAsia="新宋体"/>
          <w:b/>
          <w:sz w:val="44"/>
          <w:szCs w:val="44"/>
        </w:rPr>
        <w:t>招标文件目录</w:t>
      </w:r>
    </w:p>
    <w:p w14:paraId="42D12C7E">
      <w:pPr>
        <w:pStyle w:val="35"/>
        <w:spacing w:before="120" w:after="120" w:line="400" w:lineRule="exact"/>
        <w:ind w:firstLine="883" w:firstLineChars="200"/>
        <w:jc w:val="center"/>
        <w:rPr>
          <w:rFonts w:hint="eastAsia" w:ascii="新宋体" w:hAnsi="新宋体" w:eastAsia="新宋体"/>
          <w:b/>
          <w:sz w:val="44"/>
          <w:szCs w:val="44"/>
        </w:rPr>
      </w:pPr>
    </w:p>
    <w:p w14:paraId="2F092764">
      <w:pPr>
        <w:pStyle w:val="44"/>
        <w:tabs>
          <w:tab w:val="right" w:leader="dot" w:pos="9638"/>
          <w:tab w:val="clear" w:pos="9344"/>
        </w:tabs>
      </w:pPr>
      <w:r>
        <w:rPr>
          <w:rFonts w:ascii="新宋体" w:hAnsi="新宋体" w:eastAsia="新宋体"/>
          <w:color w:val="auto"/>
          <w:sz w:val="24"/>
        </w:rPr>
        <w:fldChar w:fldCharType="begin"/>
      </w:r>
      <w:r>
        <w:rPr>
          <w:rFonts w:ascii="新宋体" w:hAnsi="新宋体" w:eastAsia="新宋体"/>
          <w:color w:val="auto"/>
          <w:sz w:val="24"/>
        </w:rPr>
        <w:instrText xml:space="preserve"> TOC \o "1-3" \h \z \u </w:instrText>
      </w:r>
      <w:r>
        <w:rPr>
          <w:rFonts w:ascii="新宋体" w:hAnsi="新宋体" w:eastAsia="新宋体"/>
          <w:color w:val="auto"/>
          <w:sz w:val="24"/>
        </w:rPr>
        <w:fldChar w:fldCharType="separate"/>
      </w:r>
      <w:r>
        <w:rPr>
          <w:rFonts w:ascii="新宋体" w:hAnsi="新宋体" w:eastAsia="新宋体"/>
          <w:color w:val="auto"/>
        </w:rPr>
        <w:fldChar w:fldCharType="begin"/>
      </w:r>
      <w:r>
        <w:rPr>
          <w:rFonts w:ascii="新宋体" w:hAnsi="新宋体" w:eastAsia="新宋体"/>
        </w:rPr>
        <w:instrText xml:space="preserve"> HYPERLINK \l _Toc29778 </w:instrText>
      </w:r>
      <w:r>
        <w:rPr>
          <w:rFonts w:ascii="新宋体" w:hAnsi="新宋体" w:eastAsia="新宋体"/>
        </w:rPr>
        <w:fldChar w:fldCharType="separate"/>
      </w:r>
      <w:r>
        <w:rPr>
          <w:rFonts w:hint="eastAsia" w:ascii="新宋体" w:hAnsi="新宋体" w:eastAsia="新宋体"/>
        </w:rPr>
        <w:t>第一章 采购公告</w:t>
      </w:r>
      <w:r>
        <w:tab/>
      </w:r>
      <w:r>
        <w:fldChar w:fldCharType="begin"/>
      </w:r>
      <w:r>
        <w:instrText xml:space="preserve"> PAGEREF _Toc29778 \h </w:instrText>
      </w:r>
      <w:r>
        <w:fldChar w:fldCharType="separate"/>
      </w:r>
      <w:r>
        <w:t>- 2 -</w:t>
      </w:r>
      <w:r>
        <w:fldChar w:fldCharType="end"/>
      </w:r>
      <w:r>
        <w:rPr>
          <w:rFonts w:ascii="新宋体" w:hAnsi="新宋体" w:eastAsia="新宋体"/>
          <w:color w:val="auto"/>
        </w:rPr>
        <w:fldChar w:fldCharType="end"/>
      </w:r>
    </w:p>
    <w:p w14:paraId="2A9ADC1B">
      <w:pPr>
        <w:pStyle w:val="44"/>
        <w:tabs>
          <w:tab w:val="right" w:leader="dot" w:pos="9638"/>
          <w:tab w:val="clear" w:pos="9344"/>
        </w:tabs>
      </w:pPr>
      <w:r>
        <w:rPr>
          <w:kern w:val="2"/>
        </w:rPr>
        <w:fldChar w:fldCharType="begin"/>
      </w:r>
      <w:r>
        <w:rPr>
          <w:kern w:val="2"/>
        </w:rPr>
        <w:instrText xml:space="preserve"> HYPERLINK \l _Toc27585 </w:instrText>
      </w:r>
      <w:r>
        <w:rPr>
          <w:kern w:val="2"/>
        </w:rPr>
        <w:fldChar w:fldCharType="separate"/>
      </w:r>
      <w:r>
        <w:rPr>
          <w:rFonts w:hint="eastAsia" w:ascii="新宋体" w:hAnsi="新宋体" w:eastAsia="新宋体"/>
        </w:rPr>
        <w:t>第二章 投标须知前附表和投标须知</w:t>
      </w:r>
      <w:r>
        <w:tab/>
      </w:r>
      <w:r>
        <w:fldChar w:fldCharType="begin"/>
      </w:r>
      <w:r>
        <w:instrText xml:space="preserve"> PAGEREF _Toc27585 \h </w:instrText>
      </w:r>
      <w:r>
        <w:fldChar w:fldCharType="separate"/>
      </w:r>
      <w:r>
        <w:t>- 6 -</w:t>
      </w:r>
      <w:r>
        <w:fldChar w:fldCharType="end"/>
      </w:r>
      <w:r>
        <w:rPr>
          <w:kern w:val="2"/>
        </w:rPr>
        <w:fldChar w:fldCharType="end"/>
      </w:r>
    </w:p>
    <w:p w14:paraId="7C9EB20D">
      <w:pPr>
        <w:pStyle w:val="44"/>
        <w:tabs>
          <w:tab w:val="right" w:leader="dot" w:pos="9638"/>
          <w:tab w:val="clear" w:pos="9344"/>
        </w:tabs>
      </w:pPr>
      <w:r>
        <w:rPr>
          <w:kern w:val="2"/>
        </w:rPr>
        <w:fldChar w:fldCharType="begin"/>
      </w:r>
      <w:r>
        <w:rPr>
          <w:kern w:val="2"/>
        </w:rPr>
        <w:instrText xml:space="preserve"> HYPERLINK \l _Toc14533 </w:instrText>
      </w:r>
      <w:r>
        <w:rPr>
          <w:kern w:val="2"/>
        </w:rPr>
        <w:fldChar w:fldCharType="separate"/>
      </w:r>
      <w:r>
        <w:rPr>
          <w:rFonts w:hint="eastAsia" w:ascii="新宋体" w:hAnsi="新宋体" w:eastAsia="新宋体"/>
          <w:szCs w:val="36"/>
        </w:rPr>
        <w:t>投标须知</w:t>
      </w:r>
      <w:r>
        <w:tab/>
      </w:r>
      <w:r>
        <w:fldChar w:fldCharType="begin"/>
      </w:r>
      <w:r>
        <w:instrText xml:space="preserve"> PAGEREF _Toc14533 \h </w:instrText>
      </w:r>
      <w:r>
        <w:fldChar w:fldCharType="separate"/>
      </w:r>
      <w:r>
        <w:t>- 10 -</w:t>
      </w:r>
      <w:r>
        <w:fldChar w:fldCharType="end"/>
      </w:r>
      <w:r>
        <w:rPr>
          <w:kern w:val="2"/>
        </w:rPr>
        <w:fldChar w:fldCharType="end"/>
      </w:r>
    </w:p>
    <w:p w14:paraId="0A8FDAF0">
      <w:pPr>
        <w:pStyle w:val="44"/>
        <w:tabs>
          <w:tab w:val="right" w:leader="dot" w:pos="9638"/>
          <w:tab w:val="clear" w:pos="9344"/>
        </w:tabs>
      </w:pPr>
      <w:r>
        <w:rPr>
          <w:kern w:val="2"/>
        </w:rPr>
        <w:fldChar w:fldCharType="begin"/>
      </w:r>
      <w:r>
        <w:rPr>
          <w:kern w:val="2"/>
        </w:rPr>
        <w:instrText xml:space="preserve"> HYPERLINK \l _Toc19395 </w:instrText>
      </w:r>
      <w:r>
        <w:rPr>
          <w:kern w:val="2"/>
        </w:rPr>
        <w:fldChar w:fldCharType="separate"/>
      </w:r>
      <w:r>
        <w:rPr>
          <w:rFonts w:hint="eastAsia" w:ascii="新宋体" w:hAnsi="新宋体" w:eastAsia="新宋体"/>
        </w:rPr>
        <w:t>第三章 招标项目要求</w:t>
      </w:r>
      <w:r>
        <w:tab/>
      </w:r>
      <w:r>
        <w:fldChar w:fldCharType="begin"/>
      </w:r>
      <w:r>
        <w:instrText xml:space="preserve"> PAGEREF _Toc19395 \h </w:instrText>
      </w:r>
      <w:r>
        <w:fldChar w:fldCharType="separate"/>
      </w:r>
      <w:r>
        <w:t>- 16 -</w:t>
      </w:r>
      <w:r>
        <w:fldChar w:fldCharType="end"/>
      </w:r>
      <w:r>
        <w:rPr>
          <w:kern w:val="2"/>
        </w:rPr>
        <w:fldChar w:fldCharType="end"/>
      </w:r>
    </w:p>
    <w:p w14:paraId="73EEA0DD">
      <w:pPr>
        <w:pStyle w:val="44"/>
        <w:tabs>
          <w:tab w:val="right" w:leader="dot" w:pos="9638"/>
          <w:tab w:val="clear" w:pos="9344"/>
        </w:tabs>
      </w:pPr>
      <w:r>
        <w:rPr>
          <w:kern w:val="2"/>
        </w:rPr>
        <w:fldChar w:fldCharType="begin"/>
      </w:r>
      <w:r>
        <w:rPr>
          <w:kern w:val="2"/>
        </w:rPr>
        <w:instrText xml:space="preserve"> HYPERLINK \l _Toc29985 </w:instrText>
      </w:r>
      <w:r>
        <w:rPr>
          <w:kern w:val="2"/>
        </w:rPr>
        <w:fldChar w:fldCharType="separate"/>
      </w:r>
      <w:r>
        <w:rPr>
          <w:rFonts w:hint="eastAsia" w:ascii="新宋体" w:hAnsi="新宋体" w:eastAsia="新宋体"/>
        </w:rPr>
        <w:t>第四章 开标、评标和定标须知</w:t>
      </w:r>
      <w:r>
        <w:tab/>
      </w:r>
      <w:r>
        <w:fldChar w:fldCharType="begin"/>
      </w:r>
      <w:r>
        <w:instrText xml:space="preserve"> PAGEREF _Toc29985 \h </w:instrText>
      </w:r>
      <w:r>
        <w:fldChar w:fldCharType="separate"/>
      </w:r>
      <w:r>
        <w:t>- 24 -</w:t>
      </w:r>
      <w:r>
        <w:fldChar w:fldCharType="end"/>
      </w:r>
      <w:r>
        <w:rPr>
          <w:kern w:val="2"/>
        </w:rPr>
        <w:fldChar w:fldCharType="end"/>
      </w:r>
    </w:p>
    <w:p w14:paraId="4C467366">
      <w:pPr>
        <w:pStyle w:val="44"/>
        <w:tabs>
          <w:tab w:val="right" w:leader="dot" w:pos="9638"/>
          <w:tab w:val="clear" w:pos="9344"/>
        </w:tabs>
      </w:pPr>
      <w:r>
        <w:rPr>
          <w:kern w:val="2"/>
        </w:rPr>
        <w:fldChar w:fldCharType="begin"/>
      </w:r>
      <w:r>
        <w:rPr>
          <w:kern w:val="2"/>
        </w:rPr>
        <w:instrText xml:space="preserve"> HYPERLINK \l _Toc10478 </w:instrText>
      </w:r>
      <w:r>
        <w:rPr>
          <w:kern w:val="2"/>
        </w:rPr>
        <w:fldChar w:fldCharType="separate"/>
      </w:r>
      <w:r>
        <w:rPr>
          <w:rFonts w:hint="eastAsia" w:ascii="新宋体" w:hAnsi="新宋体" w:eastAsia="新宋体"/>
        </w:rPr>
        <w:t>第五章 投标文件的无效情形</w:t>
      </w:r>
      <w:r>
        <w:tab/>
      </w:r>
      <w:r>
        <w:fldChar w:fldCharType="begin"/>
      </w:r>
      <w:r>
        <w:instrText xml:space="preserve"> PAGEREF _Toc10478 \h </w:instrText>
      </w:r>
      <w:r>
        <w:fldChar w:fldCharType="separate"/>
      </w:r>
      <w:r>
        <w:t>- 31 -</w:t>
      </w:r>
      <w:r>
        <w:fldChar w:fldCharType="end"/>
      </w:r>
      <w:r>
        <w:rPr>
          <w:kern w:val="2"/>
        </w:rPr>
        <w:fldChar w:fldCharType="end"/>
      </w:r>
    </w:p>
    <w:p w14:paraId="2A63A4C0">
      <w:pPr>
        <w:pStyle w:val="44"/>
        <w:tabs>
          <w:tab w:val="right" w:leader="dot" w:pos="9638"/>
          <w:tab w:val="clear" w:pos="9344"/>
        </w:tabs>
      </w:pPr>
      <w:r>
        <w:rPr>
          <w:kern w:val="2"/>
        </w:rPr>
        <w:fldChar w:fldCharType="begin"/>
      </w:r>
      <w:r>
        <w:rPr>
          <w:kern w:val="2"/>
        </w:rPr>
        <w:instrText xml:space="preserve"> HYPERLINK \l _Toc8758 </w:instrText>
      </w:r>
      <w:r>
        <w:rPr>
          <w:kern w:val="2"/>
        </w:rPr>
        <w:fldChar w:fldCharType="separate"/>
      </w:r>
      <w:r>
        <w:rPr>
          <w:rFonts w:hint="eastAsia" w:ascii="新宋体" w:hAnsi="新宋体" w:eastAsia="新宋体"/>
        </w:rPr>
        <w:t>第六章 评标办法</w:t>
      </w:r>
      <w:r>
        <w:tab/>
      </w:r>
      <w:r>
        <w:fldChar w:fldCharType="begin"/>
      </w:r>
      <w:r>
        <w:instrText xml:space="preserve"> PAGEREF _Toc8758 \h </w:instrText>
      </w:r>
      <w:r>
        <w:fldChar w:fldCharType="separate"/>
      </w:r>
      <w:r>
        <w:t>- 33 -</w:t>
      </w:r>
      <w:r>
        <w:fldChar w:fldCharType="end"/>
      </w:r>
      <w:r>
        <w:rPr>
          <w:kern w:val="2"/>
        </w:rPr>
        <w:fldChar w:fldCharType="end"/>
      </w:r>
    </w:p>
    <w:p w14:paraId="241EB85F">
      <w:pPr>
        <w:pStyle w:val="44"/>
        <w:tabs>
          <w:tab w:val="right" w:leader="dot" w:pos="9638"/>
          <w:tab w:val="clear" w:pos="9344"/>
        </w:tabs>
      </w:pPr>
      <w:r>
        <w:rPr>
          <w:kern w:val="2"/>
        </w:rPr>
        <w:fldChar w:fldCharType="begin"/>
      </w:r>
      <w:r>
        <w:rPr>
          <w:kern w:val="2"/>
        </w:rPr>
        <w:instrText xml:space="preserve"> HYPERLINK \l _Toc31551 </w:instrText>
      </w:r>
      <w:r>
        <w:rPr>
          <w:kern w:val="2"/>
        </w:rPr>
        <w:fldChar w:fldCharType="separate"/>
      </w:r>
      <w:r>
        <w:rPr>
          <w:rFonts w:hint="eastAsia" w:ascii="新宋体" w:hAnsi="新宋体" w:eastAsia="新宋体"/>
          <w:highlight w:val="none"/>
        </w:rPr>
        <w:t xml:space="preserve">第七章 </w:t>
      </w:r>
      <w:r>
        <w:rPr>
          <w:rFonts w:hint="eastAsia" w:ascii="新宋体" w:hAnsi="新宋体" w:eastAsia="新宋体"/>
          <w:szCs w:val="36"/>
          <w:highlight w:val="none"/>
        </w:rPr>
        <w:t>合同主要条款</w:t>
      </w:r>
      <w:r>
        <w:tab/>
      </w:r>
      <w:r>
        <w:fldChar w:fldCharType="begin"/>
      </w:r>
      <w:r>
        <w:instrText xml:space="preserve"> PAGEREF _Toc31551 \h </w:instrText>
      </w:r>
      <w:r>
        <w:fldChar w:fldCharType="separate"/>
      </w:r>
      <w:r>
        <w:t>- 37 -</w:t>
      </w:r>
      <w:r>
        <w:fldChar w:fldCharType="end"/>
      </w:r>
      <w:r>
        <w:rPr>
          <w:kern w:val="2"/>
        </w:rPr>
        <w:fldChar w:fldCharType="end"/>
      </w:r>
    </w:p>
    <w:p w14:paraId="556A9044">
      <w:pPr>
        <w:pStyle w:val="44"/>
        <w:tabs>
          <w:tab w:val="right" w:leader="dot" w:pos="9638"/>
          <w:tab w:val="clear" w:pos="9344"/>
        </w:tabs>
      </w:pPr>
      <w:r>
        <w:rPr>
          <w:kern w:val="2"/>
        </w:rPr>
        <w:fldChar w:fldCharType="begin"/>
      </w:r>
      <w:r>
        <w:rPr>
          <w:kern w:val="2"/>
        </w:rPr>
        <w:instrText xml:space="preserve"> HYPERLINK \l _Toc9266 </w:instrText>
      </w:r>
      <w:r>
        <w:rPr>
          <w:kern w:val="2"/>
        </w:rPr>
        <w:fldChar w:fldCharType="separate"/>
      </w:r>
      <w:r>
        <w:rPr>
          <w:rFonts w:hint="eastAsia" w:ascii="新宋体" w:hAnsi="新宋体" w:eastAsia="新宋体"/>
          <w:bCs w:val="0"/>
          <w:szCs w:val="36"/>
        </w:rPr>
        <w:t>第八章</w:t>
      </w:r>
      <w:r>
        <w:rPr>
          <w:rFonts w:hint="eastAsia" w:ascii="新宋体" w:hAnsi="新宋体" w:eastAsia="新宋体"/>
        </w:rPr>
        <w:t xml:space="preserve"> </w:t>
      </w:r>
      <w:r>
        <w:rPr>
          <w:rFonts w:hint="eastAsia" w:ascii="新宋体" w:hAnsi="新宋体" w:eastAsia="新宋体"/>
          <w:bCs w:val="0"/>
          <w:szCs w:val="36"/>
        </w:rPr>
        <w:t>投标文件部分格式</w:t>
      </w:r>
      <w:r>
        <w:tab/>
      </w:r>
      <w:r>
        <w:fldChar w:fldCharType="begin"/>
      </w:r>
      <w:r>
        <w:instrText xml:space="preserve"> PAGEREF _Toc9266 \h </w:instrText>
      </w:r>
      <w:r>
        <w:fldChar w:fldCharType="separate"/>
      </w:r>
      <w:r>
        <w:t>- 41 -</w:t>
      </w:r>
      <w:r>
        <w:fldChar w:fldCharType="end"/>
      </w:r>
      <w:r>
        <w:rPr>
          <w:kern w:val="2"/>
        </w:rPr>
        <w:fldChar w:fldCharType="end"/>
      </w:r>
    </w:p>
    <w:p w14:paraId="3687C9AC">
      <w:pPr>
        <w:pStyle w:val="5"/>
        <w:numPr>
          <w:ilvl w:val="0"/>
          <w:numId w:val="0"/>
        </w:numPr>
        <w:spacing w:before="0" w:after="0" w:line="400" w:lineRule="exact"/>
        <w:jc w:val="center"/>
        <w:rPr>
          <w:rFonts w:hint="eastAsia" w:ascii="新宋体" w:hAnsi="新宋体" w:eastAsia="新宋体"/>
          <w:sz w:val="36"/>
        </w:rPr>
      </w:pPr>
      <w:r>
        <w:rPr>
          <w:kern w:val="2"/>
        </w:rPr>
        <w:fldChar w:fldCharType="end"/>
      </w:r>
      <w:bookmarkStart w:id="0" w:name="_Toc29778"/>
      <w:r>
        <w:rPr>
          <w:rFonts w:hint="eastAsia"/>
          <w:kern w:val="2"/>
        </w:rPr>
        <w:br w:type="page"/>
      </w:r>
      <w:r>
        <w:rPr>
          <w:rFonts w:hint="eastAsia" w:ascii="新宋体" w:hAnsi="新宋体" w:eastAsia="新宋体"/>
          <w:sz w:val="36"/>
        </w:rPr>
        <w:t>第一章 采购公告</w:t>
      </w:r>
      <w:bookmarkEnd w:id="0"/>
    </w:p>
    <w:p w14:paraId="153B9943">
      <w:pPr>
        <w:spacing w:line="400" w:lineRule="exact"/>
        <w:ind w:firstLine="480" w:firstLineChars="200"/>
        <w:jc w:val="center"/>
        <w:rPr>
          <w:rFonts w:hint="eastAsia" w:ascii="新宋体" w:hAnsi="新宋体" w:eastAsia="新宋体"/>
          <w:sz w:val="24"/>
        </w:rPr>
      </w:pPr>
    </w:p>
    <w:p w14:paraId="4AE679A1">
      <w:pPr>
        <w:pStyle w:val="35"/>
        <w:adjustRightInd w:val="0"/>
        <w:snapToGrid w:val="0"/>
        <w:spacing w:line="400" w:lineRule="exact"/>
        <w:ind w:firstLine="480" w:firstLineChars="200"/>
        <w:rPr>
          <w:rFonts w:hint="eastAsia" w:ascii="新宋体" w:hAnsi="新宋体" w:eastAsia="新宋体" w:cs="Times New Roman"/>
          <w:sz w:val="24"/>
          <w:szCs w:val="20"/>
        </w:rPr>
      </w:pPr>
      <w:r>
        <w:rPr>
          <w:rFonts w:ascii="新宋体" w:hAnsi="新宋体" w:eastAsia="新宋体" w:cs="Times New Roman"/>
          <w:sz w:val="24"/>
          <w:szCs w:val="20"/>
        </w:rPr>
        <w:t>根据《中华人民共和国政府采购法》等有关规定，</w:t>
      </w:r>
      <w:r>
        <w:rPr>
          <w:rFonts w:hint="eastAsia" w:ascii="新宋体" w:hAnsi="新宋体" w:eastAsia="新宋体" w:cs="Times New Roman"/>
          <w:sz w:val="24"/>
          <w:szCs w:val="20"/>
        </w:rPr>
        <w:t>义乌市政府采购中心受</w:t>
      </w:r>
      <w:r>
        <w:rPr>
          <w:rFonts w:hint="eastAsia" w:ascii="新宋体" w:hAnsi="新宋体" w:eastAsia="新宋体" w:cs="Times New Roman"/>
          <w:sz w:val="24"/>
          <w:szCs w:val="20"/>
          <w:lang w:eastAsia="zh-CN"/>
        </w:rPr>
        <w:t>义乌市机关后勤服务中心</w:t>
      </w:r>
      <w:r>
        <w:rPr>
          <w:rFonts w:hint="eastAsia" w:ascii="新宋体" w:hAnsi="新宋体" w:eastAsia="新宋体" w:cs="Times New Roman"/>
          <w:sz w:val="24"/>
          <w:szCs w:val="20"/>
        </w:rPr>
        <w:t>委托，现就</w:t>
      </w:r>
      <w:r>
        <w:rPr>
          <w:rFonts w:hint="eastAsia" w:ascii="新宋体" w:hAnsi="新宋体" w:eastAsia="新宋体" w:cs="Times New Roman"/>
          <w:sz w:val="24"/>
          <w:szCs w:val="20"/>
          <w:lang w:eastAsia="zh-CN"/>
        </w:rPr>
        <w:t>行政五号楼物业管理服务采购项目</w:t>
      </w:r>
      <w:r>
        <w:rPr>
          <w:rFonts w:hint="eastAsia" w:ascii="新宋体" w:hAnsi="新宋体" w:eastAsia="新宋体" w:cs="Times New Roman"/>
          <w:sz w:val="24"/>
          <w:szCs w:val="20"/>
        </w:rPr>
        <w:t>进行公开招标，欢迎国内合格的供应商参加投标。</w:t>
      </w:r>
    </w:p>
    <w:p w14:paraId="27ED823E">
      <w:pPr>
        <w:pStyle w:val="6"/>
        <w:spacing w:before="120" w:after="120" w:line="400" w:lineRule="exact"/>
        <w:rPr>
          <w:rFonts w:hint="eastAsia" w:ascii="新宋体" w:hAnsi="新宋体" w:eastAsia="新宋体"/>
          <w:sz w:val="28"/>
          <w:szCs w:val="28"/>
        </w:rPr>
      </w:pPr>
      <w:bookmarkStart w:id="1" w:name="_Toc29807"/>
      <w:r>
        <w:rPr>
          <w:rFonts w:hint="eastAsia" w:ascii="新宋体" w:hAnsi="新宋体" w:eastAsia="新宋体"/>
          <w:sz w:val="28"/>
          <w:szCs w:val="28"/>
        </w:rPr>
        <w:t>一、项目基本情况</w:t>
      </w:r>
      <w:bookmarkEnd w:id="1"/>
    </w:p>
    <w:p w14:paraId="7B6E76E2">
      <w:pPr>
        <w:pStyle w:val="35"/>
        <w:adjustRightInd w:val="0"/>
        <w:snapToGrid w:val="0"/>
        <w:spacing w:line="400" w:lineRule="exact"/>
        <w:ind w:firstLine="480" w:firstLineChars="200"/>
        <w:rPr>
          <w:rFonts w:hint="eastAsia" w:ascii="新宋体" w:hAnsi="新宋体" w:eastAsia="新宋体" w:cs="Times New Roman"/>
          <w:sz w:val="24"/>
          <w:szCs w:val="20"/>
          <w:lang w:eastAsia="zh-CN"/>
        </w:rPr>
      </w:pPr>
      <w:r>
        <w:rPr>
          <w:rFonts w:hint="eastAsia" w:ascii="新宋体" w:hAnsi="新宋体" w:eastAsia="新宋体" w:cs="Times New Roman"/>
          <w:sz w:val="24"/>
          <w:szCs w:val="20"/>
        </w:rPr>
        <w:t>1.项目编号：</w:t>
      </w:r>
      <w:r>
        <w:rPr>
          <w:rFonts w:hint="eastAsia" w:ascii="新宋体" w:hAnsi="新宋体" w:eastAsia="新宋体" w:cs="Times New Roman"/>
          <w:sz w:val="24"/>
          <w:szCs w:val="20"/>
          <w:lang w:eastAsia="zh-CN"/>
        </w:rPr>
        <w:t>330782260080040000044-YWCG2026023GK</w:t>
      </w:r>
    </w:p>
    <w:p w14:paraId="26DB1A6E">
      <w:pPr>
        <w:pStyle w:val="35"/>
        <w:adjustRightInd w:val="0"/>
        <w:snapToGrid w:val="0"/>
        <w:spacing w:line="400" w:lineRule="exact"/>
        <w:ind w:firstLine="480" w:firstLineChars="200"/>
        <w:rPr>
          <w:rFonts w:hint="eastAsia" w:ascii="新宋体" w:hAnsi="新宋体" w:eastAsia="新宋体" w:cs="Times New Roman"/>
          <w:sz w:val="24"/>
          <w:szCs w:val="20"/>
        </w:rPr>
      </w:pPr>
      <w:r>
        <w:rPr>
          <w:rFonts w:hint="eastAsia" w:ascii="新宋体" w:hAnsi="新宋体" w:eastAsia="新宋体" w:cs="Times New Roman"/>
          <w:sz w:val="24"/>
          <w:szCs w:val="20"/>
        </w:rPr>
        <w:t>2.项目名称：</w:t>
      </w:r>
      <w:r>
        <w:rPr>
          <w:rFonts w:hint="eastAsia" w:ascii="新宋体" w:hAnsi="新宋体" w:eastAsia="新宋体" w:cs="Times New Roman"/>
          <w:sz w:val="24"/>
          <w:szCs w:val="20"/>
          <w:lang w:eastAsia="zh-CN"/>
        </w:rPr>
        <w:t>义乌市机关后勤服务中心行政五号楼物业管理服务采购项目</w:t>
      </w:r>
    </w:p>
    <w:p w14:paraId="38BDA8C3">
      <w:pPr>
        <w:pStyle w:val="35"/>
        <w:adjustRightInd w:val="0"/>
        <w:snapToGrid w:val="0"/>
        <w:spacing w:line="400" w:lineRule="exact"/>
        <w:ind w:firstLine="480" w:firstLineChars="200"/>
        <w:rPr>
          <w:rFonts w:hint="eastAsia" w:ascii="新宋体" w:hAnsi="新宋体" w:eastAsia="新宋体" w:cs="Times New Roman"/>
          <w:sz w:val="24"/>
          <w:szCs w:val="20"/>
          <w:lang w:eastAsia="zh-CN"/>
        </w:rPr>
      </w:pPr>
      <w:r>
        <w:rPr>
          <w:rFonts w:hint="eastAsia" w:ascii="新宋体" w:hAnsi="新宋体" w:eastAsia="新宋体" w:cs="Times New Roman"/>
          <w:sz w:val="24"/>
          <w:szCs w:val="20"/>
        </w:rPr>
        <w:t>3</w:t>
      </w:r>
      <w:r>
        <w:rPr>
          <w:rFonts w:hint="eastAsia" w:ascii="新宋体" w:hAnsi="新宋体" w:eastAsia="新宋体" w:cs="Times New Roman"/>
          <w:sz w:val="24"/>
          <w:szCs w:val="20"/>
          <w:highlight w:val="none"/>
        </w:rPr>
        <w:t>.项目预算：</w:t>
      </w:r>
      <w:r>
        <w:rPr>
          <w:rFonts w:hint="eastAsia" w:ascii="新宋体" w:hAnsi="新宋体" w:eastAsia="新宋体" w:cs="Times New Roman"/>
          <w:sz w:val="24"/>
          <w:szCs w:val="20"/>
          <w:highlight w:val="none"/>
          <w:lang w:val="en-US" w:eastAsia="zh-CN"/>
        </w:rPr>
        <w:t>236.3万元</w:t>
      </w:r>
      <w:r>
        <w:rPr>
          <w:rFonts w:hint="eastAsia" w:ascii="新宋体" w:hAnsi="新宋体" w:eastAsia="新宋体" w:cs="Times New Roman"/>
          <w:sz w:val="24"/>
          <w:szCs w:val="20"/>
          <w:highlight w:val="none"/>
        </w:rPr>
        <w:t>；</w:t>
      </w:r>
      <w:r>
        <w:rPr>
          <w:rFonts w:hint="eastAsia" w:ascii="新宋体" w:hAnsi="新宋体" w:eastAsia="新宋体" w:cs="Times New Roman"/>
          <w:color w:val="000000"/>
          <w:sz w:val="24"/>
          <w:szCs w:val="20"/>
          <w:highlight w:val="none"/>
        </w:rPr>
        <w:t>最高限价：</w:t>
      </w:r>
      <w:r>
        <w:rPr>
          <w:rFonts w:hint="eastAsia" w:ascii="新宋体" w:hAnsi="新宋体" w:eastAsia="新宋体" w:cs="Times New Roman"/>
          <w:color w:val="000000"/>
          <w:sz w:val="24"/>
          <w:szCs w:val="20"/>
          <w:highlight w:val="none"/>
          <w:lang w:val="en-US" w:eastAsia="zh-CN"/>
        </w:rPr>
        <w:t>236.3</w:t>
      </w:r>
      <w:r>
        <w:rPr>
          <w:rFonts w:hint="eastAsia" w:ascii="新宋体" w:hAnsi="新宋体" w:eastAsia="新宋体"/>
          <w:color w:val="auto"/>
          <w:sz w:val="24"/>
          <w:szCs w:val="24"/>
          <w:highlight w:val="none"/>
          <w:lang w:eastAsia="zh-CN"/>
        </w:rPr>
        <w:t>万元</w:t>
      </w:r>
    </w:p>
    <w:p w14:paraId="5F01741E">
      <w:pPr>
        <w:pStyle w:val="35"/>
        <w:adjustRightInd w:val="0"/>
        <w:snapToGrid w:val="0"/>
        <w:spacing w:line="400" w:lineRule="exact"/>
        <w:ind w:firstLine="480" w:firstLineChars="200"/>
        <w:rPr>
          <w:rFonts w:hint="eastAsia" w:ascii="新宋体" w:hAnsi="新宋体" w:eastAsia="新宋体" w:cs="Times New Roman"/>
          <w:sz w:val="24"/>
          <w:szCs w:val="20"/>
        </w:rPr>
      </w:pPr>
      <w:r>
        <w:rPr>
          <w:rFonts w:hint="eastAsia" w:ascii="新宋体" w:hAnsi="新宋体" w:eastAsia="新宋体" w:cs="Times New Roman"/>
          <w:sz w:val="24"/>
          <w:szCs w:val="20"/>
        </w:rPr>
        <w:t>4.采购需求：</w:t>
      </w:r>
    </w:p>
    <w:tbl>
      <w:tblPr>
        <w:tblStyle w:val="6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545"/>
        <w:gridCol w:w="1324"/>
        <w:gridCol w:w="3785"/>
      </w:tblGrid>
      <w:tr w14:paraId="28B4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07" w:type="pct"/>
            <w:noWrap w:val="0"/>
            <w:vAlign w:val="center"/>
          </w:tcPr>
          <w:p w14:paraId="0DE878EA">
            <w:pPr>
              <w:pStyle w:val="35"/>
              <w:adjustRightInd w:val="0"/>
              <w:snapToGrid w:val="0"/>
              <w:spacing w:line="400" w:lineRule="exact"/>
              <w:jc w:val="center"/>
              <w:rPr>
                <w:rFonts w:ascii="新宋体" w:hAnsi="新宋体" w:eastAsia="新宋体"/>
                <w:sz w:val="24"/>
                <w:szCs w:val="24"/>
              </w:rPr>
            </w:pPr>
            <w:r>
              <w:rPr>
                <w:rFonts w:hint="eastAsia" w:ascii="新宋体" w:hAnsi="新宋体" w:eastAsia="新宋体"/>
                <w:sz w:val="24"/>
                <w:szCs w:val="24"/>
              </w:rPr>
              <w:t>标项</w:t>
            </w:r>
          </w:p>
        </w:tc>
        <w:tc>
          <w:tcPr>
            <w:tcW w:w="1799" w:type="pct"/>
            <w:noWrap w:val="0"/>
            <w:vAlign w:val="center"/>
          </w:tcPr>
          <w:p w14:paraId="2F0BDC2F">
            <w:pPr>
              <w:pStyle w:val="35"/>
              <w:adjustRightInd w:val="0"/>
              <w:snapToGrid w:val="0"/>
              <w:spacing w:line="400" w:lineRule="exact"/>
              <w:jc w:val="center"/>
              <w:rPr>
                <w:rFonts w:hint="eastAsia" w:ascii="新宋体" w:hAnsi="新宋体" w:eastAsia="新宋体"/>
                <w:sz w:val="24"/>
                <w:szCs w:val="24"/>
              </w:rPr>
            </w:pPr>
            <w:r>
              <w:rPr>
                <w:rFonts w:hint="eastAsia" w:ascii="新宋体" w:hAnsi="新宋体" w:eastAsia="新宋体"/>
                <w:sz w:val="24"/>
                <w:szCs w:val="24"/>
              </w:rPr>
              <w:t>标项名称</w:t>
            </w:r>
          </w:p>
        </w:tc>
        <w:tc>
          <w:tcPr>
            <w:tcW w:w="672" w:type="pct"/>
            <w:noWrap w:val="0"/>
            <w:vAlign w:val="center"/>
          </w:tcPr>
          <w:p w14:paraId="61942246">
            <w:pPr>
              <w:pStyle w:val="35"/>
              <w:adjustRightInd w:val="0"/>
              <w:snapToGrid w:val="0"/>
              <w:spacing w:line="400" w:lineRule="exact"/>
              <w:jc w:val="center"/>
              <w:rPr>
                <w:rFonts w:ascii="新宋体" w:hAnsi="新宋体" w:eastAsia="新宋体"/>
                <w:sz w:val="24"/>
                <w:szCs w:val="24"/>
              </w:rPr>
            </w:pPr>
            <w:r>
              <w:rPr>
                <w:rFonts w:hint="eastAsia" w:ascii="新宋体" w:hAnsi="新宋体" w:eastAsia="新宋体"/>
                <w:sz w:val="24"/>
                <w:szCs w:val="24"/>
              </w:rPr>
              <w:t>数量</w:t>
            </w:r>
          </w:p>
        </w:tc>
        <w:tc>
          <w:tcPr>
            <w:tcW w:w="1920" w:type="pct"/>
            <w:noWrap w:val="0"/>
            <w:vAlign w:val="center"/>
          </w:tcPr>
          <w:p w14:paraId="10175BE7">
            <w:pPr>
              <w:pStyle w:val="35"/>
              <w:adjustRightInd w:val="0"/>
              <w:snapToGrid w:val="0"/>
              <w:spacing w:line="400" w:lineRule="exact"/>
              <w:jc w:val="center"/>
              <w:rPr>
                <w:rFonts w:ascii="新宋体" w:hAnsi="新宋体" w:eastAsia="新宋体"/>
                <w:sz w:val="24"/>
                <w:szCs w:val="24"/>
              </w:rPr>
            </w:pPr>
            <w:r>
              <w:rPr>
                <w:rFonts w:hint="eastAsia" w:ascii="新宋体" w:hAnsi="新宋体" w:eastAsia="新宋体"/>
                <w:sz w:val="24"/>
                <w:szCs w:val="24"/>
              </w:rPr>
              <w:t>备注</w:t>
            </w:r>
          </w:p>
        </w:tc>
      </w:tr>
      <w:tr w14:paraId="21D3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607" w:type="pct"/>
            <w:noWrap w:val="0"/>
            <w:vAlign w:val="center"/>
          </w:tcPr>
          <w:p w14:paraId="5599E8AA">
            <w:pPr>
              <w:pStyle w:val="35"/>
              <w:adjustRightInd w:val="0"/>
              <w:snapToGrid w:val="0"/>
              <w:spacing w:line="400" w:lineRule="exact"/>
              <w:jc w:val="center"/>
              <w:rPr>
                <w:rFonts w:ascii="新宋体" w:hAnsi="新宋体" w:eastAsia="新宋体"/>
                <w:sz w:val="24"/>
                <w:szCs w:val="24"/>
              </w:rPr>
            </w:pPr>
            <w:r>
              <w:rPr>
                <w:rFonts w:hint="eastAsia" w:ascii="新宋体" w:hAnsi="新宋体" w:eastAsia="新宋体"/>
                <w:sz w:val="24"/>
                <w:szCs w:val="24"/>
              </w:rPr>
              <w:t>一</w:t>
            </w:r>
          </w:p>
        </w:tc>
        <w:tc>
          <w:tcPr>
            <w:tcW w:w="1799" w:type="pct"/>
            <w:noWrap w:val="0"/>
            <w:vAlign w:val="center"/>
          </w:tcPr>
          <w:p w14:paraId="1BE413F1">
            <w:pPr>
              <w:pStyle w:val="35"/>
              <w:adjustRightInd w:val="0"/>
              <w:snapToGrid w:val="0"/>
              <w:spacing w:line="400" w:lineRule="exact"/>
              <w:jc w:val="center"/>
              <w:rPr>
                <w:rFonts w:hint="eastAsia" w:ascii="新宋体" w:hAnsi="新宋体" w:eastAsia="新宋体"/>
                <w:sz w:val="24"/>
                <w:szCs w:val="24"/>
                <w:lang w:eastAsia="zh-CN"/>
              </w:rPr>
            </w:pPr>
            <w:r>
              <w:rPr>
                <w:rFonts w:hint="eastAsia" w:ascii="新宋体" w:hAnsi="新宋体" w:eastAsia="新宋体" w:cs="Times New Roman"/>
                <w:sz w:val="24"/>
                <w:szCs w:val="20"/>
                <w:lang w:eastAsia="zh-CN"/>
              </w:rPr>
              <w:t>义乌市机关后勤服务中心行政五号楼物业管理服务</w:t>
            </w:r>
          </w:p>
        </w:tc>
        <w:tc>
          <w:tcPr>
            <w:tcW w:w="672" w:type="pct"/>
            <w:noWrap w:val="0"/>
            <w:vAlign w:val="center"/>
          </w:tcPr>
          <w:p w14:paraId="67F7AE5F">
            <w:pPr>
              <w:pStyle w:val="35"/>
              <w:adjustRightInd w:val="0"/>
              <w:snapToGrid w:val="0"/>
              <w:spacing w:line="400" w:lineRule="exact"/>
              <w:jc w:val="center"/>
              <w:rPr>
                <w:rFonts w:hint="eastAsia" w:ascii="新宋体" w:hAnsi="新宋体" w:eastAsia="新宋体"/>
                <w:sz w:val="24"/>
                <w:szCs w:val="24"/>
                <w:lang w:eastAsia="zh-CN"/>
              </w:rPr>
            </w:pPr>
            <w:r>
              <w:rPr>
                <w:rFonts w:hint="eastAsia" w:ascii="新宋体" w:hAnsi="新宋体" w:eastAsia="新宋体"/>
                <w:sz w:val="24"/>
                <w:szCs w:val="24"/>
              </w:rPr>
              <w:t>1</w:t>
            </w:r>
            <w:r>
              <w:rPr>
                <w:rFonts w:hint="eastAsia" w:ascii="新宋体" w:hAnsi="新宋体" w:eastAsia="新宋体"/>
                <w:sz w:val="24"/>
                <w:szCs w:val="24"/>
                <w:lang w:eastAsia="zh-CN"/>
              </w:rPr>
              <w:t>年</w:t>
            </w:r>
          </w:p>
        </w:tc>
        <w:tc>
          <w:tcPr>
            <w:tcW w:w="1920" w:type="pct"/>
            <w:noWrap w:val="0"/>
            <w:vAlign w:val="center"/>
          </w:tcPr>
          <w:p w14:paraId="7A54EE40">
            <w:pPr>
              <w:pStyle w:val="35"/>
              <w:adjustRightInd w:val="0"/>
              <w:snapToGrid w:val="0"/>
              <w:spacing w:line="400" w:lineRule="exact"/>
              <w:jc w:val="left"/>
              <w:rPr>
                <w:rFonts w:ascii="新宋体" w:hAnsi="新宋体" w:eastAsia="新宋体" w:cs="Times New Roman"/>
                <w:sz w:val="24"/>
                <w:szCs w:val="20"/>
              </w:rPr>
            </w:pPr>
            <w:r>
              <w:rPr>
                <w:rFonts w:hint="eastAsia" w:ascii="新宋体" w:hAnsi="新宋体" w:eastAsia="新宋体"/>
                <w:sz w:val="24"/>
              </w:rPr>
              <w:t>具体要求，</w:t>
            </w:r>
            <w:r>
              <w:rPr>
                <w:rFonts w:hint="eastAsia" w:ascii="新宋体" w:hAnsi="新宋体" w:eastAsia="新宋体"/>
                <w:sz w:val="24"/>
                <w:szCs w:val="24"/>
              </w:rPr>
              <w:t>见</w:t>
            </w:r>
            <w:r>
              <w:rPr>
                <w:rFonts w:hint="eastAsia" w:ascii="新宋体" w:hAnsi="新宋体" w:eastAsia="新宋体" w:cs="Times New Roman"/>
                <w:sz w:val="24"/>
                <w:szCs w:val="20"/>
              </w:rPr>
              <w:t>《第三章招标项目要求》</w:t>
            </w:r>
            <w:r>
              <w:rPr>
                <w:rFonts w:hint="eastAsia" w:ascii="新宋体" w:hAnsi="新宋体" w:eastAsia="新宋体"/>
                <w:sz w:val="24"/>
                <w:szCs w:val="24"/>
              </w:rPr>
              <w:t>。</w:t>
            </w:r>
          </w:p>
        </w:tc>
      </w:tr>
    </w:tbl>
    <w:p w14:paraId="0DBB0DCB">
      <w:pPr>
        <w:pStyle w:val="35"/>
        <w:adjustRightInd w:val="0"/>
        <w:snapToGrid w:val="0"/>
        <w:spacing w:line="400" w:lineRule="exact"/>
        <w:ind w:firstLine="480" w:firstLineChars="200"/>
        <w:rPr>
          <w:rFonts w:hint="eastAsia" w:ascii="新宋体" w:hAnsi="新宋体" w:eastAsia="新宋体" w:cs="Times New Roman"/>
          <w:sz w:val="24"/>
          <w:szCs w:val="20"/>
        </w:rPr>
      </w:pPr>
      <w:r>
        <w:rPr>
          <w:rFonts w:hint="eastAsia" w:ascii="新宋体" w:hAnsi="新宋体" w:eastAsia="新宋体" w:cs="Times New Roman"/>
          <w:sz w:val="24"/>
          <w:szCs w:val="20"/>
        </w:rPr>
        <w:t>5.合同履约期限：</w:t>
      </w:r>
      <w:r>
        <w:rPr>
          <w:rFonts w:hint="eastAsia" w:hAnsi="宋体"/>
          <w:kern w:val="0"/>
          <w:sz w:val="24"/>
          <w:szCs w:val="24"/>
        </w:rPr>
        <w:t>详见第三章</w:t>
      </w:r>
      <w:r>
        <w:rPr>
          <w:rFonts w:hint="eastAsia" w:ascii="新宋体" w:hAnsi="新宋体" w:eastAsia="新宋体" w:cs="新宋体"/>
          <w:color w:val="auto"/>
          <w:sz w:val="24"/>
          <w:highlight w:val="none"/>
          <w:lang w:val="en-US" w:eastAsia="zh-CN"/>
        </w:rPr>
        <w:t>。</w:t>
      </w:r>
    </w:p>
    <w:p w14:paraId="0F5106E9">
      <w:pPr>
        <w:pStyle w:val="35"/>
        <w:adjustRightInd w:val="0"/>
        <w:snapToGrid w:val="0"/>
        <w:spacing w:line="400" w:lineRule="exact"/>
        <w:ind w:firstLine="480" w:firstLineChars="200"/>
        <w:rPr>
          <w:rFonts w:hint="eastAsia" w:ascii="新宋体" w:hAnsi="新宋体" w:eastAsia="新宋体" w:cs="Times New Roman"/>
          <w:sz w:val="24"/>
          <w:szCs w:val="20"/>
        </w:rPr>
      </w:pPr>
      <w:r>
        <w:rPr>
          <w:rFonts w:hint="eastAsia" w:ascii="新宋体" w:hAnsi="新宋体" w:eastAsia="新宋体" w:cs="Times New Roman"/>
          <w:sz w:val="24"/>
          <w:szCs w:val="20"/>
        </w:rPr>
        <w:t>6.</w:t>
      </w:r>
      <w:r>
        <w:rPr>
          <w:rFonts w:hint="eastAsia" w:ascii="新宋体" w:hAnsi="新宋体" w:eastAsia="新宋体"/>
          <w:sz w:val="24"/>
        </w:rPr>
        <w:t>本项目（</w:t>
      </w:r>
      <w:r>
        <w:rPr>
          <w:rFonts w:hint="eastAsia" w:ascii="新宋体" w:hAnsi="新宋体" w:eastAsia="新宋体" w:cs="新宋体"/>
          <w:kern w:val="0"/>
          <w:sz w:val="24"/>
        </w:rPr>
        <w:sym w:font="Wingdings" w:char="00A8"/>
      </w:r>
      <w:r>
        <w:rPr>
          <w:rFonts w:hint="eastAsia" w:ascii="新宋体" w:hAnsi="新宋体" w:eastAsia="新宋体"/>
          <w:sz w:val="24"/>
        </w:rPr>
        <w:t xml:space="preserve">是 </w:t>
      </w:r>
      <w:r>
        <w:rPr>
          <w:rFonts w:hint="eastAsia" w:ascii="新宋体" w:hAnsi="新宋体" w:eastAsia="新宋体" w:cs="新宋体"/>
          <w:kern w:val="0"/>
          <w:sz w:val="24"/>
        </w:rPr>
        <w:sym w:font="Wingdings" w:char="00FE"/>
      </w:r>
      <w:r>
        <w:rPr>
          <w:rFonts w:hint="eastAsia" w:ascii="新宋体" w:hAnsi="新宋体" w:eastAsia="新宋体"/>
          <w:sz w:val="24"/>
        </w:rPr>
        <w:t>否）接受联合体投标。</w:t>
      </w:r>
    </w:p>
    <w:p w14:paraId="73D06234">
      <w:pPr>
        <w:pStyle w:val="6"/>
        <w:spacing w:before="120" w:after="120" w:line="400" w:lineRule="exact"/>
        <w:rPr>
          <w:rFonts w:hint="eastAsia" w:ascii="新宋体" w:hAnsi="新宋体" w:eastAsia="新宋体"/>
          <w:sz w:val="28"/>
          <w:szCs w:val="28"/>
        </w:rPr>
      </w:pPr>
      <w:bookmarkStart w:id="2" w:name="_Toc3145"/>
      <w:r>
        <w:rPr>
          <w:rFonts w:hint="eastAsia" w:ascii="新宋体" w:hAnsi="新宋体" w:eastAsia="新宋体"/>
          <w:sz w:val="28"/>
          <w:szCs w:val="28"/>
        </w:rPr>
        <w:t>二、投标人的资格要求，须同时满足以下条件</w:t>
      </w:r>
      <w:bookmarkEnd w:id="2"/>
    </w:p>
    <w:p w14:paraId="51953CAE">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1.</w:t>
      </w:r>
      <w:r>
        <w:rPr>
          <w:rFonts w:hint="eastAsia" w:ascii="新宋体" w:hAnsi="新宋体" w:eastAsia="新宋体" w:cs="新宋体"/>
          <w:color w:val="auto"/>
          <w:sz w:val="24"/>
          <w:highlight w:val="none"/>
          <w:lang w:eastAsia="zh-CN"/>
        </w:rPr>
        <w:t>符合《中华人民共和国政府采购法》第二十二条供应商应当具备的条件，或符合浙财采监【2013】24号《关于规范政府采购供应商资格设定及资格审查的通知》第六条规定的供应商；</w:t>
      </w:r>
    </w:p>
    <w:p w14:paraId="688F3240">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2.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或被“信用中国”（www.creditchina.gov.cn）、中国政府采购网（www.ccgp.gov.cn）列入失信被执行人、重大税收违法</w:t>
      </w:r>
      <w:r>
        <w:rPr>
          <w:rFonts w:hint="eastAsia" w:ascii="新宋体" w:hAnsi="新宋体" w:eastAsia="新宋体" w:cs="Courier New"/>
          <w:sz w:val="24"/>
          <w:lang w:eastAsia="zh-CN"/>
        </w:rPr>
        <w:t>失信主体</w:t>
      </w:r>
      <w:r>
        <w:rPr>
          <w:rFonts w:hint="eastAsia" w:ascii="新宋体" w:hAnsi="新宋体" w:eastAsia="新宋体" w:cs="Courier New"/>
          <w:sz w:val="24"/>
        </w:rPr>
        <w:t>、政府采购严重违法失信行为记录名单的；</w:t>
      </w:r>
    </w:p>
    <w:p w14:paraId="020BB85F">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3.</w:t>
      </w:r>
      <w:r>
        <w:rPr>
          <w:rFonts w:ascii="新宋体" w:hAnsi="新宋体" w:eastAsia="新宋体" w:cs="Courier New"/>
          <w:sz w:val="24"/>
        </w:rPr>
        <w:t>投标人自</w:t>
      </w:r>
      <w:r>
        <w:rPr>
          <w:rFonts w:hint="eastAsia" w:ascii="新宋体" w:hAnsi="新宋体" w:eastAsia="新宋体" w:cs="Courier New"/>
          <w:sz w:val="24"/>
        </w:rPr>
        <w:t>202</w:t>
      </w:r>
      <w:r>
        <w:rPr>
          <w:rFonts w:hint="eastAsia" w:ascii="新宋体" w:hAnsi="新宋体" w:eastAsia="新宋体" w:cs="Courier New"/>
          <w:sz w:val="24"/>
          <w:lang w:val="en-US" w:eastAsia="zh-CN"/>
        </w:rPr>
        <w:t>3</w:t>
      </w:r>
      <w:r>
        <w:rPr>
          <w:rFonts w:hint="eastAsia" w:ascii="新宋体" w:hAnsi="新宋体" w:eastAsia="新宋体" w:cs="Courier New"/>
          <w:sz w:val="24"/>
        </w:rPr>
        <w:t>年01月01日</w:t>
      </w:r>
      <w:r>
        <w:rPr>
          <w:rFonts w:ascii="新宋体" w:hAnsi="新宋体" w:eastAsia="新宋体" w:cs="Courier New"/>
          <w:sz w:val="24"/>
        </w:rPr>
        <w:t>起</w:t>
      </w:r>
      <w:r>
        <w:rPr>
          <w:rFonts w:hint="eastAsia" w:ascii="新宋体" w:hAnsi="新宋体" w:eastAsia="新宋体" w:cs="Courier New"/>
          <w:sz w:val="24"/>
        </w:rPr>
        <w:t>至</w:t>
      </w:r>
      <w:r>
        <w:rPr>
          <w:rFonts w:ascii="新宋体" w:hAnsi="新宋体" w:eastAsia="新宋体" w:cs="Courier New"/>
          <w:sz w:val="24"/>
        </w:rPr>
        <w:t>中标公告期结束前无行贿犯罪记录</w:t>
      </w:r>
      <w:r>
        <w:rPr>
          <w:rFonts w:hint="eastAsia" w:ascii="新宋体" w:hAnsi="新宋体" w:eastAsia="新宋体" w:cs="Courier New"/>
          <w:sz w:val="24"/>
        </w:rPr>
        <w:t>；</w:t>
      </w:r>
    </w:p>
    <w:p w14:paraId="10C209D3">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4.根据《浙江省公共信用信息管理条例》第二十六条的规定，未列入严重失信名单的（查询结果以开标当日网站页面显示为准）；</w:t>
      </w:r>
    </w:p>
    <w:p w14:paraId="042F08A4">
      <w:pPr>
        <w:snapToGrid w:val="0"/>
        <w:spacing w:line="400" w:lineRule="exact"/>
        <w:ind w:firstLine="480" w:firstLineChars="200"/>
        <w:rPr>
          <w:rFonts w:hint="eastAsia" w:ascii="新宋体" w:hAnsi="新宋体" w:eastAsia="新宋体" w:cs="Courier New"/>
          <w:color w:val="000000"/>
          <w:sz w:val="24"/>
        </w:rPr>
      </w:pPr>
      <w:r>
        <w:rPr>
          <w:rFonts w:hint="eastAsia" w:ascii="新宋体" w:hAnsi="新宋体" w:eastAsia="新宋体" w:cs="Courier New"/>
          <w:color w:val="000000"/>
          <w:sz w:val="24"/>
        </w:rPr>
        <w:t>5.单位负责人为同一人或者存在直接控股、管理关系的不同供应商，不得参加同一合同项（同一标项）下的政府采购活动；为采购项目提供整体设计、规范编制或者项目管理、监理、检测等服务的供应商，不得再参加该采购项目的其他采购活动；</w:t>
      </w:r>
    </w:p>
    <w:p w14:paraId="388208CD">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6.公益一类事业单位不属于政府购买服务的承接主体，不得参与承接购买服务采购项目；</w:t>
      </w:r>
    </w:p>
    <w:p w14:paraId="52493D6B">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7.落实政府采购政策需满足的资格要求：本项目专门面向</w:t>
      </w:r>
      <w:r>
        <w:rPr>
          <w:rFonts w:hint="eastAsia" w:ascii="新宋体" w:hAnsi="新宋体" w:eastAsia="新宋体" w:cs="Courier New"/>
          <w:b/>
          <w:bCs/>
          <w:sz w:val="24"/>
          <w:u w:val="single"/>
        </w:rPr>
        <w:t>中小企业</w:t>
      </w:r>
      <w:r>
        <w:rPr>
          <w:rFonts w:hint="eastAsia" w:ascii="新宋体" w:hAnsi="新宋体" w:eastAsia="新宋体" w:cs="Courier New"/>
          <w:sz w:val="24"/>
        </w:rPr>
        <w:t>采购，中小企业是指满足《政府采购促进中小企业发展管理办法》（财库〔2020〕46号）规定的企业。供应商属于依据国务院批准的中小企业划分标准确定的中型企业、小型企业和微型企业，但与大企业的负责人为同一人，或者与大企业存在直接控股、管理关系的除外；</w:t>
      </w:r>
    </w:p>
    <w:p w14:paraId="1799ECEE">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8.本项目的特定资格要求：无。</w:t>
      </w:r>
    </w:p>
    <w:p w14:paraId="5026E9F4">
      <w:pPr>
        <w:pStyle w:val="6"/>
        <w:spacing w:before="120" w:after="120" w:line="400" w:lineRule="exact"/>
        <w:rPr>
          <w:rFonts w:hint="eastAsia" w:ascii="新宋体" w:hAnsi="新宋体" w:eastAsia="新宋体"/>
          <w:sz w:val="28"/>
          <w:szCs w:val="28"/>
        </w:rPr>
      </w:pPr>
      <w:bookmarkStart w:id="3" w:name="_Toc27478"/>
      <w:r>
        <w:rPr>
          <w:rFonts w:hint="eastAsia" w:ascii="新宋体" w:hAnsi="新宋体" w:eastAsia="新宋体"/>
          <w:sz w:val="28"/>
          <w:szCs w:val="28"/>
        </w:rPr>
        <w:t>三、采购文件（即招标文件，下同）获取时间、地点及方式</w:t>
      </w:r>
      <w:bookmarkEnd w:id="3"/>
    </w:p>
    <w:p w14:paraId="73C12971">
      <w:pPr>
        <w:snapToGrid w:val="0"/>
        <w:spacing w:line="400" w:lineRule="exact"/>
        <w:ind w:firstLine="480" w:firstLineChars="200"/>
        <w:rPr>
          <w:rFonts w:hint="eastAsia" w:ascii="新宋体" w:hAnsi="新宋体" w:eastAsia="新宋体" w:cs="Courier New"/>
          <w:color w:val="000000"/>
          <w:sz w:val="24"/>
          <w:highlight w:val="none"/>
        </w:rPr>
      </w:pPr>
      <w:r>
        <w:rPr>
          <w:rFonts w:hint="eastAsia" w:ascii="新宋体" w:hAnsi="新宋体" w:eastAsia="新宋体" w:cs="Courier New"/>
          <w:color w:val="000000"/>
          <w:sz w:val="24"/>
          <w:highlight w:val="none"/>
        </w:rPr>
        <w:t>1.时间：公告发布时间起至投标截止时间止。</w:t>
      </w:r>
    </w:p>
    <w:p w14:paraId="0AC34012">
      <w:pPr>
        <w:snapToGrid w:val="0"/>
        <w:spacing w:line="400" w:lineRule="exact"/>
        <w:ind w:firstLine="480" w:firstLineChars="200"/>
        <w:rPr>
          <w:rFonts w:hint="eastAsia" w:ascii="新宋体" w:hAnsi="新宋体" w:eastAsia="新宋体" w:cs="Courier New"/>
          <w:color w:val="000000"/>
          <w:sz w:val="24"/>
          <w:highlight w:val="none"/>
        </w:rPr>
      </w:pPr>
      <w:r>
        <w:rPr>
          <w:rFonts w:hint="eastAsia" w:ascii="新宋体" w:hAnsi="新宋体" w:eastAsia="新宋体" w:cs="Courier New"/>
          <w:color w:val="000000"/>
          <w:sz w:val="24"/>
          <w:highlight w:val="none"/>
        </w:rPr>
        <w:t>2.地点：政采云平台线上获取（</w:t>
      </w:r>
      <w:r>
        <w:rPr>
          <w:rFonts w:hint="eastAsia" w:ascii="新宋体" w:hAnsi="新宋体" w:eastAsia="新宋体" w:cs="Courier New"/>
          <w:color w:val="000000"/>
          <w:sz w:val="24"/>
          <w:highlight w:val="none"/>
        </w:rPr>
        <w:fldChar w:fldCharType="begin"/>
      </w:r>
      <w:r>
        <w:rPr>
          <w:rFonts w:hint="eastAsia" w:ascii="新宋体" w:hAnsi="新宋体" w:eastAsia="新宋体" w:cs="Courier New"/>
          <w:color w:val="000000"/>
          <w:sz w:val="24"/>
          <w:highlight w:val="none"/>
        </w:rPr>
        <w:instrText xml:space="preserve"> HYPERLINK "https://www.zcygov.cn/%EF%BC%89%EF%BC%88%E4%BB%A5%E4%B8%8B%E7%AE%80%E7%A7%B0%E2%80%9C%E6%94%BF%E9%87%87%E4%BA%91%E2%80%9D%EF%BC%89" \t "_blank" </w:instrText>
      </w:r>
      <w:r>
        <w:rPr>
          <w:rFonts w:hint="eastAsia" w:ascii="新宋体" w:hAnsi="新宋体" w:eastAsia="新宋体" w:cs="Courier New"/>
          <w:color w:val="000000"/>
          <w:sz w:val="24"/>
          <w:highlight w:val="none"/>
        </w:rPr>
        <w:fldChar w:fldCharType="separate"/>
      </w:r>
      <w:r>
        <w:rPr>
          <w:rFonts w:hint="eastAsia" w:ascii="新宋体" w:hAnsi="新宋体" w:eastAsia="新宋体" w:cs="Courier New"/>
          <w:color w:val="000000"/>
          <w:sz w:val="24"/>
          <w:highlight w:val="none"/>
        </w:rPr>
        <w:t>https://www.zcygov.cn/）（以下简称“政采云”）</w:t>
      </w:r>
      <w:r>
        <w:rPr>
          <w:rFonts w:hint="eastAsia" w:ascii="新宋体" w:hAnsi="新宋体" w:eastAsia="新宋体" w:cs="Courier New"/>
          <w:color w:val="000000"/>
          <w:sz w:val="24"/>
          <w:highlight w:val="none"/>
        </w:rPr>
        <w:fldChar w:fldCharType="end"/>
      </w:r>
      <w:r>
        <w:rPr>
          <w:rFonts w:hint="eastAsia" w:ascii="新宋体" w:hAnsi="新宋体" w:eastAsia="新宋体" w:cs="Courier New"/>
          <w:color w:val="000000"/>
          <w:sz w:val="24"/>
          <w:highlight w:val="none"/>
        </w:rPr>
        <w:t>。</w:t>
      </w:r>
    </w:p>
    <w:p w14:paraId="43943184">
      <w:pPr>
        <w:snapToGrid w:val="0"/>
        <w:spacing w:line="400" w:lineRule="exact"/>
        <w:ind w:firstLine="480" w:firstLineChars="200"/>
        <w:rPr>
          <w:rFonts w:hint="eastAsia" w:ascii="新宋体" w:hAnsi="新宋体" w:eastAsia="新宋体" w:cs="Courier New"/>
          <w:color w:val="000000"/>
          <w:sz w:val="24"/>
          <w:highlight w:val="none"/>
        </w:rPr>
      </w:pPr>
      <w:r>
        <w:rPr>
          <w:rFonts w:hint="eastAsia" w:ascii="新宋体" w:hAnsi="新宋体" w:eastAsia="新宋体" w:cs="Courier New"/>
          <w:color w:val="000000"/>
          <w:sz w:val="24"/>
          <w:highlight w:val="none"/>
        </w:rPr>
        <w:t>3.方式：供应商登录“政采云”在线申请获取采购文件（进入“项目采购”应用，在获取采购文件菜单中选择项目，申请获取采购文件）</w:t>
      </w:r>
    </w:p>
    <w:p w14:paraId="1F04F480">
      <w:pPr>
        <w:pStyle w:val="35"/>
        <w:adjustRightInd w:val="0"/>
        <w:snapToGrid w:val="0"/>
        <w:spacing w:line="400" w:lineRule="exact"/>
        <w:ind w:firstLine="480" w:firstLineChars="200"/>
        <w:rPr>
          <w:rFonts w:hint="eastAsia" w:ascii="新宋体" w:hAnsi="新宋体" w:eastAsia="新宋体"/>
          <w:color w:val="000000"/>
          <w:sz w:val="24"/>
        </w:rPr>
      </w:pPr>
      <w:r>
        <w:rPr>
          <w:rFonts w:hint="eastAsia" w:ascii="新宋体" w:hAnsi="新宋体" w:eastAsia="新宋体" w:cs="Courier New"/>
          <w:color w:val="000000"/>
          <w:sz w:val="24"/>
          <w:highlight w:val="none"/>
        </w:rPr>
        <w:t>对未在规定的期限内按照上述方式获取招标文件的潜在供应商对该文件提出的质疑，采购人、采购代理机构将不予受理。</w:t>
      </w:r>
    </w:p>
    <w:p w14:paraId="23FEC600">
      <w:pPr>
        <w:pStyle w:val="6"/>
        <w:spacing w:before="120" w:after="120" w:line="400" w:lineRule="exact"/>
        <w:rPr>
          <w:rFonts w:hint="eastAsia" w:ascii="新宋体" w:hAnsi="新宋体" w:eastAsia="新宋体"/>
          <w:color w:val="000000"/>
          <w:sz w:val="28"/>
          <w:szCs w:val="28"/>
        </w:rPr>
      </w:pPr>
      <w:bookmarkStart w:id="4" w:name="_Toc19666"/>
      <w:r>
        <w:rPr>
          <w:rFonts w:hint="eastAsia" w:ascii="新宋体" w:hAnsi="新宋体" w:eastAsia="新宋体"/>
          <w:color w:val="000000"/>
          <w:sz w:val="28"/>
          <w:szCs w:val="28"/>
        </w:rPr>
        <w:t>四、投标截止时间及地点</w:t>
      </w:r>
      <w:bookmarkEnd w:id="4"/>
    </w:p>
    <w:p w14:paraId="5186649F">
      <w:pPr>
        <w:pageBreakBefore w:val="0"/>
        <w:widowControl/>
        <w:kinsoku/>
        <w:wordWrap/>
        <w:overflowPunct/>
        <w:topLinePunct w:val="0"/>
        <w:autoSpaceDE/>
        <w:autoSpaceDN/>
        <w:bidi w:val="0"/>
        <w:snapToGrid w:val="0"/>
        <w:spacing w:line="400" w:lineRule="exact"/>
        <w:ind w:firstLine="470" w:firstLineChars="196"/>
        <w:jc w:val="left"/>
        <w:textAlignment w:val="auto"/>
        <w:rPr>
          <w:rFonts w:hint="eastAsia" w:ascii="宋体" w:hAnsi="宋体" w:eastAsia="宋体" w:cs="Courier New"/>
          <w:color w:val="000000"/>
          <w:kern w:val="0"/>
          <w:sz w:val="24"/>
          <w:highlight w:val="none"/>
        </w:rPr>
      </w:pPr>
      <w:r>
        <w:rPr>
          <w:rFonts w:hint="eastAsia" w:ascii="宋体" w:hAnsi="宋体" w:eastAsia="宋体" w:cs="Courier New"/>
          <w:color w:val="000000"/>
          <w:kern w:val="0"/>
          <w:sz w:val="24"/>
          <w:highlight w:val="none"/>
        </w:rPr>
        <w:t>1.提交投标文件截止时间：</w:t>
      </w:r>
      <w:r>
        <w:rPr>
          <w:rFonts w:hint="eastAsia" w:ascii="宋体" w:hAnsi="宋体" w:eastAsia="宋体" w:cs="Courier New"/>
          <w:color w:val="000000"/>
          <w:kern w:val="0"/>
          <w:sz w:val="24"/>
          <w:highlight w:val="none"/>
          <w:lang w:eastAsia="zh-CN"/>
        </w:rPr>
        <w:t>2026年05月21日 9:30</w:t>
      </w:r>
      <w:r>
        <w:rPr>
          <w:rFonts w:hint="eastAsia" w:ascii="宋体" w:hAnsi="宋体" w:eastAsia="宋体" w:cs="Courier New"/>
          <w:color w:val="000000"/>
          <w:kern w:val="0"/>
          <w:sz w:val="24"/>
          <w:highlight w:val="none"/>
        </w:rPr>
        <w:t>（北京时间，下同）</w:t>
      </w:r>
    </w:p>
    <w:p w14:paraId="56CB8729">
      <w:pPr>
        <w:pageBreakBefore w:val="0"/>
        <w:widowControl/>
        <w:kinsoku/>
        <w:wordWrap/>
        <w:overflowPunct/>
        <w:topLinePunct w:val="0"/>
        <w:autoSpaceDE/>
        <w:autoSpaceDN/>
        <w:bidi w:val="0"/>
        <w:snapToGrid w:val="0"/>
        <w:spacing w:line="400" w:lineRule="exact"/>
        <w:ind w:firstLine="470" w:firstLineChars="196"/>
        <w:jc w:val="left"/>
        <w:textAlignment w:val="auto"/>
        <w:rPr>
          <w:rFonts w:hint="eastAsia" w:ascii="宋体" w:hAnsi="宋体" w:eastAsia="宋体" w:cs="Courier New"/>
          <w:color w:val="000000"/>
          <w:kern w:val="0"/>
          <w:sz w:val="24"/>
          <w:highlight w:val="none"/>
        </w:rPr>
      </w:pPr>
      <w:r>
        <w:rPr>
          <w:rFonts w:hint="eastAsia" w:ascii="宋体" w:hAnsi="宋体" w:eastAsia="宋体" w:cs="Courier New"/>
          <w:color w:val="000000"/>
          <w:kern w:val="0"/>
          <w:sz w:val="24"/>
          <w:highlight w:val="none"/>
        </w:rPr>
        <w:t>2.投标地点（网址）：“政采云”（</w:t>
      </w:r>
      <w:r>
        <w:rPr>
          <w:rFonts w:hint="eastAsia" w:ascii="宋体" w:hAnsi="宋体" w:eastAsia="宋体" w:cs="Courier New"/>
          <w:color w:val="000000"/>
          <w:kern w:val="0"/>
          <w:sz w:val="24"/>
          <w:highlight w:val="none"/>
        </w:rPr>
        <w:fldChar w:fldCharType="begin"/>
      </w:r>
      <w:r>
        <w:rPr>
          <w:rFonts w:hint="eastAsia" w:ascii="宋体" w:hAnsi="宋体" w:eastAsia="宋体" w:cs="Courier New"/>
          <w:color w:val="000000"/>
          <w:kern w:val="0"/>
          <w:sz w:val="24"/>
          <w:highlight w:val="none"/>
        </w:rPr>
        <w:instrText xml:space="preserve"> HYPERLINK "https://www.zcygov.cn/%EF%BC%89" \t "_blank" </w:instrText>
      </w:r>
      <w:r>
        <w:rPr>
          <w:rFonts w:hint="eastAsia" w:ascii="宋体" w:hAnsi="宋体" w:eastAsia="宋体" w:cs="Courier New"/>
          <w:color w:val="000000"/>
          <w:kern w:val="0"/>
          <w:sz w:val="24"/>
          <w:highlight w:val="none"/>
        </w:rPr>
        <w:fldChar w:fldCharType="separate"/>
      </w:r>
      <w:r>
        <w:rPr>
          <w:rFonts w:hint="eastAsia" w:ascii="宋体" w:hAnsi="宋体" w:eastAsia="宋体" w:cs="Courier New"/>
          <w:color w:val="000000"/>
          <w:kern w:val="0"/>
          <w:sz w:val="24"/>
          <w:highlight w:val="none"/>
        </w:rPr>
        <w:t>https://www.zcygov.cn/）</w:t>
      </w:r>
      <w:r>
        <w:rPr>
          <w:rFonts w:hint="eastAsia" w:ascii="宋体" w:hAnsi="宋体" w:eastAsia="宋体" w:cs="Courier New"/>
          <w:color w:val="000000"/>
          <w:kern w:val="0"/>
          <w:sz w:val="24"/>
          <w:highlight w:val="none"/>
        </w:rPr>
        <w:fldChar w:fldCharType="end"/>
      </w:r>
    </w:p>
    <w:p w14:paraId="005A863E">
      <w:pPr>
        <w:pageBreakBefore w:val="0"/>
        <w:widowControl/>
        <w:kinsoku/>
        <w:wordWrap/>
        <w:overflowPunct/>
        <w:topLinePunct w:val="0"/>
        <w:autoSpaceDE/>
        <w:autoSpaceDN/>
        <w:bidi w:val="0"/>
        <w:snapToGrid w:val="0"/>
        <w:spacing w:line="400" w:lineRule="exact"/>
        <w:ind w:firstLine="470" w:firstLineChars="196"/>
        <w:jc w:val="left"/>
        <w:textAlignment w:val="auto"/>
        <w:rPr>
          <w:rFonts w:hint="eastAsia" w:ascii="宋体" w:hAnsi="宋体" w:eastAsia="宋体" w:cs="Courier New"/>
          <w:color w:val="000000"/>
          <w:kern w:val="0"/>
          <w:sz w:val="24"/>
          <w:highlight w:val="none"/>
        </w:rPr>
      </w:pPr>
      <w:r>
        <w:rPr>
          <w:rFonts w:hint="eastAsia" w:ascii="宋体" w:hAnsi="宋体" w:eastAsia="宋体" w:cs="Courier New"/>
          <w:color w:val="000000"/>
          <w:kern w:val="0"/>
          <w:sz w:val="24"/>
          <w:highlight w:val="none"/>
        </w:rPr>
        <w:t>3.开标时间：</w:t>
      </w:r>
      <w:r>
        <w:rPr>
          <w:rFonts w:hint="eastAsia" w:ascii="宋体" w:hAnsi="宋体" w:eastAsia="宋体" w:cs="Courier New"/>
          <w:color w:val="000000"/>
          <w:kern w:val="0"/>
          <w:sz w:val="24"/>
          <w:highlight w:val="none"/>
          <w:lang w:eastAsia="zh-CN"/>
        </w:rPr>
        <w:t>2026年05月21日</w:t>
      </w:r>
      <w:r>
        <w:rPr>
          <w:rFonts w:hint="eastAsia" w:ascii="宋体" w:hAnsi="宋体" w:eastAsia="宋体" w:cs="Courier New"/>
          <w:color w:val="000000"/>
          <w:kern w:val="0"/>
          <w:sz w:val="24"/>
          <w:highlight w:val="none"/>
        </w:rPr>
        <w:t>9:30 </w:t>
      </w:r>
    </w:p>
    <w:p w14:paraId="34BDE0B0">
      <w:pPr>
        <w:snapToGrid w:val="0"/>
        <w:spacing w:line="400" w:lineRule="exact"/>
        <w:ind w:firstLine="480" w:firstLineChars="200"/>
        <w:rPr>
          <w:rFonts w:hint="eastAsia" w:ascii="新宋体" w:hAnsi="新宋体" w:eastAsia="新宋体" w:cs="Courier New"/>
          <w:color w:val="0000FF"/>
          <w:sz w:val="24"/>
        </w:rPr>
      </w:pPr>
      <w:r>
        <w:rPr>
          <w:rFonts w:hint="eastAsia" w:ascii="宋体" w:hAnsi="宋体" w:eastAsia="宋体" w:cs="Courier New"/>
          <w:color w:val="000000"/>
          <w:kern w:val="0"/>
          <w:sz w:val="24"/>
          <w:highlight w:val="none"/>
        </w:rPr>
        <w:t>4.开标地点（网址）：“政采云”（</w:t>
      </w:r>
      <w:r>
        <w:rPr>
          <w:rFonts w:hint="eastAsia" w:ascii="宋体" w:hAnsi="宋体" w:eastAsia="宋体" w:cs="Courier New"/>
          <w:color w:val="000000"/>
          <w:kern w:val="0"/>
          <w:sz w:val="24"/>
          <w:highlight w:val="none"/>
        </w:rPr>
        <w:fldChar w:fldCharType="begin"/>
      </w:r>
      <w:r>
        <w:rPr>
          <w:rFonts w:hint="eastAsia" w:ascii="宋体" w:hAnsi="宋体" w:eastAsia="宋体" w:cs="Courier New"/>
          <w:color w:val="000000"/>
          <w:kern w:val="0"/>
          <w:sz w:val="24"/>
          <w:highlight w:val="none"/>
        </w:rPr>
        <w:instrText xml:space="preserve"> HYPERLINK "https://www.zcygov.cn/%EF%BC%89" \t "_blank" </w:instrText>
      </w:r>
      <w:r>
        <w:rPr>
          <w:rFonts w:hint="eastAsia" w:ascii="宋体" w:hAnsi="宋体" w:eastAsia="宋体" w:cs="Courier New"/>
          <w:color w:val="000000"/>
          <w:kern w:val="0"/>
          <w:sz w:val="24"/>
          <w:highlight w:val="none"/>
        </w:rPr>
        <w:fldChar w:fldCharType="separate"/>
      </w:r>
      <w:r>
        <w:rPr>
          <w:rFonts w:hint="eastAsia" w:ascii="宋体" w:hAnsi="宋体" w:eastAsia="宋体" w:cs="Courier New"/>
          <w:color w:val="000000"/>
          <w:kern w:val="0"/>
          <w:sz w:val="24"/>
          <w:highlight w:val="none"/>
        </w:rPr>
        <w:t>https://www.zcygov.cn/）</w:t>
      </w:r>
      <w:r>
        <w:rPr>
          <w:rFonts w:hint="eastAsia" w:ascii="宋体" w:hAnsi="宋体" w:eastAsia="宋体" w:cs="Courier New"/>
          <w:color w:val="000000"/>
          <w:kern w:val="0"/>
          <w:sz w:val="24"/>
          <w:highlight w:val="none"/>
        </w:rPr>
        <w:fldChar w:fldCharType="end"/>
      </w:r>
    </w:p>
    <w:p w14:paraId="2F92F69E">
      <w:pPr>
        <w:pStyle w:val="6"/>
        <w:spacing w:before="120" w:after="120" w:line="400" w:lineRule="exact"/>
        <w:rPr>
          <w:rFonts w:hint="eastAsia" w:ascii="新宋体" w:hAnsi="新宋体" w:eastAsia="新宋体"/>
          <w:sz w:val="28"/>
          <w:szCs w:val="28"/>
        </w:rPr>
      </w:pPr>
      <w:bookmarkStart w:id="5" w:name="_Toc5413"/>
      <w:r>
        <w:rPr>
          <w:rFonts w:hint="eastAsia" w:ascii="新宋体" w:hAnsi="新宋体" w:eastAsia="新宋体"/>
          <w:sz w:val="28"/>
          <w:szCs w:val="28"/>
        </w:rPr>
        <w:t>五、公告期限</w:t>
      </w:r>
      <w:bookmarkEnd w:id="5"/>
    </w:p>
    <w:p w14:paraId="14F54FD2">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自本公告发布之日起5个工作日。</w:t>
      </w:r>
    </w:p>
    <w:p w14:paraId="5E9ABA44">
      <w:pPr>
        <w:pStyle w:val="6"/>
        <w:spacing w:before="120" w:after="120" w:line="400" w:lineRule="exact"/>
        <w:rPr>
          <w:rFonts w:hint="eastAsia" w:ascii="新宋体" w:hAnsi="新宋体" w:eastAsia="新宋体"/>
          <w:sz w:val="28"/>
          <w:szCs w:val="28"/>
        </w:rPr>
      </w:pPr>
      <w:bookmarkStart w:id="6" w:name="_Toc31683"/>
      <w:r>
        <w:rPr>
          <w:rFonts w:hint="eastAsia" w:ascii="新宋体" w:hAnsi="新宋体" w:eastAsia="新宋体"/>
          <w:sz w:val="28"/>
          <w:szCs w:val="28"/>
        </w:rPr>
        <w:t>六、其他补充事宜</w:t>
      </w:r>
      <w:bookmarkEnd w:id="6"/>
    </w:p>
    <w:p w14:paraId="3062C6CB">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527F47C5">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w:t>
      </w:r>
      <w:r>
        <w:rPr>
          <w:rFonts w:hint="eastAsia" w:hAnsi="宋体" w:cs="宋体"/>
          <w:color w:val="000000"/>
          <w:sz w:val="24"/>
          <w:lang w:eastAsia="zh-CN"/>
        </w:rPr>
        <w:t>质疑供应商对在线质疑答复不满意的，可在线提起投诉，路径为：“政采云”-政府采购投诉处理-在线办理。</w:t>
      </w:r>
    </w:p>
    <w:p w14:paraId="2BCB7178">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DF2AD9C">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4.投标保证金：无。</w:t>
      </w:r>
    </w:p>
    <w:p w14:paraId="5FE80233">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5.投标与开标注意事项：</w:t>
      </w:r>
    </w:p>
    <w:p w14:paraId="034747E3">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①标前准备：本项目通过“政采云”实行在线投标（电子投标），各供应商在投标前应确保成为浙江政府采购网正式注册入库供应商，并完成CA数字证书办理。【办理流程详见电子投标工具链接：</w:t>
      </w:r>
      <w:r>
        <w:rPr>
          <w:rFonts w:hint="eastAsia" w:ascii="新宋体" w:hAnsi="新宋体" w:eastAsia="新宋体" w:cs="Courier New"/>
          <w:sz w:val="24"/>
        </w:rPr>
        <w:fldChar w:fldCharType="begin"/>
      </w:r>
      <w:r>
        <w:rPr>
          <w:rFonts w:hint="eastAsia" w:ascii="新宋体" w:hAnsi="新宋体" w:eastAsia="新宋体" w:cs="Courier New"/>
          <w:sz w:val="24"/>
        </w:rPr>
        <w:instrText xml:space="preserve"> HYPERLINK "file:///C:\\Users\\Administrator\\AppData\\Roaming\\Microsoft\\Word\\CA申领操作指南.pdf" </w:instrText>
      </w:r>
      <w:r>
        <w:rPr>
          <w:rFonts w:hint="eastAsia" w:ascii="新宋体" w:hAnsi="新宋体" w:eastAsia="新宋体" w:cs="Courier New"/>
          <w:sz w:val="24"/>
        </w:rPr>
        <w:fldChar w:fldCharType="separate"/>
      </w:r>
      <w:r>
        <w:rPr>
          <w:rFonts w:hint="eastAsia" w:ascii="新宋体" w:hAnsi="新宋体" w:eastAsia="新宋体" w:cs="Courier New"/>
          <w:sz w:val="24"/>
        </w:rPr>
        <w:t>申领操作流程</w:t>
      </w:r>
      <w:r>
        <w:rPr>
          <w:rFonts w:hint="eastAsia" w:ascii="新宋体" w:hAnsi="新宋体" w:eastAsia="新宋体" w:cs="Courier New"/>
          <w:sz w:val="24"/>
        </w:rPr>
        <w:fldChar w:fldCharType="end"/>
      </w:r>
      <w:r>
        <w:rPr>
          <w:rFonts w:hint="eastAsia" w:ascii="新宋体" w:hAnsi="新宋体" w:eastAsia="新宋体" w:cs="Courier New"/>
          <w:sz w:val="24"/>
        </w:rPr>
        <w:t>（目前“政采云”支持浙江汇信或天谷CA锁，个体工商户投标支持浙江汇信CA锁）】。因未注册入库、未办理CA数字证书等原因造成无法投标或投标失败等后果由供应商自行承担；</w:t>
      </w:r>
    </w:p>
    <w:p w14:paraId="68852AFF">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②</w:t>
      </w:r>
      <w:r>
        <w:rPr>
          <w:rFonts w:ascii="新宋体" w:hAnsi="新宋体" w:eastAsia="新宋体"/>
          <w:sz w:val="24"/>
        </w:rPr>
        <w:t>投标文件制作：投标人通过</w:t>
      </w:r>
      <w:r>
        <w:rPr>
          <w:rFonts w:hint="eastAsia" w:ascii="新宋体" w:hAnsi="新宋体" w:eastAsia="新宋体"/>
          <w:sz w:val="24"/>
        </w:rPr>
        <w:t>“政采云”</w:t>
      </w:r>
      <w:r>
        <w:rPr>
          <w:rFonts w:ascii="新宋体" w:hAnsi="新宋体" w:eastAsia="新宋体"/>
          <w:sz w:val="24"/>
        </w:rPr>
        <w:t>电子投标工具制作投标文件，电子投标工具请供应商自行前往浙江省政府采购网下载并安装，投标文件制作具体流程详见</w:t>
      </w:r>
      <w:r>
        <w:rPr>
          <w:rFonts w:hint="eastAsia" w:ascii="新宋体" w:hAnsi="新宋体" w:eastAsia="新宋体" w:cs="Courier New"/>
          <w:sz w:val="24"/>
        </w:rPr>
        <w:t>“政采云”</w:t>
      </w:r>
      <w:r>
        <w:rPr>
          <w:rFonts w:ascii="新宋体" w:hAnsi="新宋体" w:eastAsia="新宋体"/>
          <w:sz w:val="24"/>
        </w:rPr>
        <w:t>供应商项目采购</w:t>
      </w:r>
      <w:r>
        <w:rPr>
          <w:rFonts w:hint="eastAsia" w:ascii="新宋体" w:hAnsi="新宋体" w:eastAsia="新宋体"/>
          <w:sz w:val="24"/>
        </w:rPr>
        <w:t>－</w:t>
      </w:r>
      <w:r>
        <w:rPr>
          <w:rFonts w:ascii="新宋体" w:hAnsi="新宋体" w:eastAsia="新宋体"/>
          <w:sz w:val="24"/>
        </w:rPr>
        <w:t>电子招投标操作指南</w:t>
      </w:r>
      <w:r>
        <w:rPr>
          <w:rFonts w:hint="eastAsia" w:ascii="新宋体" w:hAnsi="新宋体" w:eastAsia="新宋体"/>
          <w:sz w:val="24"/>
        </w:rPr>
        <w:t>，</w:t>
      </w:r>
      <w:r>
        <w:rPr>
          <w:rFonts w:ascii="新宋体" w:hAnsi="新宋体" w:eastAsia="新宋体"/>
          <w:color w:val="000000"/>
          <w:sz w:val="24"/>
        </w:rPr>
        <w:t>以获取最新操作指南</w:t>
      </w:r>
      <w:r>
        <w:rPr>
          <w:rFonts w:hint="eastAsia" w:ascii="新宋体" w:hAnsi="新宋体" w:eastAsia="新宋体"/>
          <w:color w:val="000000"/>
          <w:sz w:val="24"/>
        </w:rPr>
        <w:t>；</w:t>
      </w:r>
    </w:p>
    <w:p w14:paraId="20439670">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③</w:t>
      </w:r>
      <w:r>
        <w:rPr>
          <w:rFonts w:hint="eastAsia" w:ascii="新宋体" w:hAnsi="新宋体" w:eastAsia="新宋体" w:cs="Courier New"/>
          <w:sz w:val="24"/>
          <w:u w:val="single"/>
        </w:rPr>
        <w:t>投标文件上传：投标人应在投标截止时间之前上传投标文件</w:t>
      </w:r>
      <w:r>
        <w:rPr>
          <w:rFonts w:hint="eastAsia" w:ascii="新宋体" w:hAnsi="新宋体" w:eastAsia="新宋体" w:cs="Courier New"/>
          <w:sz w:val="24"/>
        </w:rPr>
        <w:t>。同时，投标人可在投标截止时间前，将在“政采云”上最后生成的具备电子签章的备份加密投标文件，以电子邮件方式传送至义乌市政府采购中心邮箱（ywszfcgzx@163.com），传送的备份投标文件（文件名采用“项目编号+投标人名称+系统自动生成的后缀名”）需打包压缩并加密，加密密码由投标人自行保管。为了防止泄密，建议投标人在设置加密密码时采用大小写字母加数字的组合方式。</w:t>
      </w:r>
      <w:r>
        <w:rPr>
          <w:rFonts w:hint="eastAsia" w:ascii="新宋体" w:hAnsi="新宋体" w:eastAsia="新宋体" w:cs="Courier New"/>
          <w:b/>
          <w:bCs/>
          <w:color w:val="000000"/>
          <w:sz w:val="24"/>
        </w:rPr>
        <w:t>投标供应商仅递交备份投标文件的，投标无效</w:t>
      </w:r>
      <w:r>
        <w:rPr>
          <w:rFonts w:hint="eastAsia" w:ascii="新宋体" w:hAnsi="新宋体" w:eastAsia="新宋体" w:cs="Courier New"/>
          <w:color w:val="000000"/>
          <w:sz w:val="24"/>
        </w:rPr>
        <w:t>；</w:t>
      </w:r>
    </w:p>
    <w:p w14:paraId="6E5E3C1B">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④开标与投标文件解密：本项目采用线上开标，供应商无需到开标现场，但应准时参加线上开标。开标时间后招标方开启解密。开启解密后的1小时内，供应商应当登录“政采云”，用“项目采购－开标评标”功能解密投标文件。</w:t>
      </w:r>
    </w:p>
    <w:p w14:paraId="0F063180">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如“政采云”上投标文件在规定时间内出现解密失败的，投标人可按照自身意愿确认同意提供加密密码，启用备份文件，并由招标方把备份文件上传至“政采云”。如投标人未按照规定时间及要求提供有效备份标书，同时“政采云”上投标文件解密失败的，将导致投标无效。</w:t>
      </w:r>
    </w:p>
    <w:p w14:paraId="270A06B5">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如果投标人发送两份以上备份投标文件的，以最后收到的一份为准，通过“政采云”上传递交的“加密投标文件”已按时解密的，“备份投标文件”自动失效。</w:t>
      </w:r>
    </w:p>
    <w:p w14:paraId="4F7354B6">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6.参与在线投标时如遇平台技术问题可登录“政采云”，点击右侧咨询小采，获取采小蜜智能服务管家帮助，或拨打“政采云”服务热线95763（服务时间：工作日8：00-20：00）；电子投标制作问题详询：汪先生0579-85583800。</w:t>
      </w:r>
    </w:p>
    <w:p w14:paraId="6D2DF49E">
      <w:pPr>
        <w:snapToGrid w:val="0"/>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7.CA问题联系电话（人工）：汇信CA 400-888-4636；天谷CA 400-087-8198。</w:t>
      </w:r>
    </w:p>
    <w:p w14:paraId="2AEEEE02">
      <w:pPr>
        <w:pStyle w:val="6"/>
        <w:spacing w:before="120" w:after="120" w:line="400" w:lineRule="exact"/>
        <w:rPr>
          <w:rFonts w:hint="eastAsia" w:ascii="新宋体" w:hAnsi="新宋体" w:eastAsia="新宋体"/>
          <w:sz w:val="28"/>
          <w:szCs w:val="28"/>
        </w:rPr>
      </w:pPr>
      <w:bookmarkStart w:id="7" w:name="_Toc14167"/>
      <w:r>
        <w:rPr>
          <w:rFonts w:hint="eastAsia" w:ascii="新宋体" w:hAnsi="新宋体" w:eastAsia="新宋体"/>
          <w:sz w:val="28"/>
          <w:szCs w:val="28"/>
        </w:rPr>
        <w:t>七、对本次招标提出询问、质疑、投诉，请按以下方式联系</w:t>
      </w:r>
      <w:bookmarkEnd w:id="7"/>
    </w:p>
    <w:p w14:paraId="2AA03EC0">
      <w:pPr>
        <w:snapToGrid w:val="0"/>
        <w:spacing w:line="40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1.采购人信息</w:t>
      </w:r>
    </w:p>
    <w:p w14:paraId="3040FB03">
      <w:pPr>
        <w:pStyle w:val="35"/>
        <w:adjustRightInd w:val="0"/>
        <w:snapToGrid w:val="0"/>
        <w:spacing w:line="40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名  称：</w:t>
      </w:r>
      <w:r>
        <w:rPr>
          <w:rFonts w:hint="eastAsia" w:ascii="新宋体" w:hAnsi="新宋体" w:eastAsia="新宋体" w:cs="新宋体"/>
          <w:sz w:val="24"/>
          <w:lang w:eastAsia="zh-CN"/>
        </w:rPr>
        <w:t>义乌市机关后勤服务中心</w:t>
      </w:r>
    </w:p>
    <w:p w14:paraId="008C91FD">
      <w:pPr>
        <w:pStyle w:val="35"/>
        <w:adjustRightInd w:val="0"/>
        <w:snapToGrid w:val="0"/>
        <w:spacing w:line="400" w:lineRule="exact"/>
        <w:ind w:firstLine="480" w:firstLineChars="200"/>
        <w:rPr>
          <w:rFonts w:hint="default" w:ascii="新宋体" w:hAnsi="新宋体" w:eastAsia="新宋体" w:cs="新宋体"/>
          <w:color w:val="auto"/>
          <w:sz w:val="24"/>
          <w:highlight w:val="none"/>
          <w:lang w:val="en-US" w:eastAsia="zh-CN"/>
        </w:rPr>
      </w:pPr>
      <w:r>
        <w:rPr>
          <w:rFonts w:hint="eastAsia" w:ascii="新宋体" w:hAnsi="新宋体" w:eastAsia="新宋体" w:cs="新宋体"/>
          <w:sz w:val="24"/>
        </w:rPr>
        <w:t>地  址：</w:t>
      </w:r>
      <w:r>
        <w:rPr>
          <w:rFonts w:hint="eastAsia" w:ascii="新宋体" w:hAnsi="新宋体" w:eastAsia="新宋体" w:cs="新宋体"/>
          <w:color w:val="auto"/>
          <w:sz w:val="24"/>
          <w:highlight w:val="none"/>
          <w:lang w:eastAsia="zh-CN"/>
        </w:rPr>
        <w:t>义乌市</w:t>
      </w:r>
      <w:r>
        <w:rPr>
          <w:rFonts w:hint="eastAsia" w:ascii="新宋体" w:hAnsi="新宋体" w:eastAsia="新宋体" w:cs="新宋体"/>
          <w:color w:val="auto"/>
          <w:sz w:val="24"/>
          <w:highlight w:val="none"/>
          <w:lang w:val="en-US" w:eastAsia="zh-CN"/>
        </w:rPr>
        <w:t>县前街21号</w:t>
      </w:r>
    </w:p>
    <w:p w14:paraId="6316B28A">
      <w:pPr>
        <w:pStyle w:val="35"/>
        <w:adjustRightInd w:val="0"/>
        <w:snapToGrid w:val="0"/>
        <w:spacing w:line="400" w:lineRule="exact"/>
        <w:ind w:firstLine="480" w:firstLineChars="200"/>
        <w:rPr>
          <w:rFonts w:hint="eastAsia" w:ascii="新宋体" w:hAnsi="新宋体" w:eastAsia="新宋体" w:cs="新宋体"/>
          <w:color w:val="auto"/>
          <w:sz w:val="24"/>
          <w:szCs w:val="24"/>
          <w:highlight w:val="none"/>
          <w:lang w:eastAsia="zh-CN"/>
        </w:rPr>
      </w:pPr>
      <w:r>
        <w:rPr>
          <w:rFonts w:hint="eastAsia" w:ascii="新宋体" w:hAnsi="新宋体" w:eastAsia="新宋体" w:cs="新宋体"/>
          <w:color w:val="auto"/>
          <w:sz w:val="24"/>
          <w:szCs w:val="24"/>
          <w:highlight w:val="none"/>
        </w:rPr>
        <w:t>项目联系人：</w:t>
      </w:r>
      <w:r>
        <w:rPr>
          <w:rFonts w:hint="eastAsia" w:ascii="新宋体" w:hAnsi="新宋体" w:eastAsia="新宋体" w:cs="新宋体"/>
          <w:color w:val="auto"/>
          <w:sz w:val="24"/>
          <w:highlight w:val="none"/>
          <w:lang w:val="en-US" w:eastAsia="zh-CN"/>
        </w:rPr>
        <w:t>贾先生</w:t>
      </w:r>
    </w:p>
    <w:p w14:paraId="2E2C1327">
      <w:pPr>
        <w:pStyle w:val="35"/>
        <w:adjustRightInd w:val="0"/>
        <w:snapToGrid w:val="0"/>
        <w:spacing w:line="400" w:lineRule="exact"/>
        <w:ind w:firstLine="480" w:firstLineChars="200"/>
        <w:rPr>
          <w:rFonts w:hint="default"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rPr>
        <w:t>项目联系方式：</w:t>
      </w:r>
      <w:r>
        <w:rPr>
          <w:rFonts w:hint="eastAsia" w:ascii="新宋体" w:hAnsi="新宋体" w:eastAsia="新宋体" w:cs="新宋体"/>
          <w:color w:val="auto"/>
          <w:sz w:val="24"/>
          <w:highlight w:val="none"/>
          <w:lang w:val="en-US" w:eastAsia="zh-CN"/>
        </w:rPr>
        <w:t>18358005133</w:t>
      </w:r>
    </w:p>
    <w:p w14:paraId="0B0A2B0A">
      <w:pPr>
        <w:pStyle w:val="35"/>
        <w:adjustRightInd w:val="0"/>
        <w:snapToGrid w:val="0"/>
        <w:spacing w:line="400" w:lineRule="exact"/>
        <w:ind w:firstLine="480" w:firstLineChars="200"/>
        <w:rPr>
          <w:rFonts w:hint="eastAsia" w:ascii="新宋体" w:hAnsi="新宋体" w:eastAsia="新宋体" w:cs="新宋体"/>
          <w:color w:val="auto"/>
          <w:sz w:val="24"/>
          <w:highlight w:val="none"/>
          <w:lang w:eastAsia="zh-CN"/>
        </w:rPr>
      </w:pPr>
      <w:r>
        <w:rPr>
          <w:rFonts w:hint="eastAsia" w:ascii="新宋体" w:hAnsi="新宋体" w:eastAsia="新宋体" w:cs="新宋体"/>
          <w:color w:val="auto"/>
          <w:sz w:val="24"/>
          <w:highlight w:val="none"/>
        </w:rPr>
        <w:t>质疑联系人：</w:t>
      </w:r>
      <w:r>
        <w:rPr>
          <w:rFonts w:hint="eastAsia" w:ascii="新宋体" w:hAnsi="新宋体" w:eastAsia="新宋体" w:cs="新宋体"/>
          <w:color w:val="auto"/>
          <w:sz w:val="24"/>
          <w:highlight w:val="none"/>
          <w:lang w:eastAsia="zh-CN"/>
        </w:rPr>
        <w:t>孔先生</w:t>
      </w:r>
    </w:p>
    <w:p w14:paraId="7AAD05C8">
      <w:pPr>
        <w:widowControl/>
        <w:ind w:firstLine="480" w:firstLineChars="200"/>
        <w:jc w:val="left"/>
        <w:rPr>
          <w:rFonts w:hint="default" w:ascii="新宋体" w:hAnsi="新宋体" w:eastAsia="新宋体" w:cs="新宋体"/>
          <w:color w:val="auto"/>
          <w:sz w:val="24"/>
          <w:highlight w:val="none"/>
          <w:lang w:val="en-US" w:eastAsia="zh-CN"/>
        </w:rPr>
      </w:pPr>
      <w:r>
        <w:rPr>
          <w:rFonts w:hint="eastAsia" w:ascii="新宋体" w:hAnsi="新宋体" w:eastAsia="新宋体" w:cs="新宋体"/>
          <w:color w:val="auto"/>
          <w:sz w:val="24"/>
          <w:highlight w:val="none"/>
        </w:rPr>
        <w:t>质疑联系方式：</w:t>
      </w:r>
      <w:r>
        <w:rPr>
          <w:rFonts w:hint="eastAsia" w:ascii="新宋体" w:hAnsi="新宋体" w:eastAsia="新宋体" w:cs="新宋体"/>
          <w:color w:val="auto"/>
          <w:sz w:val="24"/>
          <w:highlight w:val="none"/>
          <w:lang w:val="en-US" w:eastAsia="zh-CN"/>
        </w:rPr>
        <w:t>0579-</w:t>
      </w:r>
      <w:r>
        <w:rPr>
          <w:rFonts w:hint="eastAsia" w:ascii="新宋体" w:hAnsi="新宋体" w:eastAsia="新宋体" w:cs="新宋体"/>
          <w:i w:val="0"/>
          <w:iCs w:val="0"/>
          <w:caps w:val="0"/>
          <w:color w:val="auto"/>
          <w:spacing w:val="0"/>
          <w:kern w:val="2"/>
          <w:sz w:val="24"/>
          <w:szCs w:val="24"/>
          <w:highlight w:val="none"/>
          <w:shd w:val="clear" w:color="auto" w:fill="auto"/>
          <w:lang w:val="en-US" w:eastAsia="zh-CN" w:bidi="ar"/>
        </w:rPr>
        <w:t>85528842</w:t>
      </w:r>
    </w:p>
    <w:p w14:paraId="2506A8A8">
      <w:pPr>
        <w:snapToGrid w:val="0"/>
        <w:spacing w:line="40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2.采购代理机构信息</w:t>
      </w:r>
    </w:p>
    <w:p w14:paraId="22ADB827">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名  称：义乌市政府采购中心</w:t>
      </w:r>
    </w:p>
    <w:p w14:paraId="56A131F1">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  址：义乌市望道路300号4楼</w:t>
      </w:r>
    </w:p>
    <w:p w14:paraId="60F64E70">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传   真：0579-85570067</w:t>
      </w:r>
    </w:p>
    <w:p w14:paraId="4B8995DA">
      <w:pPr>
        <w:pStyle w:val="35"/>
        <w:adjustRightInd w:val="0"/>
        <w:snapToGrid w:val="0"/>
        <w:spacing w:line="400" w:lineRule="exact"/>
        <w:ind w:firstLine="480" w:firstLineChars="200"/>
        <w:rPr>
          <w:rFonts w:hint="eastAsia" w:ascii="新宋体" w:hAnsi="新宋体" w:eastAsia="新宋体" w:cs="新宋体"/>
          <w:sz w:val="24"/>
          <w:lang w:eastAsia="zh-CN"/>
        </w:rPr>
      </w:pPr>
      <w:r>
        <w:rPr>
          <w:rFonts w:hint="eastAsia" w:ascii="新宋体" w:hAnsi="新宋体" w:eastAsia="新宋体" w:cs="新宋体"/>
          <w:sz w:val="24"/>
        </w:rPr>
        <w:t>项目联系人：</w:t>
      </w:r>
      <w:r>
        <w:rPr>
          <w:rFonts w:hint="eastAsia" w:ascii="新宋体" w:hAnsi="新宋体" w:eastAsia="新宋体" w:cs="新宋体"/>
          <w:sz w:val="24"/>
          <w:lang w:eastAsia="zh-CN"/>
        </w:rPr>
        <w:t>陈女士</w:t>
      </w:r>
    </w:p>
    <w:p w14:paraId="3B15576F">
      <w:pPr>
        <w:pStyle w:val="35"/>
        <w:adjustRightInd w:val="0"/>
        <w:snapToGrid w:val="0"/>
        <w:spacing w:line="400" w:lineRule="exact"/>
        <w:ind w:firstLine="480" w:firstLineChars="200"/>
        <w:rPr>
          <w:rFonts w:hint="eastAsia" w:ascii="新宋体" w:hAnsi="新宋体" w:eastAsia="新宋体" w:cs="新宋体"/>
          <w:sz w:val="24"/>
          <w:lang w:val="en-US" w:eastAsia="zh-CN"/>
        </w:rPr>
      </w:pPr>
      <w:r>
        <w:rPr>
          <w:rFonts w:hint="eastAsia" w:ascii="新宋体" w:hAnsi="新宋体" w:eastAsia="新宋体" w:cs="新宋体"/>
          <w:sz w:val="24"/>
        </w:rPr>
        <w:t>项目联系方式：0579-8558380</w:t>
      </w:r>
      <w:r>
        <w:rPr>
          <w:rFonts w:hint="eastAsia" w:ascii="新宋体" w:hAnsi="新宋体" w:eastAsia="新宋体" w:cs="新宋体"/>
          <w:sz w:val="24"/>
          <w:lang w:val="en-US" w:eastAsia="zh-CN"/>
        </w:rPr>
        <w:t>7</w:t>
      </w:r>
    </w:p>
    <w:p w14:paraId="5DD3C28E">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质疑联系人：洪女士</w:t>
      </w:r>
    </w:p>
    <w:p w14:paraId="2E09D440">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质疑联系方式：0579-85232979</w:t>
      </w:r>
    </w:p>
    <w:p w14:paraId="1AF9A61D">
      <w:pPr>
        <w:snapToGrid w:val="0"/>
        <w:spacing w:line="40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3.同级政府采购监督管理部门</w:t>
      </w:r>
    </w:p>
    <w:p w14:paraId="0E89B0BB">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名  称：义乌市财政局</w:t>
      </w:r>
    </w:p>
    <w:p w14:paraId="147CC363">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地  址：义乌市望道路300号</w:t>
      </w:r>
      <w:r>
        <w:rPr>
          <w:rFonts w:hint="eastAsia" w:ascii="新宋体" w:hAnsi="新宋体" w:eastAsia="新宋体" w:cs="新宋体"/>
          <w:sz w:val="24"/>
          <w:lang w:val="en-US" w:eastAsia="zh-CN"/>
        </w:rPr>
        <w:t>4</w:t>
      </w:r>
      <w:r>
        <w:rPr>
          <w:rFonts w:hint="eastAsia" w:ascii="新宋体" w:hAnsi="新宋体" w:eastAsia="新宋体" w:cs="新宋体"/>
          <w:sz w:val="24"/>
        </w:rPr>
        <w:t>楼</w:t>
      </w:r>
    </w:p>
    <w:p w14:paraId="0F620497">
      <w:pPr>
        <w:pStyle w:val="35"/>
        <w:adjustRightInd w:val="0"/>
        <w:snapToGrid w:val="0"/>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联系人 ：</w:t>
      </w:r>
      <w:r>
        <w:rPr>
          <w:rFonts w:hint="eastAsia" w:ascii="国标宋体" w:hAnsi="国标宋体" w:eastAsia="国标宋体" w:cs="国标宋体"/>
          <w:color w:val="auto"/>
          <w:sz w:val="24"/>
          <w:lang w:eastAsia="zh-CN"/>
        </w:rPr>
        <w:t>郭先生</w:t>
      </w:r>
    </w:p>
    <w:p w14:paraId="70A87815">
      <w:pPr>
        <w:pStyle w:val="35"/>
        <w:adjustRightInd w:val="0"/>
        <w:snapToGrid w:val="0"/>
        <w:spacing w:line="400" w:lineRule="exact"/>
        <w:ind w:firstLine="480" w:firstLineChars="200"/>
        <w:rPr>
          <w:rFonts w:hint="default" w:ascii="国标宋体" w:hAnsi="国标宋体" w:eastAsia="国标宋体" w:cs="国标宋体"/>
          <w:color w:val="auto"/>
          <w:sz w:val="24"/>
          <w:szCs w:val="24"/>
          <w:lang w:val="en-US"/>
        </w:rPr>
      </w:pPr>
      <w:r>
        <w:rPr>
          <w:rFonts w:hint="eastAsia" w:ascii="新宋体" w:hAnsi="新宋体" w:eastAsia="新宋体" w:cs="新宋体"/>
          <w:sz w:val="24"/>
        </w:rPr>
        <w:t>监督投诉电话：</w:t>
      </w:r>
      <w:r>
        <w:rPr>
          <w:rFonts w:hint="eastAsia" w:ascii="国标宋体" w:hAnsi="国标宋体" w:eastAsia="国标宋体" w:cs="国标宋体"/>
          <w:color w:val="auto"/>
          <w:sz w:val="24"/>
        </w:rPr>
        <w:t>0579-899150</w:t>
      </w:r>
      <w:r>
        <w:rPr>
          <w:rFonts w:hint="eastAsia" w:ascii="国标宋体" w:hAnsi="国标宋体" w:eastAsia="国标宋体" w:cs="国标宋体"/>
          <w:color w:val="auto"/>
          <w:sz w:val="24"/>
          <w:lang w:val="en-US" w:eastAsia="zh-CN"/>
        </w:rPr>
        <w:t>58</w:t>
      </w:r>
    </w:p>
    <w:p w14:paraId="1153C40B">
      <w:pPr>
        <w:pStyle w:val="35"/>
        <w:adjustRightInd w:val="0"/>
        <w:snapToGrid w:val="0"/>
        <w:spacing w:line="400" w:lineRule="exact"/>
        <w:ind w:firstLine="480" w:firstLineChars="200"/>
        <w:rPr>
          <w:rFonts w:ascii="新宋体" w:hAnsi="新宋体" w:eastAsia="新宋体"/>
          <w:sz w:val="24"/>
          <w:szCs w:val="24"/>
        </w:rPr>
      </w:pPr>
    </w:p>
    <w:p w14:paraId="6F9683DE">
      <w:pPr>
        <w:pStyle w:val="35"/>
        <w:adjustRightInd w:val="0"/>
        <w:snapToGrid w:val="0"/>
        <w:spacing w:line="400" w:lineRule="exact"/>
        <w:ind w:firstLine="6720" w:firstLineChars="2800"/>
        <w:rPr>
          <w:rFonts w:hint="eastAsia" w:ascii="新宋体" w:hAnsi="新宋体" w:eastAsia="新宋体"/>
          <w:sz w:val="24"/>
          <w:szCs w:val="24"/>
        </w:rPr>
      </w:pPr>
    </w:p>
    <w:p w14:paraId="0986E669">
      <w:pPr>
        <w:pStyle w:val="35"/>
        <w:adjustRightInd w:val="0"/>
        <w:snapToGrid w:val="0"/>
        <w:spacing w:line="400" w:lineRule="exact"/>
        <w:ind w:firstLine="7440" w:firstLineChars="3100"/>
        <w:rPr>
          <w:rFonts w:hint="eastAsia" w:ascii="新宋体" w:hAnsi="新宋体" w:eastAsia="新宋体"/>
          <w:sz w:val="24"/>
          <w:szCs w:val="24"/>
          <w:lang w:eastAsia="zh-CN"/>
        </w:rPr>
      </w:pPr>
    </w:p>
    <w:p w14:paraId="42144BC2">
      <w:pPr>
        <w:pStyle w:val="35"/>
        <w:adjustRightInd w:val="0"/>
        <w:snapToGrid w:val="0"/>
        <w:spacing w:line="400" w:lineRule="exact"/>
        <w:ind w:firstLine="6960" w:firstLineChars="2900"/>
        <w:rPr>
          <w:rFonts w:hint="eastAsia" w:ascii="新宋体" w:hAnsi="新宋体" w:eastAsia="新宋体"/>
          <w:sz w:val="24"/>
          <w:szCs w:val="24"/>
          <w:lang w:eastAsia="zh-CN"/>
        </w:rPr>
      </w:pPr>
      <w:r>
        <w:rPr>
          <w:rFonts w:hint="eastAsia" w:ascii="新宋体" w:hAnsi="新宋体" w:eastAsia="新宋体"/>
          <w:sz w:val="24"/>
          <w:szCs w:val="24"/>
          <w:lang w:eastAsia="zh-CN"/>
        </w:rPr>
        <w:t>义乌市机关后勤服务中心</w:t>
      </w:r>
    </w:p>
    <w:p w14:paraId="07AD29D6">
      <w:pPr>
        <w:pStyle w:val="35"/>
        <w:adjustRightInd w:val="0"/>
        <w:snapToGrid w:val="0"/>
        <w:spacing w:line="400" w:lineRule="exact"/>
        <w:ind w:firstLine="7440" w:firstLineChars="3100"/>
        <w:rPr>
          <w:rFonts w:hint="eastAsia" w:ascii="新宋体" w:hAnsi="新宋体" w:eastAsia="新宋体"/>
          <w:sz w:val="24"/>
          <w:szCs w:val="24"/>
        </w:rPr>
      </w:pPr>
      <w:r>
        <w:rPr>
          <w:rFonts w:hint="eastAsia" w:ascii="新宋体" w:hAnsi="新宋体" w:eastAsia="新宋体"/>
          <w:sz w:val="24"/>
          <w:szCs w:val="24"/>
        </w:rPr>
        <w:t>义乌市政府采购中心</w:t>
      </w:r>
    </w:p>
    <w:p w14:paraId="2DB31B86">
      <w:pPr>
        <w:pStyle w:val="35"/>
        <w:adjustRightInd w:val="0"/>
        <w:snapToGrid w:val="0"/>
        <w:spacing w:line="400" w:lineRule="exact"/>
        <w:ind w:firstLine="7680" w:firstLineChars="3200"/>
        <w:rPr>
          <w:rFonts w:hint="eastAsia" w:ascii="新宋体" w:hAnsi="新宋体" w:eastAsia="新宋体"/>
          <w:sz w:val="24"/>
          <w:szCs w:val="24"/>
        </w:rPr>
      </w:pPr>
      <w:r>
        <w:rPr>
          <w:rFonts w:hint="eastAsia" w:ascii="新宋体" w:hAnsi="新宋体" w:eastAsia="新宋体"/>
          <w:sz w:val="24"/>
          <w:szCs w:val="24"/>
        </w:rPr>
        <w:t>202</w:t>
      </w:r>
      <w:r>
        <w:rPr>
          <w:rFonts w:hint="eastAsia" w:ascii="新宋体" w:hAnsi="新宋体" w:eastAsia="新宋体"/>
          <w:sz w:val="24"/>
          <w:szCs w:val="24"/>
          <w:lang w:val="en-US" w:eastAsia="zh-CN"/>
        </w:rPr>
        <w:t>6</w:t>
      </w:r>
      <w:r>
        <w:rPr>
          <w:rFonts w:hint="eastAsia" w:ascii="新宋体" w:hAnsi="新宋体" w:eastAsia="新宋体"/>
          <w:sz w:val="24"/>
          <w:szCs w:val="24"/>
        </w:rPr>
        <w:t>年</w:t>
      </w:r>
      <w:r>
        <w:rPr>
          <w:rFonts w:hint="eastAsia" w:ascii="新宋体" w:hAnsi="新宋体" w:eastAsia="新宋体"/>
          <w:sz w:val="24"/>
          <w:szCs w:val="24"/>
          <w:lang w:val="en-US" w:eastAsia="zh-CN"/>
        </w:rPr>
        <w:t>04</w:t>
      </w:r>
      <w:r>
        <w:rPr>
          <w:rFonts w:hint="eastAsia" w:ascii="新宋体" w:hAnsi="新宋体" w:eastAsia="新宋体"/>
          <w:sz w:val="24"/>
          <w:szCs w:val="24"/>
        </w:rPr>
        <w:t>月</w:t>
      </w:r>
      <w:r>
        <w:rPr>
          <w:rFonts w:hint="eastAsia" w:ascii="新宋体" w:hAnsi="新宋体" w:eastAsia="新宋体"/>
          <w:sz w:val="24"/>
          <w:szCs w:val="24"/>
          <w:lang w:val="en-US" w:eastAsia="zh-CN"/>
        </w:rPr>
        <w:t>29</w:t>
      </w:r>
      <w:r>
        <w:rPr>
          <w:rFonts w:hint="eastAsia" w:ascii="新宋体" w:hAnsi="新宋体" w:eastAsia="新宋体"/>
          <w:sz w:val="24"/>
          <w:szCs w:val="24"/>
        </w:rPr>
        <w:t>日</w:t>
      </w:r>
    </w:p>
    <w:p w14:paraId="0211FCC9">
      <w:pPr>
        <w:pStyle w:val="35"/>
        <w:adjustRightInd w:val="0"/>
        <w:snapToGrid w:val="0"/>
        <w:spacing w:line="400" w:lineRule="exact"/>
        <w:ind w:firstLine="7320" w:firstLineChars="3050"/>
        <w:rPr>
          <w:rFonts w:hint="eastAsia" w:ascii="新宋体" w:hAnsi="新宋体" w:eastAsia="新宋体"/>
          <w:sz w:val="24"/>
          <w:szCs w:val="24"/>
        </w:rPr>
      </w:pPr>
    </w:p>
    <w:p w14:paraId="07E4AF18">
      <w:pPr>
        <w:pStyle w:val="5"/>
        <w:numPr>
          <w:ilvl w:val="0"/>
          <w:numId w:val="0"/>
        </w:numPr>
        <w:spacing w:before="0" w:after="0" w:line="520" w:lineRule="exact"/>
        <w:jc w:val="center"/>
        <w:rPr>
          <w:rFonts w:hint="eastAsia" w:ascii="新宋体" w:hAnsi="新宋体" w:eastAsia="新宋体"/>
          <w:sz w:val="36"/>
        </w:rPr>
      </w:pPr>
      <w:r>
        <w:rPr>
          <w:rFonts w:hint="eastAsia" w:ascii="新宋体" w:hAnsi="新宋体" w:eastAsia="新宋体"/>
          <w:sz w:val="24"/>
          <w:szCs w:val="24"/>
        </w:rPr>
        <w:br w:type="page"/>
      </w:r>
      <w:bookmarkStart w:id="8" w:name="_Toc476731359"/>
      <w:bookmarkStart w:id="9" w:name="_Toc27585"/>
      <w:r>
        <w:rPr>
          <w:rFonts w:hint="eastAsia" w:ascii="新宋体" w:hAnsi="新宋体" w:eastAsia="新宋体"/>
          <w:sz w:val="36"/>
        </w:rPr>
        <w:t>第二章 投标须知前附表和</w:t>
      </w:r>
      <w:bookmarkEnd w:id="8"/>
      <w:r>
        <w:rPr>
          <w:rFonts w:hint="eastAsia" w:ascii="新宋体" w:hAnsi="新宋体" w:eastAsia="新宋体"/>
          <w:sz w:val="36"/>
        </w:rPr>
        <w:t>投标须知</w:t>
      </w:r>
      <w:bookmarkEnd w:id="9"/>
    </w:p>
    <w:p w14:paraId="71CDD25D">
      <w:pPr>
        <w:spacing w:line="400" w:lineRule="exact"/>
        <w:ind w:firstLine="602" w:firstLineChars="200"/>
        <w:jc w:val="center"/>
        <w:rPr>
          <w:rFonts w:hint="eastAsia" w:ascii="新宋体" w:hAnsi="新宋体" w:eastAsia="新宋体"/>
          <w:b/>
          <w:sz w:val="30"/>
          <w:szCs w:val="30"/>
        </w:rPr>
      </w:pPr>
      <w:r>
        <w:rPr>
          <w:rFonts w:hint="eastAsia" w:ascii="新宋体" w:hAnsi="新宋体" w:eastAsia="新宋体"/>
          <w:b/>
          <w:sz w:val="30"/>
          <w:szCs w:val="30"/>
        </w:rPr>
        <w:t>投标须知前附表</w:t>
      </w:r>
    </w:p>
    <w:tbl>
      <w:tblPr>
        <w:tblStyle w:val="63"/>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720"/>
        <w:gridCol w:w="7610"/>
      </w:tblGrid>
      <w:tr w14:paraId="0C6A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49" w:type="pct"/>
            <w:noWrap w:val="0"/>
            <w:vAlign w:val="center"/>
          </w:tcPr>
          <w:p w14:paraId="4C272FAC">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b/>
                <w:sz w:val="24"/>
              </w:rPr>
            </w:pPr>
            <w:r>
              <w:rPr>
                <w:rFonts w:hint="eastAsia" w:ascii="新宋体" w:hAnsi="新宋体" w:eastAsia="新宋体"/>
                <w:b/>
                <w:sz w:val="24"/>
              </w:rPr>
              <w:t>序号</w:t>
            </w:r>
          </w:p>
        </w:tc>
        <w:tc>
          <w:tcPr>
            <w:tcW w:w="4750" w:type="pct"/>
            <w:gridSpan w:val="2"/>
            <w:noWrap w:val="0"/>
            <w:vAlign w:val="center"/>
          </w:tcPr>
          <w:p w14:paraId="5B723A18">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b/>
                <w:sz w:val="24"/>
              </w:rPr>
            </w:pPr>
            <w:r>
              <w:rPr>
                <w:rFonts w:hint="eastAsia" w:ascii="新宋体" w:hAnsi="新宋体" w:eastAsia="新宋体"/>
                <w:b/>
                <w:sz w:val="24"/>
              </w:rPr>
              <w:t>内容规定</w:t>
            </w:r>
          </w:p>
        </w:tc>
      </w:tr>
      <w:tr w14:paraId="057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249" w:type="pct"/>
            <w:noWrap w:val="0"/>
            <w:vAlign w:val="center"/>
          </w:tcPr>
          <w:p w14:paraId="6EE89362">
            <w:pPr>
              <w:keepNext w:val="0"/>
              <w:keepLines w:val="0"/>
              <w:pageBreakBefore w:val="0"/>
              <w:widowControl w:val="0"/>
              <w:kinsoku/>
              <w:wordWrap/>
              <w:overflowPunct/>
              <w:topLinePunct w:val="0"/>
              <w:autoSpaceDE/>
              <w:autoSpaceDN/>
              <w:bidi w:val="0"/>
              <w:spacing w:line="400" w:lineRule="exact"/>
              <w:ind w:firstLine="240" w:firstLineChars="100"/>
              <w:rPr>
                <w:rFonts w:hint="eastAsia" w:ascii="新宋体" w:hAnsi="新宋体" w:eastAsia="新宋体"/>
                <w:sz w:val="24"/>
              </w:rPr>
            </w:pPr>
            <w:r>
              <w:rPr>
                <w:rFonts w:hint="eastAsia" w:ascii="新宋体" w:hAnsi="新宋体" w:eastAsia="新宋体"/>
                <w:sz w:val="24"/>
              </w:rPr>
              <w:t>1</w:t>
            </w:r>
          </w:p>
        </w:tc>
        <w:tc>
          <w:tcPr>
            <w:tcW w:w="875" w:type="pct"/>
            <w:noWrap w:val="0"/>
            <w:vAlign w:val="center"/>
          </w:tcPr>
          <w:p w14:paraId="2620D063">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项目综合说明</w:t>
            </w:r>
          </w:p>
        </w:tc>
        <w:tc>
          <w:tcPr>
            <w:tcW w:w="3875" w:type="pct"/>
            <w:noWrap w:val="0"/>
            <w:vAlign w:val="center"/>
          </w:tcPr>
          <w:p w14:paraId="17252532">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lang w:eastAsia="zh-CN"/>
              </w:rPr>
            </w:pPr>
            <w:r>
              <w:rPr>
                <w:rFonts w:hint="eastAsia" w:ascii="新宋体" w:hAnsi="新宋体" w:eastAsia="新宋体" w:cs="新宋体"/>
                <w:sz w:val="24"/>
              </w:rPr>
              <w:t>1.项目名称：</w:t>
            </w:r>
            <w:r>
              <w:rPr>
                <w:rFonts w:hint="eastAsia" w:ascii="新宋体" w:hAnsi="新宋体" w:eastAsia="新宋体" w:cs="新宋体"/>
                <w:sz w:val="24"/>
                <w:lang w:eastAsia="zh-CN"/>
              </w:rPr>
              <w:t>义乌市机关后勤服务中心行政五号楼物业管理服务采购项目</w:t>
            </w:r>
          </w:p>
          <w:p w14:paraId="3060B856">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2.本项目属性：</w:t>
            </w:r>
            <w:r>
              <w:rPr>
                <w:rFonts w:hint="eastAsia" w:ascii="新宋体" w:hAnsi="新宋体" w:eastAsia="新宋体" w:cs="新宋体"/>
                <w:sz w:val="24"/>
                <w:u w:val="single"/>
              </w:rPr>
              <w:t xml:space="preserve">    ②    </w:t>
            </w:r>
            <w:r>
              <w:rPr>
                <w:rFonts w:hint="eastAsia" w:ascii="新宋体" w:hAnsi="新宋体" w:eastAsia="新宋体" w:cs="新宋体"/>
                <w:sz w:val="24"/>
              </w:rPr>
              <w:t>。（①货物类/②服务类）</w:t>
            </w:r>
          </w:p>
          <w:p w14:paraId="41394AF7">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Courier New"/>
                <w:sz w:val="24"/>
              </w:rPr>
            </w:pPr>
            <w:r>
              <w:rPr>
                <w:rFonts w:hint="eastAsia" w:ascii="新宋体" w:hAnsi="新宋体" w:eastAsia="新宋体" w:cs="新宋体"/>
                <w:sz w:val="24"/>
              </w:rPr>
              <w:t>3.采购内容及数量：具体内容，详见《第三章招标项目要求》。</w:t>
            </w:r>
          </w:p>
          <w:p w14:paraId="10B94038">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Courier New"/>
                <w:sz w:val="24"/>
              </w:rPr>
              <w:t>4.</w:t>
            </w:r>
            <w:r>
              <w:rPr>
                <w:rFonts w:hint="eastAsia" w:ascii="新宋体" w:hAnsi="新宋体" w:eastAsia="新宋体" w:cs="新宋体"/>
                <w:sz w:val="24"/>
              </w:rPr>
              <w:t>本项目</w:t>
            </w:r>
            <w:r>
              <w:rPr>
                <w:rFonts w:hint="eastAsia" w:ascii="新宋体" w:hAnsi="新宋体" w:eastAsia="新宋体" w:cs="Courier New"/>
                <w:b/>
                <w:bCs/>
                <w:i/>
                <w:iCs/>
                <w:sz w:val="24"/>
                <w:u w:val="single"/>
              </w:rPr>
              <w:t>采购标的</w:t>
            </w:r>
            <w:r>
              <w:rPr>
                <w:rFonts w:hint="eastAsia" w:ascii="新宋体" w:hAnsi="新宋体" w:eastAsia="新宋体" w:cs="新宋体"/>
                <w:sz w:val="24"/>
              </w:rPr>
              <w:t>（具体内容见第三章）对应的所属行业：</w:t>
            </w:r>
            <w:r>
              <w:rPr>
                <w:rFonts w:hint="eastAsia" w:ascii="新宋体" w:hAnsi="新宋体" w:eastAsia="新宋体" w:cs="Courier New"/>
                <w:b/>
                <w:bCs/>
                <w:i/>
                <w:iCs/>
                <w:sz w:val="24"/>
                <w:u w:val="single"/>
              </w:rPr>
              <w:t>物业管理</w:t>
            </w:r>
            <w:r>
              <w:rPr>
                <w:rFonts w:hint="eastAsia" w:ascii="新宋体" w:hAnsi="新宋体" w:eastAsia="新宋体" w:cs="新宋体"/>
                <w:sz w:val="24"/>
              </w:rPr>
              <w:t>。划型标准；从业人员1000人以下或营业收入5000万元以下的为</w:t>
            </w:r>
            <w:r>
              <w:rPr>
                <w:rFonts w:hint="eastAsia" w:ascii="新宋体" w:hAnsi="新宋体" w:eastAsia="新宋体" w:cs="Courier New"/>
                <w:b/>
                <w:bCs/>
                <w:i/>
                <w:iCs/>
                <w:sz w:val="24"/>
                <w:u w:val="single"/>
              </w:rPr>
              <w:t>中小微型企业</w:t>
            </w:r>
            <w:r>
              <w:rPr>
                <w:rFonts w:hint="eastAsia" w:ascii="新宋体" w:hAnsi="新宋体" w:eastAsia="新宋体" w:cs="新宋体"/>
                <w:sz w:val="24"/>
              </w:rPr>
              <w:t>。其中，从业人员300人及以上，且营业收入1000万元及以上的为</w:t>
            </w:r>
            <w:r>
              <w:rPr>
                <w:rFonts w:hint="eastAsia" w:ascii="新宋体" w:hAnsi="新宋体" w:eastAsia="新宋体" w:cs="Courier New"/>
                <w:b/>
                <w:bCs/>
                <w:i/>
                <w:iCs/>
                <w:sz w:val="24"/>
                <w:u w:val="single"/>
              </w:rPr>
              <w:t>中型企业</w:t>
            </w:r>
            <w:r>
              <w:rPr>
                <w:rFonts w:hint="eastAsia" w:ascii="新宋体" w:hAnsi="新宋体" w:eastAsia="新宋体" w:cs="新宋体"/>
                <w:sz w:val="24"/>
              </w:rPr>
              <w:t>；从业人员100人及以上，且营业收入500万元及以上的为</w:t>
            </w:r>
            <w:r>
              <w:rPr>
                <w:rFonts w:hint="eastAsia" w:ascii="新宋体" w:hAnsi="新宋体" w:eastAsia="新宋体" w:cs="Courier New"/>
                <w:b/>
                <w:bCs/>
                <w:i/>
                <w:iCs/>
                <w:sz w:val="24"/>
                <w:u w:val="single"/>
              </w:rPr>
              <w:t>小型企业</w:t>
            </w:r>
            <w:r>
              <w:rPr>
                <w:rFonts w:hint="eastAsia" w:ascii="新宋体" w:hAnsi="新宋体" w:eastAsia="新宋体" w:cs="新宋体"/>
                <w:sz w:val="24"/>
              </w:rPr>
              <w:t>；从业人员100人以下或营业收入500万元以下的为</w:t>
            </w:r>
            <w:r>
              <w:rPr>
                <w:rFonts w:hint="eastAsia" w:ascii="新宋体" w:hAnsi="新宋体" w:eastAsia="新宋体" w:cs="Courier New"/>
                <w:b/>
                <w:bCs/>
                <w:i/>
                <w:iCs/>
                <w:sz w:val="24"/>
                <w:u w:val="single"/>
              </w:rPr>
              <w:t>微型企业</w:t>
            </w:r>
            <w:r>
              <w:rPr>
                <w:rFonts w:hint="eastAsia" w:ascii="新宋体" w:hAnsi="新宋体" w:eastAsia="新宋体" w:cs="新宋体"/>
                <w:sz w:val="24"/>
              </w:rPr>
              <w:t>。</w:t>
            </w:r>
          </w:p>
        </w:tc>
      </w:tr>
      <w:tr w14:paraId="5917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49" w:type="pct"/>
            <w:noWrap w:val="0"/>
            <w:vAlign w:val="center"/>
          </w:tcPr>
          <w:p w14:paraId="7451EBC3">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2</w:t>
            </w:r>
          </w:p>
        </w:tc>
        <w:tc>
          <w:tcPr>
            <w:tcW w:w="875" w:type="pct"/>
            <w:noWrap w:val="0"/>
            <w:vAlign w:val="center"/>
          </w:tcPr>
          <w:p w14:paraId="6DAF25B9">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招标方式</w:t>
            </w:r>
          </w:p>
        </w:tc>
        <w:tc>
          <w:tcPr>
            <w:tcW w:w="3875" w:type="pct"/>
            <w:noWrap w:val="0"/>
            <w:vAlign w:val="center"/>
          </w:tcPr>
          <w:p w14:paraId="261249C7">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公开招标。</w:t>
            </w:r>
          </w:p>
        </w:tc>
      </w:tr>
      <w:tr w14:paraId="2A3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9" w:type="pct"/>
            <w:noWrap w:val="0"/>
            <w:vAlign w:val="center"/>
          </w:tcPr>
          <w:p w14:paraId="6040F16C">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3</w:t>
            </w:r>
          </w:p>
        </w:tc>
        <w:tc>
          <w:tcPr>
            <w:tcW w:w="875" w:type="pct"/>
            <w:noWrap w:val="0"/>
            <w:vAlign w:val="center"/>
          </w:tcPr>
          <w:p w14:paraId="0CE355A9">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投标人资格要求</w:t>
            </w:r>
          </w:p>
        </w:tc>
        <w:tc>
          <w:tcPr>
            <w:tcW w:w="3875" w:type="pct"/>
            <w:noWrap w:val="0"/>
            <w:vAlign w:val="center"/>
          </w:tcPr>
          <w:p w14:paraId="3BB905D9">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详见采购公告。</w:t>
            </w:r>
          </w:p>
        </w:tc>
      </w:tr>
      <w:tr w14:paraId="49C6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49" w:type="pct"/>
            <w:noWrap w:val="0"/>
            <w:vAlign w:val="center"/>
          </w:tcPr>
          <w:p w14:paraId="35AEC133">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4</w:t>
            </w:r>
          </w:p>
        </w:tc>
        <w:tc>
          <w:tcPr>
            <w:tcW w:w="875" w:type="pct"/>
            <w:noWrap w:val="0"/>
            <w:vAlign w:val="center"/>
          </w:tcPr>
          <w:p w14:paraId="6B41B607">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cs="新宋体"/>
                <w:sz w:val="24"/>
              </w:rPr>
              <w:t>合同履约期限</w:t>
            </w:r>
          </w:p>
        </w:tc>
        <w:tc>
          <w:tcPr>
            <w:tcW w:w="3875" w:type="pct"/>
            <w:noWrap w:val="0"/>
            <w:vAlign w:val="center"/>
          </w:tcPr>
          <w:p w14:paraId="682FB33F">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kern w:val="0"/>
                <w:sz w:val="24"/>
              </w:rPr>
              <w:t>详见第三章。</w:t>
            </w:r>
          </w:p>
        </w:tc>
      </w:tr>
      <w:tr w14:paraId="15A2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49" w:type="pct"/>
            <w:noWrap w:val="0"/>
            <w:vAlign w:val="center"/>
          </w:tcPr>
          <w:p w14:paraId="39EDBFFF">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5</w:t>
            </w:r>
          </w:p>
        </w:tc>
        <w:tc>
          <w:tcPr>
            <w:tcW w:w="875" w:type="pct"/>
            <w:noWrap w:val="0"/>
            <w:vAlign w:val="center"/>
          </w:tcPr>
          <w:p w14:paraId="3A58F011">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cs="新宋体"/>
                <w:sz w:val="24"/>
              </w:rPr>
              <w:t>采购文件获取时间和方式</w:t>
            </w:r>
          </w:p>
        </w:tc>
        <w:tc>
          <w:tcPr>
            <w:tcW w:w="3875" w:type="pct"/>
            <w:noWrap w:val="0"/>
            <w:vAlign w:val="center"/>
          </w:tcPr>
          <w:p w14:paraId="25FB24CC">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详见采购公告。</w:t>
            </w:r>
          </w:p>
        </w:tc>
      </w:tr>
      <w:tr w14:paraId="5877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249" w:type="pct"/>
            <w:noWrap w:val="0"/>
            <w:vAlign w:val="center"/>
          </w:tcPr>
          <w:p w14:paraId="5355007B">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6</w:t>
            </w:r>
          </w:p>
        </w:tc>
        <w:tc>
          <w:tcPr>
            <w:tcW w:w="875" w:type="pct"/>
            <w:noWrap w:val="0"/>
            <w:vAlign w:val="center"/>
          </w:tcPr>
          <w:p w14:paraId="52D8BCA6">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现场踏勘</w:t>
            </w:r>
          </w:p>
        </w:tc>
        <w:tc>
          <w:tcPr>
            <w:tcW w:w="3875" w:type="pct"/>
            <w:noWrap w:val="0"/>
            <w:vAlign w:val="center"/>
          </w:tcPr>
          <w:p w14:paraId="212A86C9">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sz w:val="24"/>
              </w:rPr>
            </w:pPr>
            <w:r>
              <w:rPr>
                <w:rFonts w:hint="eastAsia" w:ascii="新宋体" w:hAnsi="新宋体" w:eastAsia="新宋体" w:cs="新宋体"/>
                <w:sz w:val="24"/>
              </w:rPr>
              <w:t>招标方不统一组织投标人前往项目实施场地踏勘，根据项目实际投标需求，投标人可自行前往项目实施场地进行现场踏勘，以获取编制投标文件所需资料，如投标人因未现场踏勘原因导致投标文件出现错误或遗漏的，由投标人自行承担责任。</w:t>
            </w:r>
          </w:p>
        </w:tc>
      </w:tr>
      <w:tr w14:paraId="0342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249" w:type="pct"/>
            <w:noWrap w:val="0"/>
            <w:vAlign w:val="center"/>
          </w:tcPr>
          <w:p w14:paraId="6353E7A1">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7</w:t>
            </w:r>
          </w:p>
        </w:tc>
        <w:tc>
          <w:tcPr>
            <w:tcW w:w="875" w:type="pct"/>
            <w:noWrap w:val="0"/>
            <w:vAlign w:val="center"/>
          </w:tcPr>
          <w:p w14:paraId="0AF1D91F">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招标答疑</w:t>
            </w:r>
          </w:p>
        </w:tc>
        <w:tc>
          <w:tcPr>
            <w:tcW w:w="3875" w:type="pct"/>
            <w:noWrap w:val="0"/>
            <w:vAlign w:val="center"/>
          </w:tcPr>
          <w:p w14:paraId="596BFBF0">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本项目不组织答疑会；招标方的答疑内容、书面澄清文件是招标文件的组成部分，招标方的书面澄清（更正）文件会在浙江政府采购网上发布公告，同时“政采云”会向所有已按招标文件规定方式获取招标文件的潜在供应商发送澄清（更正）提醒信息，潜在供应商请自行到浙江政府采购网上下载澄清（更正）文件。</w:t>
            </w:r>
          </w:p>
        </w:tc>
      </w:tr>
      <w:tr w14:paraId="327A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249" w:type="pct"/>
            <w:noWrap w:val="0"/>
            <w:vAlign w:val="center"/>
          </w:tcPr>
          <w:p w14:paraId="205D4D74">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8</w:t>
            </w:r>
          </w:p>
        </w:tc>
        <w:tc>
          <w:tcPr>
            <w:tcW w:w="875" w:type="pct"/>
            <w:noWrap w:val="0"/>
            <w:vAlign w:val="center"/>
          </w:tcPr>
          <w:p w14:paraId="5E21D152">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投标有效期</w:t>
            </w:r>
          </w:p>
        </w:tc>
        <w:tc>
          <w:tcPr>
            <w:tcW w:w="3875" w:type="pct"/>
            <w:noWrap w:val="0"/>
            <w:vAlign w:val="center"/>
          </w:tcPr>
          <w:p w14:paraId="1035D2B7">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自开标之日起90天（日历天）。</w:t>
            </w:r>
          </w:p>
        </w:tc>
      </w:tr>
      <w:tr w14:paraId="3F74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9" w:type="pct"/>
            <w:noWrap w:val="0"/>
            <w:vAlign w:val="center"/>
          </w:tcPr>
          <w:p w14:paraId="6FC25C0B">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9</w:t>
            </w:r>
          </w:p>
        </w:tc>
        <w:tc>
          <w:tcPr>
            <w:tcW w:w="875" w:type="pct"/>
            <w:noWrap w:val="0"/>
            <w:vAlign w:val="center"/>
          </w:tcPr>
          <w:p w14:paraId="5C0BBE16">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方案讲解演示</w:t>
            </w:r>
          </w:p>
        </w:tc>
        <w:tc>
          <w:tcPr>
            <w:tcW w:w="3875" w:type="pct"/>
            <w:noWrap w:val="0"/>
            <w:vAlign w:val="center"/>
          </w:tcPr>
          <w:p w14:paraId="09B27993">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sym w:font="Wingdings" w:char="00FE"/>
            </w:r>
            <w:r>
              <w:rPr>
                <w:rFonts w:hint="eastAsia" w:ascii="新宋体" w:hAnsi="新宋体" w:eastAsia="新宋体" w:cs="新宋体"/>
                <w:sz w:val="24"/>
              </w:rPr>
              <w:t>不组织</w:t>
            </w:r>
          </w:p>
          <w:p w14:paraId="5E451FD6">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sym w:font="Wingdings" w:char="00A8"/>
            </w:r>
            <w:r>
              <w:rPr>
                <w:rFonts w:hint="eastAsia" w:ascii="新宋体" w:hAnsi="新宋体" w:eastAsia="新宋体" w:cs="新宋体"/>
                <w:sz w:val="24"/>
              </w:rPr>
              <w:t>组织</w:t>
            </w:r>
          </w:p>
          <w:p w14:paraId="3284D581">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1.本项目需要演示：投标人需在投标文件解密成功后，进入“政采云”开标大厅，等待通知演示。“政采云”会以投标文件解密时间的先后顺序以短信的形式通知演示，每个投标人演示前的调试准备时间不超过15分钟。演示的方式通过“开标大厅”（建议选择谷歌浏览器）的屏幕共享方式进行演示，投标人应在开标前确保网络、麦克风、演示环境等演示所需设备和系统正常稳定，并提前熟悉操作和使用。由评委对各投标人针对招标文件中演示部分进行评定打分。</w:t>
            </w:r>
          </w:p>
          <w:p w14:paraId="378A313F">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2.演示形式：投标人针对招标文件需要演示的内容，进行讲解演示，演示过程中需语音介绍目前演示的内容是什么，演示时长不超过30分钟（不包含评标小组提问解答时间）。</w:t>
            </w:r>
          </w:p>
        </w:tc>
      </w:tr>
      <w:tr w14:paraId="3EEC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49" w:type="pct"/>
            <w:noWrap w:val="0"/>
            <w:vAlign w:val="center"/>
          </w:tcPr>
          <w:p w14:paraId="1DA0249E">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10</w:t>
            </w:r>
          </w:p>
        </w:tc>
        <w:tc>
          <w:tcPr>
            <w:tcW w:w="875" w:type="pct"/>
            <w:noWrap w:val="0"/>
            <w:vAlign w:val="center"/>
          </w:tcPr>
          <w:p w14:paraId="2CF1FAA8">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投标文件组成</w:t>
            </w:r>
          </w:p>
        </w:tc>
        <w:tc>
          <w:tcPr>
            <w:tcW w:w="3875" w:type="pct"/>
            <w:noWrap w:val="0"/>
            <w:vAlign w:val="center"/>
          </w:tcPr>
          <w:p w14:paraId="72EB90FA">
            <w:pPr>
              <w:keepNext w:val="0"/>
              <w:keepLines w:val="0"/>
              <w:pageBreakBefore w:val="0"/>
              <w:widowControl w:val="0"/>
              <w:kinsoku/>
              <w:wordWrap/>
              <w:overflowPunct/>
              <w:topLinePunct w:val="0"/>
              <w:autoSpaceDE/>
              <w:autoSpaceDN/>
              <w:bidi w:val="0"/>
              <w:adjustRightInd w:val="0"/>
              <w:snapToGrid w:val="0"/>
              <w:spacing w:line="400" w:lineRule="exact"/>
              <w:ind w:firstLine="480"/>
              <w:rPr>
                <w:rFonts w:hint="eastAsia" w:ascii="新宋体" w:hAnsi="新宋体" w:eastAsia="新宋体" w:cs="新宋体"/>
                <w:b/>
                <w:bCs/>
                <w:sz w:val="24"/>
              </w:rPr>
            </w:pPr>
            <w:r>
              <w:rPr>
                <w:rFonts w:hint="eastAsia" w:ascii="新宋体" w:hAnsi="新宋体" w:eastAsia="新宋体" w:cs="新宋体"/>
                <w:b/>
                <w:bCs/>
                <w:sz w:val="24"/>
              </w:rPr>
              <w:t>投标文件由资格响应文件、商务技术响应文件和报价响应文件组成，以下的“格式”，指的是第八章投标文件格式中的表格。</w:t>
            </w:r>
          </w:p>
          <w:p w14:paraId="09A3E36E">
            <w:pPr>
              <w:keepNext w:val="0"/>
              <w:keepLines w:val="0"/>
              <w:pageBreakBefore w:val="0"/>
              <w:widowControl w:val="0"/>
              <w:kinsoku/>
              <w:wordWrap/>
              <w:overflowPunct/>
              <w:topLinePunct w:val="0"/>
              <w:autoSpaceDE/>
              <w:autoSpaceDN/>
              <w:bidi w:val="0"/>
              <w:adjustRightInd w:val="0"/>
              <w:snapToGrid w:val="0"/>
              <w:spacing w:line="400" w:lineRule="exact"/>
              <w:ind w:firstLine="480"/>
              <w:rPr>
                <w:rFonts w:hint="eastAsia" w:ascii="新宋体" w:hAnsi="新宋体" w:eastAsia="新宋体" w:cs="新宋体"/>
                <w:b/>
                <w:bCs/>
                <w:sz w:val="24"/>
              </w:rPr>
            </w:pPr>
            <w:r>
              <w:rPr>
                <w:rFonts w:hint="eastAsia" w:ascii="新宋体" w:hAnsi="新宋体" w:eastAsia="新宋体" w:cs="新宋体"/>
                <w:b/>
                <w:bCs/>
                <w:sz w:val="24"/>
              </w:rPr>
              <w:t>1.资格响应文件：包含以下内容：</w:t>
            </w:r>
          </w:p>
          <w:p w14:paraId="45342822">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sz w:val="24"/>
              </w:rPr>
            </w:pPr>
            <w:r>
              <w:rPr>
                <w:rFonts w:hint="eastAsia" w:ascii="新宋体" w:hAnsi="新宋体" w:eastAsia="新宋体" w:cs="新宋体"/>
                <w:sz w:val="24"/>
              </w:rPr>
              <w:t>★①单位营业执照副本等经营资格文件扫描件（</w:t>
            </w:r>
            <w:r>
              <w:rPr>
                <w:rFonts w:hint="eastAsia" w:ascii="新宋体" w:hAnsi="新宋体" w:eastAsia="新宋体" w:cs="Courier New"/>
                <w:sz w:val="24"/>
              </w:rPr>
              <w:t>电子签章</w:t>
            </w:r>
            <w:r>
              <w:rPr>
                <w:rFonts w:hint="eastAsia" w:ascii="新宋体" w:hAnsi="新宋体" w:eastAsia="新宋体" w:cs="新宋体"/>
                <w:sz w:val="24"/>
              </w:rPr>
              <w:t>）</w:t>
            </w:r>
          </w:p>
          <w:p w14:paraId="26F1B186">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sz w:val="24"/>
              </w:rPr>
            </w:pPr>
            <w:r>
              <w:rPr>
                <w:rFonts w:hint="eastAsia" w:ascii="新宋体" w:hAnsi="新宋体" w:eastAsia="新宋体" w:cs="新宋体"/>
                <w:sz w:val="24"/>
              </w:rPr>
              <w:t>★②义乌市政府采购项目投标承诺书（见格式）。</w:t>
            </w:r>
          </w:p>
          <w:p w14:paraId="5D6E716E">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sz w:val="24"/>
              </w:rPr>
            </w:pPr>
            <w:r>
              <w:rPr>
                <w:rFonts w:hint="eastAsia" w:ascii="新宋体" w:hAnsi="新宋体" w:eastAsia="新宋体" w:cs="新宋体"/>
                <w:color w:val="auto"/>
                <w:sz w:val="24"/>
                <w:highlight w:val="none"/>
              </w:rPr>
              <w:t>③金融、保险、通讯等特定行业的全国性企业所设立的区域性分支机构，以及个体工商户、个人独资企业、合伙企业，如果已经依法办理了工商、税务和社保登记手续，并且获得总公司（总机构）授权或能够提供不动产权证或其他有效财产证明材料（在投标文件中提供相关材料），证明其具备实际承担责任的能力和法定的缔结合同能力，可以独立参加政府采购活动，由单位负责人签署相关文件材料；</w:t>
            </w:r>
          </w:p>
          <w:p w14:paraId="60D8858B">
            <w:pPr>
              <w:keepNext w:val="0"/>
              <w:keepLines w:val="0"/>
              <w:pageBreakBefore w:val="0"/>
              <w:widowControl w:val="0"/>
              <w:kinsoku/>
              <w:wordWrap/>
              <w:overflowPunct/>
              <w:topLinePunct w:val="0"/>
              <w:autoSpaceDE/>
              <w:autoSpaceDN/>
              <w:bidi w:val="0"/>
              <w:spacing w:line="400" w:lineRule="exact"/>
              <w:ind w:firstLine="480"/>
              <w:rPr>
                <w:rFonts w:ascii="新宋体" w:hAnsi="新宋体" w:eastAsia="新宋体" w:cs="新宋体"/>
                <w:sz w:val="24"/>
              </w:rPr>
            </w:pPr>
            <w:r>
              <w:rPr>
                <w:rFonts w:hint="eastAsia" w:ascii="新宋体" w:hAnsi="新宋体" w:eastAsia="新宋体"/>
                <w:sz w:val="24"/>
              </w:rPr>
              <w:t>★</w:t>
            </w:r>
            <w:r>
              <w:rPr>
                <w:rFonts w:hint="eastAsia" w:ascii="新宋体" w:hAnsi="新宋体" w:eastAsia="新宋体" w:cs="新宋体"/>
                <w:color w:val="auto"/>
                <w:sz w:val="24"/>
                <w:highlight w:val="none"/>
              </w:rPr>
              <w:t>④</w:t>
            </w:r>
            <w:r>
              <w:rPr>
                <w:rFonts w:hint="eastAsia" w:ascii="新宋体" w:hAnsi="新宋体" w:eastAsia="新宋体" w:cs="Courier New"/>
                <w:sz w:val="24"/>
              </w:rPr>
              <w:t>中小企业声明函（见格式）｛投标人应根据《工业和信息化部、国家统计局、国家发展和改革委员会、财政部关于印发中小企业划型标准规定的通知》（工信部联企业〔2011〕300号）规定的划型标准，填报企业规模类型。投标人也可在国务院客户端或工业和信息化部网站上，使用中小企业规模类型自测小程序识别企业规模类型。｝；或残疾人福利性单位声明函（见格式）（符合残疾人福利性单位有关政策的投标人需提供本项材料）；或省级及以上监狱管理局、戒毒管理局（含新疆生产建设兵团）出具的属于监狱企业的文件扫描件加盖电子签章（符合监狱企业有关政策的投标人需提供本项材料）。</w:t>
            </w:r>
          </w:p>
          <w:p w14:paraId="39B37A98">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b/>
                <w:bCs/>
                <w:sz w:val="24"/>
              </w:rPr>
            </w:pPr>
            <w:r>
              <w:rPr>
                <w:rFonts w:hint="eastAsia" w:ascii="新宋体" w:hAnsi="新宋体" w:eastAsia="新宋体" w:cs="新宋体"/>
                <w:b/>
                <w:bCs/>
                <w:sz w:val="24"/>
              </w:rPr>
              <w:t>2.商务技术响应文件：包含以下内容：</w:t>
            </w:r>
          </w:p>
          <w:p w14:paraId="2CDF5F02">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sz w:val="24"/>
              </w:rPr>
              <w:t>★①规范偏离表（见格式）；</w:t>
            </w:r>
          </w:p>
          <w:p w14:paraId="14D9F6E1">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sz w:val="24"/>
              </w:rPr>
              <w:t>②售后服务及项目实施方案：包含以下内容</w:t>
            </w:r>
          </w:p>
          <w:p w14:paraId="46422081">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sz w:val="24"/>
              </w:rPr>
              <w:t>★a.服务质量保证承诺书（见格式）</w:t>
            </w:r>
          </w:p>
          <w:p w14:paraId="452B72CA">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b w:val="0"/>
                <w:color w:val="auto"/>
                <w:sz w:val="24"/>
                <w:szCs w:val="24"/>
                <w:lang w:val="en-US" w:eastAsia="zh-CN"/>
              </w:rPr>
              <w:t>b.项目组成人员表</w:t>
            </w:r>
            <w:r>
              <w:rPr>
                <w:rFonts w:hint="eastAsia" w:ascii="国标宋体" w:hAnsi="国标宋体" w:eastAsia="国标宋体" w:cs="国标宋体"/>
                <w:sz w:val="24"/>
              </w:rPr>
              <w:t>（见格式）</w:t>
            </w:r>
          </w:p>
          <w:p w14:paraId="099FE79C">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sz w:val="24"/>
                <w:lang w:val="en-US" w:eastAsia="zh-CN"/>
              </w:rPr>
              <w:t>c</w:t>
            </w:r>
            <w:r>
              <w:rPr>
                <w:rFonts w:hint="eastAsia" w:ascii="国标宋体" w:hAnsi="国标宋体" w:eastAsia="国标宋体" w:cs="国标宋体"/>
                <w:sz w:val="24"/>
              </w:rPr>
              <w:t>.项目实施方案</w:t>
            </w:r>
          </w:p>
          <w:p w14:paraId="3C90A6F9">
            <w:pPr>
              <w:pStyle w:val="56"/>
              <w:keepNext w:val="0"/>
              <w:keepLines w:val="0"/>
              <w:pageBreakBefore w:val="0"/>
              <w:widowControl w:val="0"/>
              <w:kinsoku/>
              <w:wordWrap/>
              <w:overflowPunct/>
              <w:topLinePunct w:val="0"/>
              <w:autoSpaceDE/>
              <w:autoSpaceDN/>
              <w:bidi w:val="0"/>
              <w:spacing w:after="0" w:line="400" w:lineRule="exact"/>
              <w:ind w:firstLine="480" w:firstLineChars="200"/>
              <w:textAlignment w:val="baseline"/>
              <w:rPr>
                <w:rFonts w:hint="eastAsia" w:ascii="国标宋体" w:hAnsi="国标宋体" w:eastAsia="国标宋体" w:cs="国标宋体"/>
                <w:sz w:val="24"/>
              </w:rPr>
            </w:pPr>
            <w:r>
              <w:rPr>
                <w:rFonts w:hint="eastAsia" w:ascii="国标宋体" w:hAnsi="国标宋体" w:eastAsia="国标宋体" w:cs="国标宋体"/>
                <w:sz w:val="24"/>
                <w:lang w:val="en-US" w:eastAsia="zh-CN"/>
              </w:rPr>
              <w:t>d</w:t>
            </w:r>
            <w:r>
              <w:rPr>
                <w:rFonts w:hint="eastAsia" w:ascii="国标宋体" w:hAnsi="国标宋体" w:eastAsia="国标宋体" w:cs="国标宋体"/>
                <w:sz w:val="24"/>
              </w:rPr>
              <w:t>.人员配置方案</w:t>
            </w:r>
          </w:p>
          <w:p w14:paraId="4E967003">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sz w:val="24"/>
              </w:rPr>
            </w:pPr>
            <w:r>
              <w:rPr>
                <w:rFonts w:hint="eastAsia" w:ascii="新宋体" w:hAnsi="新宋体" w:eastAsia="新宋体"/>
                <w:sz w:val="24"/>
              </w:rPr>
              <w:t>③根据评审需要、招标文件要求等，投标人自行考虑需提供的资料。</w:t>
            </w:r>
          </w:p>
          <w:p w14:paraId="10C0D670">
            <w:pPr>
              <w:keepNext w:val="0"/>
              <w:keepLines w:val="0"/>
              <w:pageBreakBefore w:val="0"/>
              <w:widowControl w:val="0"/>
              <w:kinsoku/>
              <w:wordWrap/>
              <w:overflowPunct/>
              <w:topLinePunct w:val="0"/>
              <w:autoSpaceDE/>
              <w:autoSpaceDN/>
              <w:bidi w:val="0"/>
              <w:adjustRightInd w:val="0"/>
              <w:snapToGrid w:val="0"/>
              <w:spacing w:line="400" w:lineRule="exact"/>
              <w:ind w:firstLine="480"/>
              <w:rPr>
                <w:rFonts w:hint="eastAsia" w:ascii="新宋体" w:hAnsi="新宋体" w:eastAsia="新宋体" w:cs="新宋体"/>
                <w:b/>
                <w:bCs/>
                <w:sz w:val="24"/>
              </w:rPr>
            </w:pPr>
            <w:r>
              <w:rPr>
                <w:rFonts w:hint="eastAsia" w:ascii="新宋体" w:hAnsi="新宋体" w:eastAsia="新宋体" w:cs="新宋体"/>
                <w:b/>
                <w:bCs/>
                <w:sz w:val="24"/>
              </w:rPr>
              <w:t>3.报价响应文件：包含下列内容：</w:t>
            </w:r>
          </w:p>
          <w:p w14:paraId="37466A3D">
            <w:pPr>
              <w:keepNext w:val="0"/>
              <w:keepLines w:val="0"/>
              <w:pageBreakBefore w:val="0"/>
              <w:widowControl w:val="0"/>
              <w:kinsoku/>
              <w:wordWrap/>
              <w:overflowPunct/>
              <w:topLinePunct w:val="0"/>
              <w:autoSpaceDE/>
              <w:autoSpaceDN/>
              <w:bidi w:val="0"/>
              <w:spacing w:line="400" w:lineRule="exact"/>
              <w:ind w:firstLine="480"/>
              <w:rPr>
                <w:rFonts w:hint="eastAsia" w:ascii="新宋体" w:hAnsi="新宋体" w:eastAsia="新宋体" w:cs="新宋体"/>
                <w:b/>
                <w:bCs/>
                <w:sz w:val="24"/>
              </w:rPr>
            </w:pPr>
            <w:r>
              <w:rPr>
                <w:rFonts w:hint="eastAsia" w:ascii="新宋体" w:hAnsi="新宋体" w:eastAsia="新宋体" w:cs="新宋体"/>
                <w:sz w:val="24"/>
              </w:rPr>
              <w:t>★①开标一览表（见格式）；</w:t>
            </w:r>
          </w:p>
          <w:p w14:paraId="67E7D832">
            <w:pPr>
              <w:keepNext w:val="0"/>
              <w:keepLines w:val="0"/>
              <w:pageBreakBefore w:val="0"/>
              <w:widowControl w:val="0"/>
              <w:kinsoku/>
              <w:wordWrap/>
              <w:overflowPunct/>
              <w:topLinePunct w:val="0"/>
              <w:autoSpaceDE/>
              <w:autoSpaceDN/>
              <w:bidi w:val="0"/>
              <w:spacing w:line="400" w:lineRule="exact"/>
              <w:ind w:firstLine="480" w:firstLineChars="200"/>
              <w:rPr>
                <w:rFonts w:hint="eastAsia" w:ascii="新宋体" w:hAnsi="新宋体" w:eastAsia="新宋体" w:cs="新宋体"/>
              </w:rPr>
            </w:pPr>
            <w:r>
              <w:rPr>
                <w:rFonts w:hint="eastAsia" w:ascii="新宋体" w:hAnsi="新宋体" w:eastAsia="新宋体" w:cs="新宋体"/>
                <w:sz w:val="24"/>
              </w:rPr>
              <w:t>★②投标人自报成本价表（见格式）。</w:t>
            </w:r>
          </w:p>
        </w:tc>
      </w:tr>
      <w:tr w14:paraId="071B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noWrap w:val="0"/>
            <w:vAlign w:val="center"/>
          </w:tcPr>
          <w:p w14:paraId="6E07CDE4">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11</w:t>
            </w:r>
          </w:p>
        </w:tc>
        <w:tc>
          <w:tcPr>
            <w:tcW w:w="875" w:type="pct"/>
            <w:noWrap w:val="0"/>
            <w:vAlign w:val="center"/>
          </w:tcPr>
          <w:p w14:paraId="588F67B3">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履约保证金</w:t>
            </w:r>
          </w:p>
        </w:tc>
        <w:tc>
          <w:tcPr>
            <w:tcW w:w="3875" w:type="pct"/>
            <w:noWrap w:val="0"/>
            <w:vAlign w:val="center"/>
          </w:tcPr>
          <w:p w14:paraId="6225874D">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rPr>
            </w:pPr>
            <w:r>
              <w:rPr>
                <w:rFonts w:hint="eastAsia" w:ascii="新宋体" w:hAnsi="新宋体" w:eastAsia="新宋体" w:cs="新宋体"/>
                <w:sz w:val="24"/>
              </w:rPr>
              <w:t>无。</w:t>
            </w:r>
          </w:p>
        </w:tc>
      </w:tr>
      <w:tr w14:paraId="79FB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noWrap w:val="0"/>
            <w:vAlign w:val="center"/>
          </w:tcPr>
          <w:p w14:paraId="508C25E2">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12</w:t>
            </w:r>
          </w:p>
        </w:tc>
        <w:tc>
          <w:tcPr>
            <w:tcW w:w="875" w:type="pct"/>
            <w:noWrap w:val="0"/>
            <w:vAlign w:val="center"/>
          </w:tcPr>
          <w:p w14:paraId="740FB554">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评标办法</w:t>
            </w:r>
          </w:p>
        </w:tc>
        <w:tc>
          <w:tcPr>
            <w:tcW w:w="3875" w:type="pct"/>
            <w:noWrap w:val="0"/>
            <w:vAlign w:val="center"/>
          </w:tcPr>
          <w:p w14:paraId="0C46C318">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综合评分法。</w:t>
            </w:r>
          </w:p>
        </w:tc>
      </w:tr>
      <w:tr w14:paraId="3101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noWrap w:val="0"/>
            <w:vAlign w:val="center"/>
          </w:tcPr>
          <w:p w14:paraId="40990CB7">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13</w:t>
            </w:r>
          </w:p>
        </w:tc>
        <w:tc>
          <w:tcPr>
            <w:tcW w:w="875" w:type="pct"/>
            <w:noWrap w:val="0"/>
            <w:vAlign w:val="center"/>
          </w:tcPr>
          <w:p w14:paraId="72849CC4">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付款方式</w:t>
            </w:r>
          </w:p>
        </w:tc>
        <w:tc>
          <w:tcPr>
            <w:tcW w:w="3875" w:type="pct"/>
            <w:noWrap w:val="0"/>
            <w:vAlign w:val="center"/>
          </w:tcPr>
          <w:p w14:paraId="0B98D835">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详见第三章招标项目要求。</w:t>
            </w:r>
          </w:p>
        </w:tc>
      </w:tr>
      <w:tr w14:paraId="382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49" w:type="pct"/>
            <w:noWrap w:val="0"/>
            <w:vAlign w:val="center"/>
          </w:tcPr>
          <w:p w14:paraId="2C4EF68C">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rPr>
            </w:pPr>
            <w:r>
              <w:rPr>
                <w:rFonts w:hint="eastAsia" w:ascii="新宋体" w:hAnsi="新宋体" w:eastAsia="新宋体"/>
                <w:sz w:val="24"/>
              </w:rPr>
              <w:t>14</w:t>
            </w:r>
          </w:p>
        </w:tc>
        <w:tc>
          <w:tcPr>
            <w:tcW w:w="875" w:type="pct"/>
            <w:noWrap w:val="0"/>
            <w:vAlign w:val="center"/>
          </w:tcPr>
          <w:p w14:paraId="6F9231E3">
            <w:pPr>
              <w:keepNext w:val="0"/>
              <w:keepLines w:val="0"/>
              <w:pageBreakBefore w:val="0"/>
              <w:widowControl w:val="0"/>
              <w:kinsoku/>
              <w:wordWrap/>
              <w:overflowPunct/>
              <w:topLinePunct w:val="0"/>
              <w:autoSpaceDE/>
              <w:autoSpaceDN/>
              <w:bidi w:val="0"/>
              <w:snapToGrid w:val="0"/>
              <w:spacing w:line="400" w:lineRule="exact"/>
              <w:jc w:val="center"/>
              <w:rPr>
                <w:rFonts w:hint="eastAsia" w:ascii="新宋体" w:hAnsi="新宋体" w:eastAsia="新宋体" w:cs="新宋体"/>
              </w:rPr>
            </w:pPr>
            <w:r>
              <w:rPr>
                <w:rFonts w:hint="eastAsia" w:ascii="新宋体" w:hAnsi="新宋体" w:eastAsia="新宋体" w:cs="新宋体"/>
                <w:sz w:val="24"/>
              </w:rPr>
              <w:t>不良行为记录</w:t>
            </w:r>
          </w:p>
        </w:tc>
        <w:tc>
          <w:tcPr>
            <w:tcW w:w="3875" w:type="pct"/>
            <w:noWrap w:val="0"/>
            <w:vAlign w:val="center"/>
          </w:tcPr>
          <w:p w14:paraId="53441694">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详见</w:t>
            </w:r>
            <w:r>
              <w:rPr>
                <w:rFonts w:hint="eastAsia" w:ascii="新宋体" w:hAnsi="新宋体" w:eastAsia="新宋体" w:cs="新宋体"/>
                <w:color w:val="000000"/>
                <w:sz w:val="24"/>
              </w:rPr>
              <w:t>采购公告</w:t>
            </w:r>
            <w:r>
              <w:rPr>
                <w:rFonts w:hint="eastAsia" w:ascii="新宋体" w:hAnsi="新宋体" w:eastAsia="新宋体" w:cs="新宋体"/>
                <w:sz w:val="24"/>
              </w:rPr>
              <w:t>。</w:t>
            </w:r>
          </w:p>
        </w:tc>
      </w:tr>
      <w:tr w14:paraId="6D39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49" w:type="pct"/>
            <w:noWrap w:val="0"/>
            <w:vAlign w:val="center"/>
          </w:tcPr>
          <w:p w14:paraId="7C07B861">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15</w:t>
            </w:r>
          </w:p>
        </w:tc>
        <w:tc>
          <w:tcPr>
            <w:tcW w:w="875" w:type="pct"/>
            <w:noWrap w:val="0"/>
            <w:vAlign w:val="center"/>
          </w:tcPr>
          <w:p w14:paraId="0DAF6EC1">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Courier New"/>
                <w:sz w:val="24"/>
              </w:rPr>
              <w:t>扶持中小企业</w:t>
            </w:r>
          </w:p>
        </w:tc>
        <w:tc>
          <w:tcPr>
            <w:tcW w:w="3875" w:type="pct"/>
            <w:noWrap w:val="0"/>
            <w:vAlign w:val="center"/>
          </w:tcPr>
          <w:p w14:paraId="739B361C">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sym w:font="Wingdings" w:char="00FE"/>
            </w:r>
            <w:r>
              <w:rPr>
                <w:rFonts w:hint="eastAsia" w:ascii="新宋体" w:hAnsi="新宋体" w:eastAsia="新宋体" w:cs="新宋体"/>
                <w:sz w:val="24"/>
              </w:rPr>
              <w:t>本项目为专门面向中小企业采购的项目或者标项，不再执行价格评审优惠的扶持政策。</w:t>
            </w:r>
          </w:p>
          <w:p w14:paraId="317BB444">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sym w:font="Wingdings" w:char="00A8"/>
            </w:r>
            <w:r>
              <w:rPr>
                <w:rFonts w:hint="eastAsia" w:ascii="新宋体" w:hAnsi="新宋体" w:eastAsia="新宋体" w:cs="新宋体"/>
                <w:sz w:val="24"/>
              </w:rPr>
              <w:t>本项目为非专门面向中小企业采购的项目或者标项，执行价格评审优惠。</w:t>
            </w:r>
          </w:p>
          <w:p w14:paraId="6F0FD860">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具体要求详见投标须知7。</w:t>
            </w:r>
          </w:p>
        </w:tc>
      </w:tr>
      <w:tr w14:paraId="7F63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49" w:type="pct"/>
            <w:noWrap w:val="0"/>
            <w:vAlign w:val="center"/>
          </w:tcPr>
          <w:p w14:paraId="15F05646">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16</w:t>
            </w:r>
          </w:p>
        </w:tc>
        <w:tc>
          <w:tcPr>
            <w:tcW w:w="875" w:type="pct"/>
            <w:noWrap w:val="0"/>
            <w:vAlign w:val="center"/>
          </w:tcPr>
          <w:p w14:paraId="6E0599BF">
            <w:pPr>
              <w:keepNext w:val="0"/>
              <w:keepLines w:val="0"/>
              <w:pageBreakBefore w:val="0"/>
              <w:widowControl w:val="0"/>
              <w:kinsoku/>
              <w:wordWrap/>
              <w:overflowPunct/>
              <w:topLinePunct w:val="0"/>
              <w:autoSpaceDE/>
              <w:autoSpaceDN/>
              <w:bidi w:val="0"/>
              <w:snapToGrid w:val="0"/>
              <w:spacing w:line="400" w:lineRule="exact"/>
              <w:jc w:val="center"/>
              <w:rPr>
                <w:rFonts w:hint="eastAsia" w:ascii="新宋体" w:hAnsi="新宋体" w:eastAsia="新宋体" w:cs="新宋体"/>
                <w:sz w:val="24"/>
              </w:rPr>
            </w:pPr>
            <w:r>
              <w:rPr>
                <w:rFonts w:hint="eastAsia" w:ascii="新宋体" w:hAnsi="新宋体" w:eastAsia="新宋体" w:cs="新宋体"/>
                <w:sz w:val="24"/>
              </w:rPr>
              <w:t>是否接受分包</w:t>
            </w:r>
          </w:p>
        </w:tc>
        <w:tc>
          <w:tcPr>
            <w:tcW w:w="3875" w:type="pct"/>
            <w:noWrap w:val="0"/>
            <w:vAlign w:val="center"/>
          </w:tcPr>
          <w:p w14:paraId="6484BE0E">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kern w:val="0"/>
                <w:sz w:val="24"/>
              </w:rPr>
              <w:sym w:font="Wingdings" w:char="00FE"/>
            </w:r>
            <w:r>
              <w:rPr>
                <w:rFonts w:hint="eastAsia" w:ascii="新宋体" w:hAnsi="新宋体" w:eastAsia="新宋体" w:cs="新宋体"/>
                <w:sz w:val="24"/>
              </w:rPr>
              <w:t>不接受。</w:t>
            </w:r>
          </w:p>
          <w:p w14:paraId="33830BC8">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kern w:val="0"/>
                <w:sz w:val="24"/>
              </w:rPr>
              <w:sym w:font="Wingdings" w:char="00A8"/>
            </w:r>
            <w:r>
              <w:rPr>
                <w:rFonts w:hint="eastAsia" w:ascii="新宋体" w:hAnsi="新宋体" w:eastAsia="新宋体" w:cs="新宋体"/>
                <w:sz w:val="24"/>
              </w:rPr>
              <w:t>接受，详见投标须知6。</w:t>
            </w:r>
          </w:p>
        </w:tc>
      </w:tr>
      <w:tr w14:paraId="5556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49" w:type="pct"/>
            <w:noWrap w:val="0"/>
            <w:vAlign w:val="center"/>
          </w:tcPr>
          <w:p w14:paraId="1EB11E17">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17</w:t>
            </w:r>
          </w:p>
        </w:tc>
        <w:tc>
          <w:tcPr>
            <w:tcW w:w="875" w:type="pct"/>
            <w:noWrap w:val="0"/>
            <w:vAlign w:val="center"/>
          </w:tcPr>
          <w:p w14:paraId="233E76D9">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节能产品、环境标志产品</w:t>
            </w:r>
          </w:p>
        </w:tc>
        <w:tc>
          <w:tcPr>
            <w:tcW w:w="3875" w:type="pct"/>
            <w:noWrap w:val="0"/>
            <w:vAlign w:val="center"/>
          </w:tcPr>
          <w:p w14:paraId="70DA202A">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1.根据财政部 发展改革委 生态环境部 市场监管总局关于调整优化节能产品、环境标志产品政府采购执行机制的通知财库〔2019〕9号文件要求，如本项目采购人拟采购的产品，属于节能产品政府采购品目清单或环境标志产品政府采购品目清单内的，投标人所投的相应产品须在中国政府采购网节能清单查询目录（http://www.ccgp.gov.cn/search/jnqdchaxun.htm）或环保清单查询目录（http://www.ccgp.gov.cn/search/hbqdchaxun.htm）中可查询到。</w:t>
            </w:r>
          </w:p>
          <w:p w14:paraId="1E7D83E1">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★2.如本项目采购人拟采购的产品，属于“节能产品政府采购品目清单”中的“</w:t>
            </w:r>
            <w:r>
              <w:rPr>
                <w:rFonts w:ascii="宋体" w:hAnsi="宋体" w:cs="宋体"/>
                <w:sz w:val="24"/>
              </w:rPr>
              <w:t>政府强制采购产品</w:t>
            </w:r>
            <w:r>
              <w:rPr>
                <w:rFonts w:hint="eastAsia" w:ascii="新宋体" w:hAnsi="新宋体" w:eastAsia="新宋体" w:cs="新宋体"/>
                <w:sz w:val="24"/>
              </w:rPr>
              <w:t>”。投标人所投的产品须具有由</w:t>
            </w:r>
            <w:r>
              <w:rPr>
                <w:rFonts w:hint="eastAsia" w:ascii="新宋体" w:hAnsi="新宋体" w:eastAsia="新宋体" w:cs="新宋体"/>
                <w:sz w:val="24"/>
                <w:u w:val="single"/>
              </w:rPr>
              <w:t>国家确定的认证机构</w:t>
            </w:r>
            <w:r>
              <w:rPr>
                <w:rFonts w:hint="eastAsia" w:ascii="新宋体" w:hAnsi="新宋体" w:eastAsia="新宋体" w:cs="新宋体"/>
                <w:sz w:val="24"/>
              </w:rPr>
              <w:t>出具的处于</w:t>
            </w:r>
            <w:r>
              <w:rPr>
                <w:rFonts w:hint="eastAsia" w:ascii="新宋体" w:hAnsi="新宋体" w:eastAsia="新宋体" w:cs="新宋体"/>
                <w:sz w:val="24"/>
                <w:u w:val="single"/>
              </w:rPr>
              <w:t>有效期内</w:t>
            </w:r>
            <w:r>
              <w:rPr>
                <w:rFonts w:hint="eastAsia" w:ascii="新宋体" w:hAnsi="新宋体" w:eastAsia="新宋体" w:cs="新宋体"/>
                <w:sz w:val="24"/>
              </w:rPr>
              <w:t>的</w:t>
            </w:r>
            <w:r>
              <w:rPr>
                <w:rFonts w:hint="eastAsia" w:ascii="新宋体" w:hAnsi="新宋体" w:eastAsia="新宋体" w:cs="新宋体"/>
                <w:sz w:val="24"/>
                <w:u w:val="single"/>
              </w:rPr>
              <w:t>节能产品认证证书</w:t>
            </w:r>
            <w:r>
              <w:rPr>
                <w:rFonts w:hint="eastAsia" w:ascii="新宋体" w:hAnsi="新宋体" w:eastAsia="新宋体" w:cs="新宋体"/>
                <w:sz w:val="24"/>
              </w:rPr>
              <w:t>，并提供相关证书的扫描件，否则其投标将作为无效标处理。</w:t>
            </w:r>
          </w:p>
          <w:p w14:paraId="6353121B">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★3.如本项目采购人拟采购的产品，属于“环境标志产品政府采购品目清单”中的“</w:t>
            </w:r>
            <w:r>
              <w:rPr>
                <w:rFonts w:ascii="宋体" w:hAnsi="宋体" w:cs="宋体"/>
                <w:sz w:val="24"/>
              </w:rPr>
              <w:t>政府强制采购产品</w:t>
            </w:r>
            <w:r>
              <w:rPr>
                <w:rFonts w:hint="eastAsia" w:ascii="新宋体" w:hAnsi="新宋体" w:eastAsia="新宋体" w:cs="新宋体"/>
                <w:sz w:val="24"/>
              </w:rPr>
              <w:t>”。投标人所投的产品须具有由</w:t>
            </w:r>
            <w:r>
              <w:rPr>
                <w:rFonts w:hint="eastAsia" w:ascii="新宋体" w:hAnsi="新宋体" w:eastAsia="新宋体" w:cs="新宋体"/>
                <w:sz w:val="24"/>
                <w:u w:val="single"/>
              </w:rPr>
              <w:t>国家确定的认证机构</w:t>
            </w:r>
            <w:r>
              <w:rPr>
                <w:rFonts w:hint="eastAsia" w:ascii="新宋体" w:hAnsi="新宋体" w:eastAsia="新宋体" w:cs="新宋体"/>
                <w:sz w:val="24"/>
              </w:rPr>
              <w:t>出具的处于</w:t>
            </w:r>
            <w:r>
              <w:rPr>
                <w:rFonts w:hint="eastAsia" w:ascii="新宋体" w:hAnsi="新宋体" w:eastAsia="新宋体" w:cs="新宋体"/>
                <w:sz w:val="24"/>
                <w:u w:val="single"/>
              </w:rPr>
              <w:t>有效期内</w:t>
            </w:r>
            <w:r>
              <w:rPr>
                <w:rFonts w:hint="eastAsia" w:ascii="新宋体" w:hAnsi="新宋体" w:eastAsia="新宋体" w:cs="新宋体"/>
                <w:sz w:val="24"/>
              </w:rPr>
              <w:t>的</w:t>
            </w:r>
            <w:r>
              <w:rPr>
                <w:rFonts w:hint="eastAsia" w:ascii="新宋体" w:hAnsi="新宋体" w:eastAsia="新宋体" w:cs="新宋体"/>
                <w:sz w:val="24"/>
                <w:u w:val="single"/>
              </w:rPr>
              <w:t>环境标志产品认证证书</w:t>
            </w:r>
            <w:r>
              <w:rPr>
                <w:rFonts w:hint="eastAsia" w:ascii="新宋体" w:hAnsi="新宋体" w:eastAsia="新宋体" w:cs="新宋体"/>
                <w:sz w:val="24"/>
              </w:rPr>
              <w:t>，并提供相关证书的扫描件，否则其投标将作为无效标处理。</w:t>
            </w:r>
          </w:p>
        </w:tc>
      </w:tr>
      <w:tr w14:paraId="7D3D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249" w:type="pct"/>
            <w:noWrap w:val="0"/>
            <w:vAlign w:val="center"/>
          </w:tcPr>
          <w:p w14:paraId="0ECEB914">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18</w:t>
            </w:r>
          </w:p>
        </w:tc>
        <w:tc>
          <w:tcPr>
            <w:tcW w:w="875" w:type="pct"/>
            <w:noWrap w:val="0"/>
            <w:vAlign w:val="center"/>
          </w:tcPr>
          <w:p w14:paraId="3B338CB5">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sz w:val="24"/>
              </w:rPr>
            </w:pPr>
            <w:r>
              <w:rPr>
                <w:rFonts w:hint="eastAsia" w:ascii="新宋体" w:hAnsi="新宋体" w:eastAsia="新宋体" w:cs="新宋体"/>
                <w:sz w:val="24"/>
              </w:rPr>
              <w:t>失信行为处理</w:t>
            </w:r>
          </w:p>
        </w:tc>
        <w:tc>
          <w:tcPr>
            <w:tcW w:w="3875" w:type="pct"/>
            <w:noWrap w:val="0"/>
            <w:vAlign w:val="center"/>
          </w:tcPr>
          <w:p w14:paraId="7E8E8C0C">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投标人发生下列情况之一时，除严格依法依规进行处理外，还将通报市信用管理部门，列入严重失信名单：</w:t>
            </w:r>
          </w:p>
          <w:p w14:paraId="22D30F75">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1.投标人在规定的投标有效期内撤回投标或放弃中标的；</w:t>
            </w:r>
          </w:p>
          <w:p w14:paraId="6C104CA9">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2.有意串标或提供虚假材料的；</w:t>
            </w:r>
          </w:p>
          <w:p w14:paraId="3F648693">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3.中标人在收到中标通知书后，因自身原因不能在投标有效期内和采购人签订合同；</w:t>
            </w:r>
          </w:p>
          <w:p w14:paraId="438FC21F">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4.中标供应商在标后履约过程中未按合同约定的期限和要求履约的；</w:t>
            </w:r>
          </w:p>
          <w:p w14:paraId="696ABD51">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5.因中标供应商原因在标后履约过程中擅自终止合同的；</w:t>
            </w:r>
          </w:p>
          <w:p w14:paraId="6CCDB406">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6.不符合招标文件要求的其他失信行为。</w:t>
            </w:r>
          </w:p>
        </w:tc>
      </w:tr>
      <w:tr w14:paraId="08D9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489" w:type="dxa"/>
            <w:noWrap w:val="0"/>
            <w:vAlign w:val="center"/>
          </w:tcPr>
          <w:p w14:paraId="16E7D9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新宋体" w:hAnsi="新宋体" w:eastAsia="新宋体"/>
                <w:color w:val="auto"/>
                <w:sz w:val="24"/>
              </w:rPr>
            </w:pPr>
            <w:r>
              <w:rPr>
                <w:rFonts w:hint="eastAsia" w:ascii="新宋体" w:hAnsi="新宋体" w:eastAsia="新宋体"/>
                <w:color w:val="auto"/>
                <w:sz w:val="24"/>
                <w:highlight w:val="none"/>
                <w:lang w:val="en-US" w:eastAsia="zh-CN"/>
              </w:rPr>
              <w:t>19</w:t>
            </w:r>
          </w:p>
        </w:tc>
        <w:tc>
          <w:tcPr>
            <w:tcW w:w="1720" w:type="dxa"/>
            <w:noWrap w:val="0"/>
            <w:vAlign w:val="center"/>
          </w:tcPr>
          <w:p w14:paraId="7E0387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hAnsi="新宋体" w:eastAsia="新宋体" w:cs="新宋体"/>
                <w:color w:val="auto"/>
                <w:sz w:val="24"/>
              </w:rPr>
            </w:pPr>
            <w:r>
              <w:rPr>
                <w:rFonts w:hint="eastAsia" w:ascii="新宋体" w:hAnsi="新宋体" w:eastAsia="新宋体" w:cs="新宋体"/>
                <w:color w:val="auto"/>
                <w:sz w:val="24"/>
                <w:highlight w:val="none"/>
                <w:lang w:eastAsia="zh-CN"/>
              </w:rPr>
              <w:t>信用融资</w:t>
            </w:r>
          </w:p>
        </w:tc>
        <w:tc>
          <w:tcPr>
            <w:tcW w:w="7610" w:type="dxa"/>
            <w:noWrap w:val="0"/>
            <w:vAlign w:val="center"/>
          </w:tcPr>
          <w:p w14:paraId="3B2A5A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hAnsi="新宋体" w:eastAsia="新宋体" w:cs="新宋体"/>
                <w:color w:val="auto"/>
                <w:sz w:val="24"/>
                <w:lang w:val="en-US" w:eastAsia="zh-CN"/>
              </w:rPr>
            </w:pPr>
            <w:r>
              <w:rPr>
                <w:rFonts w:hint="eastAsia" w:ascii="新宋体" w:hAnsi="新宋体" w:eastAsia="新宋体" w:cs="新宋体"/>
                <w:color w:val="auto"/>
                <w:sz w:val="24"/>
                <w:szCs w:val="24"/>
              </w:rPr>
              <w:t>为支持和促进中小企业发展，进一步发挥政府采购政策功能，根据《浙江省财政厅关于进一步发挥政府采购政策功能全力推动经济稳进提质的通知》（浙财采监〔2022〕3号），供应商若有融资意向，登录</w:t>
            </w:r>
            <w:r>
              <w:rPr>
                <w:rFonts w:hint="eastAsia" w:ascii="新宋体" w:hAnsi="新宋体" w:eastAsia="新宋体" w:cs="新宋体"/>
                <w:color w:val="auto"/>
                <w:sz w:val="24"/>
                <w:szCs w:val="24"/>
                <w:lang w:eastAsia="zh-CN"/>
              </w:rPr>
              <w:t>“政采云”</w:t>
            </w:r>
            <w:r>
              <w:rPr>
                <w:rFonts w:hint="eastAsia" w:ascii="新宋体" w:hAnsi="新宋体" w:eastAsia="新宋体" w:cs="新宋体"/>
                <w:color w:val="auto"/>
                <w:sz w:val="24"/>
                <w:szCs w:val="24"/>
                <w:lang w:val="en-US" w:eastAsia="zh-CN"/>
              </w:rPr>
              <w:t>的</w:t>
            </w:r>
            <w:r>
              <w:rPr>
                <w:rFonts w:hint="eastAsia" w:ascii="新宋体" w:hAnsi="新宋体" w:eastAsia="新宋体" w:cs="新宋体"/>
                <w:color w:val="auto"/>
                <w:sz w:val="24"/>
                <w:szCs w:val="24"/>
              </w:rPr>
              <w:t>“金融支撑”栏目进行查询，查看各相关银行服务方案。</w:t>
            </w:r>
          </w:p>
        </w:tc>
      </w:tr>
      <w:tr w14:paraId="50E9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49" w:type="pct"/>
            <w:noWrap w:val="0"/>
            <w:vAlign w:val="center"/>
          </w:tcPr>
          <w:p w14:paraId="3B2C667F">
            <w:pPr>
              <w:keepNext w:val="0"/>
              <w:keepLines w:val="0"/>
              <w:pageBreakBefore w:val="0"/>
              <w:widowControl w:val="0"/>
              <w:kinsoku/>
              <w:wordWrap/>
              <w:overflowPunct/>
              <w:topLinePunct w:val="0"/>
              <w:autoSpaceDE/>
              <w:autoSpaceDN/>
              <w:bidi w:val="0"/>
              <w:spacing w:line="400" w:lineRule="exact"/>
              <w:jc w:val="center"/>
              <w:rPr>
                <w:rFonts w:ascii="新宋体" w:hAnsi="新宋体" w:eastAsia="新宋体"/>
                <w:sz w:val="24"/>
              </w:rPr>
            </w:pPr>
            <w:r>
              <w:rPr>
                <w:rFonts w:hint="eastAsia" w:ascii="新宋体" w:hAnsi="新宋体" w:eastAsia="新宋体"/>
                <w:sz w:val="24"/>
              </w:rPr>
              <w:t>20</w:t>
            </w:r>
          </w:p>
        </w:tc>
        <w:tc>
          <w:tcPr>
            <w:tcW w:w="875" w:type="pct"/>
            <w:noWrap w:val="0"/>
            <w:vAlign w:val="center"/>
          </w:tcPr>
          <w:p w14:paraId="03BEB712">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rPr>
            </w:pPr>
            <w:r>
              <w:rPr>
                <w:rFonts w:hint="eastAsia" w:ascii="新宋体" w:hAnsi="新宋体" w:eastAsia="新宋体" w:cs="新宋体"/>
                <w:sz w:val="24"/>
              </w:rPr>
              <w:t>质疑与投诉</w:t>
            </w:r>
          </w:p>
        </w:tc>
        <w:tc>
          <w:tcPr>
            <w:tcW w:w="3875" w:type="pct"/>
            <w:noWrap w:val="0"/>
            <w:vAlign w:val="center"/>
          </w:tcPr>
          <w:p w14:paraId="15A2E2E6">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1.供应商认为采购文件、采购过程、中标结果使自己的权益受到损害的，可以在知道或者应知其权益受到损害</w:t>
            </w:r>
            <w:r>
              <w:rPr>
                <w:rFonts w:hint="eastAsia" w:ascii="新宋体" w:hAnsi="新宋体" w:eastAsia="新宋体" w:cs="新宋体"/>
                <w:color w:val="000000"/>
                <w:sz w:val="24"/>
              </w:rPr>
              <w:t>之日</w:t>
            </w:r>
            <w:r>
              <w:rPr>
                <w:rFonts w:hint="eastAsia" w:ascii="新宋体" w:hAnsi="新宋体" w:eastAsia="新宋体" w:cs="新宋体"/>
                <w:sz w:val="24"/>
              </w:rPr>
              <w:t>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65E18E1">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2.供应商应在法定质疑期内，一次性提出针对同一采购程序环节的质疑。</w:t>
            </w:r>
          </w:p>
          <w:p w14:paraId="497B07E7">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3.提出质疑的供应商应当是参与所质疑项目采购活动的供应商。</w:t>
            </w:r>
          </w:p>
          <w:p w14:paraId="0EE44204">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4.鼓励供应商通过“政采云”在线提起质疑。</w:t>
            </w:r>
          </w:p>
        </w:tc>
      </w:tr>
      <w:tr w14:paraId="1BAE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49" w:type="pct"/>
            <w:noWrap w:val="0"/>
            <w:vAlign w:val="center"/>
          </w:tcPr>
          <w:p w14:paraId="42740602">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sz w:val="24"/>
                <w:lang w:val="en-US" w:eastAsia="zh-CN"/>
              </w:rPr>
            </w:pPr>
            <w:r>
              <w:rPr>
                <w:rFonts w:hint="eastAsia" w:ascii="新宋体" w:hAnsi="新宋体" w:eastAsia="新宋体"/>
                <w:sz w:val="24"/>
              </w:rPr>
              <w:t>2</w:t>
            </w:r>
            <w:r>
              <w:rPr>
                <w:rFonts w:hint="eastAsia" w:ascii="新宋体" w:hAnsi="新宋体" w:eastAsia="新宋体"/>
                <w:sz w:val="24"/>
                <w:lang w:val="en-US" w:eastAsia="zh-CN"/>
              </w:rPr>
              <w:t>1</w:t>
            </w:r>
          </w:p>
        </w:tc>
        <w:tc>
          <w:tcPr>
            <w:tcW w:w="875" w:type="pct"/>
            <w:noWrap w:val="0"/>
            <w:vAlign w:val="center"/>
          </w:tcPr>
          <w:p w14:paraId="4D1B6F38">
            <w:pPr>
              <w:keepNext w:val="0"/>
              <w:keepLines w:val="0"/>
              <w:pageBreakBefore w:val="0"/>
              <w:widowControl w:val="0"/>
              <w:kinsoku/>
              <w:wordWrap/>
              <w:overflowPunct/>
              <w:topLinePunct w:val="0"/>
              <w:autoSpaceDE/>
              <w:autoSpaceDN/>
              <w:bidi w:val="0"/>
              <w:spacing w:line="400" w:lineRule="exact"/>
              <w:jc w:val="center"/>
              <w:rPr>
                <w:rFonts w:hint="eastAsia" w:ascii="新宋体" w:hAnsi="新宋体" w:eastAsia="新宋体" w:cs="新宋体"/>
              </w:rPr>
            </w:pPr>
            <w:r>
              <w:rPr>
                <w:rFonts w:hint="eastAsia" w:ascii="新宋体" w:hAnsi="新宋体" w:eastAsia="新宋体" w:cs="新宋体"/>
                <w:sz w:val="24"/>
              </w:rPr>
              <w:t>其他</w:t>
            </w:r>
          </w:p>
        </w:tc>
        <w:tc>
          <w:tcPr>
            <w:tcW w:w="3875" w:type="pct"/>
            <w:noWrap w:val="0"/>
            <w:vAlign w:val="center"/>
          </w:tcPr>
          <w:p w14:paraId="4C65E0B2">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1.投标报价超过预算价或最高限价的，其投标为无效标。</w:t>
            </w:r>
          </w:p>
          <w:p w14:paraId="6F886F5F">
            <w:pPr>
              <w:keepNext w:val="0"/>
              <w:keepLines w:val="0"/>
              <w:pageBreakBefore w:val="0"/>
              <w:widowControl w:val="0"/>
              <w:kinsoku/>
              <w:wordWrap/>
              <w:overflowPunct/>
              <w:topLinePunct w:val="0"/>
              <w:autoSpaceDE/>
              <w:autoSpaceDN/>
              <w:bidi w:val="0"/>
              <w:spacing w:line="400" w:lineRule="exact"/>
              <w:rPr>
                <w:rFonts w:hint="eastAsia" w:ascii="新宋体" w:hAnsi="新宋体" w:eastAsia="新宋体" w:cs="新宋体"/>
                <w:sz w:val="24"/>
              </w:rPr>
            </w:pPr>
            <w:r>
              <w:rPr>
                <w:rFonts w:hint="eastAsia" w:ascii="新宋体" w:hAnsi="新宋体" w:eastAsia="新宋体" w:cs="新宋体"/>
                <w:sz w:val="24"/>
              </w:rPr>
              <w:t>2.要求投标人在制作投标文件时，提供的证书等佐证材料均采用扫描件的形式提供，且材料的内容要求完整、清晰可辨，否则在评审时以最不利于投标人原则评审。</w:t>
            </w:r>
          </w:p>
        </w:tc>
      </w:tr>
    </w:tbl>
    <w:p w14:paraId="353817FD">
      <w:pPr>
        <w:spacing w:line="400" w:lineRule="exact"/>
        <w:ind w:firstLine="482" w:firstLineChars="200"/>
        <w:rPr>
          <w:rFonts w:hint="eastAsia" w:ascii="新宋体" w:hAnsi="新宋体" w:eastAsia="新宋体"/>
          <w:b/>
          <w:sz w:val="24"/>
        </w:rPr>
      </w:pPr>
      <w:r>
        <w:rPr>
          <w:rFonts w:hint="eastAsia" w:ascii="新宋体" w:hAnsi="新宋体" w:eastAsia="新宋体"/>
          <w:b/>
          <w:sz w:val="24"/>
        </w:rPr>
        <w:t>注：投标人须知前附表内容与本招标文件后述内容不一致的，以投标须知前附表为准。</w:t>
      </w:r>
    </w:p>
    <w:p w14:paraId="32D35770">
      <w:pPr>
        <w:pStyle w:val="5"/>
        <w:numPr>
          <w:ilvl w:val="0"/>
          <w:numId w:val="0"/>
        </w:numPr>
        <w:spacing w:before="0" w:after="0" w:line="520" w:lineRule="exact"/>
        <w:jc w:val="center"/>
        <w:rPr>
          <w:rFonts w:hint="eastAsia" w:ascii="新宋体" w:hAnsi="新宋体" w:eastAsia="新宋体"/>
          <w:sz w:val="36"/>
          <w:szCs w:val="36"/>
        </w:rPr>
      </w:pPr>
      <w:bookmarkStart w:id="10" w:name="_Toc274303228"/>
      <w:bookmarkStart w:id="11" w:name="_Toc362250686"/>
      <w:r>
        <w:rPr>
          <w:rFonts w:ascii="新宋体" w:hAnsi="新宋体" w:eastAsia="新宋体"/>
          <w:sz w:val="36"/>
          <w:szCs w:val="36"/>
        </w:rPr>
        <w:br w:type="page"/>
      </w:r>
      <w:bookmarkStart w:id="12" w:name="_Toc14533"/>
      <w:r>
        <w:rPr>
          <w:rFonts w:hint="eastAsia" w:ascii="新宋体" w:hAnsi="新宋体" w:eastAsia="新宋体"/>
          <w:sz w:val="36"/>
          <w:szCs w:val="36"/>
        </w:rPr>
        <w:t>投标须知</w:t>
      </w:r>
      <w:bookmarkEnd w:id="10"/>
      <w:bookmarkEnd w:id="11"/>
      <w:bookmarkEnd w:id="12"/>
    </w:p>
    <w:p w14:paraId="121D0572">
      <w:pPr>
        <w:pStyle w:val="6"/>
        <w:spacing w:before="120" w:after="120" w:line="400" w:lineRule="exact"/>
        <w:rPr>
          <w:rFonts w:hint="eastAsia" w:ascii="新宋体" w:hAnsi="新宋体" w:eastAsia="新宋体"/>
          <w:sz w:val="28"/>
          <w:szCs w:val="28"/>
        </w:rPr>
      </w:pPr>
      <w:bookmarkStart w:id="13" w:name="_Toc29662"/>
      <w:bookmarkStart w:id="14" w:name="_Toc440619572"/>
      <w:bookmarkStart w:id="15" w:name="_Toc274303229"/>
      <w:bookmarkStart w:id="16" w:name="_Toc362250687"/>
      <w:r>
        <w:rPr>
          <w:rFonts w:hint="eastAsia" w:ascii="新宋体" w:hAnsi="新宋体" w:eastAsia="新宋体"/>
          <w:sz w:val="28"/>
          <w:szCs w:val="28"/>
        </w:rPr>
        <w:t>一、说明</w:t>
      </w:r>
      <w:bookmarkEnd w:id="13"/>
      <w:bookmarkEnd w:id="14"/>
      <w:bookmarkEnd w:id="15"/>
      <w:bookmarkEnd w:id="16"/>
    </w:p>
    <w:p w14:paraId="4B386CAC">
      <w:pPr>
        <w:pStyle w:val="28"/>
        <w:adjustRightInd w:val="0"/>
        <w:snapToGrid w:val="0"/>
        <w:spacing w:line="400" w:lineRule="exact"/>
        <w:ind w:firstLine="482" w:firstLineChars="200"/>
        <w:jc w:val="both"/>
        <w:rPr>
          <w:rFonts w:hint="eastAsia" w:ascii="新宋体" w:hAnsi="新宋体" w:eastAsia="新宋体"/>
          <w:color w:val="auto"/>
          <w:sz w:val="24"/>
        </w:rPr>
      </w:pPr>
      <w:r>
        <w:rPr>
          <w:rFonts w:hint="eastAsia" w:ascii="新宋体" w:hAnsi="新宋体" w:eastAsia="新宋体"/>
          <w:color w:val="auto"/>
          <w:sz w:val="24"/>
        </w:rPr>
        <w:t>1.适用范围</w:t>
      </w:r>
    </w:p>
    <w:p w14:paraId="7ACE8585">
      <w:pPr>
        <w:pStyle w:val="28"/>
        <w:adjustRightInd w:val="0"/>
        <w:snapToGrid w:val="0"/>
        <w:spacing w:line="400" w:lineRule="exact"/>
        <w:ind w:firstLine="480" w:firstLineChars="200"/>
        <w:jc w:val="both"/>
        <w:rPr>
          <w:rFonts w:hint="eastAsia" w:ascii="新宋体" w:hAnsi="新宋体" w:eastAsia="新宋体"/>
          <w:b w:val="0"/>
          <w:bCs w:val="0"/>
          <w:color w:val="auto"/>
          <w:sz w:val="24"/>
        </w:rPr>
      </w:pPr>
      <w:r>
        <w:rPr>
          <w:rFonts w:hint="eastAsia" w:ascii="新宋体" w:hAnsi="新宋体" w:eastAsia="新宋体"/>
          <w:b w:val="0"/>
          <w:bCs w:val="0"/>
          <w:color w:val="auto"/>
          <w:sz w:val="24"/>
          <w:szCs w:val="24"/>
        </w:rPr>
        <w:t>1.</w:t>
      </w:r>
      <w:r>
        <w:rPr>
          <w:rFonts w:ascii="新宋体" w:hAnsi="新宋体" w:eastAsia="新宋体"/>
          <w:b w:val="0"/>
          <w:bCs w:val="0"/>
          <w:color w:val="auto"/>
          <w:sz w:val="24"/>
          <w:szCs w:val="24"/>
        </w:rPr>
        <w:t>1</w:t>
      </w:r>
      <w:r>
        <w:rPr>
          <w:rFonts w:hint="eastAsia" w:ascii="新宋体" w:hAnsi="新宋体" w:eastAsia="新宋体"/>
          <w:b w:val="0"/>
          <w:bCs w:val="0"/>
          <w:color w:val="auto"/>
          <w:sz w:val="24"/>
          <w:szCs w:val="24"/>
        </w:rPr>
        <w:t>本招标文件仅适用于本次招标采购所叙述的服务项目。</w:t>
      </w:r>
    </w:p>
    <w:p w14:paraId="13633DA2">
      <w:pPr>
        <w:pStyle w:val="28"/>
        <w:adjustRightInd w:val="0"/>
        <w:snapToGrid w:val="0"/>
        <w:spacing w:line="400" w:lineRule="exact"/>
        <w:ind w:firstLine="482" w:firstLineChars="200"/>
        <w:jc w:val="both"/>
        <w:rPr>
          <w:rFonts w:hint="eastAsia" w:ascii="新宋体" w:hAnsi="新宋体" w:eastAsia="新宋体"/>
          <w:color w:val="auto"/>
          <w:sz w:val="24"/>
        </w:rPr>
      </w:pPr>
      <w:r>
        <w:rPr>
          <w:rFonts w:hint="eastAsia" w:ascii="新宋体" w:hAnsi="新宋体" w:eastAsia="新宋体"/>
          <w:color w:val="auto"/>
          <w:sz w:val="24"/>
        </w:rPr>
        <w:t>2.定义</w:t>
      </w:r>
    </w:p>
    <w:p w14:paraId="7881B6A6">
      <w:pPr>
        <w:pStyle w:val="35"/>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2.1招标方：系指的是采购人和采购代理机构。</w:t>
      </w:r>
    </w:p>
    <w:p w14:paraId="1354FEB9">
      <w:pPr>
        <w:pStyle w:val="35"/>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2.2采购人：系指的是</w:t>
      </w:r>
      <w:r>
        <w:rPr>
          <w:rFonts w:hint="eastAsia" w:ascii="新宋体" w:hAnsi="新宋体" w:eastAsia="新宋体" w:cs="新宋体"/>
          <w:sz w:val="24"/>
          <w:lang w:eastAsia="zh-CN"/>
        </w:rPr>
        <w:t>义乌市机关后勤服务中心</w:t>
      </w:r>
      <w:r>
        <w:rPr>
          <w:rFonts w:hint="eastAsia" w:ascii="新宋体" w:hAnsi="新宋体" w:eastAsia="新宋体" w:cs="新宋体"/>
          <w:sz w:val="24"/>
        </w:rPr>
        <w:t>；</w:t>
      </w:r>
    </w:p>
    <w:p w14:paraId="5D34BC25">
      <w:pPr>
        <w:pStyle w:val="35"/>
        <w:adjustRightInd w:val="0"/>
        <w:snapToGrid w:val="0"/>
        <w:spacing w:line="440" w:lineRule="exact"/>
        <w:ind w:firstLine="960" w:firstLineChars="400"/>
        <w:rPr>
          <w:rFonts w:hint="eastAsia" w:ascii="新宋体" w:hAnsi="新宋体" w:eastAsia="新宋体" w:cs="新宋体"/>
          <w:sz w:val="24"/>
        </w:rPr>
      </w:pPr>
      <w:r>
        <w:rPr>
          <w:rFonts w:hint="eastAsia" w:ascii="新宋体" w:hAnsi="新宋体" w:eastAsia="新宋体" w:cs="新宋体"/>
          <w:sz w:val="24"/>
        </w:rPr>
        <w:t>采购（招标）代理机构：系指的是义乌市政府采购中心。</w:t>
      </w:r>
    </w:p>
    <w:p w14:paraId="2D946942">
      <w:pPr>
        <w:pStyle w:val="35"/>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2.3投标人：系指响应招标、参加投标竞争的供应商。</w:t>
      </w:r>
    </w:p>
    <w:p w14:paraId="089886DB">
      <w:pPr>
        <w:pStyle w:val="35"/>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2.4服务：系指招标文件规定投标人须承担的劳务及其他类似的服务。</w:t>
      </w:r>
    </w:p>
    <w:p w14:paraId="1AE3F5CD">
      <w:pPr>
        <w:pStyle w:val="35"/>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2.5货物：系指按招标文件规定投标人须向采购人提供的设备及附件等。</w:t>
      </w:r>
    </w:p>
    <w:p w14:paraId="3A409E68">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2.6甲方：即采购人，在招投标阶段称为采购人，在签订和执行合同阶段称为甲方。</w:t>
      </w:r>
    </w:p>
    <w:p w14:paraId="066D5D56">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2.7乙方：在招投标阶段称为投标人，中标后称为中标人，在签订和执行合同阶段称为乙方。</w:t>
      </w:r>
      <w:r>
        <w:rPr>
          <w:rFonts w:hint="eastAsia" w:ascii="新宋体" w:hAnsi="新宋体" w:eastAsia="新宋体"/>
          <w:sz w:val="24"/>
          <w:szCs w:val="24"/>
        </w:rPr>
        <w:t>如中标人为联合体，则乙方指</w:t>
      </w:r>
      <w:r>
        <w:rPr>
          <w:rFonts w:hint="eastAsia" w:ascii="新宋体" w:hAnsi="新宋体" w:eastAsia="新宋体"/>
          <w:sz w:val="24"/>
        </w:rPr>
        <w:t>联合体各方。</w:t>
      </w:r>
    </w:p>
    <w:p w14:paraId="15204306">
      <w:pPr>
        <w:pStyle w:val="35"/>
        <w:spacing w:line="400" w:lineRule="exact"/>
        <w:ind w:firstLine="480" w:firstLineChars="200"/>
        <w:rPr>
          <w:rFonts w:hint="eastAsia" w:ascii="新宋体" w:hAnsi="新宋体" w:eastAsia="新宋体"/>
          <w:sz w:val="24"/>
          <w:szCs w:val="24"/>
        </w:rPr>
      </w:pPr>
      <w:r>
        <w:rPr>
          <w:rFonts w:hint="eastAsia" w:ascii="新宋体" w:hAnsi="新宋体" w:eastAsia="新宋体"/>
          <w:sz w:val="24"/>
          <w:szCs w:val="24"/>
        </w:rPr>
        <w:t>2.8“★”标记系指必须满足不能负偏离或必须应答的条款。</w:t>
      </w:r>
    </w:p>
    <w:p w14:paraId="609C9428">
      <w:pPr>
        <w:pStyle w:val="35"/>
        <w:spacing w:line="400" w:lineRule="exact"/>
        <w:ind w:firstLine="960" w:firstLineChars="400"/>
        <w:rPr>
          <w:rFonts w:hint="eastAsia" w:ascii="新宋体" w:hAnsi="新宋体" w:eastAsia="新宋体"/>
          <w:sz w:val="24"/>
        </w:rPr>
      </w:pPr>
      <w:r>
        <w:rPr>
          <w:rFonts w:hint="eastAsia" w:ascii="新宋体" w:hAnsi="新宋体" w:eastAsia="新宋体"/>
          <w:sz w:val="24"/>
        </w:rPr>
        <w:t>“▲”标记系指重点参数。</w:t>
      </w:r>
    </w:p>
    <w:p w14:paraId="5170C7FF">
      <w:pPr>
        <w:pStyle w:val="35"/>
        <w:spacing w:line="400" w:lineRule="exact"/>
        <w:ind w:firstLine="960" w:firstLineChars="400"/>
        <w:rPr>
          <w:rFonts w:hint="eastAsia" w:ascii="新宋体" w:hAnsi="新宋体" w:eastAsia="新宋体"/>
          <w:sz w:val="24"/>
        </w:rPr>
      </w:pPr>
      <w:r>
        <w:rPr>
          <w:rFonts w:hint="eastAsia" w:ascii="新宋体" w:hAnsi="新宋体" w:eastAsia="新宋体"/>
          <w:sz w:val="24"/>
        </w:rPr>
        <w:t>“</w:t>
      </w:r>
      <w:r>
        <w:rPr>
          <w:rFonts w:hint="eastAsia" w:ascii="新宋体" w:hAnsi="新宋体" w:eastAsia="新宋体"/>
          <w:sz w:val="24"/>
        </w:rPr>
        <w:sym w:font="Wingdings" w:char="00FE"/>
      </w:r>
      <w:r>
        <w:rPr>
          <w:rFonts w:hint="eastAsia" w:ascii="新宋体" w:hAnsi="新宋体" w:eastAsia="新宋体"/>
          <w:sz w:val="24"/>
        </w:rPr>
        <w:t>”系指适用本项目的要求，“☐”系指不适用本项目的要求。</w:t>
      </w:r>
    </w:p>
    <w:p w14:paraId="00E74F01">
      <w:pPr>
        <w:pStyle w:val="28"/>
        <w:adjustRightInd w:val="0"/>
        <w:snapToGrid w:val="0"/>
        <w:spacing w:line="400" w:lineRule="exact"/>
        <w:ind w:firstLine="482" w:firstLineChars="200"/>
        <w:jc w:val="both"/>
        <w:rPr>
          <w:rFonts w:hint="eastAsia" w:ascii="新宋体" w:hAnsi="新宋体" w:eastAsia="新宋体"/>
          <w:color w:val="auto"/>
          <w:sz w:val="24"/>
        </w:rPr>
      </w:pPr>
      <w:r>
        <w:rPr>
          <w:rFonts w:hint="eastAsia" w:ascii="新宋体" w:hAnsi="新宋体" w:eastAsia="新宋体"/>
          <w:color w:val="auto"/>
          <w:sz w:val="24"/>
        </w:rPr>
        <w:t>3.合格的投标人</w:t>
      </w:r>
    </w:p>
    <w:p w14:paraId="5E4D9696">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符合第一章采购公告中关于“投标人资格条件”规定的投标人。</w:t>
      </w:r>
    </w:p>
    <w:p w14:paraId="48A01612">
      <w:pPr>
        <w:pStyle w:val="35"/>
        <w:spacing w:line="400" w:lineRule="exact"/>
        <w:ind w:firstLine="482" w:firstLineChars="200"/>
        <w:rPr>
          <w:rFonts w:hint="eastAsia" w:ascii="新宋体" w:hAnsi="新宋体" w:eastAsia="新宋体"/>
          <w:sz w:val="24"/>
        </w:rPr>
      </w:pPr>
      <w:r>
        <w:rPr>
          <w:rFonts w:hint="eastAsia" w:ascii="新宋体" w:hAnsi="新宋体" w:eastAsia="新宋体"/>
          <w:b/>
          <w:sz w:val="24"/>
        </w:rPr>
        <w:t>4.保证</w:t>
      </w:r>
    </w:p>
    <w:p w14:paraId="242762B4">
      <w:pPr>
        <w:pStyle w:val="35"/>
        <w:spacing w:line="400" w:lineRule="exact"/>
        <w:ind w:firstLine="480" w:firstLineChars="200"/>
        <w:rPr>
          <w:rFonts w:hint="eastAsia" w:ascii="新宋体" w:hAnsi="新宋体" w:eastAsia="新宋体"/>
          <w:sz w:val="24"/>
        </w:rPr>
      </w:pPr>
      <w:r>
        <w:rPr>
          <w:rFonts w:hint="eastAsia" w:ascii="新宋体" w:hAnsi="新宋体" w:eastAsia="新宋体" w:cs="新宋体"/>
          <w:sz w:val="24"/>
        </w:rPr>
        <w:t>投标人应保证所提交给采购代理机构和采购人的资料和数据是真实、有效的。</w:t>
      </w:r>
    </w:p>
    <w:p w14:paraId="3C325AA9">
      <w:pPr>
        <w:pStyle w:val="35"/>
        <w:spacing w:line="400" w:lineRule="exact"/>
        <w:ind w:firstLine="482" w:firstLineChars="200"/>
        <w:rPr>
          <w:rFonts w:hint="eastAsia" w:ascii="新宋体" w:hAnsi="新宋体" w:eastAsia="新宋体"/>
          <w:b/>
          <w:sz w:val="24"/>
        </w:rPr>
      </w:pPr>
      <w:r>
        <w:rPr>
          <w:rFonts w:hint="eastAsia" w:ascii="新宋体" w:hAnsi="新宋体" w:eastAsia="新宋体"/>
          <w:b/>
          <w:sz w:val="24"/>
        </w:rPr>
        <w:t>5.招标投标费用</w:t>
      </w:r>
    </w:p>
    <w:p w14:paraId="2011C92D">
      <w:pPr>
        <w:pStyle w:val="35"/>
        <w:spacing w:line="400" w:lineRule="exact"/>
        <w:ind w:firstLine="480" w:firstLineChars="200"/>
        <w:rPr>
          <w:rFonts w:hint="eastAsia" w:ascii="新宋体" w:hAnsi="新宋体" w:eastAsia="新宋体"/>
          <w:b/>
          <w:sz w:val="24"/>
        </w:rPr>
      </w:pPr>
      <w:r>
        <w:rPr>
          <w:rFonts w:hint="eastAsia" w:ascii="新宋体" w:hAnsi="新宋体" w:eastAsia="新宋体"/>
          <w:sz w:val="24"/>
        </w:rPr>
        <w:t>不论投标过程中的做法和结果如何，投标人应承担所有与投标有关的全部费用。采购人和采购代理机构在任何情况下均无义务和责任承担上述这些费用。</w:t>
      </w:r>
    </w:p>
    <w:p w14:paraId="54A9BE20">
      <w:pPr>
        <w:pStyle w:val="35"/>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6.转包、分包、联合体</w:t>
      </w:r>
    </w:p>
    <w:p w14:paraId="1DF08F22">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6.1本项目不允许转包。</w:t>
      </w:r>
    </w:p>
    <w:p w14:paraId="5BE81718">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6.2分包采购相关规定（</w:t>
      </w:r>
      <w:r>
        <w:rPr>
          <w:rFonts w:hint="eastAsia" w:ascii="新宋体" w:hAnsi="新宋体" w:eastAsia="新宋体"/>
          <w:sz w:val="24"/>
          <w:u w:val="single"/>
        </w:rPr>
        <w:t>本项目是否接受分包，见投标须知前附表的规定</w:t>
      </w:r>
      <w:r>
        <w:rPr>
          <w:rFonts w:hint="eastAsia" w:ascii="新宋体" w:hAnsi="新宋体" w:eastAsia="新宋体"/>
          <w:sz w:val="24"/>
        </w:rPr>
        <w:t>）：</w:t>
      </w:r>
    </w:p>
    <w:p w14:paraId="1B82E7EC">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6.2.1投标人根据招标文件的规定和采购项目的实际情况，拟在中标后将中标项目的非主体、非关键性工作分包的，应当在投标文件中载明分包承担主体，分包承担主体应当具备相应资质条件且不得再次分包；</w:t>
      </w:r>
    </w:p>
    <w:p w14:paraId="08547308">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6.2.2享受中小企业扶持政策获得政府采购合同的，小微企业不得将合同分包给大中型企业，中型企业不得将合同分包给大型企业.</w:t>
      </w:r>
    </w:p>
    <w:p w14:paraId="6F0C395B">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6.3联合体采购相关规定（</w:t>
      </w:r>
      <w:r>
        <w:rPr>
          <w:rFonts w:hint="eastAsia" w:ascii="新宋体" w:hAnsi="新宋体" w:eastAsia="新宋体"/>
          <w:sz w:val="24"/>
          <w:u w:val="single"/>
        </w:rPr>
        <w:t>本项目是否接受联合体投标，见第一章的规定</w:t>
      </w:r>
      <w:r>
        <w:rPr>
          <w:rFonts w:hint="eastAsia" w:ascii="新宋体" w:hAnsi="新宋体" w:eastAsia="新宋体"/>
          <w:sz w:val="24"/>
        </w:rPr>
        <w:t>）：</w:t>
      </w:r>
    </w:p>
    <w:p w14:paraId="60A9DF36">
      <w:pPr>
        <w:pStyle w:val="35"/>
        <w:spacing w:line="400" w:lineRule="exact"/>
        <w:ind w:firstLine="480" w:firstLineChars="200"/>
        <w:rPr>
          <w:rFonts w:hint="eastAsia" w:ascii="新宋体" w:hAnsi="新宋体" w:eastAsia="新宋体" w:cs="Courier New"/>
          <w:sz w:val="24"/>
        </w:rPr>
      </w:pPr>
      <w:r>
        <w:rPr>
          <w:rFonts w:hint="eastAsia" w:ascii="新宋体" w:hAnsi="新宋体" w:eastAsia="新宋体" w:cs="Courier New"/>
          <w:sz w:val="24"/>
        </w:rPr>
        <w:t>6.3.1联合体各方均应符合本项目规定的资格要求；</w:t>
      </w:r>
      <w:r>
        <w:rPr>
          <w:rFonts w:hint="eastAsia" w:ascii="新宋体" w:hAnsi="新宋体" w:eastAsia="新宋体" w:cs="Courier New"/>
          <w:sz w:val="24"/>
        </w:rPr>
        <w:br w:type="textWrapping"/>
      </w:r>
      <w:r>
        <w:rPr>
          <w:rFonts w:hint="eastAsia" w:ascii="新宋体" w:hAnsi="新宋体" w:eastAsia="新宋体" w:cs="Courier New"/>
          <w:sz w:val="24"/>
          <w:lang w:val="en-US" w:eastAsia="zh-CN"/>
        </w:rPr>
        <w:t xml:space="preserve">    </w:t>
      </w:r>
      <w:r>
        <w:rPr>
          <w:rFonts w:hint="eastAsia" w:ascii="新宋体" w:hAnsi="新宋体" w:eastAsia="新宋体" w:cs="Courier New"/>
          <w:sz w:val="24"/>
        </w:rPr>
        <w:t>6.3.2联合体中有同类资质的投标人按照联合体分工承担相同工作的，应当按照资质等级较低的投标人确定资质等级；</w:t>
      </w:r>
    </w:p>
    <w:p w14:paraId="52D14450">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6.3.3以联合体形式参加政府采购活动的，联合体各方不得再单独参加或者与其他投标人另外组成联合体参加同一合同项下的政府采购活动；</w:t>
      </w:r>
    </w:p>
    <w:p w14:paraId="0B120804">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6.3.4联合体各方应当指定牵头人，授权其代表联合体各方负责投标和合同实施阶段的主办、协调工作，同时应当提交</w:t>
      </w:r>
      <w:r>
        <w:rPr>
          <w:rFonts w:hint="eastAsia" w:ascii="新宋体" w:hAnsi="新宋体" w:eastAsia="新宋体"/>
          <w:b/>
          <w:bCs/>
          <w:sz w:val="24"/>
          <w:u w:val="single"/>
        </w:rPr>
        <w:t>联合体协议</w:t>
      </w:r>
      <w:r>
        <w:rPr>
          <w:rFonts w:hint="eastAsia" w:ascii="新宋体" w:hAnsi="新宋体" w:eastAsia="新宋体"/>
          <w:sz w:val="24"/>
        </w:rPr>
        <w:t>，载明联合体各方承担的工作和义务。联合体协议中应当注明由联合体各方共同与采购人签订合同，并就采购合同约定的事项对采购人承担连带责任。联合体协议中仅约定由牵头人或联合体各方中某一方与采购人签订合同的，或联合体协议中仅约定由牵头人或联合体各方中某一方就采购合同约定的事项对采购人承担责任的，视为未提供联合体协议；</w:t>
      </w:r>
    </w:p>
    <w:p w14:paraId="36B7B2C1">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6.3.5</w:t>
      </w:r>
      <w:r>
        <w:rPr>
          <w:rFonts w:hint="eastAsia" w:ascii="新宋体" w:hAnsi="新宋体" w:eastAsia="新宋体"/>
          <w:color w:val="000000"/>
          <w:sz w:val="24"/>
        </w:rPr>
        <w:t>如采购项目对供应商有业绩要求。联合体各方分别提供与联合体协议中约定的分工内容相应的业绩材料，业绩数量以提供材料较少的一方为准；</w:t>
      </w:r>
    </w:p>
    <w:p w14:paraId="5157CE82">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6.3.6联合体各方均为中小企业的，该联合体视同中小企业；</w:t>
      </w:r>
    </w:p>
    <w:p w14:paraId="572D4DEF">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6.3.7以联合体形式参加政府采购活动的，其投诉应当由组成联合体的所有供应商共同提出；</w:t>
      </w:r>
    </w:p>
    <w:p w14:paraId="24CF6946">
      <w:pPr>
        <w:pStyle w:val="35"/>
        <w:spacing w:line="400" w:lineRule="exact"/>
        <w:ind w:firstLine="480" w:firstLineChars="200"/>
        <w:rPr>
          <w:rFonts w:ascii="新宋体" w:hAnsi="新宋体" w:eastAsia="新宋体"/>
          <w:sz w:val="24"/>
        </w:rPr>
      </w:pPr>
      <w:r>
        <w:rPr>
          <w:rFonts w:hint="eastAsia" w:ascii="新宋体" w:hAnsi="新宋体" w:eastAsia="新宋体"/>
          <w:sz w:val="24"/>
        </w:rPr>
        <w:t>6.3.8采购人或采购代理机构对联合体中任何一方的书面文件都对联合体各方具有约束力。</w:t>
      </w:r>
    </w:p>
    <w:p w14:paraId="08301134">
      <w:pPr>
        <w:pStyle w:val="35"/>
        <w:spacing w:line="440" w:lineRule="exact"/>
        <w:ind w:firstLine="482" w:firstLineChars="200"/>
        <w:rPr>
          <w:rFonts w:hint="eastAsia" w:ascii="新宋体" w:hAnsi="新宋体" w:eastAsia="新宋体"/>
          <w:sz w:val="24"/>
        </w:rPr>
      </w:pPr>
      <w:r>
        <w:rPr>
          <w:rFonts w:hint="eastAsia" w:ascii="新宋体" w:hAnsi="新宋体" w:eastAsia="新宋体" w:cs="新宋体"/>
          <w:b/>
          <w:sz w:val="24"/>
        </w:rPr>
        <w:t>7.政府采购政策</w:t>
      </w:r>
    </w:p>
    <w:p w14:paraId="0284285A">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7.1扶持中小企业政策：</w:t>
      </w:r>
    </w:p>
    <w:p w14:paraId="1BED8EF9">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7.1.1专门面向中小企业（具体情形详见采购公告资格要求中的情形）采购的项目或者标项，不再执行价格评审优惠的扶持政策。</w:t>
      </w:r>
      <w:r>
        <w:rPr>
          <w:rFonts w:hint="eastAsia" w:ascii="新宋体" w:hAnsi="新宋体" w:eastAsia="新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E9F77C2">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7.1.2.非专门面向中小企业采购的项目</w:t>
      </w:r>
      <w:r>
        <w:rPr>
          <w:rFonts w:hint="eastAsia" w:ascii="新宋体" w:hAnsi="新宋体" w:eastAsia="新宋体" w:cs="新宋体"/>
          <w:sz w:val="24"/>
        </w:rPr>
        <w:t>或者标项</w:t>
      </w:r>
      <w:r>
        <w:rPr>
          <w:rFonts w:hint="eastAsia" w:ascii="新宋体" w:hAnsi="新宋体" w:eastAsia="新宋体"/>
          <w:sz w:val="24"/>
        </w:rPr>
        <w:t>，执行价格评审优惠：</w:t>
      </w:r>
    </w:p>
    <w:p w14:paraId="7189D4EA">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7.1.2.1根据符合《政府采购促进中小企业发展管理办法》（财库〔2020〕46号）、《关于进一步加大政府采购支持中小企业力度的通知》（财库[2022]19号）等文件要求，对小微企业报价给予</w:t>
      </w:r>
      <w:r>
        <w:rPr>
          <w:rFonts w:hint="eastAsia" w:ascii="新宋体" w:hAnsi="新宋体" w:eastAsia="新宋体"/>
          <w:sz w:val="24"/>
          <w:u w:val="single"/>
        </w:rPr>
        <w:t xml:space="preserve"> 20% </w:t>
      </w:r>
      <w:r>
        <w:rPr>
          <w:rFonts w:hint="eastAsia" w:ascii="新宋体" w:hAnsi="新宋体" w:eastAsia="新宋体"/>
          <w:sz w:val="24"/>
        </w:rPr>
        <w:t>的扣除，用扣除后的价格参加评审；对于接受大中型企业与小微企业组成联合体或者允许大中型企业向一家或者多家小微企业分包的采购项目，对于联合协议或者分包意向协议约定小微企业的合同份额占到合同总金额</w:t>
      </w:r>
      <w:r>
        <w:rPr>
          <w:rFonts w:hint="eastAsia" w:ascii="新宋体" w:hAnsi="新宋体" w:eastAsia="新宋体"/>
          <w:sz w:val="24"/>
          <w:u w:val="single"/>
        </w:rPr>
        <w:t xml:space="preserve"> 30% </w:t>
      </w:r>
      <w:r>
        <w:rPr>
          <w:rFonts w:hint="eastAsia" w:ascii="新宋体" w:hAnsi="新宋体" w:eastAsia="新宋体"/>
          <w:sz w:val="24"/>
        </w:rPr>
        <w:t>以上的，对联合体或者大中型企业的报价给予</w:t>
      </w:r>
      <w:r>
        <w:rPr>
          <w:rFonts w:hint="eastAsia" w:ascii="新宋体" w:hAnsi="新宋体" w:eastAsia="新宋体"/>
          <w:sz w:val="24"/>
          <w:u w:val="single"/>
        </w:rPr>
        <w:t xml:space="preserve"> 6% </w:t>
      </w:r>
      <w:r>
        <w:rPr>
          <w:rFonts w:hint="eastAsia" w:ascii="新宋体" w:hAnsi="新宋体" w:eastAsia="新宋体"/>
          <w:sz w:val="24"/>
        </w:rPr>
        <w:t>的扣除，用扣除后的价格参加评审。</w:t>
      </w:r>
      <w:r>
        <w:rPr>
          <w:rFonts w:hint="eastAsia" w:ascii="新宋体" w:hAnsi="新宋体" w:eastAsia="新宋体"/>
          <w:color w:val="000000"/>
          <w:sz w:val="24"/>
        </w:rPr>
        <w:t>组成联合体或者接受分包的小微企业与联合体内其他企业、分包企业之间存在直接控股、管理关系的，不享受价格扣除优惠政策。</w:t>
      </w:r>
      <w:r>
        <w:rPr>
          <w:rFonts w:hint="eastAsia" w:ascii="新宋体" w:hAnsi="新宋体" w:eastAsia="新宋体"/>
          <w:b/>
          <w:bCs/>
          <w:sz w:val="24"/>
          <w:u w:val="single"/>
        </w:rPr>
        <w:t>享受相关中小企业扶持政策的投标人，应在投标文件中提供《中小企业声明函》</w:t>
      </w:r>
      <w:r>
        <w:rPr>
          <w:rFonts w:hint="eastAsia" w:ascii="新宋体" w:hAnsi="新宋体" w:eastAsia="新宋体"/>
          <w:sz w:val="24"/>
        </w:rPr>
        <w:t>；</w:t>
      </w:r>
    </w:p>
    <w:p w14:paraId="43266CA0">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7.1.2.2根据财库[2017]141号的相关规定，符合该文件第一条规定的残疾人福利性单位，视同小型、微型企业，享受评审中价格扣除政策。</w:t>
      </w:r>
      <w:r>
        <w:rPr>
          <w:rFonts w:hint="eastAsia" w:ascii="新宋体" w:hAnsi="新宋体" w:eastAsia="新宋体"/>
          <w:b/>
          <w:bCs/>
          <w:sz w:val="24"/>
          <w:u w:val="single"/>
        </w:rPr>
        <w:t>享受相关中小企业扶持政策的投标人，</w:t>
      </w:r>
      <w:r>
        <w:rPr>
          <w:rFonts w:hint="eastAsia" w:ascii="新宋体" w:hAnsi="新宋体" w:eastAsia="新宋体"/>
          <w:sz w:val="24"/>
        </w:rPr>
        <w:t>应在投标文件中提供</w:t>
      </w:r>
      <w:r>
        <w:rPr>
          <w:rFonts w:hint="eastAsia" w:ascii="新宋体" w:hAnsi="新宋体" w:eastAsia="新宋体"/>
          <w:b/>
          <w:bCs/>
          <w:sz w:val="24"/>
          <w:u w:val="single"/>
        </w:rPr>
        <w:t>残疾人福利性单位声明函</w:t>
      </w:r>
      <w:r>
        <w:rPr>
          <w:rFonts w:hint="eastAsia" w:ascii="新宋体" w:hAnsi="新宋体" w:eastAsia="新宋体"/>
          <w:sz w:val="24"/>
        </w:rPr>
        <w:t>；</w:t>
      </w:r>
    </w:p>
    <w:p w14:paraId="534252E0">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7.1.2.3根据财库[2014]68号的相关规定，在政府采购活动中，监狱企业视同小型、微型企业，享受评审中价格扣除政策。</w:t>
      </w:r>
      <w:r>
        <w:rPr>
          <w:rFonts w:hint="eastAsia" w:ascii="新宋体" w:hAnsi="新宋体" w:eastAsia="新宋体"/>
          <w:b/>
          <w:bCs/>
          <w:sz w:val="24"/>
          <w:u w:val="single"/>
        </w:rPr>
        <w:t>享受相关中小企业扶持政策的投标人，</w:t>
      </w:r>
      <w:r>
        <w:rPr>
          <w:rFonts w:hint="eastAsia" w:ascii="新宋体" w:hAnsi="新宋体" w:eastAsia="新宋体"/>
          <w:sz w:val="24"/>
        </w:rPr>
        <w:t>应在投标文件中提供由省级以上监狱管理局、戒毒管理局（含新疆生产建设兵团）出具的</w:t>
      </w:r>
      <w:r>
        <w:rPr>
          <w:rFonts w:hint="eastAsia" w:ascii="新宋体" w:hAnsi="新宋体" w:eastAsia="新宋体"/>
          <w:b/>
          <w:bCs/>
          <w:sz w:val="24"/>
          <w:u w:val="single"/>
        </w:rPr>
        <w:t>属于监狱企业的声明文件</w:t>
      </w:r>
      <w:r>
        <w:rPr>
          <w:rFonts w:hint="eastAsia" w:ascii="新宋体" w:hAnsi="新宋体" w:eastAsia="新宋体"/>
          <w:sz w:val="24"/>
        </w:rPr>
        <w:t>；</w:t>
      </w:r>
    </w:p>
    <w:p w14:paraId="09D76EC6">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7.1.3对于采购标的中有不同属性（货物、服务、工程）的采购项目，应当根据采购项目的属性来执行中小企业政策。享受中小企业扶持政策的供应商应当满足下列条件：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14:paraId="0DBF5430">
      <w:pPr>
        <w:pStyle w:val="35"/>
        <w:spacing w:line="400" w:lineRule="exact"/>
        <w:ind w:firstLine="480" w:firstLineChars="200"/>
        <w:rPr>
          <w:rFonts w:hint="eastAsia" w:ascii="新宋体" w:hAnsi="新宋体" w:eastAsia="新宋体"/>
          <w:sz w:val="24"/>
        </w:rPr>
      </w:pPr>
      <w:r>
        <w:rPr>
          <w:rFonts w:hint="eastAsia" w:ascii="新宋体" w:hAnsi="新宋体" w:eastAsia="新宋体"/>
          <w:sz w:val="24"/>
        </w:rPr>
        <w:t>7.2投标产品为省级以上主管部门认定的首台套产品（装备）、首批次新材料、首版次软件，自纳入《省推广应用指导目录》起三年内参加政府采购活动，视同已具备相应销售业绩，业绩分为满分。提供相关的材料。</w:t>
      </w:r>
    </w:p>
    <w:p w14:paraId="32512B00">
      <w:pPr>
        <w:pStyle w:val="6"/>
        <w:spacing w:before="120" w:after="120" w:line="400" w:lineRule="exact"/>
        <w:rPr>
          <w:rFonts w:hint="eastAsia" w:ascii="新宋体" w:hAnsi="新宋体" w:eastAsia="新宋体"/>
          <w:sz w:val="28"/>
          <w:szCs w:val="28"/>
        </w:rPr>
      </w:pPr>
      <w:bookmarkStart w:id="17" w:name="_Toc31060"/>
      <w:bookmarkStart w:id="18" w:name="_Toc274303230"/>
      <w:bookmarkStart w:id="19" w:name="_Toc362250688"/>
      <w:r>
        <w:rPr>
          <w:rFonts w:hint="eastAsia" w:ascii="新宋体" w:hAnsi="新宋体" w:eastAsia="新宋体"/>
          <w:sz w:val="28"/>
          <w:szCs w:val="28"/>
        </w:rPr>
        <w:t>二、招标文件</w:t>
      </w:r>
      <w:bookmarkEnd w:id="17"/>
      <w:bookmarkEnd w:id="18"/>
      <w:bookmarkEnd w:id="19"/>
    </w:p>
    <w:p w14:paraId="4D19FD9F">
      <w:pPr>
        <w:pStyle w:val="35"/>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8.招标文件的组成</w:t>
      </w:r>
    </w:p>
    <w:p w14:paraId="1B2D1F0F">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8.1招标文件包括下列内容：</w:t>
      </w:r>
    </w:p>
    <w:p w14:paraId="75BDDA54">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第一章 采购公告</w:t>
      </w:r>
    </w:p>
    <w:p w14:paraId="4C106D8F">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第二章 投标须知前附表和投标须知</w:t>
      </w:r>
    </w:p>
    <w:p w14:paraId="21EE81FA">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第三章 招标项目要求</w:t>
      </w:r>
    </w:p>
    <w:p w14:paraId="765EFD0B">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第四章 开标、评标和定标须知</w:t>
      </w:r>
    </w:p>
    <w:p w14:paraId="18430E3F">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第五章 投标文件的无效情形</w:t>
      </w:r>
    </w:p>
    <w:p w14:paraId="289DE0D5">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第六章 评标办法</w:t>
      </w:r>
    </w:p>
    <w:p w14:paraId="62110A92">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第七章 合同主要条款</w:t>
      </w:r>
    </w:p>
    <w:p w14:paraId="7C77180C">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第八章 投标文件部分格式</w:t>
      </w:r>
    </w:p>
    <w:p w14:paraId="18C86382">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8.2除8.1内容外，招标方在投标截止时间前以公告形式发出的对招标文件的澄清或修改内容，均为招标文件的组成部分，对招标方和投标人起约束作用。</w:t>
      </w:r>
    </w:p>
    <w:p w14:paraId="442C13FA">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8.3上述所列8.1及8.2条内容均以公告内容为准，招标方的任何工作人员对投标人所作的任何口头解释、介绍、答复，对招标方和投标人无任何约束力。</w:t>
      </w:r>
    </w:p>
    <w:p w14:paraId="65D14360">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8.4投标人应认真阅读投标须知、合同条件、规定格式、项目要求、报价要求等招标文件所有的内容。如果投标人的投标文件不能符合招标文件的要求，责任由投标人自负。实质上不响应招标文件要求的投标文件将被拒绝。</w:t>
      </w:r>
    </w:p>
    <w:p w14:paraId="772E0CA1">
      <w:pPr>
        <w:adjustRightInd w:val="0"/>
        <w:snapToGrid w:val="0"/>
        <w:spacing w:before="50" w:after="50" w:line="400" w:lineRule="exact"/>
        <w:ind w:firstLine="480" w:firstLineChars="200"/>
        <w:rPr>
          <w:rFonts w:hint="eastAsia" w:ascii="新宋体" w:hAnsi="新宋体" w:eastAsia="新宋体"/>
          <w:b/>
          <w:bCs/>
          <w:sz w:val="24"/>
        </w:rPr>
      </w:pPr>
      <w:r>
        <w:rPr>
          <w:rFonts w:hint="eastAsia" w:ascii="新宋体" w:hAnsi="新宋体" w:eastAsia="新宋体" w:cs="新宋体"/>
          <w:sz w:val="24"/>
        </w:rPr>
        <w:t>8.5招标方在“政采云”上设定的内容与招标文件的内容如有不一致的，以招标文件为准。</w:t>
      </w:r>
    </w:p>
    <w:p w14:paraId="67BA87DF">
      <w:pPr>
        <w:pStyle w:val="35"/>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9.招标文件的澄清</w:t>
      </w:r>
    </w:p>
    <w:p w14:paraId="12605D70">
      <w:pPr>
        <w:pStyle w:val="35"/>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sz w:val="24"/>
        </w:rPr>
        <w:t>9.1</w:t>
      </w:r>
      <w:r>
        <w:rPr>
          <w:rFonts w:hint="eastAsia" w:ascii="新宋体" w:hAnsi="新宋体" w:eastAsia="新宋体" w:cs="新宋体"/>
          <w:color w:val="000000"/>
          <w:sz w:val="24"/>
        </w:rPr>
        <w:t>投标人若对招标文件有任何疑问，应在投标人须知前附表规定的方式及时间前以署名书面或传真形式要求澄清问题的文件，要求招标方对招标文件予以澄清。否则，由此引起的损失由投标人自己承担。</w:t>
      </w:r>
    </w:p>
    <w:p w14:paraId="172A9503">
      <w:pPr>
        <w:pStyle w:val="35"/>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sz w:val="24"/>
        </w:rPr>
        <w:t>9.2无论是招标方根据需要主动对招标文件进行必要澄清，或是根据投标人的要求对招标文件作出澄清，招标方的书面澄清（更正）文件会在浙江省政府网上发布公告，同时“政采云”会向所有已按招标文件规定方式获取招标文件的潜在供应商发送更正提醒信息，</w:t>
      </w:r>
      <w:r>
        <w:rPr>
          <w:rFonts w:hint="eastAsia" w:ascii="新宋体" w:hAnsi="新宋体" w:eastAsia="新宋体" w:cs="新宋体"/>
          <w:color w:val="000000"/>
          <w:sz w:val="24"/>
        </w:rPr>
        <w:t>潜在供应商请自行到浙江省政府采购网上下载澄清（更正）文件；</w:t>
      </w:r>
    </w:p>
    <w:p w14:paraId="3964A87B">
      <w:pPr>
        <w:pStyle w:val="35"/>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9.3在前附表规定时间未提交疑问或质疑的投标人，视作默认对本次招标过程中招标文件无异议，招标方对其提出的问题可以不予受理。</w:t>
      </w:r>
    </w:p>
    <w:p w14:paraId="0A94AFDD">
      <w:pPr>
        <w:pStyle w:val="35"/>
        <w:spacing w:line="440" w:lineRule="exact"/>
        <w:ind w:firstLine="480" w:firstLineChars="200"/>
        <w:rPr>
          <w:rFonts w:hint="eastAsia" w:ascii="新宋体" w:hAnsi="新宋体" w:eastAsia="新宋体"/>
          <w:b/>
          <w:bCs/>
          <w:sz w:val="24"/>
        </w:rPr>
      </w:pPr>
      <w:r>
        <w:rPr>
          <w:rFonts w:hint="eastAsia" w:ascii="新宋体" w:hAnsi="新宋体" w:eastAsia="新宋体" w:cs="新宋体"/>
          <w:sz w:val="24"/>
        </w:rPr>
        <w:t>9.4招标文件澄清、变更、补充等内容均以浙江政府采购网公示的内容为准。当招标文件、招标文件的澄清、变更、补充等在同一内容的表述上不一致时，以最后在浙江政府采购网发出的公示内容为准。</w:t>
      </w:r>
    </w:p>
    <w:p w14:paraId="254DE472">
      <w:pPr>
        <w:pStyle w:val="6"/>
        <w:spacing w:before="120" w:after="120" w:line="400" w:lineRule="exact"/>
        <w:rPr>
          <w:rFonts w:hint="eastAsia" w:ascii="新宋体" w:hAnsi="新宋体" w:eastAsia="新宋体"/>
          <w:sz w:val="28"/>
          <w:szCs w:val="28"/>
        </w:rPr>
      </w:pPr>
      <w:bookmarkStart w:id="20" w:name="_Toc11556"/>
      <w:bookmarkStart w:id="21" w:name="_Toc274303231"/>
      <w:bookmarkStart w:id="22" w:name="_Toc362250689"/>
      <w:r>
        <w:rPr>
          <w:rFonts w:hint="eastAsia" w:ascii="新宋体" w:hAnsi="新宋体" w:eastAsia="新宋体"/>
          <w:sz w:val="28"/>
          <w:szCs w:val="28"/>
        </w:rPr>
        <w:t>三、投标文件</w:t>
      </w:r>
      <w:bookmarkEnd w:id="20"/>
      <w:bookmarkEnd w:id="21"/>
      <w:bookmarkEnd w:id="22"/>
    </w:p>
    <w:p w14:paraId="606A3B92">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10.投标文件的组成</w:t>
      </w:r>
    </w:p>
    <w:p w14:paraId="6A0B2684">
      <w:pPr>
        <w:spacing w:line="440" w:lineRule="exact"/>
        <w:ind w:firstLine="480"/>
        <w:rPr>
          <w:rFonts w:hint="eastAsia" w:ascii="新宋体" w:hAnsi="新宋体" w:eastAsia="新宋体" w:cs="新宋体"/>
          <w:color w:val="0000FF"/>
          <w:sz w:val="24"/>
        </w:rPr>
      </w:pPr>
      <w:r>
        <w:rPr>
          <w:rFonts w:hint="eastAsia" w:ascii="新宋体" w:hAnsi="新宋体" w:eastAsia="新宋体" w:cs="新宋体"/>
          <w:color w:val="000000"/>
          <w:sz w:val="24"/>
        </w:rPr>
        <w:t>投标文件由资格响应文件、商务技术响应文件和报价响应文件组成，具体见投标须知前附表。</w:t>
      </w:r>
    </w:p>
    <w:p w14:paraId="0674EF0D">
      <w:pPr>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11.投标文件编制要求</w:t>
      </w:r>
    </w:p>
    <w:p w14:paraId="70937CE3">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11.1投标人应仔细阅读招标文件，了解招标文件的要求，在完全了解招标项目的要求后，编制投标文件。</w:t>
      </w:r>
    </w:p>
    <w:p w14:paraId="15A0F920">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11.2在招标文件的要求中，投标人必须充分应答和满足用户的强制性的需求，如“★”等，否则将导致无效标。</w:t>
      </w:r>
    </w:p>
    <w:p w14:paraId="3E405F22">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11.3编制的投标文件对招标文件中有关条款未提出异议的，均被视为接受和同意。</w:t>
      </w:r>
    </w:p>
    <w:p w14:paraId="0349420E">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11.4投标人应根据电子投标操作指南按本招标文件规定的格式和顺序编制电子投标文件并进行关联定位。</w:t>
      </w:r>
    </w:p>
    <w:p w14:paraId="4959C212">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11.5由于未按招标文件的规定要求编制投标文件，导致</w:t>
      </w:r>
      <w:r>
        <w:rPr>
          <w:rFonts w:hint="eastAsia" w:ascii="新宋体" w:hAnsi="新宋体" w:eastAsia="新宋体" w:cs="新宋体"/>
          <w:sz w:val="24"/>
          <w:lang w:eastAsia="zh-CN"/>
        </w:rPr>
        <w:t>评标委员会</w:t>
      </w:r>
      <w:r>
        <w:rPr>
          <w:rFonts w:hint="eastAsia" w:ascii="新宋体" w:hAnsi="新宋体" w:eastAsia="新宋体" w:cs="新宋体"/>
          <w:sz w:val="24"/>
        </w:rPr>
        <w:t>作出的对投标人的误判，责任由投标人自己承担。</w:t>
      </w:r>
    </w:p>
    <w:p w14:paraId="437D0D50">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12.投标文件的语言及度量衡单位</w:t>
      </w:r>
    </w:p>
    <w:p w14:paraId="612A6EBA">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12.1投标文件和与投标有关的所有文件均应使用中文简体字。</w:t>
      </w:r>
    </w:p>
    <w:p w14:paraId="2DB6824D">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12.2原版为外文的证书类文件，以及由外国人作出的本人签名、外国公司的名称或外国印章等可以是外文，但应当提供中文翻译文件</w:t>
      </w:r>
      <w:r>
        <w:rPr>
          <w:rFonts w:hint="eastAsia" w:ascii="新宋体" w:hAnsi="新宋体" w:eastAsia="新宋体" w:cs="Courier New"/>
          <w:sz w:val="24"/>
          <w:szCs w:val="21"/>
        </w:rPr>
        <w:t>并加盖电子签章</w:t>
      </w:r>
      <w:r>
        <w:rPr>
          <w:rFonts w:hint="eastAsia" w:ascii="新宋体" w:hAnsi="新宋体" w:eastAsia="新宋体" w:cs="新宋体"/>
          <w:sz w:val="24"/>
        </w:rPr>
        <w:t>。</w:t>
      </w:r>
    </w:p>
    <w:p w14:paraId="3C36B62B">
      <w:pPr>
        <w:spacing w:line="40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12.3除工程规范另有规定外，投标文件使用的度量衡单位，均采用中华人民共和国法定计量单位。</w:t>
      </w:r>
    </w:p>
    <w:p w14:paraId="142A563D">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13.投标报价</w:t>
      </w:r>
    </w:p>
    <w:p w14:paraId="538C056B">
      <w:pPr>
        <w:spacing w:line="440" w:lineRule="exact"/>
        <w:ind w:firstLine="480"/>
        <w:rPr>
          <w:rFonts w:hint="eastAsia" w:ascii="新宋体" w:hAnsi="新宋体" w:eastAsia="新宋体" w:cs="新宋体"/>
          <w:i/>
          <w:iCs/>
          <w:color w:val="auto"/>
          <w:sz w:val="24"/>
        </w:rPr>
      </w:pPr>
      <w:r>
        <w:rPr>
          <w:rFonts w:hint="eastAsia" w:ascii="新宋体" w:hAnsi="新宋体" w:eastAsia="新宋体" w:cs="新宋体"/>
          <w:color w:val="auto"/>
          <w:sz w:val="24"/>
          <w:highlight w:val="none"/>
        </w:rPr>
        <w:t>13.1投标人应根据国家的有关规定和招标文件要求并结合企业的实际情况进行投标报价。</w:t>
      </w:r>
      <w:r>
        <w:rPr>
          <w:rFonts w:hAnsi="宋体"/>
          <w:color w:val="auto"/>
          <w:sz w:val="24"/>
          <w:szCs w:val="24"/>
        </w:rPr>
        <w:t>投标报价以人民币为结算货币，</w:t>
      </w:r>
      <w:r>
        <w:rPr>
          <w:rFonts w:hint="eastAsia" w:hAnsi="宋体"/>
          <w:color w:val="auto"/>
          <w:sz w:val="24"/>
          <w:szCs w:val="24"/>
        </w:rPr>
        <w:t>投标报价须</w:t>
      </w:r>
      <w:r>
        <w:rPr>
          <w:rFonts w:hint="eastAsia" w:hAnsi="宋体"/>
          <w:b/>
          <w:color w:val="auto"/>
          <w:sz w:val="24"/>
          <w:szCs w:val="24"/>
        </w:rPr>
        <w:t>包括人员工资，按规定缴纳的各类保险，加班费，管理费用，税费，固定资产折旧费，企业提取费用，所有材料及易耗品（包括卫生纸、擦手纸、洗手液、塑料袋、除臭香球、除臭剂等耗材）费用，工具，福利费，培训费，物业办公费用，房租费，服装费，夜餐费，伙食费，过节费，奖励费，劳保费，体检费，浙江省义乌市最低基本工资的增资因素，</w:t>
      </w:r>
      <w:r>
        <w:rPr>
          <w:rFonts w:hAnsi="宋体"/>
          <w:b/>
          <w:color w:val="auto"/>
          <w:sz w:val="24"/>
          <w:szCs w:val="24"/>
        </w:rPr>
        <w:t>其它合同中明示或暗示的所有一般风险、责任和义务等</w:t>
      </w:r>
      <w:r>
        <w:rPr>
          <w:rFonts w:hint="eastAsia" w:hAnsi="宋体"/>
          <w:b/>
          <w:color w:val="auto"/>
          <w:sz w:val="24"/>
          <w:szCs w:val="24"/>
        </w:rPr>
        <w:t>所有费用。</w:t>
      </w:r>
      <w:r>
        <w:rPr>
          <w:rFonts w:hint="eastAsia" w:ascii="新宋体" w:hAnsi="新宋体" w:eastAsia="新宋体" w:cs="新宋体"/>
          <w:color w:val="auto"/>
          <w:sz w:val="24"/>
          <w:highlight w:val="none"/>
        </w:rPr>
        <w:t>如有漏项，视同已包含在本报价中，</w:t>
      </w:r>
      <w:r>
        <w:rPr>
          <w:rFonts w:hint="eastAsia" w:ascii="新宋体" w:hAnsi="新宋体" w:eastAsia="新宋体" w:cs="新宋体"/>
          <w:i/>
          <w:iCs/>
          <w:color w:val="auto"/>
          <w:sz w:val="24"/>
          <w:highlight w:val="none"/>
          <w:lang w:eastAsia="zh-CN"/>
        </w:rPr>
        <w:t>最终的报价不作调整，并由中标人开具正式税务发票</w:t>
      </w:r>
      <w:r>
        <w:rPr>
          <w:rFonts w:hint="eastAsia" w:ascii="新宋体" w:hAnsi="新宋体" w:eastAsia="新宋体" w:cs="新宋体"/>
          <w:i/>
          <w:iCs/>
          <w:color w:val="auto"/>
          <w:sz w:val="24"/>
          <w:highlight w:val="none"/>
        </w:rPr>
        <w:t>。</w:t>
      </w:r>
    </w:p>
    <w:p w14:paraId="4DE88418">
      <w:pPr>
        <w:spacing w:line="440" w:lineRule="exact"/>
        <w:ind w:firstLine="480"/>
        <w:rPr>
          <w:rFonts w:ascii="新宋体" w:hAnsi="新宋体" w:eastAsia="新宋体" w:cs="新宋体"/>
          <w:sz w:val="24"/>
        </w:rPr>
      </w:pPr>
      <w:r>
        <w:rPr>
          <w:rFonts w:hint="eastAsia" w:ascii="新宋体" w:hAnsi="新宋体" w:eastAsia="新宋体" w:cs="新宋体"/>
          <w:sz w:val="24"/>
        </w:rPr>
        <w:t>13.2投标人应在投标文件的《开标一览表》上写明投标报价项目的</w:t>
      </w:r>
      <w:r>
        <w:rPr>
          <w:rFonts w:hint="eastAsia" w:ascii="新宋体" w:hAnsi="新宋体" w:eastAsia="新宋体"/>
          <w:b/>
          <w:sz w:val="24"/>
          <w:u w:val="single"/>
        </w:rPr>
        <w:t>单价和总价</w:t>
      </w:r>
      <w:r>
        <w:rPr>
          <w:rFonts w:hint="eastAsia" w:ascii="新宋体" w:hAnsi="新宋体" w:eastAsia="新宋体" w:cs="新宋体"/>
          <w:sz w:val="24"/>
        </w:rPr>
        <w:t>。</w:t>
      </w:r>
    </w:p>
    <w:p w14:paraId="63CF6C93">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13.3中标后，中标人所填写的</w:t>
      </w:r>
      <w:r>
        <w:rPr>
          <w:rFonts w:hint="eastAsia" w:ascii="新宋体" w:hAnsi="新宋体" w:eastAsia="新宋体"/>
          <w:b/>
          <w:sz w:val="24"/>
          <w:u w:val="single"/>
        </w:rPr>
        <w:t>单价</w:t>
      </w:r>
      <w:r>
        <w:rPr>
          <w:rFonts w:hint="eastAsia" w:ascii="新宋体" w:hAnsi="新宋体" w:eastAsia="新宋体" w:cs="新宋体"/>
          <w:sz w:val="24"/>
        </w:rPr>
        <w:t>在合同实施期间不因市场变化因素而变动，投标人在计算报价时应考虑一定的风险系数。</w:t>
      </w:r>
    </w:p>
    <w:p w14:paraId="7DEA831C">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13.4投标人应按招标文件规定的报价格式进行投标报价。投标人对每种</w:t>
      </w:r>
      <w:r>
        <w:rPr>
          <w:rFonts w:hint="eastAsia" w:ascii="新宋体" w:hAnsi="新宋体" w:eastAsia="新宋体" w:cs="新宋体"/>
          <w:color w:val="000000"/>
          <w:sz w:val="24"/>
        </w:rPr>
        <w:t>产品</w:t>
      </w:r>
      <w:r>
        <w:rPr>
          <w:rFonts w:hint="eastAsia" w:ascii="新宋体" w:hAnsi="新宋体" w:eastAsia="新宋体" w:cs="新宋体"/>
          <w:sz w:val="24"/>
        </w:rPr>
        <w:t>只允许有一个报价，招标方不接受任何有选择性的报价。</w:t>
      </w:r>
    </w:p>
    <w:p w14:paraId="58F365BE">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13.5</w:t>
      </w:r>
      <w:r>
        <w:rPr>
          <w:rFonts w:hint="eastAsia" w:ascii="新宋体" w:hAnsi="新宋体" w:eastAsia="新宋体" w:cs="新宋体"/>
          <w:i/>
          <w:iCs/>
          <w:sz w:val="24"/>
        </w:rPr>
        <w:t>招标方不接受低于成本的投标报价</w:t>
      </w:r>
      <w:r>
        <w:rPr>
          <w:rFonts w:hint="eastAsia" w:ascii="新宋体" w:hAnsi="新宋体" w:eastAsia="新宋体" w:cs="新宋体"/>
          <w:sz w:val="24"/>
        </w:rPr>
        <w:t>。</w:t>
      </w:r>
    </w:p>
    <w:p w14:paraId="64B40229">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13.6投标人按照上述要求编制投标报价。一旦确认某一投标人中标，除合同规定的可调整内容外，中标人不得要求追加任何费用。</w:t>
      </w:r>
    </w:p>
    <w:p w14:paraId="7748D91C">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13.7须由中标人开具正式发票。</w:t>
      </w:r>
    </w:p>
    <w:p w14:paraId="511EDE30">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13.8招标文件中规定由投标人承担并支付的相关费用在投标报价时应一并考虑。</w:t>
      </w:r>
    </w:p>
    <w:p w14:paraId="64B08694">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14.投标文件格式</w:t>
      </w:r>
    </w:p>
    <w:p w14:paraId="5D053661">
      <w:pPr>
        <w:spacing w:line="400" w:lineRule="exact"/>
        <w:ind w:firstLine="480" w:firstLineChars="200"/>
        <w:rPr>
          <w:rFonts w:hint="eastAsia" w:ascii="新宋体" w:hAnsi="新宋体" w:eastAsia="新宋体"/>
          <w:sz w:val="24"/>
        </w:rPr>
      </w:pPr>
      <w:r>
        <w:rPr>
          <w:rFonts w:hint="eastAsia" w:ascii="新宋体" w:hAnsi="新宋体" w:eastAsia="新宋体" w:cs="新宋体"/>
          <w:sz w:val="24"/>
        </w:rPr>
        <w:t>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0221B372">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15.履约保证金：无。</w:t>
      </w:r>
    </w:p>
    <w:p w14:paraId="091D742F">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16.投标有效期</w:t>
      </w:r>
    </w:p>
    <w:p w14:paraId="41252297">
      <w:pPr>
        <w:spacing w:line="440" w:lineRule="exact"/>
        <w:ind w:firstLine="480"/>
        <w:rPr>
          <w:rFonts w:hint="eastAsia" w:ascii="新宋体" w:hAnsi="新宋体" w:eastAsia="新宋体" w:cs="新宋体"/>
          <w:color w:val="000000"/>
          <w:sz w:val="24"/>
        </w:rPr>
      </w:pPr>
      <w:r>
        <w:rPr>
          <w:rFonts w:hint="eastAsia" w:ascii="新宋体" w:hAnsi="新宋体" w:eastAsia="新宋体" w:cs="新宋体"/>
          <w:sz w:val="24"/>
        </w:rPr>
        <w:t>16.1投标文件从开标之日起，投标有效期为90天。</w:t>
      </w:r>
      <w:r>
        <w:rPr>
          <w:rFonts w:hint="eastAsia" w:ascii="新宋体" w:hAnsi="新宋体" w:eastAsia="新宋体" w:cs="新宋体"/>
          <w:color w:val="000000"/>
          <w:sz w:val="24"/>
        </w:rPr>
        <w:t>★</w:t>
      </w:r>
      <w:r>
        <w:rPr>
          <w:rFonts w:hint="eastAsia" w:ascii="新宋体" w:hAnsi="新宋体" w:eastAsia="新宋体" w:cs="新宋体"/>
          <w:b/>
          <w:color w:val="000000"/>
          <w:sz w:val="24"/>
        </w:rPr>
        <w:t>投标人的投标文件中承诺的投标有效期少于招标文件中载明的投标有效期的，投标无效。</w:t>
      </w:r>
    </w:p>
    <w:p w14:paraId="33640D06">
      <w:pPr>
        <w:pStyle w:val="35"/>
        <w:spacing w:line="400" w:lineRule="exact"/>
        <w:ind w:firstLine="480" w:firstLineChars="200"/>
        <w:rPr>
          <w:rFonts w:hint="eastAsia" w:ascii="新宋体" w:hAnsi="新宋体" w:eastAsia="新宋体"/>
          <w:color w:val="000000"/>
          <w:sz w:val="24"/>
        </w:rPr>
      </w:pPr>
      <w:r>
        <w:rPr>
          <w:rFonts w:hint="eastAsia" w:ascii="新宋体" w:hAnsi="新宋体" w:eastAsia="新宋体" w:cs="新宋体"/>
          <w:color w:val="000000"/>
          <w:sz w:val="24"/>
        </w:rPr>
        <w:t>16.2特殊情况下，在原投标有效期截止之前，采购人可以以书面形式通知投标人延长投标有效期。投标人同意延长的，不得要求或被允许修改其投标文件，投标人拒绝延长的，其投标无效。</w:t>
      </w:r>
    </w:p>
    <w:p w14:paraId="3A8B5742">
      <w:pPr>
        <w:pStyle w:val="6"/>
        <w:spacing w:before="120" w:after="120" w:line="400" w:lineRule="exact"/>
        <w:rPr>
          <w:rFonts w:hint="eastAsia" w:ascii="新宋体" w:hAnsi="新宋体" w:eastAsia="新宋体"/>
          <w:sz w:val="28"/>
          <w:szCs w:val="28"/>
        </w:rPr>
      </w:pPr>
      <w:bookmarkStart w:id="23" w:name="_Toc19404"/>
      <w:bookmarkStart w:id="24" w:name="_Toc274303232"/>
      <w:bookmarkStart w:id="25" w:name="_Toc362250690"/>
      <w:r>
        <w:rPr>
          <w:rFonts w:hint="eastAsia" w:ascii="新宋体" w:hAnsi="新宋体" w:eastAsia="新宋体"/>
          <w:sz w:val="28"/>
          <w:szCs w:val="28"/>
        </w:rPr>
        <w:t>四、投标文件的递交</w:t>
      </w:r>
      <w:bookmarkEnd w:id="23"/>
      <w:bookmarkEnd w:id="24"/>
      <w:bookmarkEnd w:id="25"/>
    </w:p>
    <w:p w14:paraId="7C3EA202">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17.电子投标文件上传的地点和截止时间</w:t>
      </w:r>
    </w:p>
    <w:p w14:paraId="02FD8134">
      <w:pPr>
        <w:spacing w:line="440" w:lineRule="exact"/>
        <w:ind w:firstLine="480"/>
        <w:rPr>
          <w:rFonts w:hint="eastAsia" w:ascii="新宋体" w:hAnsi="新宋体" w:eastAsia="新宋体" w:cs="新宋体"/>
          <w:sz w:val="24"/>
        </w:rPr>
      </w:pPr>
      <w:r>
        <w:rPr>
          <w:rFonts w:hint="eastAsia" w:ascii="新宋体" w:hAnsi="新宋体" w:eastAsia="新宋体" w:cs="新宋体"/>
          <w:sz w:val="24"/>
        </w:rPr>
        <w:t>17.1投标人应在投标截止时间之前上传投标文件。同时，投标人可在投标截止时间前，将在“政采云”上最后生成的具备电子签章的备份加密投标文件（文件名采用“项目编号+投标人名称+系统自动生成的后缀名”），以电子邮件方式传送至义乌市政府采购中心邮箱（ywszfcgzx@163.com），传送的备份投标文件需打包压缩并加密，加密密码由投标人自行保管。为了防止泄密，建议投标人在设置加密密码时采用大小写字母加数字的组合方式。仅递交备份投标文件的投标人，投标失败。</w:t>
      </w:r>
    </w:p>
    <w:p w14:paraId="7537CA56">
      <w:pPr>
        <w:adjustRightInd w:val="0"/>
        <w:snapToGrid w:val="0"/>
        <w:spacing w:line="440" w:lineRule="exact"/>
        <w:ind w:firstLine="480"/>
        <w:rPr>
          <w:rFonts w:hint="eastAsia" w:ascii="新宋体" w:hAnsi="新宋体" w:eastAsia="新宋体" w:cs="新宋体"/>
          <w:b/>
          <w:bCs/>
          <w:color w:val="000000"/>
          <w:sz w:val="24"/>
        </w:rPr>
      </w:pPr>
      <w:r>
        <w:rPr>
          <w:rFonts w:hint="eastAsia" w:ascii="新宋体" w:hAnsi="新宋体" w:eastAsia="新宋体" w:cs="新宋体"/>
          <w:color w:val="000000"/>
          <w:sz w:val="24"/>
        </w:rPr>
        <w:t>17.2采购人、采购代理机构可以视情况延长投标文件提交的截止时间。在上述情况下，采购代理机构与投标人在原投标截止时间之前的全部权利、责任和义务，将延长至新的投标截止时间。</w:t>
      </w:r>
    </w:p>
    <w:p w14:paraId="03B35215">
      <w:pPr>
        <w:adjustRightInd w:val="0"/>
        <w:snapToGrid w:val="0"/>
        <w:spacing w:line="440" w:lineRule="exact"/>
        <w:ind w:firstLine="480"/>
        <w:rPr>
          <w:rFonts w:hint="eastAsia" w:ascii="新宋体" w:hAnsi="新宋体" w:eastAsia="新宋体" w:cs="新宋体"/>
          <w:b/>
          <w:bCs/>
          <w:sz w:val="24"/>
        </w:rPr>
      </w:pPr>
      <w:r>
        <w:rPr>
          <w:rFonts w:hint="eastAsia" w:ascii="新宋体" w:hAnsi="新宋体" w:eastAsia="新宋体" w:cs="新宋体"/>
          <w:b/>
          <w:bCs/>
          <w:sz w:val="24"/>
        </w:rPr>
        <w:t>18.投标文件的补充、修改与撤回</w:t>
      </w:r>
    </w:p>
    <w:p w14:paraId="7A4D6C8D">
      <w:pPr>
        <w:spacing w:line="440" w:lineRule="exact"/>
        <w:ind w:firstLine="480"/>
        <w:rPr>
          <w:rFonts w:hint="eastAsia" w:ascii="新宋体" w:hAnsi="新宋体" w:eastAsia="新宋体" w:cs="新宋体"/>
          <w:color w:val="000000"/>
          <w:sz w:val="24"/>
        </w:rPr>
      </w:pPr>
      <w:r>
        <w:rPr>
          <w:rFonts w:hint="eastAsia" w:ascii="新宋体" w:hAnsi="新宋体" w:eastAsia="新宋体" w:cs="新宋体"/>
          <w:sz w:val="24"/>
        </w:rPr>
        <w:t>18.1投标人在“政采云”系统上提交投标文件以后，在规定的投标截止时间之前，可以重新补充、修改或撤回已上传的投标文件。</w:t>
      </w:r>
      <w:r>
        <w:rPr>
          <w:rFonts w:hint="eastAsia" w:ascii="新宋体" w:hAnsi="新宋体" w:eastAsia="新宋体" w:cs="新宋体"/>
          <w:color w:val="000000"/>
          <w:sz w:val="24"/>
        </w:rPr>
        <w:t>补充或者修改投标文件的，应当先行撤回原文件，补充、修改后重新提交。投标截止时间前未完成提交的，视为撤回投标文件。投标截止时间后提交的投标文件，电子交易平台将拒收。</w:t>
      </w:r>
    </w:p>
    <w:p w14:paraId="7FD273BE">
      <w:pPr>
        <w:spacing w:line="440" w:lineRule="exact"/>
        <w:ind w:firstLine="480"/>
        <w:rPr>
          <w:rFonts w:hint="eastAsia" w:ascii="新宋体" w:hAnsi="新宋体" w:eastAsia="新宋体" w:cs="新宋体"/>
          <w:color w:val="000000"/>
          <w:sz w:val="24"/>
        </w:rPr>
      </w:pPr>
      <w:r>
        <w:rPr>
          <w:rFonts w:hint="eastAsia" w:ascii="新宋体" w:hAnsi="新宋体" w:eastAsia="新宋体" w:cs="新宋体"/>
          <w:color w:val="000000"/>
          <w:sz w:val="24"/>
        </w:rPr>
        <w:t>18.2在投标截止时间前，除供应商补充、修改或者撤回投标文件外，任何单位和个人不得解密或提取投标文件。</w:t>
      </w:r>
    </w:p>
    <w:p w14:paraId="24F92E48">
      <w:pPr>
        <w:spacing w:line="440" w:lineRule="exact"/>
        <w:ind w:firstLine="480"/>
        <w:rPr>
          <w:rFonts w:hint="eastAsia" w:ascii="新宋体" w:hAnsi="新宋体" w:eastAsia="新宋体" w:cs="新宋体"/>
          <w:b/>
          <w:bCs/>
          <w:sz w:val="24"/>
        </w:rPr>
      </w:pPr>
      <w:r>
        <w:rPr>
          <w:rFonts w:hint="eastAsia" w:ascii="新宋体" w:hAnsi="新宋体" w:eastAsia="新宋体" w:cs="新宋体"/>
          <w:sz w:val="24"/>
        </w:rPr>
        <w:t>18.3从投标截止时间至投标人在投标书格式中确定的投标有效期期满这段时间内，投标人不得撤回其投标。</w:t>
      </w:r>
    </w:p>
    <w:p w14:paraId="50705E82">
      <w:pPr>
        <w:pStyle w:val="6"/>
        <w:spacing w:before="120" w:after="120" w:line="440" w:lineRule="exact"/>
        <w:rPr>
          <w:rFonts w:hint="eastAsia" w:ascii="新宋体" w:hAnsi="新宋体" w:eastAsia="新宋体"/>
          <w:sz w:val="28"/>
          <w:szCs w:val="28"/>
        </w:rPr>
      </w:pPr>
      <w:bookmarkStart w:id="26" w:name="_Toc362250691"/>
      <w:bookmarkStart w:id="27" w:name="_Toc274303233"/>
      <w:bookmarkStart w:id="28" w:name="_Toc27561020"/>
      <w:bookmarkStart w:id="29" w:name="_Toc28023"/>
      <w:r>
        <w:rPr>
          <w:rFonts w:hint="eastAsia" w:ascii="新宋体" w:hAnsi="新宋体" w:eastAsia="新宋体"/>
        </w:rPr>
        <w:t>五</w:t>
      </w:r>
      <w:r>
        <w:rPr>
          <w:rFonts w:hint="eastAsia" w:ascii="新宋体" w:hAnsi="新宋体" w:eastAsia="新宋体"/>
          <w:sz w:val="28"/>
          <w:szCs w:val="28"/>
        </w:rPr>
        <w:t>、</w:t>
      </w:r>
      <w:bookmarkEnd w:id="26"/>
      <w:bookmarkEnd w:id="27"/>
      <w:bookmarkEnd w:id="28"/>
      <w:r>
        <w:rPr>
          <w:rFonts w:hint="eastAsia" w:ascii="新宋体" w:hAnsi="新宋体" w:eastAsia="新宋体"/>
        </w:rPr>
        <w:t>其他</w:t>
      </w:r>
      <w:bookmarkEnd w:id="29"/>
    </w:p>
    <w:p w14:paraId="4885654F">
      <w:pPr>
        <w:spacing w:line="400" w:lineRule="exact"/>
        <w:ind w:firstLine="482" w:firstLineChars="200"/>
        <w:rPr>
          <w:rFonts w:hint="eastAsia" w:ascii="新宋体" w:hAnsi="新宋体" w:eastAsia="新宋体"/>
          <w:b/>
          <w:bCs/>
          <w:sz w:val="24"/>
        </w:rPr>
      </w:pPr>
      <w:r>
        <w:rPr>
          <w:rFonts w:hint="eastAsia" w:ascii="新宋体" w:hAnsi="新宋体" w:eastAsia="新宋体"/>
          <w:b/>
          <w:bCs/>
          <w:sz w:val="24"/>
        </w:rPr>
        <w:t>19.本招标文件解释权归“招标方”。</w:t>
      </w:r>
    </w:p>
    <w:p w14:paraId="2F96775F">
      <w:pPr>
        <w:spacing w:line="400" w:lineRule="exact"/>
        <w:ind w:firstLine="482" w:firstLineChars="200"/>
        <w:rPr>
          <w:rFonts w:hint="eastAsia" w:ascii="新宋体" w:hAnsi="新宋体" w:eastAsia="新宋体"/>
          <w:b/>
          <w:bCs/>
          <w:sz w:val="24"/>
        </w:rPr>
      </w:pPr>
    </w:p>
    <w:p w14:paraId="3C8B5E9D">
      <w:pPr>
        <w:spacing w:line="400" w:lineRule="exact"/>
        <w:rPr>
          <w:rFonts w:hint="eastAsia" w:ascii="新宋体" w:hAnsi="新宋体" w:eastAsia="新宋体"/>
          <w:b/>
          <w:bCs/>
          <w:sz w:val="24"/>
        </w:rPr>
      </w:pPr>
    </w:p>
    <w:p w14:paraId="1C984950">
      <w:pPr>
        <w:pStyle w:val="5"/>
        <w:numPr>
          <w:ilvl w:val="0"/>
          <w:numId w:val="0"/>
        </w:numPr>
        <w:spacing w:before="0" w:after="0" w:line="520" w:lineRule="exact"/>
        <w:jc w:val="center"/>
        <w:rPr>
          <w:rFonts w:hint="eastAsia" w:ascii="新宋体" w:hAnsi="新宋体" w:eastAsia="新宋体"/>
          <w:szCs w:val="21"/>
        </w:rPr>
      </w:pPr>
      <w:r>
        <w:rPr>
          <w:rFonts w:hint="eastAsia" w:ascii="新宋体" w:hAnsi="新宋体" w:eastAsia="新宋体"/>
          <w:b w:val="0"/>
          <w:bCs w:val="0"/>
          <w:sz w:val="24"/>
        </w:rPr>
        <w:br w:type="page"/>
      </w:r>
      <w:bookmarkStart w:id="30" w:name="_Toc19395"/>
      <w:bookmarkStart w:id="31" w:name="_Toc28682068"/>
      <w:bookmarkStart w:id="32" w:name="_Toc276708417"/>
      <w:r>
        <w:rPr>
          <w:rFonts w:hint="eastAsia" w:ascii="新宋体" w:hAnsi="新宋体" w:eastAsia="新宋体"/>
          <w:sz w:val="36"/>
        </w:rPr>
        <w:t>第三章 招标项目要求</w:t>
      </w:r>
      <w:bookmarkEnd w:id="30"/>
      <w:bookmarkEnd w:id="31"/>
      <w:bookmarkStart w:id="33" w:name="_Toc39154076"/>
      <w:bookmarkStart w:id="34" w:name="_Toc474507844"/>
      <w:bookmarkStart w:id="35" w:name="_Toc511724446"/>
      <w:bookmarkStart w:id="36" w:name="_Toc491460150"/>
      <w:bookmarkStart w:id="37" w:name="_Toc7512734"/>
      <w:bookmarkStart w:id="38" w:name="_Toc416871192"/>
      <w:bookmarkStart w:id="39" w:name="_Toc508197168"/>
      <w:bookmarkStart w:id="40" w:name="_Toc28299"/>
      <w:bookmarkStart w:id="41" w:name="_Toc476731374"/>
    </w:p>
    <w:bookmarkEnd w:id="32"/>
    <w:bookmarkEnd w:id="33"/>
    <w:bookmarkEnd w:id="34"/>
    <w:bookmarkEnd w:id="35"/>
    <w:bookmarkEnd w:id="36"/>
    <w:bookmarkEnd w:id="37"/>
    <w:bookmarkEnd w:id="38"/>
    <w:bookmarkEnd w:id="39"/>
    <w:bookmarkEnd w:id="40"/>
    <w:bookmarkEnd w:id="41"/>
    <w:p w14:paraId="655E05DE">
      <w:pPr>
        <w:pStyle w:val="6"/>
        <w:spacing w:before="120" w:after="120" w:line="400" w:lineRule="exact"/>
        <w:rPr>
          <w:rFonts w:hint="eastAsia" w:ascii="新宋体" w:hAnsi="新宋体" w:eastAsia="新宋体" w:cs="新宋体"/>
          <w:sz w:val="24"/>
          <w:szCs w:val="24"/>
        </w:rPr>
      </w:pPr>
      <w:bookmarkStart w:id="42" w:name="_Toc26560"/>
      <w:bookmarkStart w:id="43" w:name="_Toc536711599"/>
      <w:bookmarkStart w:id="44" w:name="_Toc7576"/>
      <w:bookmarkStart w:id="45" w:name="_Toc29291"/>
      <w:bookmarkStart w:id="46" w:name="_Toc27147"/>
      <w:bookmarkStart w:id="47" w:name="_Toc476731375"/>
      <w:r>
        <w:rPr>
          <w:rFonts w:hint="eastAsia" w:ascii="新宋体" w:hAnsi="新宋体" w:eastAsia="新宋体" w:cs="新宋体"/>
          <w:sz w:val="24"/>
          <w:szCs w:val="24"/>
        </w:rPr>
        <w:t>一、项目概况</w:t>
      </w:r>
      <w:bookmarkEnd w:id="42"/>
    </w:p>
    <w:p w14:paraId="696227B6">
      <w:pPr>
        <w:pStyle w:val="355"/>
        <w:spacing w:line="360" w:lineRule="exact"/>
        <w:ind w:firstLine="480"/>
        <w:rPr>
          <w:rFonts w:hint="eastAsia"/>
        </w:rPr>
      </w:pPr>
      <w:r>
        <w:rPr>
          <w:rFonts w:hint="eastAsia"/>
        </w:rPr>
        <w:t>义乌市政府行政五号楼：位于义乌市丹溪北路，分主楼与裙房两部分组成。主楼共11层，其中：地下1层，地上10层，裙房共2层，大楼总建筑面积</w:t>
      </w:r>
      <w:r>
        <w:rPr>
          <w:rFonts w:hint="eastAsia"/>
          <w:lang w:val="en-US" w:eastAsia="zh-CN"/>
        </w:rPr>
        <w:t>36488</w:t>
      </w:r>
      <w:r>
        <w:rPr>
          <w:rFonts w:hint="eastAsia"/>
        </w:rPr>
        <w:t>平方米。</w:t>
      </w:r>
    </w:p>
    <w:p w14:paraId="0FD31EC9">
      <w:pPr>
        <w:pStyle w:val="355"/>
        <w:spacing w:line="360" w:lineRule="exact"/>
        <w:ind w:firstLine="480"/>
        <w:rPr>
          <w:rFonts w:hint="eastAsia"/>
        </w:rPr>
      </w:pPr>
      <w:r>
        <w:rPr>
          <w:rFonts w:hint="eastAsia"/>
        </w:rPr>
        <w:t>地下一层为小型停车库及消防水池，可停放小车46辆，2只600吨的消防水池。</w:t>
      </w:r>
    </w:p>
    <w:p w14:paraId="38D2333C">
      <w:pPr>
        <w:pStyle w:val="355"/>
        <w:spacing w:line="360" w:lineRule="exact"/>
        <w:ind w:firstLine="480"/>
        <w:rPr>
          <w:rFonts w:hint="eastAsia"/>
        </w:rPr>
      </w:pPr>
      <w:r>
        <w:rPr>
          <w:rFonts w:hint="eastAsia"/>
        </w:rPr>
        <w:t>主楼一层西侧为小型停车库，可停放小车26辆，东侧南面为机房，北面为</w:t>
      </w:r>
      <w:r>
        <w:rPr>
          <w:rFonts w:hint="eastAsia"/>
          <w:lang w:eastAsia="zh-CN"/>
        </w:rPr>
        <w:t>库房</w:t>
      </w:r>
      <w:r>
        <w:rPr>
          <w:rFonts w:hint="eastAsia"/>
        </w:rPr>
        <w:t>，中庭为空调、高配室。</w:t>
      </w:r>
    </w:p>
    <w:p w14:paraId="7268164A">
      <w:pPr>
        <w:pStyle w:val="355"/>
        <w:spacing w:line="360" w:lineRule="exact"/>
        <w:ind w:firstLine="480"/>
        <w:rPr>
          <w:rFonts w:hint="eastAsia"/>
        </w:rPr>
      </w:pPr>
      <w:r>
        <w:rPr>
          <w:rFonts w:hint="eastAsia"/>
        </w:rPr>
        <w:t>主楼二层西侧为食堂，东侧南面为办公</w:t>
      </w:r>
      <w:r>
        <w:rPr>
          <w:rFonts w:hint="eastAsia"/>
          <w:lang w:eastAsia="zh-CN"/>
        </w:rPr>
        <w:t>室</w:t>
      </w:r>
      <w:r>
        <w:rPr>
          <w:rFonts w:hint="eastAsia"/>
        </w:rPr>
        <w:t>，北面为电话、电脑机房及办公</w:t>
      </w:r>
      <w:r>
        <w:rPr>
          <w:rFonts w:hint="eastAsia"/>
          <w:lang w:eastAsia="zh-CN"/>
        </w:rPr>
        <w:t>室</w:t>
      </w:r>
      <w:r>
        <w:rPr>
          <w:rFonts w:hint="eastAsia"/>
        </w:rPr>
        <w:t>。</w:t>
      </w:r>
    </w:p>
    <w:p w14:paraId="645BC168">
      <w:pPr>
        <w:pStyle w:val="355"/>
        <w:spacing w:line="360" w:lineRule="exact"/>
        <w:ind w:firstLine="480"/>
        <w:rPr>
          <w:rFonts w:hint="eastAsia"/>
        </w:rPr>
      </w:pPr>
      <w:r>
        <w:rPr>
          <w:rFonts w:hint="eastAsia"/>
        </w:rPr>
        <w:t>主楼三层东侧四、五、六层为办公用房，大中小办公室、接待室、会议室、档室共86间，其中办公室74间。</w:t>
      </w:r>
    </w:p>
    <w:p w14:paraId="26B02676">
      <w:pPr>
        <w:pStyle w:val="355"/>
        <w:spacing w:line="360" w:lineRule="exact"/>
        <w:ind w:firstLine="480"/>
        <w:rPr>
          <w:rFonts w:hint="eastAsia"/>
        </w:rPr>
      </w:pPr>
      <w:r>
        <w:rPr>
          <w:rFonts w:hint="eastAsia"/>
        </w:rPr>
        <w:t>主楼三层西侧共11间办公室，1间接待室、1间会议室。</w:t>
      </w:r>
    </w:p>
    <w:p w14:paraId="71655959">
      <w:pPr>
        <w:pStyle w:val="355"/>
        <w:spacing w:line="360" w:lineRule="exact"/>
        <w:ind w:firstLine="480"/>
        <w:rPr>
          <w:rFonts w:hint="eastAsia"/>
        </w:rPr>
      </w:pPr>
      <w:r>
        <w:rPr>
          <w:rFonts w:hint="eastAsia"/>
        </w:rPr>
        <w:t>主楼七、八、九层各类办公室、接待室约为72间。</w:t>
      </w:r>
    </w:p>
    <w:p w14:paraId="1BEA6C97">
      <w:pPr>
        <w:pStyle w:val="355"/>
        <w:spacing w:line="360" w:lineRule="exact"/>
        <w:ind w:firstLine="480"/>
        <w:rPr>
          <w:rFonts w:hint="eastAsia"/>
        </w:rPr>
      </w:pPr>
      <w:r>
        <w:rPr>
          <w:rFonts w:hint="eastAsia"/>
        </w:rPr>
        <w:t>主楼十层西侧为食堂，东侧为办公用房。裙房二层西侧为大会议室一个（320人），接待室1个，会议休息室2个，东侧大厅为办税大厅，建筑面积4050平方米。</w:t>
      </w:r>
    </w:p>
    <w:p w14:paraId="3796A1D2">
      <w:pPr>
        <w:pStyle w:val="355"/>
        <w:spacing w:line="360" w:lineRule="exact"/>
        <w:ind w:firstLine="480"/>
        <w:rPr>
          <w:rFonts w:hint="eastAsia"/>
        </w:rPr>
      </w:pPr>
      <w:r>
        <w:rPr>
          <w:rFonts w:hint="eastAsia"/>
        </w:rPr>
        <w:t>裙房三层西侧为会议区，中型会议室1个（150人）、小型会议室7个（20人会议室2个，15人会议室5个）。</w:t>
      </w:r>
    </w:p>
    <w:p w14:paraId="4560D97B">
      <w:pPr>
        <w:pStyle w:val="355"/>
        <w:spacing w:line="360" w:lineRule="exact"/>
        <w:ind w:firstLine="480"/>
        <w:rPr>
          <w:rFonts w:hint="eastAsia"/>
        </w:rPr>
      </w:pPr>
      <w:r>
        <w:rPr>
          <w:rFonts w:hint="eastAsia"/>
        </w:rPr>
        <w:t xml:space="preserve">大楼配套设施完善：设有供电高低压配电设备（须24小时值班），冷热中央空调系统，电梯6台，给水系统，消防自动警系统及联动系统、电视监控系统（须24小时值班）。 </w:t>
      </w:r>
    </w:p>
    <w:p w14:paraId="65573BB0">
      <w:pPr>
        <w:pStyle w:val="355"/>
        <w:spacing w:line="360" w:lineRule="exact"/>
        <w:ind w:firstLine="480"/>
        <w:rPr>
          <w:rFonts w:hint="eastAsia"/>
        </w:rPr>
      </w:pPr>
      <w:r>
        <w:rPr>
          <w:rFonts w:hint="eastAsia"/>
        </w:rPr>
        <w:t>本次招标项目服务的范围为义乌市政府行政五号楼内公共场所，北苑街道领导办公室、市财政地税局领导办公室及公共会议室，房前屋后道路，北苑广场地下停车场(不含广场地面部分)及大楼水、电、消防系统的管理和维护，大楼安全管理，配套绿化养护等。</w:t>
      </w:r>
    </w:p>
    <w:p w14:paraId="3FF6038D">
      <w:pPr>
        <w:pStyle w:val="6"/>
        <w:spacing w:before="120" w:after="120" w:line="400" w:lineRule="exact"/>
        <w:rPr>
          <w:rFonts w:hint="eastAsia" w:ascii="新宋体" w:hAnsi="新宋体" w:eastAsia="新宋体" w:cs="新宋体"/>
          <w:sz w:val="24"/>
          <w:szCs w:val="24"/>
        </w:rPr>
      </w:pPr>
      <w:r>
        <w:rPr>
          <w:rFonts w:hint="eastAsia" w:ascii="新宋体" w:hAnsi="新宋体" w:eastAsia="新宋体" w:cs="新宋体"/>
          <w:sz w:val="24"/>
          <w:szCs w:val="24"/>
        </w:rPr>
        <w:t>二、项目服务时间</w:t>
      </w:r>
    </w:p>
    <w:p w14:paraId="778CC4E9">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sz w:val="24"/>
        </w:rPr>
      </w:pPr>
      <w:r>
        <w:rPr>
          <w:rFonts w:hint="eastAsia" w:ascii="宋体" w:hAnsi="宋体"/>
          <w:sz w:val="24"/>
        </w:rPr>
        <w:t>服务时间：自合同签订并生效后1年。但如果有以下情况，招标人有权提前中止合同。(1)经过测评，大楼内各单位对成交人服务质量的满意率低于85分的；(2)发现员工数量缺员累计超过20人次的；(3)发现存在严重违反《劳动法》等法律法规行为的。</w:t>
      </w:r>
    </w:p>
    <w:p w14:paraId="33C16D72">
      <w:pPr>
        <w:pStyle w:val="6"/>
        <w:pageBreakBefore w:val="0"/>
        <w:widowControl w:val="0"/>
        <w:kinsoku/>
        <w:wordWrap/>
        <w:overflowPunct/>
        <w:topLinePunct w:val="0"/>
        <w:autoSpaceDE/>
        <w:autoSpaceDN/>
        <w:bidi w:val="0"/>
        <w:adjustRightInd/>
        <w:snapToGrid/>
        <w:spacing w:before="120" w:after="120" w:line="400" w:lineRule="exact"/>
        <w:textAlignment w:val="auto"/>
        <w:rPr>
          <w:rFonts w:hint="eastAsia" w:ascii="新宋体" w:hAnsi="新宋体" w:eastAsia="新宋体" w:cs="新宋体"/>
          <w:sz w:val="24"/>
          <w:szCs w:val="24"/>
        </w:rPr>
      </w:pPr>
      <w:r>
        <w:rPr>
          <w:rFonts w:hint="eastAsia" w:ascii="新宋体" w:hAnsi="新宋体" w:eastAsia="新宋体" w:cs="新宋体"/>
          <w:sz w:val="24"/>
          <w:szCs w:val="24"/>
        </w:rPr>
        <w:t>三、物业服务内容</w:t>
      </w:r>
    </w:p>
    <w:p w14:paraId="2953D2F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 xml:space="preserve">  1.包含：(1)职工工资、福利（包括加班费、职工夏季高温津贴等）、服装费、保险费用（包括养老、工伤、失业、医疗等）；(2) 保洁设施、用品（包括卫生纸、擦手纸、洗手液、塑料袋、除臭香球、除臭剂等耗材）、材料、维修工具等购置费用（卫生间中耗材要求采用市场上较好品牌产品）；(3)消防、电梯、中央空调及供水、供电等设备设施的日常维护费用；(4)大楼外墙及窗户清洗的费用。</w:t>
      </w:r>
    </w:p>
    <w:p w14:paraId="52F7402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2.不含：(1)消防、电梯、中央空调及供水、供电等设备设施的维修材料费；(2)水、电费；(3)消防、电梯、中央空调、供电等设备设施的年度检测费、维保费；(4)垃圾清运费。</w:t>
      </w:r>
    </w:p>
    <w:p w14:paraId="2DBA24A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3.招标人和招标代理机构不接受低于成本的投标报价，也不接受招标项目范围内的捐赠。</w:t>
      </w:r>
    </w:p>
    <w:p w14:paraId="286027E2">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4.成交人应按法律政策有关规定，为职工足额交纳社会保险，并按有关规定标准足额支付员工超时及节假日的加班费用。</w:t>
      </w:r>
    </w:p>
    <w:p w14:paraId="67D1D09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5.招标人不提供中标单位职工的住宿用房。</w:t>
      </w:r>
    </w:p>
    <w:p w14:paraId="6EA59E0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6.如果因大楼内办公用房调整，本项目需要削减中标单位员工数量的，将按投标书报价扣减相应费用。</w:t>
      </w:r>
    </w:p>
    <w:p w14:paraId="58AFB3A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7.服务范围及内容：</w:t>
      </w:r>
    </w:p>
    <w:p w14:paraId="06B62C7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7.1制定行政五号楼物业管理服务工作计划，并组织实施；管理与物业相关的工程图纸、档案与竣工验收材料等。</w:t>
      </w:r>
    </w:p>
    <w:p w14:paraId="02F2BFE2">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7.2公共环境的安全管理。</w:t>
      </w:r>
    </w:p>
    <w:p w14:paraId="6336FB1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7.3大楼保安管理。</w:t>
      </w:r>
    </w:p>
    <w:p w14:paraId="5B6A5E1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7.4房屋建筑部位的日常维修、养护和管理，共用部位包括：楼盖、屋顶、内外墙面、承重墙体、楼梯间、走廊通道。</w:t>
      </w:r>
    </w:p>
    <w:p w14:paraId="7B992A6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7.5共用设施的日常维修养护、运行和管理，共用设施设备包括：共用的上下水管道、落水管、垃圾道、烟囱、共用照明、办公室内照明、广场景观照明、天线、中央空调、暖气干线、供暖锅炉房、高压水泵房、楼内消防设施设备、电梯、中央监控设备、建筑物防雷设施、开水炉。</w:t>
      </w:r>
    </w:p>
    <w:p w14:paraId="7933359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7.6公共设施和附属建筑物、构筑物的日常维修、养护和管理，包括道路、化粪池、泵房、停车场、室外上下水管道、沟渠、池、井、自行车棚、停车棚。</w:t>
      </w:r>
    </w:p>
    <w:p w14:paraId="5DFECB3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7.7会场服务。</w:t>
      </w:r>
    </w:p>
    <w:p w14:paraId="2E849AE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7.8附属配套设施的维修、养护和管理，包括会议大厅。</w:t>
      </w:r>
    </w:p>
    <w:p w14:paraId="51D6FD6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7.9公共环境卫生，包括房屋共用部位的清洁卫生，楼顶、开水房、电梯轿箱、会议室、卫生间、洗漱间、大厅顶棚、公共门窗玻璃、垃圾桶、烟灰盅、公共场所的清洁卫生等。</w:t>
      </w:r>
    </w:p>
    <w:p w14:paraId="0A6C915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7.10维护公共秩序，包括物业区域内巡查。</w:t>
      </w:r>
    </w:p>
    <w:p w14:paraId="0FECBAA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7.11维持物业区域车辆行驶秩序，对车辆停放进行管理。</w:t>
      </w:r>
    </w:p>
    <w:p w14:paraId="6EB8D61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7.12消防管理服务，包括公共区域消防设施的维护。</w:t>
      </w:r>
    </w:p>
    <w:p w14:paraId="53D7069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7.13配电房24小时值班，监控中心、消控中心24小时值班，水泵的运行和日常维护管理。</w:t>
      </w:r>
    </w:p>
    <w:p w14:paraId="62945A3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7.14房屋装饰装修管理服务。</w:t>
      </w:r>
    </w:p>
    <w:p w14:paraId="5C82610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7.15电话线路维护。</w:t>
      </w:r>
    </w:p>
    <w:p w14:paraId="6980911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7.16其他委托事项。如代收发报纸、包裹等。</w:t>
      </w:r>
    </w:p>
    <w:p w14:paraId="535A6CDA">
      <w:pPr>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b/>
          <w:sz w:val="24"/>
          <w:lang w:val="en-US" w:eastAsia="zh-CN"/>
        </w:rPr>
      </w:pPr>
      <w:r>
        <w:rPr>
          <w:rFonts w:hint="eastAsia"/>
          <w:b/>
          <w:sz w:val="24"/>
          <w:lang w:eastAsia="zh-CN"/>
        </w:rPr>
        <w:t>招标</w:t>
      </w:r>
      <w:r>
        <w:rPr>
          <w:rFonts w:hint="eastAsia"/>
          <w:b/>
          <w:sz w:val="24"/>
        </w:rPr>
        <w:t>要求</w:t>
      </w:r>
      <w:r>
        <w:rPr>
          <w:rFonts w:hint="eastAsia"/>
          <w:b/>
          <w:sz w:val="24"/>
          <w:lang w:val="en-US" w:eastAsia="zh-CN"/>
        </w:rPr>
        <w:t xml:space="preserve"> </w:t>
      </w:r>
    </w:p>
    <w:p w14:paraId="6EE31713">
      <w:pPr>
        <w:pageBreakBefore w:val="0"/>
        <w:widowControl w:val="0"/>
        <w:numPr>
          <w:ilvl w:val="0"/>
          <w:numId w:val="0"/>
        </w:numPr>
        <w:kinsoku/>
        <w:wordWrap/>
        <w:overflowPunct/>
        <w:topLinePunct w:val="0"/>
        <w:autoSpaceDE/>
        <w:autoSpaceDN/>
        <w:bidi w:val="0"/>
        <w:adjustRightInd/>
        <w:snapToGrid/>
        <w:spacing w:line="400" w:lineRule="exact"/>
        <w:ind w:firstLine="240" w:firstLineChars="100"/>
        <w:textAlignment w:val="auto"/>
        <w:rPr>
          <w:rFonts w:hint="eastAsia" w:ascii="宋体" w:hAnsi="宋体"/>
          <w:sz w:val="24"/>
        </w:rPr>
      </w:pPr>
      <w:r>
        <w:rPr>
          <w:rFonts w:hint="eastAsia" w:ascii="宋体" w:hAnsi="宋体"/>
          <w:sz w:val="24"/>
        </w:rPr>
        <w:t>人数要求：总人数不少于50人。</w:t>
      </w:r>
    </w:p>
    <w:p w14:paraId="3A6D8732">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（一）投标方须派一名驻守物业经理，年龄不超过</w:t>
      </w:r>
      <w:r>
        <w:rPr>
          <w:rFonts w:hint="eastAsia" w:ascii="宋体" w:hAnsi="宋体"/>
          <w:sz w:val="24"/>
          <w:lang w:val="en-US" w:eastAsia="zh-CN"/>
        </w:rPr>
        <w:t>55</w:t>
      </w:r>
      <w:r>
        <w:rPr>
          <w:rFonts w:hint="eastAsia" w:ascii="宋体" w:hAnsi="宋体"/>
          <w:sz w:val="24"/>
        </w:rPr>
        <w:t>周岁。投标时须提供物业经理证书扫描件和</w:t>
      </w:r>
      <w:r>
        <w:rPr>
          <w:rFonts w:hint="eastAsia" w:ascii="宋体" w:hAnsi="宋体"/>
          <w:sz w:val="24"/>
          <w:lang w:val="en-US" w:eastAsia="zh-CN"/>
        </w:rPr>
        <w:t>2026</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eastAsia="zh-CN"/>
        </w:rPr>
        <w:t>至投标截止日</w:t>
      </w:r>
      <w:r>
        <w:rPr>
          <w:rFonts w:hint="eastAsia" w:ascii="宋体" w:hAnsi="宋体"/>
          <w:sz w:val="24"/>
        </w:rPr>
        <w:t>中的任意</w:t>
      </w:r>
      <w:r>
        <w:rPr>
          <w:rFonts w:hint="eastAsia" w:ascii="宋体" w:hAnsi="宋体"/>
          <w:sz w:val="24"/>
          <w:lang w:eastAsia="zh-CN"/>
        </w:rPr>
        <w:t>一</w:t>
      </w:r>
      <w:r>
        <w:rPr>
          <w:rFonts w:hint="eastAsia" w:ascii="宋体" w:hAnsi="宋体"/>
          <w:sz w:val="24"/>
        </w:rPr>
        <w:t>个月社保清单扫描件加盖电子签章（要求社保缴纳证明上的单位名称与投标人名称一致）。</w:t>
      </w:r>
    </w:p>
    <w:p w14:paraId="0D9A2267">
      <w:pPr>
        <w:pageBreakBefore w:val="0"/>
        <w:widowControl w:val="0"/>
        <w:numPr>
          <w:ilvl w:val="0"/>
          <w:numId w:val="3"/>
        </w:numPr>
        <w:kinsoku/>
        <w:wordWrap/>
        <w:overflowPunct/>
        <w:topLinePunct w:val="0"/>
        <w:autoSpaceDE/>
        <w:autoSpaceDN/>
        <w:bidi w:val="0"/>
        <w:adjustRightInd/>
        <w:snapToGrid/>
        <w:spacing w:line="400" w:lineRule="exact"/>
        <w:textAlignment w:val="auto"/>
        <w:rPr>
          <w:rFonts w:hint="eastAsia" w:ascii="宋体" w:hAnsi="宋体"/>
          <w:sz w:val="24"/>
          <w:lang w:val="en-US" w:eastAsia="zh-CN"/>
        </w:rPr>
      </w:pPr>
      <w:r>
        <w:rPr>
          <w:rFonts w:hint="eastAsia" w:ascii="宋体" w:hAnsi="宋体"/>
          <w:sz w:val="24"/>
        </w:rPr>
        <w:t>保洁项目内容及清洁标准</w:t>
      </w:r>
      <w:r>
        <w:rPr>
          <w:rFonts w:hint="eastAsia" w:ascii="宋体" w:hAnsi="宋体"/>
          <w:sz w:val="24"/>
          <w:lang w:val="en-US" w:eastAsia="zh-CN"/>
        </w:rPr>
        <w:t xml:space="preserve">    </w:t>
      </w:r>
    </w:p>
    <w:p w14:paraId="58B86209">
      <w:pPr>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lang w:val="en-US" w:eastAsia="zh-CN"/>
        </w:rPr>
        <w:t xml:space="preserve"> </w:t>
      </w:r>
      <w:r>
        <w:rPr>
          <w:rFonts w:hint="eastAsia" w:ascii="宋体" w:hAnsi="宋体"/>
          <w:sz w:val="24"/>
        </w:rPr>
        <w:t>1.保洁人员配备：不少21人，年龄不超过</w:t>
      </w:r>
      <w:r>
        <w:rPr>
          <w:rFonts w:hint="eastAsia" w:ascii="宋体" w:hAnsi="宋体"/>
          <w:sz w:val="24"/>
          <w:lang w:val="en-US" w:eastAsia="zh-CN"/>
        </w:rPr>
        <w:t>55</w:t>
      </w:r>
      <w:r>
        <w:rPr>
          <w:rFonts w:hint="eastAsia" w:ascii="宋体" w:hAnsi="宋体"/>
          <w:sz w:val="24"/>
        </w:rPr>
        <w:t xml:space="preserve">周岁。 </w:t>
      </w:r>
    </w:p>
    <w:p w14:paraId="1F11FF4F">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2.北苑街道党政班子成员办公室和市财政地税局班子成员办公室每天保洁一次(上午上班前或下午下班后)。清扫、拖洗楼内公共走廊地面和楼梯间地面，并随时保洁。</w:t>
      </w:r>
    </w:p>
    <w:p w14:paraId="1125883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3.清抹擦拭各层办公室外门和门套、防烟门、走廊灯具、开关、栏杆、楼梯扶手、石材墙面、窗台板等。</w:t>
      </w:r>
    </w:p>
    <w:p w14:paraId="2803439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4.随时清抹大堂玻璃门、走廊玻璃、电梯门、电梯按钮，电梯轿箱内不锈钢壁面。</w:t>
      </w:r>
    </w:p>
    <w:p w14:paraId="7BC01AF3">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5.公共洗手间和茶水间内的墙面、地面、台面及卫生洁具的及时清洗和保洁，及时清倒、清洗垃圾桶。</w:t>
      </w:r>
    </w:p>
    <w:p w14:paraId="380A627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6.大堂、公共走廊和楼梯抛光砖地面一个月至少打蜡、抛光一次。</w:t>
      </w:r>
    </w:p>
    <w:p w14:paraId="31F18F9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7.大楼的外墙面、玻璃窗每年至少清洗一次；门厅的玻璃顶盖应保持清洁。</w:t>
      </w:r>
    </w:p>
    <w:p w14:paraId="37B9C2E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8.大楼外道路每天清扫，一季度清洗一次，垃圾桶每天及时清倒、清洗；及时清理公共场所，公共绿地的废弃杂物；及时清扫积水、积雪；及时组织清理乱堆放物品、乱张贴宣传品等。</w:t>
      </w:r>
    </w:p>
    <w:p w14:paraId="3C2CDC5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9.楼内走廊装饰玻璃应保持清洁。</w:t>
      </w:r>
    </w:p>
    <w:p w14:paraId="74129D0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10.停车场的保洁。</w:t>
      </w:r>
    </w:p>
    <w:p w14:paraId="199B8CB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11.定期清抹路灯、标识牌等。</w:t>
      </w:r>
    </w:p>
    <w:p w14:paraId="41CDFCB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12.做好大楼配套绿化的浇水、修剪、除杂草等养护工作。</w:t>
      </w:r>
    </w:p>
    <w:p w14:paraId="58B7F64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13.保洁时间尽量与机关办公时间错开，避免干扰正常办公。每天地面两次清扫需在机关上班前和中午休息时间内完成。大范围和大规模的保洁工作一般安排休息日和节假日。</w:t>
      </w:r>
    </w:p>
    <w:p w14:paraId="28FDBBD7">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14.大楼内除北苑街道党政班子成员办公室、市财政地税局班子成员办公室以外的办公室不在保洁服务的范围之内。</w:t>
      </w:r>
    </w:p>
    <w:p w14:paraId="29C013CE">
      <w:pPr>
        <w:rPr>
          <w:rFonts w:hint="eastAsia" w:ascii="宋体" w:hAnsi="宋体"/>
          <w:sz w:val="24"/>
        </w:rPr>
      </w:pPr>
      <w:r>
        <w:rPr>
          <w:rFonts w:hint="eastAsia" w:ascii="宋体" w:hAnsi="宋体"/>
          <w:sz w:val="24"/>
        </w:rPr>
        <w:t>15.保洁标准：</w:t>
      </w:r>
    </w:p>
    <w:tbl>
      <w:tblPr>
        <w:tblStyle w:val="63"/>
        <w:tblW w:w="495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7"/>
        <w:gridCol w:w="2408"/>
        <w:gridCol w:w="2833"/>
        <w:gridCol w:w="2972"/>
      </w:tblGrid>
      <w:tr w14:paraId="3C64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359" w:type="pct"/>
            <w:noWrap/>
            <w:vAlign w:val="center"/>
          </w:tcPr>
          <w:p w14:paraId="5A3E6E6A">
            <w:pPr>
              <w:jc w:val="center"/>
              <w:rPr>
                <w:rFonts w:ascii="宋体" w:hAnsi="宋体"/>
                <w:b/>
                <w:sz w:val="24"/>
              </w:rPr>
            </w:pPr>
            <w:r>
              <w:rPr>
                <w:rFonts w:ascii="宋体" w:hAnsi="宋体"/>
                <w:b/>
                <w:sz w:val="24"/>
              </w:rPr>
              <w:t>序号</w:t>
            </w:r>
          </w:p>
        </w:tc>
        <w:tc>
          <w:tcPr>
            <w:tcW w:w="438" w:type="pct"/>
            <w:noWrap/>
            <w:vAlign w:val="center"/>
          </w:tcPr>
          <w:p w14:paraId="5B1CECA2">
            <w:pPr>
              <w:jc w:val="center"/>
              <w:rPr>
                <w:rFonts w:ascii="宋体" w:hAnsi="宋体"/>
                <w:b/>
                <w:sz w:val="24"/>
              </w:rPr>
            </w:pPr>
            <w:r>
              <w:rPr>
                <w:rFonts w:ascii="宋体" w:hAnsi="宋体"/>
                <w:b/>
                <w:sz w:val="24"/>
              </w:rPr>
              <w:t>位置</w:t>
            </w:r>
          </w:p>
        </w:tc>
        <w:tc>
          <w:tcPr>
            <w:tcW w:w="1231" w:type="pct"/>
            <w:noWrap/>
            <w:vAlign w:val="center"/>
          </w:tcPr>
          <w:p w14:paraId="2590FC0A">
            <w:pPr>
              <w:jc w:val="center"/>
              <w:rPr>
                <w:rFonts w:ascii="宋体" w:hAnsi="宋体"/>
                <w:b/>
                <w:sz w:val="24"/>
              </w:rPr>
            </w:pPr>
            <w:r>
              <w:rPr>
                <w:rFonts w:ascii="宋体" w:hAnsi="宋体"/>
                <w:b/>
                <w:sz w:val="24"/>
              </w:rPr>
              <w:t>清洁项目</w:t>
            </w:r>
          </w:p>
        </w:tc>
        <w:tc>
          <w:tcPr>
            <w:tcW w:w="1449" w:type="pct"/>
            <w:noWrap/>
            <w:vAlign w:val="center"/>
          </w:tcPr>
          <w:p w14:paraId="4EBC3DBA">
            <w:pPr>
              <w:jc w:val="center"/>
              <w:rPr>
                <w:rFonts w:ascii="宋体" w:hAnsi="宋体"/>
                <w:b/>
                <w:sz w:val="24"/>
              </w:rPr>
            </w:pPr>
            <w:r>
              <w:rPr>
                <w:rFonts w:ascii="宋体" w:hAnsi="宋体"/>
                <w:b/>
                <w:sz w:val="24"/>
              </w:rPr>
              <w:t>清洁工作内容</w:t>
            </w:r>
          </w:p>
        </w:tc>
        <w:tc>
          <w:tcPr>
            <w:tcW w:w="1520" w:type="pct"/>
            <w:noWrap/>
            <w:vAlign w:val="center"/>
          </w:tcPr>
          <w:p w14:paraId="1FBA0DD5">
            <w:pPr>
              <w:jc w:val="center"/>
              <w:rPr>
                <w:rFonts w:ascii="宋体" w:hAnsi="宋体"/>
                <w:b/>
                <w:sz w:val="24"/>
              </w:rPr>
            </w:pPr>
            <w:r>
              <w:rPr>
                <w:rFonts w:ascii="宋体" w:hAnsi="宋体"/>
                <w:b/>
                <w:sz w:val="24"/>
              </w:rPr>
              <w:t>清洁标准</w:t>
            </w:r>
          </w:p>
        </w:tc>
      </w:tr>
      <w:tr w14:paraId="5066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359" w:type="pct"/>
            <w:vMerge w:val="restart"/>
            <w:noWrap/>
            <w:vAlign w:val="center"/>
          </w:tcPr>
          <w:p w14:paraId="241B0DB0">
            <w:pPr>
              <w:spacing w:line="280" w:lineRule="exact"/>
              <w:jc w:val="center"/>
              <w:rPr>
                <w:rFonts w:ascii="宋体" w:hAnsi="宋体"/>
                <w:sz w:val="24"/>
              </w:rPr>
            </w:pPr>
            <w:r>
              <w:rPr>
                <w:rFonts w:ascii="宋体" w:hAnsi="宋体"/>
                <w:sz w:val="24"/>
              </w:rPr>
              <w:t>1</w:t>
            </w:r>
          </w:p>
        </w:tc>
        <w:tc>
          <w:tcPr>
            <w:tcW w:w="438" w:type="pct"/>
            <w:vMerge w:val="restart"/>
            <w:noWrap/>
            <w:vAlign w:val="center"/>
          </w:tcPr>
          <w:p w14:paraId="27ADDF1D">
            <w:pPr>
              <w:spacing w:line="280" w:lineRule="exact"/>
              <w:jc w:val="center"/>
              <w:rPr>
                <w:rFonts w:ascii="宋体" w:hAnsi="宋体"/>
                <w:sz w:val="24"/>
              </w:rPr>
            </w:pPr>
            <w:r>
              <w:rPr>
                <w:rFonts w:ascii="宋体" w:hAnsi="宋体"/>
                <w:sz w:val="24"/>
              </w:rPr>
              <w:t>办公区</w:t>
            </w:r>
          </w:p>
        </w:tc>
        <w:tc>
          <w:tcPr>
            <w:tcW w:w="1231" w:type="pct"/>
            <w:noWrap/>
            <w:vAlign w:val="center"/>
          </w:tcPr>
          <w:p w14:paraId="08033267">
            <w:pPr>
              <w:spacing w:line="280" w:lineRule="exact"/>
              <w:jc w:val="center"/>
              <w:rPr>
                <w:rFonts w:ascii="宋体" w:hAnsi="宋体"/>
                <w:sz w:val="24"/>
              </w:rPr>
            </w:pPr>
            <w:r>
              <w:rPr>
                <w:rFonts w:ascii="宋体" w:hAnsi="宋体"/>
                <w:sz w:val="24"/>
              </w:rPr>
              <w:t>公共会议室</w:t>
            </w:r>
          </w:p>
        </w:tc>
        <w:tc>
          <w:tcPr>
            <w:tcW w:w="1449" w:type="pct"/>
            <w:noWrap/>
            <w:vAlign w:val="center"/>
          </w:tcPr>
          <w:p w14:paraId="2585A265">
            <w:pPr>
              <w:spacing w:line="280" w:lineRule="exact"/>
              <w:jc w:val="center"/>
              <w:rPr>
                <w:rFonts w:ascii="宋体" w:hAnsi="宋体"/>
                <w:sz w:val="24"/>
              </w:rPr>
            </w:pPr>
            <w:r>
              <w:rPr>
                <w:rFonts w:ascii="宋体" w:hAnsi="宋体"/>
                <w:sz w:val="24"/>
              </w:rPr>
              <w:t>每天清扫、拖地</w:t>
            </w:r>
          </w:p>
        </w:tc>
        <w:tc>
          <w:tcPr>
            <w:tcW w:w="1520" w:type="pct"/>
            <w:noWrap/>
            <w:vAlign w:val="center"/>
          </w:tcPr>
          <w:p w14:paraId="69D46FFF">
            <w:pPr>
              <w:spacing w:line="280" w:lineRule="exact"/>
              <w:jc w:val="center"/>
              <w:rPr>
                <w:rFonts w:ascii="宋体" w:hAnsi="宋体"/>
                <w:sz w:val="24"/>
              </w:rPr>
            </w:pPr>
            <w:r>
              <w:rPr>
                <w:rFonts w:hint="eastAsia" w:ascii="宋体" w:hAnsi="宋体"/>
                <w:sz w:val="24"/>
              </w:rPr>
              <w:t>1.墙面、天花板无蛛网、无灰尘；2.地脚线无灰尘、无污渍；3.桌椅干净明亮，无刮伤痕，位置摆放整齐；4.音响设备无灰尘、干净整齐</w:t>
            </w:r>
          </w:p>
        </w:tc>
      </w:tr>
      <w:tr w14:paraId="2A8B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359" w:type="pct"/>
            <w:vMerge w:val="continue"/>
            <w:noWrap/>
            <w:vAlign w:val="center"/>
          </w:tcPr>
          <w:p w14:paraId="5B080419">
            <w:pPr>
              <w:spacing w:line="280" w:lineRule="exact"/>
              <w:jc w:val="center"/>
              <w:rPr>
                <w:rFonts w:ascii="宋体" w:hAnsi="宋体"/>
                <w:sz w:val="24"/>
              </w:rPr>
            </w:pPr>
          </w:p>
        </w:tc>
        <w:tc>
          <w:tcPr>
            <w:tcW w:w="438" w:type="pct"/>
            <w:vMerge w:val="continue"/>
            <w:noWrap/>
            <w:vAlign w:val="center"/>
          </w:tcPr>
          <w:p w14:paraId="358E35E0">
            <w:pPr>
              <w:spacing w:line="280" w:lineRule="exact"/>
              <w:jc w:val="center"/>
              <w:rPr>
                <w:rFonts w:ascii="宋体" w:hAnsi="宋体"/>
                <w:sz w:val="24"/>
              </w:rPr>
            </w:pPr>
          </w:p>
        </w:tc>
        <w:tc>
          <w:tcPr>
            <w:tcW w:w="1231" w:type="pct"/>
            <w:noWrap/>
            <w:vAlign w:val="center"/>
          </w:tcPr>
          <w:p w14:paraId="484D3071">
            <w:pPr>
              <w:spacing w:line="280" w:lineRule="exact"/>
              <w:jc w:val="center"/>
              <w:rPr>
                <w:rFonts w:ascii="宋体" w:hAnsi="宋体"/>
                <w:sz w:val="24"/>
              </w:rPr>
            </w:pPr>
            <w:r>
              <w:rPr>
                <w:rFonts w:ascii="宋体" w:hAnsi="宋体"/>
                <w:sz w:val="24"/>
              </w:rPr>
              <w:t>领导班子成员办公室</w:t>
            </w:r>
          </w:p>
        </w:tc>
        <w:tc>
          <w:tcPr>
            <w:tcW w:w="1449" w:type="pct"/>
            <w:noWrap/>
            <w:vAlign w:val="center"/>
          </w:tcPr>
          <w:p w14:paraId="2920D171">
            <w:pPr>
              <w:spacing w:line="280" w:lineRule="exact"/>
              <w:jc w:val="center"/>
              <w:rPr>
                <w:rFonts w:ascii="宋体" w:hAnsi="宋体"/>
                <w:sz w:val="24"/>
              </w:rPr>
            </w:pPr>
            <w:r>
              <w:rPr>
                <w:rFonts w:ascii="宋体" w:hAnsi="宋体"/>
                <w:sz w:val="24"/>
              </w:rPr>
              <w:t>每天清扫</w:t>
            </w:r>
          </w:p>
        </w:tc>
        <w:tc>
          <w:tcPr>
            <w:tcW w:w="1520" w:type="pct"/>
            <w:noWrap/>
            <w:vAlign w:val="center"/>
          </w:tcPr>
          <w:p w14:paraId="1C16A219">
            <w:pPr>
              <w:spacing w:line="280" w:lineRule="exact"/>
              <w:jc w:val="center"/>
              <w:rPr>
                <w:rFonts w:ascii="宋体" w:hAnsi="宋体"/>
                <w:sz w:val="24"/>
              </w:rPr>
            </w:pPr>
            <w:r>
              <w:rPr>
                <w:rFonts w:hint="eastAsia" w:ascii="宋体" w:hAnsi="宋体"/>
                <w:sz w:val="24"/>
              </w:rPr>
              <w:t>1.办公室门窗目视无明显污迹、手印；2.灯具开关、地脚线、空调风口用纸巾擦拭无明显灰尘、污迹；3.地面干净无污迹、无垃圾；4.室内空气清新无异味</w:t>
            </w:r>
          </w:p>
        </w:tc>
      </w:tr>
      <w:tr w14:paraId="37DE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 w:hRule="atLeast"/>
        </w:trPr>
        <w:tc>
          <w:tcPr>
            <w:tcW w:w="359" w:type="pct"/>
            <w:vMerge w:val="restart"/>
            <w:noWrap/>
            <w:vAlign w:val="center"/>
          </w:tcPr>
          <w:p w14:paraId="004D15EC">
            <w:pPr>
              <w:spacing w:line="280" w:lineRule="exact"/>
              <w:jc w:val="center"/>
              <w:rPr>
                <w:rFonts w:ascii="宋体" w:hAnsi="宋体"/>
                <w:sz w:val="24"/>
              </w:rPr>
            </w:pPr>
            <w:r>
              <w:rPr>
                <w:rFonts w:ascii="宋体" w:hAnsi="宋体"/>
                <w:sz w:val="24"/>
              </w:rPr>
              <w:t>2</w:t>
            </w:r>
          </w:p>
        </w:tc>
        <w:tc>
          <w:tcPr>
            <w:tcW w:w="438" w:type="pct"/>
            <w:vMerge w:val="restart"/>
            <w:noWrap/>
            <w:vAlign w:val="center"/>
          </w:tcPr>
          <w:p w14:paraId="542EE87E">
            <w:pPr>
              <w:spacing w:line="280" w:lineRule="exact"/>
              <w:jc w:val="center"/>
              <w:rPr>
                <w:rFonts w:ascii="宋体" w:hAnsi="宋体"/>
                <w:sz w:val="24"/>
              </w:rPr>
            </w:pPr>
            <w:r>
              <w:rPr>
                <w:rFonts w:ascii="宋体" w:hAnsi="宋体"/>
                <w:sz w:val="24"/>
              </w:rPr>
              <w:t>大小堂部分</w:t>
            </w:r>
          </w:p>
        </w:tc>
        <w:tc>
          <w:tcPr>
            <w:tcW w:w="1231" w:type="pct"/>
            <w:noWrap/>
            <w:vAlign w:val="center"/>
          </w:tcPr>
          <w:p w14:paraId="3D4AE0DC">
            <w:pPr>
              <w:spacing w:line="280" w:lineRule="exact"/>
              <w:jc w:val="center"/>
              <w:rPr>
                <w:rFonts w:ascii="宋体" w:hAnsi="宋体"/>
                <w:sz w:val="24"/>
              </w:rPr>
            </w:pPr>
            <w:r>
              <w:rPr>
                <w:rFonts w:ascii="宋体" w:hAnsi="宋体"/>
                <w:sz w:val="24"/>
              </w:rPr>
              <w:t>花岗石、抛光砖地面</w:t>
            </w:r>
          </w:p>
        </w:tc>
        <w:tc>
          <w:tcPr>
            <w:tcW w:w="1449" w:type="pct"/>
            <w:noWrap/>
            <w:vAlign w:val="center"/>
          </w:tcPr>
          <w:p w14:paraId="2804B600">
            <w:pPr>
              <w:spacing w:line="280" w:lineRule="exact"/>
              <w:jc w:val="center"/>
              <w:rPr>
                <w:rFonts w:ascii="宋体" w:hAnsi="宋体"/>
                <w:sz w:val="24"/>
              </w:rPr>
            </w:pPr>
            <w:r>
              <w:rPr>
                <w:rFonts w:ascii="宋体" w:hAnsi="宋体"/>
                <w:sz w:val="24"/>
              </w:rPr>
              <w:t>每天拖地两次，每月至少抛光、打蜡一次</w:t>
            </w:r>
          </w:p>
        </w:tc>
        <w:tc>
          <w:tcPr>
            <w:tcW w:w="1520" w:type="pct"/>
            <w:noWrap/>
            <w:vAlign w:val="center"/>
          </w:tcPr>
          <w:p w14:paraId="0772331F">
            <w:pPr>
              <w:spacing w:line="280" w:lineRule="exact"/>
              <w:jc w:val="center"/>
              <w:rPr>
                <w:rFonts w:ascii="宋体" w:hAnsi="宋体"/>
                <w:sz w:val="24"/>
              </w:rPr>
            </w:pPr>
            <w:r>
              <w:rPr>
                <w:rFonts w:hint="eastAsia" w:ascii="宋体" w:hAnsi="宋体"/>
                <w:sz w:val="24"/>
              </w:rPr>
              <w:t>地面无烟头、纸屑、果皮等杂物，随时保持干净，无污渍、尘渍、痰渍</w:t>
            </w:r>
          </w:p>
        </w:tc>
      </w:tr>
      <w:tr w14:paraId="059D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59" w:type="pct"/>
            <w:vMerge w:val="continue"/>
            <w:noWrap/>
            <w:vAlign w:val="top"/>
          </w:tcPr>
          <w:p w14:paraId="2CFFF73E">
            <w:pPr>
              <w:spacing w:line="280" w:lineRule="exact"/>
              <w:jc w:val="center"/>
              <w:rPr>
                <w:rFonts w:ascii="宋体" w:hAnsi="宋体"/>
                <w:sz w:val="24"/>
              </w:rPr>
            </w:pPr>
          </w:p>
        </w:tc>
        <w:tc>
          <w:tcPr>
            <w:tcW w:w="438" w:type="pct"/>
            <w:vMerge w:val="continue"/>
            <w:noWrap/>
            <w:vAlign w:val="center"/>
          </w:tcPr>
          <w:p w14:paraId="0C0E1F91">
            <w:pPr>
              <w:spacing w:line="280" w:lineRule="exact"/>
              <w:jc w:val="center"/>
              <w:rPr>
                <w:rFonts w:ascii="宋体" w:hAnsi="宋体"/>
                <w:sz w:val="24"/>
              </w:rPr>
            </w:pPr>
          </w:p>
        </w:tc>
        <w:tc>
          <w:tcPr>
            <w:tcW w:w="1231" w:type="pct"/>
            <w:noWrap/>
            <w:vAlign w:val="center"/>
          </w:tcPr>
          <w:p w14:paraId="79654522">
            <w:pPr>
              <w:spacing w:line="280" w:lineRule="exact"/>
              <w:jc w:val="center"/>
              <w:rPr>
                <w:rFonts w:ascii="宋体" w:hAnsi="宋体"/>
                <w:sz w:val="24"/>
              </w:rPr>
            </w:pPr>
            <w:r>
              <w:rPr>
                <w:rFonts w:ascii="宋体" w:hAnsi="宋体"/>
                <w:sz w:val="24"/>
              </w:rPr>
              <w:t>石材墙面、柱面</w:t>
            </w:r>
          </w:p>
        </w:tc>
        <w:tc>
          <w:tcPr>
            <w:tcW w:w="1449" w:type="pct"/>
            <w:noWrap/>
            <w:vAlign w:val="center"/>
          </w:tcPr>
          <w:p w14:paraId="05CF5BC7">
            <w:pPr>
              <w:spacing w:line="280" w:lineRule="exact"/>
              <w:jc w:val="center"/>
              <w:rPr>
                <w:rFonts w:ascii="宋体" w:hAnsi="宋体"/>
                <w:sz w:val="24"/>
              </w:rPr>
            </w:pPr>
            <w:r>
              <w:rPr>
                <w:rFonts w:ascii="宋体" w:hAnsi="宋体"/>
                <w:sz w:val="24"/>
              </w:rPr>
              <w:t>每天保洁一次</w:t>
            </w:r>
          </w:p>
        </w:tc>
        <w:tc>
          <w:tcPr>
            <w:tcW w:w="1520" w:type="pct"/>
            <w:noWrap/>
            <w:vAlign w:val="center"/>
          </w:tcPr>
          <w:p w14:paraId="0E57EC72">
            <w:pPr>
              <w:spacing w:line="280" w:lineRule="exact"/>
              <w:jc w:val="center"/>
              <w:rPr>
                <w:rFonts w:ascii="宋体" w:hAnsi="宋体"/>
                <w:sz w:val="24"/>
              </w:rPr>
            </w:pPr>
            <w:r>
              <w:rPr>
                <w:rFonts w:ascii="宋体" w:hAnsi="宋体"/>
                <w:sz w:val="24"/>
              </w:rPr>
              <w:t>无尘渍、污渍</w:t>
            </w:r>
          </w:p>
        </w:tc>
      </w:tr>
      <w:tr w14:paraId="0789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trPr>
        <w:tc>
          <w:tcPr>
            <w:tcW w:w="359" w:type="pct"/>
            <w:vMerge w:val="continue"/>
            <w:noWrap/>
            <w:vAlign w:val="top"/>
          </w:tcPr>
          <w:p w14:paraId="15559F83">
            <w:pPr>
              <w:spacing w:line="280" w:lineRule="exact"/>
              <w:jc w:val="center"/>
              <w:rPr>
                <w:rFonts w:ascii="宋体" w:hAnsi="宋体"/>
                <w:sz w:val="24"/>
              </w:rPr>
            </w:pPr>
          </w:p>
        </w:tc>
        <w:tc>
          <w:tcPr>
            <w:tcW w:w="438" w:type="pct"/>
            <w:vMerge w:val="continue"/>
            <w:noWrap/>
            <w:vAlign w:val="center"/>
          </w:tcPr>
          <w:p w14:paraId="79200A1F">
            <w:pPr>
              <w:spacing w:line="280" w:lineRule="exact"/>
              <w:jc w:val="center"/>
              <w:rPr>
                <w:rFonts w:ascii="宋体" w:hAnsi="宋体"/>
                <w:sz w:val="24"/>
              </w:rPr>
            </w:pPr>
          </w:p>
        </w:tc>
        <w:tc>
          <w:tcPr>
            <w:tcW w:w="1231" w:type="pct"/>
            <w:noWrap/>
            <w:vAlign w:val="center"/>
          </w:tcPr>
          <w:p w14:paraId="24F38043">
            <w:pPr>
              <w:spacing w:line="280" w:lineRule="exact"/>
              <w:jc w:val="center"/>
              <w:rPr>
                <w:rFonts w:ascii="宋体" w:hAnsi="宋体"/>
                <w:sz w:val="24"/>
              </w:rPr>
            </w:pPr>
            <w:r>
              <w:rPr>
                <w:rFonts w:ascii="宋体" w:hAnsi="宋体"/>
                <w:sz w:val="24"/>
              </w:rPr>
              <w:t>玻璃门</w:t>
            </w:r>
          </w:p>
        </w:tc>
        <w:tc>
          <w:tcPr>
            <w:tcW w:w="1449" w:type="pct"/>
            <w:noWrap/>
            <w:vAlign w:val="center"/>
          </w:tcPr>
          <w:p w14:paraId="2BA2A0FA">
            <w:pPr>
              <w:spacing w:line="280" w:lineRule="exact"/>
              <w:jc w:val="center"/>
              <w:rPr>
                <w:rFonts w:ascii="宋体" w:hAnsi="宋体"/>
                <w:sz w:val="24"/>
              </w:rPr>
            </w:pPr>
            <w:r>
              <w:rPr>
                <w:rFonts w:ascii="宋体" w:hAnsi="宋体"/>
                <w:sz w:val="24"/>
              </w:rPr>
              <w:t>每天随时清抹；每两周用玻璃清洁剂清刮二次</w:t>
            </w:r>
          </w:p>
        </w:tc>
        <w:tc>
          <w:tcPr>
            <w:tcW w:w="1520" w:type="pct"/>
            <w:noWrap/>
            <w:vAlign w:val="center"/>
          </w:tcPr>
          <w:p w14:paraId="132C57EE">
            <w:pPr>
              <w:spacing w:line="280" w:lineRule="exact"/>
              <w:jc w:val="center"/>
              <w:rPr>
                <w:rFonts w:ascii="宋体" w:hAnsi="宋体"/>
                <w:sz w:val="24"/>
              </w:rPr>
            </w:pPr>
            <w:r>
              <w:rPr>
                <w:rFonts w:hint="eastAsia" w:ascii="宋体" w:hAnsi="宋体"/>
                <w:sz w:val="24"/>
              </w:rPr>
              <w:t>目视</w:t>
            </w:r>
            <w:r>
              <w:rPr>
                <w:rFonts w:ascii="宋体" w:hAnsi="宋体"/>
                <w:sz w:val="24"/>
              </w:rPr>
              <w:t>无手印、污渍</w:t>
            </w:r>
          </w:p>
        </w:tc>
      </w:tr>
      <w:tr w14:paraId="0425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trPr>
        <w:tc>
          <w:tcPr>
            <w:tcW w:w="359" w:type="pct"/>
            <w:vMerge w:val="continue"/>
            <w:noWrap/>
            <w:vAlign w:val="top"/>
          </w:tcPr>
          <w:p w14:paraId="2F1D5046">
            <w:pPr>
              <w:spacing w:line="280" w:lineRule="exact"/>
              <w:jc w:val="center"/>
              <w:rPr>
                <w:rFonts w:ascii="宋体" w:hAnsi="宋体"/>
                <w:sz w:val="24"/>
              </w:rPr>
            </w:pPr>
          </w:p>
        </w:tc>
        <w:tc>
          <w:tcPr>
            <w:tcW w:w="438" w:type="pct"/>
            <w:vMerge w:val="continue"/>
            <w:noWrap/>
            <w:vAlign w:val="center"/>
          </w:tcPr>
          <w:p w14:paraId="3B286413">
            <w:pPr>
              <w:spacing w:line="280" w:lineRule="exact"/>
              <w:jc w:val="center"/>
              <w:rPr>
                <w:rFonts w:ascii="宋体" w:hAnsi="宋体"/>
                <w:sz w:val="24"/>
              </w:rPr>
            </w:pPr>
          </w:p>
        </w:tc>
        <w:tc>
          <w:tcPr>
            <w:tcW w:w="1231" w:type="pct"/>
            <w:noWrap/>
            <w:vAlign w:val="center"/>
          </w:tcPr>
          <w:p w14:paraId="5781C92A">
            <w:pPr>
              <w:spacing w:line="280" w:lineRule="exact"/>
              <w:jc w:val="center"/>
              <w:rPr>
                <w:rFonts w:ascii="宋体" w:hAnsi="宋体"/>
                <w:sz w:val="24"/>
              </w:rPr>
            </w:pPr>
            <w:r>
              <w:rPr>
                <w:rFonts w:ascii="宋体" w:hAnsi="宋体"/>
                <w:sz w:val="24"/>
              </w:rPr>
              <w:t>天花板</w:t>
            </w:r>
          </w:p>
        </w:tc>
        <w:tc>
          <w:tcPr>
            <w:tcW w:w="1449" w:type="pct"/>
            <w:noWrap/>
            <w:vAlign w:val="center"/>
          </w:tcPr>
          <w:p w14:paraId="1AA68E7D">
            <w:pPr>
              <w:spacing w:line="280" w:lineRule="exact"/>
              <w:jc w:val="center"/>
              <w:rPr>
                <w:rFonts w:ascii="宋体" w:hAnsi="宋体"/>
                <w:sz w:val="24"/>
              </w:rPr>
            </w:pPr>
            <w:r>
              <w:rPr>
                <w:rFonts w:ascii="宋体" w:hAnsi="宋体"/>
                <w:sz w:val="24"/>
              </w:rPr>
              <w:t>每两周清扫蜘蛛网及灰尘一次；每年大清洁一次</w:t>
            </w:r>
          </w:p>
        </w:tc>
        <w:tc>
          <w:tcPr>
            <w:tcW w:w="1520" w:type="pct"/>
            <w:noWrap/>
            <w:vAlign w:val="center"/>
          </w:tcPr>
          <w:p w14:paraId="47CC318B">
            <w:pPr>
              <w:spacing w:line="280" w:lineRule="exact"/>
              <w:jc w:val="center"/>
              <w:rPr>
                <w:rFonts w:ascii="宋体" w:hAnsi="宋体"/>
                <w:sz w:val="24"/>
              </w:rPr>
            </w:pPr>
            <w:r>
              <w:rPr>
                <w:rFonts w:hint="eastAsia" w:ascii="宋体" w:hAnsi="宋体"/>
                <w:sz w:val="24"/>
              </w:rPr>
              <w:t>无蛛丝、尘渍</w:t>
            </w:r>
          </w:p>
        </w:tc>
      </w:tr>
      <w:tr w14:paraId="58F4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359" w:type="pct"/>
            <w:vMerge w:val="continue"/>
            <w:noWrap/>
            <w:vAlign w:val="top"/>
          </w:tcPr>
          <w:p w14:paraId="1B042670">
            <w:pPr>
              <w:spacing w:line="280" w:lineRule="exact"/>
              <w:jc w:val="center"/>
              <w:rPr>
                <w:rFonts w:ascii="宋体" w:hAnsi="宋体"/>
                <w:sz w:val="24"/>
              </w:rPr>
            </w:pPr>
          </w:p>
        </w:tc>
        <w:tc>
          <w:tcPr>
            <w:tcW w:w="438" w:type="pct"/>
            <w:vMerge w:val="continue"/>
            <w:noWrap/>
            <w:vAlign w:val="center"/>
          </w:tcPr>
          <w:p w14:paraId="4746B928">
            <w:pPr>
              <w:spacing w:line="280" w:lineRule="exact"/>
              <w:jc w:val="center"/>
              <w:rPr>
                <w:rFonts w:ascii="宋体" w:hAnsi="宋体"/>
                <w:sz w:val="24"/>
              </w:rPr>
            </w:pPr>
          </w:p>
        </w:tc>
        <w:tc>
          <w:tcPr>
            <w:tcW w:w="1231" w:type="pct"/>
            <w:noWrap/>
            <w:vAlign w:val="center"/>
          </w:tcPr>
          <w:p w14:paraId="37DFAFF6">
            <w:pPr>
              <w:spacing w:line="280" w:lineRule="exact"/>
              <w:jc w:val="center"/>
              <w:rPr>
                <w:rFonts w:ascii="宋体" w:hAnsi="宋体"/>
                <w:sz w:val="24"/>
              </w:rPr>
            </w:pPr>
            <w:r>
              <w:rPr>
                <w:rFonts w:ascii="宋体" w:hAnsi="宋体"/>
                <w:sz w:val="24"/>
              </w:rPr>
              <w:t>灯饰、风口</w:t>
            </w:r>
          </w:p>
        </w:tc>
        <w:tc>
          <w:tcPr>
            <w:tcW w:w="1449" w:type="pct"/>
            <w:noWrap/>
            <w:vAlign w:val="center"/>
          </w:tcPr>
          <w:p w14:paraId="2F10C802">
            <w:pPr>
              <w:spacing w:line="280" w:lineRule="exact"/>
              <w:jc w:val="center"/>
              <w:rPr>
                <w:rFonts w:ascii="宋体" w:hAnsi="宋体"/>
                <w:sz w:val="24"/>
              </w:rPr>
            </w:pPr>
            <w:r>
              <w:rPr>
                <w:rFonts w:ascii="宋体" w:hAnsi="宋体"/>
                <w:sz w:val="24"/>
              </w:rPr>
              <w:t>每年清抹四次</w:t>
            </w:r>
          </w:p>
        </w:tc>
        <w:tc>
          <w:tcPr>
            <w:tcW w:w="1520" w:type="pct"/>
            <w:noWrap/>
            <w:vAlign w:val="center"/>
          </w:tcPr>
          <w:p w14:paraId="58B11F44">
            <w:pPr>
              <w:spacing w:line="280" w:lineRule="exact"/>
              <w:jc w:val="center"/>
              <w:rPr>
                <w:rFonts w:ascii="宋体" w:hAnsi="宋体"/>
                <w:sz w:val="24"/>
              </w:rPr>
            </w:pPr>
            <w:r>
              <w:rPr>
                <w:rFonts w:ascii="宋体" w:hAnsi="宋体"/>
                <w:sz w:val="24"/>
              </w:rPr>
              <w:t>无蛛丝、尘渍</w:t>
            </w:r>
          </w:p>
        </w:tc>
      </w:tr>
      <w:tr w14:paraId="1496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359" w:type="pct"/>
            <w:vMerge w:val="continue"/>
            <w:noWrap/>
            <w:vAlign w:val="top"/>
          </w:tcPr>
          <w:p w14:paraId="152E353C">
            <w:pPr>
              <w:spacing w:line="280" w:lineRule="exact"/>
              <w:jc w:val="center"/>
              <w:rPr>
                <w:rFonts w:ascii="宋体" w:hAnsi="宋体"/>
                <w:sz w:val="24"/>
              </w:rPr>
            </w:pPr>
          </w:p>
        </w:tc>
        <w:tc>
          <w:tcPr>
            <w:tcW w:w="438" w:type="pct"/>
            <w:vMerge w:val="continue"/>
            <w:noWrap/>
            <w:vAlign w:val="center"/>
          </w:tcPr>
          <w:p w14:paraId="231C0CC6">
            <w:pPr>
              <w:spacing w:line="280" w:lineRule="exact"/>
              <w:jc w:val="center"/>
              <w:rPr>
                <w:rFonts w:ascii="宋体" w:hAnsi="宋体"/>
                <w:sz w:val="24"/>
              </w:rPr>
            </w:pPr>
          </w:p>
        </w:tc>
        <w:tc>
          <w:tcPr>
            <w:tcW w:w="1231" w:type="pct"/>
            <w:noWrap/>
            <w:vAlign w:val="center"/>
          </w:tcPr>
          <w:p w14:paraId="41196290">
            <w:pPr>
              <w:spacing w:line="280" w:lineRule="exact"/>
              <w:jc w:val="center"/>
              <w:rPr>
                <w:rFonts w:ascii="宋体" w:hAnsi="宋体"/>
                <w:sz w:val="24"/>
              </w:rPr>
            </w:pPr>
            <w:r>
              <w:rPr>
                <w:rFonts w:ascii="宋体" w:hAnsi="宋体"/>
                <w:sz w:val="24"/>
              </w:rPr>
              <w:t>指标牌和悬挂牌</w:t>
            </w:r>
          </w:p>
        </w:tc>
        <w:tc>
          <w:tcPr>
            <w:tcW w:w="1449" w:type="pct"/>
            <w:noWrap/>
            <w:vAlign w:val="center"/>
          </w:tcPr>
          <w:p w14:paraId="7D9FBBE2">
            <w:pPr>
              <w:spacing w:line="280" w:lineRule="exact"/>
              <w:jc w:val="center"/>
              <w:rPr>
                <w:rFonts w:ascii="宋体" w:hAnsi="宋体"/>
                <w:sz w:val="24"/>
              </w:rPr>
            </w:pPr>
            <w:r>
              <w:rPr>
                <w:rFonts w:ascii="宋体" w:hAnsi="宋体"/>
                <w:sz w:val="24"/>
              </w:rPr>
              <w:t>每周清抹二次</w:t>
            </w:r>
          </w:p>
        </w:tc>
        <w:tc>
          <w:tcPr>
            <w:tcW w:w="1520" w:type="pct"/>
            <w:noWrap/>
            <w:vAlign w:val="center"/>
          </w:tcPr>
          <w:p w14:paraId="226E0999">
            <w:pPr>
              <w:spacing w:line="280" w:lineRule="exact"/>
              <w:jc w:val="center"/>
              <w:rPr>
                <w:rFonts w:ascii="宋体" w:hAnsi="宋体"/>
                <w:sz w:val="24"/>
              </w:rPr>
            </w:pPr>
            <w:r>
              <w:rPr>
                <w:rFonts w:ascii="宋体" w:hAnsi="宋体"/>
                <w:sz w:val="24"/>
              </w:rPr>
              <w:t>无尘渍、污渍</w:t>
            </w:r>
          </w:p>
        </w:tc>
      </w:tr>
      <w:tr w14:paraId="639FC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 w:hRule="atLeast"/>
        </w:trPr>
        <w:tc>
          <w:tcPr>
            <w:tcW w:w="359" w:type="pct"/>
            <w:vMerge w:val="continue"/>
            <w:noWrap/>
            <w:vAlign w:val="top"/>
          </w:tcPr>
          <w:p w14:paraId="19FDD5C5">
            <w:pPr>
              <w:spacing w:line="280" w:lineRule="exact"/>
              <w:jc w:val="center"/>
              <w:rPr>
                <w:rFonts w:ascii="宋体" w:hAnsi="宋体"/>
                <w:sz w:val="24"/>
              </w:rPr>
            </w:pPr>
          </w:p>
        </w:tc>
        <w:tc>
          <w:tcPr>
            <w:tcW w:w="438" w:type="pct"/>
            <w:vMerge w:val="continue"/>
            <w:noWrap/>
            <w:vAlign w:val="center"/>
          </w:tcPr>
          <w:p w14:paraId="07A12A55">
            <w:pPr>
              <w:spacing w:line="280" w:lineRule="exact"/>
              <w:jc w:val="center"/>
              <w:rPr>
                <w:rFonts w:ascii="宋体" w:hAnsi="宋体"/>
                <w:sz w:val="24"/>
              </w:rPr>
            </w:pPr>
          </w:p>
        </w:tc>
        <w:tc>
          <w:tcPr>
            <w:tcW w:w="1231" w:type="pct"/>
            <w:noWrap/>
            <w:vAlign w:val="center"/>
          </w:tcPr>
          <w:p w14:paraId="6384075A">
            <w:pPr>
              <w:spacing w:line="280" w:lineRule="exact"/>
              <w:jc w:val="center"/>
              <w:rPr>
                <w:rFonts w:ascii="宋体" w:hAnsi="宋体"/>
                <w:sz w:val="24"/>
              </w:rPr>
            </w:pPr>
            <w:r>
              <w:rPr>
                <w:rFonts w:ascii="宋体" w:hAnsi="宋体"/>
                <w:sz w:val="24"/>
              </w:rPr>
              <w:t>烟灰筒、废纸筒</w:t>
            </w:r>
          </w:p>
        </w:tc>
        <w:tc>
          <w:tcPr>
            <w:tcW w:w="1449" w:type="pct"/>
            <w:noWrap/>
            <w:vAlign w:val="center"/>
          </w:tcPr>
          <w:p w14:paraId="07209A9C">
            <w:pPr>
              <w:spacing w:line="280" w:lineRule="exact"/>
              <w:jc w:val="center"/>
              <w:rPr>
                <w:rFonts w:ascii="宋体" w:hAnsi="宋体"/>
                <w:sz w:val="24"/>
              </w:rPr>
            </w:pPr>
            <w:r>
              <w:rPr>
                <w:rFonts w:ascii="宋体" w:hAnsi="宋体"/>
                <w:sz w:val="24"/>
              </w:rPr>
              <w:t>每天清倒垃圾一次、清抹筒盖、垃圾筒、垃圾缸一次</w:t>
            </w:r>
          </w:p>
        </w:tc>
        <w:tc>
          <w:tcPr>
            <w:tcW w:w="1520" w:type="pct"/>
            <w:noWrap/>
            <w:vAlign w:val="center"/>
          </w:tcPr>
          <w:p w14:paraId="10A2DB28">
            <w:pPr>
              <w:spacing w:line="280" w:lineRule="exact"/>
              <w:jc w:val="center"/>
              <w:rPr>
                <w:rFonts w:ascii="宋体" w:hAnsi="宋体"/>
                <w:sz w:val="24"/>
              </w:rPr>
            </w:pPr>
            <w:r>
              <w:rPr>
                <w:rFonts w:ascii="宋体" w:hAnsi="宋体"/>
                <w:sz w:val="24"/>
              </w:rPr>
              <w:t>无污渍、痰渍、烟灰</w:t>
            </w:r>
          </w:p>
        </w:tc>
      </w:tr>
      <w:tr w14:paraId="0D29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359" w:type="pct"/>
            <w:vMerge w:val="continue"/>
            <w:noWrap/>
            <w:vAlign w:val="top"/>
          </w:tcPr>
          <w:p w14:paraId="1AD995F7">
            <w:pPr>
              <w:spacing w:line="280" w:lineRule="exact"/>
              <w:jc w:val="center"/>
              <w:rPr>
                <w:rFonts w:ascii="宋体" w:hAnsi="宋体"/>
                <w:sz w:val="24"/>
              </w:rPr>
            </w:pPr>
          </w:p>
        </w:tc>
        <w:tc>
          <w:tcPr>
            <w:tcW w:w="438" w:type="pct"/>
            <w:vMerge w:val="continue"/>
            <w:noWrap/>
            <w:vAlign w:val="center"/>
          </w:tcPr>
          <w:p w14:paraId="6B65D282">
            <w:pPr>
              <w:spacing w:line="280" w:lineRule="exact"/>
              <w:jc w:val="center"/>
              <w:rPr>
                <w:rFonts w:ascii="宋体" w:hAnsi="宋体"/>
                <w:sz w:val="24"/>
              </w:rPr>
            </w:pPr>
          </w:p>
        </w:tc>
        <w:tc>
          <w:tcPr>
            <w:tcW w:w="1231" w:type="pct"/>
            <w:noWrap/>
            <w:vAlign w:val="center"/>
          </w:tcPr>
          <w:p w14:paraId="2F54A804">
            <w:pPr>
              <w:spacing w:line="280" w:lineRule="exact"/>
              <w:jc w:val="center"/>
              <w:rPr>
                <w:rFonts w:ascii="宋体" w:hAnsi="宋体"/>
                <w:sz w:val="24"/>
              </w:rPr>
            </w:pPr>
            <w:r>
              <w:rPr>
                <w:rFonts w:ascii="宋体" w:hAnsi="宋体"/>
                <w:sz w:val="24"/>
              </w:rPr>
              <w:t>电梯门按钮、门框不锈钢</w:t>
            </w:r>
          </w:p>
        </w:tc>
        <w:tc>
          <w:tcPr>
            <w:tcW w:w="1449" w:type="pct"/>
            <w:noWrap/>
            <w:vAlign w:val="center"/>
          </w:tcPr>
          <w:p w14:paraId="588CB149">
            <w:pPr>
              <w:spacing w:line="280" w:lineRule="exact"/>
              <w:rPr>
                <w:rFonts w:ascii="宋体" w:hAnsi="宋体"/>
                <w:sz w:val="24"/>
              </w:rPr>
            </w:pPr>
            <w:r>
              <w:rPr>
                <w:rFonts w:ascii="宋体" w:hAnsi="宋体"/>
                <w:sz w:val="24"/>
              </w:rPr>
              <w:t>每天用毛巾配合不锈钢清洁剂随时清抹污渍、手印；每周擦不锈钢油二次</w:t>
            </w:r>
          </w:p>
        </w:tc>
        <w:tc>
          <w:tcPr>
            <w:tcW w:w="1520" w:type="pct"/>
            <w:noWrap/>
            <w:vAlign w:val="center"/>
          </w:tcPr>
          <w:p w14:paraId="40EF4ADF">
            <w:pPr>
              <w:spacing w:line="280" w:lineRule="exact"/>
              <w:jc w:val="center"/>
              <w:rPr>
                <w:rFonts w:ascii="宋体" w:hAnsi="宋体"/>
                <w:sz w:val="24"/>
              </w:rPr>
            </w:pPr>
            <w:r>
              <w:rPr>
                <w:rFonts w:ascii="宋体" w:hAnsi="宋体"/>
                <w:sz w:val="24"/>
              </w:rPr>
              <w:t>无手印、污渍、保持不锈钢表面亮丽的金属光泽</w:t>
            </w:r>
          </w:p>
        </w:tc>
      </w:tr>
      <w:tr w14:paraId="197B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359" w:type="pct"/>
            <w:vMerge w:val="continue"/>
            <w:noWrap/>
            <w:vAlign w:val="top"/>
          </w:tcPr>
          <w:p w14:paraId="05D78669">
            <w:pPr>
              <w:spacing w:line="280" w:lineRule="exact"/>
              <w:jc w:val="center"/>
              <w:rPr>
                <w:rFonts w:ascii="宋体" w:hAnsi="宋体"/>
                <w:sz w:val="24"/>
              </w:rPr>
            </w:pPr>
          </w:p>
        </w:tc>
        <w:tc>
          <w:tcPr>
            <w:tcW w:w="438" w:type="pct"/>
            <w:vMerge w:val="continue"/>
            <w:noWrap/>
            <w:vAlign w:val="center"/>
          </w:tcPr>
          <w:p w14:paraId="20194794">
            <w:pPr>
              <w:spacing w:line="280" w:lineRule="exact"/>
              <w:jc w:val="center"/>
              <w:rPr>
                <w:rFonts w:ascii="宋体" w:hAnsi="宋体"/>
                <w:sz w:val="24"/>
              </w:rPr>
            </w:pPr>
          </w:p>
        </w:tc>
        <w:tc>
          <w:tcPr>
            <w:tcW w:w="1231" w:type="pct"/>
            <w:noWrap/>
            <w:vAlign w:val="center"/>
          </w:tcPr>
          <w:p w14:paraId="2C2EA953">
            <w:pPr>
              <w:spacing w:line="280" w:lineRule="exact"/>
              <w:jc w:val="center"/>
              <w:rPr>
                <w:rFonts w:ascii="宋体" w:hAnsi="宋体"/>
                <w:sz w:val="24"/>
              </w:rPr>
            </w:pPr>
            <w:r>
              <w:rPr>
                <w:rFonts w:ascii="宋体" w:hAnsi="宋体"/>
                <w:sz w:val="24"/>
              </w:rPr>
              <w:t>电梯间灯饰、按钮</w:t>
            </w:r>
          </w:p>
        </w:tc>
        <w:tc>
          <w:tcPr>
            <w:tcW w:w="1449" w:type="pct"/>
            <w:noWrap/>
            <w:vAlign w:val="center"/>
          </w:tcPr>
          <w:p w14:paraId="3725CD75">
            <w:pPr>
              <w:spacing w:line="280" w:lineRule="exact"/>
              <w:jc w:val="center"/>
              <w:rPr>
                <w:rFonts w:ascii="宋体" w:hAnsi="宋体"/>
                <w:sz w:val="24"/>
              </w:rPr>
            </w:pPr>
            <w:r>
              <w:rPr>
                <w:rFonts w:ascii="宋体" w:hAnsi="宋体"/>
                <w:sz w:val="24"/>
              </w:rPr>
              <w:t>每天随时清抹污渍、手印；每月清洁电梯内灯饰、排气扇、防护罩二次</w:t>
            </w:r>
          </w:p>
        </w:tc>
        <w:tc>
          <w:tcPr>
            <w:tcW w:w="1520" w:type="pct"/>
            <w:noWrap/>
            <w:vAlign w:val="center"/>
          </w:tcPr>
          <w:p w14:paraId="07F94CB3">
            <w:pPr>
              <w:spacing w:line="280" w:lineRule="exact"/>
              <w:jc w:val="center"/>
              <w:rPr>
                <w:rFonts w:ascii="宋体" w:hAnsi="宋体"/>
                <w:sz w:val="24"/>
              </w:rPr>
            </w:pPr>
            <w:r>
              <w:rPr>
                <w:rFonts w:ascii="宋体" w:hAnsi="宋体"/>
                <w:sz w:val="24"/>
              </w:rPr>
              <w:t>无手印、污渍</w:t>
            </w:r>
          </w:p>
        </w:tc>
      </w:tr>
      <w:tr w14:paraId="719E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359" w:type="pct"/>
            <w:vMerge w:val="restart"/>
            <w:noWrap/>
            <w:vAlign w:val="center"/>
          </w:tcPr>
          <w:p w14:paraId="2B42EE8C">
            <w:pPr>
              <w:spacing w:line="280" w:lineRule="exact"/>
              <w:jc w:val="center"/>
              <w:rPr>
                <w:rFonts w:ascii="宋体" w:hAnsi="宋体"/>
                <w:sz w:val="24"/>
              </w:rPr>
            </w:pPr>
            <w:r>
              <w:rPr>
                <w:rFonts w:ascii="宋体" w:hAnsi="宋体"/>
                <w:sz w:val="24"/>
              </w:rPr>
              <w:t>3</w:t>
            </w:r>
          </w:p>
        </w:tc>
        <w:tc>
          <w:tcPr>
            <w:tcW w:w="438" w:type="pct"/>
            <w:vMerge w:val="restart"/>
            <w:noWrap/>
            <w:vAlign w:val="center"/>
          </w:tcPr>
          <w:p w14:paraId="420D7A72">
            <w:pPr>
              <w:spacing w:line="280" w:lineRule="exact"/>
              <w:jc w:val="center"/>
              <w:rPr>
                <w:rFonts w:ascii="宋体" w:hAnsi="宋体"/>
                <w:sz w:val="24"/>
              </w:rPr>
            </w:pPr>
            <w:r>
              <w:rPr>
                <w:rFonts w:ascii="宋体" w:hAnsi="宋体"/>
                <w:sz w:val="24"/>
              </w:rPr>
              <w:t>楼梯、公共走廊电梯间部分</w:t>
            </w:r>
          </w:p>
        </w:tc>
        <w:tc>
          <w:tcPr>
            <w:tcW w:w="1231" w:type="pct"/>
            <w:noWrap/>
            <w:vAlign w:val="center"/>
          </w:tcPr>
          <w:p w14:paraId="69A55AEA">
            <w:pPr>
              <w:spacing w:line="280" w:lineRule="exact"/>
              <w:jc w:val="center"/>
              <w:rPr>
                <w:rFonts w:ascii="宋体" w:hAnsi="宋体"/>
                <w:sz w:val="24"/>
              </w:rPr>
            </w:pPr>
            <w:r>
              <w:rPr>
                <w:rFonts w:ascii="宋体" w:hAnsi="宋体"/>
                <w:sz w:val="24"/>
              </w:rPr>
              <w:t>花岗岩、抛光砖</w:t>
            </w:r>
          </w:p>
        </w:tc>
        <w:tc>
          <w:tcPr>
            <w:tcW w:w="1449" w:type="pct"/>
            <w:noWrap/>
            <w:vAlign w:val="center"/>
          </w:tcPr>
          <w:p w14:paraId="4A878D02">
            <w:pPr>
              <w:spacing w:line="280" w:lineRule="exact"/>
              <w:jc w:val="center"/>
              <w:rPr>
                <w:rFonts w:ascii="宋体" w:hAnsi="宋体"/>
                <w:sz w:val="24"/>
              </w:rPr>
            </w:pPr>
            <w:r>
              <w:rPr>
                <w:rFonts w:ascii="宋体" w:hAnsi="宋体"/>
                <w:sz w:val="24"/>
              </w:rPr>
              <w:t>每天上下午清扫、拖地并保洁</w:t>
            </w:r>
          </w:p>
        </w:tc>
        <w:tc>
          <w:tcPr>
            <w:tcW w:w="1520" w:type="pct"/>
            <w:noWrap/>
            <w:vAlign w:val="center"/>
          </w:tcPr>
          <w:p w14:paraId="0E8106E6">
            <w:pPr>
              <w:spacing w:line="280" w:lineRule="exact"/>
              <w:jc w:val="center"/>
              <w:rPr>
                <w:rFonts w:ascii="宋体" w:hAnsi="宋体"/>
                <w:sz w:val="24"/>
              </w:rPr>
            </w:pPr>
            <w:r>
              <w:rPr>
                <w:rFonts w:ascii="宋体" w:hAnsi="宋体"/>
                <w:sz w:val="24"/>
              </w:rPr>
              <w:t>无杂物、污渍、痰渍、保持干净、光泽</w:t>
            </w:r>
          </w:p>
        </w:tc>
      </w:tr>
      <w:tr w14:paraId="2086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359" w:type="pct"/>
            <w:vMerge w:val="continue"/>
            <w:noWrap/>
            <w:vAlign w:val="top"/>
          </w:tcPr>
          <w:p w14:paraId="0DFEEB54">
            <w:pPr>
              <w:spacing w:line="280" w:lineRule="exact"/>
              <w:jc w:val="center"/>
              <w:rPr>
                <w:rFonts w:ascii="宋体" w:hAnsi="宋体"/>
                <w:sz w:val="24"/>
              </w:rPr>
            </w:pPr>
          </w:p>
        </w:tc>
        <w:tc>
          <w:tcPr>
            <w:tcW w:w="438" w:type="pct"/>
            <w:vMerge w:val="continue"/>
            <w:noWrap/>
            <w:vAlign w:val="center"/>
          </w:tcPr>
          <w:p w14:paraId="5CE90E3E">
            <w:pPr>
              <w:spacing w:line="280" w:lineRule="exact"/>
              <w:jc w:val="center"/>
              <w:rPr>
                <w:rFonts w:ascii="宋体" w:hAnsi="宋体"/>
                <w:sz w:val="24"/>
              </w:rPr>
            </w:pPr>
          </w:p>
        </w:tc>
        <w:tc>
          <w:tcPr>
            <w:tcW w:w="1231" w:type="pct"/>
            <w:noWrap/>
            <w:vAlign w:val="center"/>
          </w:tcPr>
          <w:p w14:paraId="51E4985F">
            <w:pPr>
              <w:spacing w:line="280" w:lineRule="exact"/>
              <w:jc w:val="center"/>
              <w:rPr>
                <w:rFonts w:ascii="宋体" w:hAnsi="宋体"/>
                <w:sz w:val="24"/>
              </w:rPr>
            </w:pPr>
            <w:r>
              <w:rPr>
                <w:rFonts w:ascii="宋体" w:hAnsi="宋体"/>
                <w:sz w:val="24"/>
              </w:rPr>
              <w:t>墙身、窗台</w:t>
            </w:r>
          </w:p>
        </w:tc>
        <w:tc>
          <w:tcPr>
            <w:tcW w:w="1449" w:type="pct"/>
            <w:noWrap/>
            <w:vAlign w:val="center"/>
          </w:tcPr>
          <w:p w14:paraId="73B8BA60">
            <w:pPr>
              <w:spacing w:line="280" w:lineRule="exact"/>
              <w:jc w:val="center"/>
              <w:rPr>
                <w:rFonts w:ascii="宋体" w:hAnsi="宋体"/>
                <w:sz w:val="24"/>
              </w:rPr>
            </w:pPr>
            <w:r>
              <w:rPr>
                <w:rFonts w:ascii="宋体" w:hAnsi="宋体"/>
                <w:sz w:val="24"/>
              </w:rPr>
              <w:t>每天保洁、清抹水平面一次</w:t>
            </w:r>
          </w:p>
        </w:tc>
        <w:tc>
          <w:tcPr>
            <w:tcW w:w="1520" w:type="pct"/>
            <w:noWrap/>
            <w:vAlign w:val="center"/>
          </w:tcPr>
          <w:p w14:paraId="5D575D25">
            <w:pPr>
              <w:spacing w:line="280" w:lineRule="exact"/>
              <w:jc w:val="center"/>
              <w:rPr>
                <w:rFonts w:ascii="宋体" w:hAnsi="宋体"/>
                <w:sz w:val="24"/>
              </w:rPr>
            </w:pPr>
            <w:r>
              <w:rPr>
                <w:rFonts w:ascii="宋体" w:hAnsi="宋体"/>
                <w:sz w:val="24"/>
              </w:rPr>
              <w:t>保持干净、无尘渍</w:t>
            </w:r>
          </w:p>
        </w:tc>
      </w:tr>
      <w:tr w14:paraId="2395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359" w:type="pct"/>
            <w:vMerge w:val="continue"/>
            <w:noWrap/>
            <w:vAlign w:val="top"/>
          </w:tcPr>
          <w:p w14:paraId="64B06CE6">
            <w:pPr>
              <w:spacing w:line="280" w:lineRule="exact"/>
              <w:jc w:val="center"/>
              <w:rPr>
                <w:rFonts w:ascii="宋体" w:hAnsi="宋体"/>
                <w:sz w:val="24"/>
              </w:rPr>
            </w:pPr>
          </w:p>
        </w:tc>
        <w:tc>
          <w:tcPr>
            <w:tcW w:w="438" w:type="pct"/>
            <w:vMerge w:val="continue"/>
            <w:noWrap/>
            <w:vAlign w:val="center"/>
          </w:tcPr>
          <w:p w14:paraId="0006B7BE">
            <w:pPr>
              <w:spacing w:line="280" w:lineRule="exact"/>
              <w:jc w:val="center"/>
              <w:rPr>
                <w:rFonts w:ascii="宋体" w:hAnsi="宋体"/>
                <w:sz w:val="24"/>
              </w:rPr>
            </w:pPr>
          </w:p>
        </w:tc>
        <w:tc>
          <w:tcPr>
            <w:tcW w:w="1231" w:type="pct"/>
            <w:noWrap/>
            <w:vAlign w:val="center"/>
          </w:tcPr>
          <w:p w14:paraId="6478AD86">
            <w:pPr>
              <w:spacing w:line="280" w:lineRule="exact"/>
              <w:jc w:val="center"/>
              <w:rPr>
                <w:rFonts w:ascii="宋体" w:hAnsi="宋体"/>
                <w:sz w:val="24"/>
              </w:rPr>
            </w:pPr>
            <w:r>
              <w:rPr>
                <w:rFonts w:ascii="宋体" w:hAnsi="宋体"/>
                <w:sz w:val="24"/>
              </w:rPr>
              <w:t>玻璃窗</w:t>
            </w:r>
          </w:p>
        </w:tc>
        <w:tc>
          <w:tcPr>
            <w:tcW w:w="1449" w:type="pct"/>
            <w:noWrap/>
            <w:vAlign w:val="center"/>
          </w:tcPr>
          <w:p w14:paraId="4A5F91B0">
            <w:pPr>
              <w:spacing w:line="280" w:lineRule="exact"/>
              <w:jc w:val="center"/>
              <w:rPr>
                <w:rFonts w:ascii="宋体" w:hAnsi="宋体"/>
                <w:sz w:val="24"/>
              </w:rPr>
            </w:pPr>
            <w:r>
              <w:rPr>
                <w:rFonts w:ascii="宋体" w:hAnsi="宋体"/>
                <w:sz w:val="24"/>
              </w:rPr>
              <w:t>每天保洁</w:t>
            </w:r>
          </w:p>
        </w:tc>
        <w:tc>
          <w:tcPr>
            <w:tcW w:w="1520" w:type="pct"/>
            <w:noWrap/>
            <w:vAlign w:val="center"/>
          </w:tcPr>
          <w:p w14:paraId="6612B7EE">
            <w:pPr>
              <w:spacing w:line="280" w:lineRule="exact"/>
              <w:jc w:val="center"/>
              <w:rPr>
                <w:rFonts w:ascii="宋体" w:hAnsi="宋体"/>
                <w:sz w:val="24"/>
              </w:rPr>
            </w:pPr>
            <w:r>
              <w:rPr>
                <w:rFonts w:hint="eastAsia" w:ascii="宋体" w:hAnsi="宋体"/>
                <w:sz w:val="24"/>
              </w:rPr>
              <w:t>目视</w:t>
            </w:r>
            <w:r>
              <w:rPr>
                <w:rFonts w:ascii="宋体" w:hAnsi="宋体"/>
                <w:sz w:val="24"/>
              </w:rPr>
              <w:t>无手印、污渍</w:t>
            </w:r>
          </w:p>
        </w:tc>
      </w:tr>
      <w:tr w14:paraId="2EF6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 w:hRule="atLeast"/>
        </w:trPr>
        <w:tc>
          <w:tcPr>
            <w:tcW w:w="359" w:type="pct"/>
            <w:vMerge w:val="continue"/>
            <w:noWrap/>
            <w:vAlign w:val="top"/>
          </w:tcPr>
          <w:p w14:paraId="5FA2734A">
            <w:pPr>
              <w:spacing w:line="280" w:lineRule="exact"/>
              <w:jc w:val="center"/>
              <w:rPr>
                <w:rFonts w:ascii="宋体" w:hAnsi="宋体"/>
                <w:sz w:val="24"/>
              </w:rPr>
            </w:pPr>
          </w:p>
        </w:tc>
        <w:tc>
          <w:tcPr>
            <w:tcW w:w="438" w:type="pct"/>
            <w:vMerge w:val="continue"/>
            <w:noWrap/>
            <w:vAlign w:val="center"/>
          </w:tcPr>
          <w:p w14:paraId="4B51894F">
            <w:pPr>
              <w:spacing w:line="280" w:lineRule="exact"/>
              <w:jc w:val="center"/>
              <w:rPr>
                <w:rFonts w:ascii="宋体" w:hAnsi="宋体"/>
                <w:sz w:val="24"/>
              </w:rPr>
            </w:pPr>
          </w:p>
        </w:tc>
        <w:tc>
          <w:tcPr>
            <w:tcW w:w="1231" w:type="pct"/>
            <w:noWrap/>
            <w:vAlign w:val="center"/>
          </w:tcPr>
          <w:p w14:paraId="3992E428">
            <w:pPr>
              <w:spacing w:line="280" w:lineRule="exact"/>
              <w:jc w:val="center"/>
              <w:rPr>
                <w:rFonts w:ascii="宋体" w:hAnsi="宋体"/>
                <w:sz w:val="24"/>
              </w:rPr>
            </w:pPr>
            <w:r>
              <w:rPr>
                <w:rFonts w:ascii="宋体" w:hAnsi="宋体"/>
                <w:sz w:val="24"/>
              </w:rPr>
              <w:t>走廊装饰玻璃</w:t>
            </w:r>
          </w:p>
        </w:tc>
        <w:tc>
          <w:tcPr>
            <w:tcW w:w="1449" w:type="pct"/>
            <w:noWrap/>
            <w:vAlign w:val="center"/>
          </w:tcPr>
          <w:p w14:paraId="2F1B2A99">
            <w:pPr>
              <w:spacing w:line="280" w:lineRule="exact"/>
              <w:jc w:val="center"/>
              <w:rPr>
                <w:rFonts w:ascii="宋体" w:hAnsi="宋体"/>
                <w:sz w:val="24"/>
              </w:rPr>
            </w:pPr>
            <w:r>
              <w:rPr>
                <w:rFonts w:ascii="宋体" w:hAnsi="宋体"/>
                <w:sz w:val="24"/>
              </w:rPr>
              <w:t>每天保洁</w:t>
            </w:r>
          </w:p>
        </w:tc>
        <w:tc>
          <w:tcPr>
            <w:tcW w:w="1520" w:type="pct"/>
            <w:noWrap/>
            <w:vAlign w:val="center"/>
          </w:tcPr>
          <w:p w14:paraId="6729E56E">
            <w:pPr>
              <w:spacing w:line="280" w:lineRule="exact"/>
              <w:jc w:val="center"/>
              <w:rPr>
                <w:rFonts w:ascii="宋体" w:hAnsi="宋体"/>
                <w:sz w:val="24"/>
              </w:rPr>
            </w:pPr>
            <w:r>
              <w:rPr>
                <w:rFonts w:ascii="宋体" w:hAnsi="宋体"/>
                <w:sz w:val="24"/>
              </w:rPr>
              <w:t>保持干净、无手印、污渍</w:t>
            </w:r>
          </w:p>
        </w:tc>
      </w:tr>
      <w:tr w14:paraId="3D98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359" w:type="pct"/>
            <w:vMerge w:val="continue"/>
            <w:noWrap/>
            <w:vAlign w:val="top"/>
          </w:tcPr>
          <w:p w14:paraId="508727DE">
            <w:pPr>
              <w:spacing w:line="280" w:lineRule="exact"/>
              <w:jc w:val="center"/>
              <w:rPr>
                <w:rFonts w:ascii="宋体" w:hAnsi="宋体"/>
                <w:sz w:val="24"/>
              </w:rPr>
            </w:pPr>
          </w:p>
        </w:tc>
        <w:tc>
          <w:tcPr>
            <w:tcW w:w="438" w:type="pct"/>
            <w:vMerge w:val="continue"/>
            <w:noWrap/>
            <w:vAlign w:val="center"/>
          </w:tcPr>
          <w:p w14:paraId="3867FD6F">
            <w:pPr>
              <w:spacing w:line="280" w:lineRule="exact"/>
              <w:jc w:val="center"/>
              <w:rPr>
                <w:rFonts w:ascii="宋体" w:hAnsi="宋体"/>
                <w:sz w:val="24"/>
              </w:rPr>
            </w:pPr>
          </w:p>
        </w:tc>
        <w:tc>
          <w:tcPr>
            <w:tcW w:w="1231" w:type="pct"/>
            <w:noWrap/>
            <w:vAlign w:val="center"/>
          </w:tcPr>
          <w:p w14:paraId="58C4737C">
            <w:pPr>
              <w:spacing w:line="280" w:lineRule="exact"/>
              <w:jc w:val="center"/>
              <w:rPr>
                <w:rFonts w:ascii="宋体" w:hAnsi="宋体"/>
                <w:sz w:val="24"/>
              </w:rPr>
            </w:pPr>
            <w:r>
              <w:rPr>
                <w:rFonts w:ascii="宋体" w:hAnsi="宋体"/>
                <w:sz w:val="24"/>
              </w:rPr>
              <w:t>灯饰及其他</w:t>
            </w:r>
          </w:p>
        </w:tc>
        <w:tc>
          <w:tcPr>
            <w:tcW w:w="1449" w:type="pct"/>
            <w:noWrap/>
            <w:vAlign w:val="center"/>
          </w:tcPr>
          <w:p w14:paraId="1BA0EBC8">
            <w:pPr>
              <w:spacing w:line="280" w:lineRule="exact"/>
              <w:jc w:val="center"/>
              <w:rPr>
                <w:rFonts w:ascii="宋体" w:hAnsi="宋体"/>
                <w:sz w:val="24"/>
              </w:rPr>
            </w:pPr>
            <w:r>
              <w:rPr>
                <w:rFonts w:ascii="宋体" w:hAnsi="宋体"/>
                <w:sz w:val="24"/>
              </w:rPr>
              <w:t>每天保洁</w:t>
            </w:r>
          </w:p>
        </w:tc>
        <w:tc>
          <w:tcPr>
            <w:tcW w:w="1520" w:type="pct"/>
            <w:noWrap/>
            <w:vAlign w:val="center"/>
          </w:tcPr>
          <w:p w14:paraId="4277AD80">
            <w:pPr>
              <w:spacing w:line="280" w:lineRule="exact"/>
              <w:jc w:val="center"/>
              <w:rPr>
                <w:rFonts w:ascii="宋体" w:hAnsi="宋体"/>
                <w:sz w:val="24"/>
              </w:rPr>
            </w:pPr>
            <w:r>
              <w:rPr>
                <w:rFonts w:ascii="宋体" w:hAnsi="宋体"/>
                <w:sz w:val="24"/>
              </w:rPr>
              <w:t>保持干净、无蜘蛛网</w:t>
            </w:r>
          </w:p>
        </w:tc>
      </w:tr>
      <w:tr w14:paraId="3726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359" w:type="pct"/>
            <w:vMerge w:val="continue"/>
            <w:noWrap/>
            <w:vAlign w:val="top"/>
          </w:tcPr>
          <w:p w14:paraId="5D2170C6">
            <w:pPr>
              <w:spacing w:line="280" w:lineRule="exact"/>
              <w:jc w:val="center"/>
              <w:rPr>
                <w:rFonts w:ascii="宋体" w:hAnsi="宋体"/>
                <w:sz w:val="24"/>
              </w:rPr>
            </w:pPr>
          </w:p>
        </w:tc>
        <w:tc>
          <w:tcPr>
            <w:tcW w:w="438" w:type="pct"/>
            <w:vMerge w:val="continue"/>
            <w:noWrap/>
            <w:vAlign w:val="center"/>
          </w:tcPr>
          <w:p w14:paraId="25CC02C5">
            <w:pPr>
              <w:spacing w:line="280" w:lineRule="exact"/>
              <w:jc w:val="center"/>
              <w:rPr>
                <w:rFonts w:ascii="宋体" w:hAnsi="宋体"/>
                <w:sz w:val="24"/>
              </w:rPr>
            </w:pPr>
          </w:p>
        </w:tc>
        <w:tc>
          <w:tcPr>
            <w:tcW w:w="1231" w:type="pct"/>
            <w:noWrap/>
            <w:vAlign w:val="center"/>
          </w:tcPr>
          <w:p w14:paraId="75F32B2B">
            <w:pPr>
              <w:spacing w:line="280" w:lineRule="exact"/>
              <w:jc w:val="center"/>
              <w:rPr>
                <w:rFonts w:ascii="宋体" w:hAnsi="宋体"/>
                <w:sz w:val="24"/>
              </w:rPr>
            </w:pPr>
            <w:r>
              <w:rPr>
                <w:rFonts w:ascii="宋体" w:hAnsi="宋体"/>
                <w:sz w:val="24"/>
              </w:rPr>
              <w:t>防烟门</w:t>
            </w:r>
          </w:p>
        </w:tc>
        <w:tc>
          <w:tcPr>
            <w:tcW w:w="1449" w:type="pct"/>
            <w:noWrap/>
            <w:vAlign w:val="center"/>
          </w:tcPr>
          <w:p w14:paraId="326F4021">
            <w:pPr>
              <w:pStyle w:val="43"/>
              <w:pBdr>
                <w:bottom w:val="none" w:color="auto" w:sz="0" w:space="0"/>
              </w:pBdr>
              <w:tabs>
                <w:tab w:val="clear" w:pos="4153"/>
                <w:tab w:val="clear" w:pos="8306"/>
              </w:tabs>
              <w:snapToGrid/>
              <w:spacing w:line="280" w:lineRule="exact"/>
              <w:rPr>
                <w:rFonts w:ascii="宋体" w:hAnsi="宋体"/>
                <w:sz w:val="24"/>
                <w:szCs w:val="24"/>
              </w:rPr>
            </w:pPr>
            <w:r>
              <w:rPr>
                <w:rFonts w:ascii="宋体" w:hAnsi="宋体"/>
                <w:sz w:val="24"/>
                <w:szCs w:val="24"/>
              </w:rPr>
              <w:t>每天保洁</w:t>
            </w:r>
          </w:p>
        </w:tc>
        <w:tc>
          <w:tcPr>
            <w:tcW w:w="1520" w:type="pct"/>
            <w:noWrap/>
            <w:vAlign w:val="center"/>
          </w:tcPr>
          <w:p w14:paraId="2F46C758">
            <w:pPr>
              <w:spacing w:line="280" w:lineRule="exact"/>
              <w:jc w:val="center"/>
              <w:rPr>
                <w:rFonts w:ascii="宋体" w:hAnsi="宋体"/>
                <w:sz w:val="24"/>
              </w:rPr>
            </w:pPr>
            <w:r>
              <w:rPr>
                <w:rFonts w:ascii="宋体" w:hAnsi="宋体"/>
                <w:sz w:val="24"/>
              </w:rPr>
              <w:t>无污渍</w:t>
            </w:r>
          </w:p>
        </w:tc>
      </w:tr>
      <w:tr w14:paraId="318A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59" w:type="pct"/>
            <w:vMerge w:val="continue"/>
            <w:noWrap/>
            <w:vAlign w:val="top"/>
          </w:tcPr>
          <w:p w14:paraId="128208EE">
            <w:pPr>
              <w:spacing w:line="280" w:lineRule="exact"/>
              <w:jc w:val="center"/>
              <w:rPr>
                <w:rFonts w:ascii="宋体" w:hAnsi="宋体"/>
                <w:sz w:val="24"/>
              </w:rPr>
            </w:pPr>
          </w:p>
        </w:tc>
        <w:tc>
          <w:tcPr>
            <w:tcW w:w="438" w:type="pct"/>
            <w:vMerge w:val="continue"/>
            <w:noWrap/>
            <w:vAlign w:val="center"/>
          </w:tcPr>
          <w:p w14:paraId="6D81C147">
            <w:pPr>
              <w:spacing w:line="280" w:lineRule="exact"/>
              <w:jc w:val="center"/>
              <w:rPr>
                <w:rFonts w:ascii="宋体" w:hAnsi="宋体"/>
                <w:sz w:val="24"/>
              </w:rPr>
            </w:pPr>
          </w:p>
        </w:tc>
        <w:tc>
          <w:tcPr>
            <w:tcW w:w="1231" w:type="pct"/>
            <w:noWrap/>
            <w:vAlign w:val="center"/>
          </w:tcPr>
          <w:p w14:paraId="2EBEBA5F">
            <w:pPr>
              <w:spacing w:line="280" w:lineRule="exact"/>
              <w:jc w:val="center"/>
              <w:rPr>
                <w:rFonts w:ascii="宋体" w:hAnsi="宋体"/>
                <w:sz w:val="24"/>
              </w:rPr>
            </w:pPr>
            <w:r>
              <w:rPr>
                <w:rFonts w:ascii="宋体" w:hAnsi="宋体"/>
                <w:sz w:val="24"/>
              </w:rPr>
              <w:t>烟灰筒、垃圾桶</w:t>
            </w:r>
          </w:p>
        </w:tc>
        <w:tc>
          <w:tcPr>
            <w:tcW w:w="1449" w:type="pct"/>
            <w:noWrap/>
            <w:vAlign w:val="center"/>
          </w:tcPr>
          <w:p w14:paraId="5B80346A">
            <w:pPr>
              <w:spacing w:line="280" w:lineRule="exact"/>
              <w:jc w:val="center"/>
              <w:rPr>
                <w:rFonts w:ascii="宋体" w:hAnsi="宋体"/>
                <w:sz w:val="24"/>
              </w:rPr>
            </w:pPr>
            <w:r>
              <w:rPr>
                <w:rFonts w:ascii="宋体" w:hAnsi="宋体"/>
                <w:sz w:val="24"/>
              </w:rPr>
              <w:t>每天清倒垃圾二次</w:t>
            </w:r>
          </w:p>
        </w:tc>
        <w:tc>
          <w:tcPr>
            <w:tcW w:w="1520" w:type="pct"/>
            <w:noWrap/>
            <w:vAlign w:val="center"/>
          </w:tcPr>
          <w:p w14:paraId="30EAA086">
            <w:pPr>
              <w:spacing w:line="280" w:lineRule="exact"/>
              <w:jc w:val="center"/>
              <w:rPr>
                <w:rFonts w:ascii="宋体" w:hAnsi="宋体"/>
                <w:sz w:val="24"/>
              </w:rPr>
            </w:pPr>
            <w:r>
              <w:rPr>
                <w:rFonts w:hint="eastAsia" w:ascii="宋体" w:hAnsi="宋体"/>
                <w:sz w:val="24"/>
              </w:rPr>
              <w:t>1.烟灰筒内</w:t>
            </w:r>
            <w:r>
              <w:rPr>
                <w:rFonts w:ascii="宋体" w:hAnsi="宋体"/>
                <w:sz w:val="24"/>
              </w:rPr>
              <w:t>无痰渍、污渍、烟灰</w:t>
            </w:r>
            <w:r>
              <w:rPr>
                <w:rFonts w:hint="eastAsia" w:ascii="宋体" w:hAnsi="宋体"/>
                <w:sz w:val="24"/>
              </w:rPr>
              <w:t>；2.生活垃圾桶内垃圾不得超过三分之二，不过夜</w:t>
            </w:r>
          </w:p>
        </w:tc>
      </w:tr>
      <w:tr w14:paraId="4B87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59" w:type="pct"/>
            <w:vMerge w:val="continue"/>
            <w:noWrap/>
            <w:vAlign w:val="top"/>
          </w:tcPr>
          <w:p w14:paraId="4C2CA5D8">
            <w:pPr>
              <w:spacing w:line="280" w:lineRule="exact"/>
              <w:jc w:val="center"/>
              <w:rPr>
                <w:rFonts w:ascii="宋体" w:hAnsi="宋体"/>
                <w:sz w:val="24"/>
              </w:rPr>
            </w:pPr>
          </w:p>
        </w:tc>
        <w:tc>
          <w:tcPr>
            <w:tcW w:w="438" w:type="pct"/>
            <w:vMerge w:val="continue"/>
            <w:noWrap/>
            <w:vAlign w:val="center"/>
          </w:tcPr>
          <w:p w14:paraId="4ADBA81D">
            <w:pPr>
              <w:spacing w:line="280" w:lineRule="exact"/>
              <w:jc w:val="center"/>
              <w:rPr>
                <w:rFonts w:ascii="宋体" w:hAnsi="宋体"/>
                <w:sz w:val="24"/>
              </w:rPr>
            </w:pPr>
          </w:p>
        </w:tc>
        <w:tc>
          <w:tcPr>
            <w:tcW w:w="1231" w:type="pct"/>
            <w:noWrap/>
            <w:vAlign w:val="center"/>
          </w:tcPr>
          <w:p w14:paraId="3813D258">
            <w:pPr>
              <w:spacing w:line="280" w:lineRule="exact"/>
              <w:jc w:val="center"/>
              <w:rPr>
                <w:rFonts w:ascii="宋体" w:hAnsi="宋体"/>
                <w:sz w:val="24"/>
              </w:rPr>
            </w:pPr>
            <w:r>
              <w:rPr>
                <w:rFonts w:hint="eastAsia" w:ascii="宋体" w:hAnsi="宋体"/>
                <w:sz w:val="24"/>
              </w:rPr>
              <w:t>楼梯楼道</w:t>
            </w:r>
          </w:p>
        </w:tc>
        <w:tc>
          <w:tcPr>
            <w:tcW w:w="1449" w:type="pct"/>
            <w:noWrap/>
            <w:vAlign w:val="center"/>
          </w:tcPr>
          <w:p w14:paraId="3D554114">
            <w:pPr>
              <w:spacing w:line="280" w:lineRule="exact"/>
              <w:jc w:val="center"/>
              <w:rPr>
                <w:rFonts w:ascii="宋体" w:hAnsi="宋体"/>
                <w:sz w:val="24"/>
              </w:rPr>
            </w:pPr>
            <w:r>
              <w:rPr>
                <w:rFonts w:hint="eastAsia" w:ascii="宋体" w:hAnsi="宋体"/>
                <w:sz w:val="24"/>
              </w:rPr>
              <w:t>每天保洁两次</w:t>
            </w:r>
          </w:p>
        </w:tc>
        <w:tc>
          <w:tcPr>
            <w:tcW w:w="1520" w:type="pct"/>
            <w:noWrap/>
            <w:vAlign w:val="center"/>
          </w:tcPr>
          <w:p w14:paraId="09EA5D3E">
            <w:pPr>
              <w:spacing w:line="280" w:lineRule="exact"/>
              <w:jc w:val="center"/>
              <w:rPr>
                <w:rFonts w:ascii="宋体" w:hAnsi="宋体"/>
                <w:sz w:val="24"/>
              </w:rPr>
            </w:pPr>
            <w:r>
              <w:rPr>
                <w:rFonts w:hint="eastAsia" w:ascii="宋体" w:hAnsi="宋体"/>
                <w:sz w:val="24"/>
              </w:rPr>
              <w:t>目视无烟头、纸屑、蜘蛛网、尘渍、污渍</w:t>
            </w:r>
          </w:p>
        </w:tc>
      </w:tr>
      <w:tr w14:paraId="13A1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59" w:type="pct"/>
            <w:vMerge w:val="continue"/>
            <w:noWrap/>
            <w:vAlign w:val="top"/>
          </w:tcPr>
          <w:p w14:paraId="5AFA8341">
            <w:pPr>
              <w:spacing w:line="280" w:lineRule="exact"/>
              <w:jc w:val="center"/>
              <w:rPr>
                <w:rFonts w:ascii="宋体" w:hAnsi="宋体"/>
                <w:sz w:val="24"/>
              </w:rPr>
            </w:pPr>
          </w:p>
        </w:tc>
        <w:tc>
          <w:tcPr>
            <w:tcW w:w="438" w:type="pct"/>
            <w:vMerge w:val="continue"/>
            <w:noWrap/>
            <w:vAlign w:val="center"/>
          </w:tcPr>
          <w:p w14:paraId="00BBD47E">
            <w:pPr>
              <w:spacing w:line="280" w:lineRule="exact"/>
              <w:jc w:val="center"/>
              <w:rPr>
                <w:rFonts w:ascii="宋体" w:hAnsi="宋体"/>
                <w:sz w:val="24"/>
              </w:rPr>
            </w:pPr>
          </w:p>
        </w:tc>
        <w:tc>
          <w:tcPr>
            <w:tcW w:w="1231" w:type="pct"/>
            <w:noWrap/>
            <w:vAlign w:val="center"/>
          </w:tcPr>
          <w:p w14:paraId="7B1BB77F">
            <w:pPr>
              <w:spacing w:line="280" w:lineRule="exact"/>
              <w:jc w:val="center"/>
              <w:rPr>
                <w:rFonts w:ascii="宋体" w:hAnsi="宋体"/>
                <w:sz w:val="24"/>
              </w:rPr>
            </w:pPr>
            <w:r>
              <w:rPr>
                <w:rFonts w:hint="eastAsia" w:ascii="宋体" w:hAnsi="宋体"/>
                <w:sz w:val="24"/>
              </w:rPr>
              <w:t>电梯</w:t>
            </w:r>
          </w:p>
        </w:tc>
        <w:tc>
          <w:tcPr>
            <w:tcW w:w="1449" w:type="pct"/>
            <w:noWrap/>
            <w:vAlign w:val="center"/>
          </w:tcPr>
          <w:p w14:paraId="67414C2C">
            <w:pPr>
              <w:spacing w:line="280" w:lineRule="exact"/>
              <w:jc w:val="center"/>
              <w:rPr>
                <w:rFonts w:ascii="宋体" w:hAnsi="宋体"/>
                <w:sz w:val="24"/>
              </w:rPr>
            </w:pPr>
            <w:r>
              <w:rPr>
                <w:rFonts w:hint="eastAsia" w:ascii="宋体" w:hAnsi="宋体"/>
                <w:sz w:val="24"/>
              </w:rPr>
              <w:t>每天保洁</w:t>
            </w:r>
          </w:p>
        </w:tc>
        <w:tc>
          <w:tcPr>
            <w:tcW w:w="1520" w:type="pct"/>
            <w:noWrap/>
            <w:vAlign w:val="center"/>
          </w:tcPr>
          <w:p w14:paraId="0D8C5763">
            <w:pPr>
              <w:spacing w:line="280" w:lineRule="exact"/>
              <w:jc w:val="center"/>
              <w:rPr>
                <w:rFonts w:ascii="宋体" w:hAnsi="宋体"/>
                <w:sz w:val="24"/>
              </w:rPr>
            </w:pPr>
            <w:r>
              <w:rPr>
                <w:rFonts w:hint="eastAsia" w:ascii="宋体" w:hAnsi="宋体"/>
                <w:sz w:val="24"/>
              </w:rPr>
              <w:t>1.电梯内无杂物、无灰尘、保持空气清新；2.确保门框、轿厢内无手印、不锈钢呈本色；3.每天消毒；4.电梯轿厢顶和内壁无蜘蛛网，表面洁净</w:t>
            </w:r>
          </w:p>
        </w:tc>
      </w:tr>
      <w:tr w14:paraId="2DDF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59" w:type="pct"/>
            <w:vMerge w:val="continue"/>
            <w:noWrap/>
            <w:vAlign w:val="top"/>
          </w:tcPr>
          <w:p w14:paraId="12792646">
            <w:pPr>
              <w:spacing w:line="280" w:lineRule="exact"/>
              <w:jc w:val="center"/>
              <w:rPr>
                <w:rFonts w:ascii="宋体" w:hAnsi="宋体"/>
                <w:sz w:val="24"/>
              </w:rPr>
            </w:pPr>
          </w:p>
        </w:tc>
        <w:tc>
          <w:tcPr>
            <w:tcW w:w="438" w:type="pct"/>
            <w:vMerge w:val="continue"/>
            <w:noWrap/>
            <w:vAlign w:val="center"/>
          </w:tcPr>
          <w:p w14:paraId="3B402C13">
            <w:pPr>
              <w:spacing w:line="280" w:lineRule="exact"/>
              <w:jc w:val="center"/>
              <w:rPr>
                <w:rFonts w:ascii="宋体" w:hAnsi="宋体"/>
                <w:sz w:val="24"/>
              </w:rPr>
            </w:pPr>
          </w:p>
        </w:tc>
        <w:tc>
          <w:tcPr>
            <w:tcW w:w="1231" w:type="pct"/>
            <w:noWrap/>
            <w:vAlign w:val="center"/>
          </w:tcPr>
          <w:p w14:paraId="697BA54B">
            <w:pPr>
              <w:spacing w:line="280" w:lineRule="exact"/>
              <w:jc w:val="center"/>
              <w:rPr>
                <w:rFonts w:ascii="宋体" w:hAnsi="宋体"/>
                <w:sz w:val="24"/>
              </w:rPr>
            </w:pPr>
            <w:r>
              <w:rPr>
                <w:rFonts w:hint="eastAsia" w:ascii="宋体" w:hAnsi="宋体"/>
                <w:sz w:val="24"/>
              </w:rPr>
              <w:t>电梯机房</w:t>
            </w:r>
          </w:p>
        </w:tc>
        <w:tc>
          <w:tcPr>
            <w:tcW w:w="1449" w:type="pct"/>
            <w:noWrap/>
            <w:vAlign w:val="center"/>
          </w:tcPr>
          <w:p w14:paraId="0E1931E7">
            <w:pPr>
              <w:spacing w:line="280" w:lineRule="exact"/>
              <w:jc w:val="center"/>
              <w:rPr>
                <w:rFonts w:ascii="宋体" w:hAnsi="宋体"/>
                <w:sz w:val="24"/>
              </w:rPr>
            </w:pPr>
            <w:r>
              <w:rPr>
                <w:rFonts w:hint="eastAsia" w:ascii="宋体" w:hAnsi="宋体"/>
                <w:sz w:val="24"/>
              </w:rPr>
              <w:t>每月保洁一次</w:t>
            </w:r>
          </w:p>
        </w:tc>
        <w:tc>
          <w:tcPr>
            <w:tcW w:w="1520" w:type="pct"/>
            <w:noWrap/>
            <w:vAlign w:val="center"/>
          </w:tcPr>
          <w:p w14:paraId="239E66B6">
            <w:pPr>
              <w:spacing w:line="280" w:lineRule="exact"/>
              <w:jc w:val="center"/>
              <w:rPr>
                <w:rFonts w:ascii="宋体" w:hAnsi="宋体"/>
                <w:sz w:val="24"/>
              </w:rPr>
            </w:pPr>
            <w:r>
              <w:rPr>
                <w:rFonts w:hint="eastAsia" w:ascii="宋体" w:hAnsi="宋体"/>
                <w:sz w:val="24"/>
              </w:rPr>
              <w:t>1.电梯机房内房顶和墙壁无蜘蛛网、无灰尘；2.电梯机房内无堆放杂物</w:t>
            </w:r>
          </w:p>
        </w:tc>
      </w:tr>
      <w:tr w14:paraId="0DEC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359" w:type="pct"/>
            <w:vMerge w:val="restart"/>
            <w:noWrap/>
            <w:vAlign w:val="center"/>
          </w:tcPr>
          <w:p w14:paraId="5CB2D810">
            <w:pPr>
              <w:spacing w:line="280" w:lineRule="exact"/>
              <w:jc w:val="center"/>
              <w:rPr>
                <w:rFonts w:ascii="宋体" w:hAnsi="宋体"/>
                <w:sz w:val="24"/>
              </w:rPr>
            </w:pPr>
            <w:r>
              <w:rPr>
                <w:rFonts w:ascii="宋体" w:hAnsi="宋体"/>
                <w:sz w:val="24"/>
              </w:rPr>
              <w:t>4</w:t>
            </w:r>
          </w:p>
        </w:tc>
        <w:tc>
          <w:tcPr>
            <w:tcW w:w="438" w:type="pct"/>
            <w:vMerge w:val="restart"/>
            <w:noWrap/>
            <w:vAlign w:val="center"/>
          </w:tcPr>
          <w:p w14:paraId="4E573FF8">
            <w:pPr>
              <w:spacing w:line="280" w:lineRule="exact"/>
              <w:jc w:val="center"/>
              <w:rPr>
                <w:rFonts w:ascii="宋体" w:hAnsi="宋体"/>
                <w:sz w:val="24"/>
              </w:rPr>
            </w:pPr>
            <w:r>
              <w:rPr>
                <w:rFonts w:ascii="宋体" w:hAnsi="宋体"/>
                <w:sz w:val="24"/>
              </w:rPr>
              <w:t>男、女洗手间</w:t>
            </w:r>
          </w:p>
          <w:p w14:paraId="09A4A71A">
            <w:pPr>
              <w:spacing w:line="280" w:lineRule="exact"/>
              <w:jc w:val="center"/>
              <w:rPr>
                <w:rFonts w:ascii="宋体" w:hAnsi="宋体"/>
                <w:sz w:val="24"/>
              </w:rPr>
            </w:pPr>
            <w:r>
              <w:rPr>
                <w:rFonts w:ascii="宋体" w:hAnsi="宋体"/>
                <w:sz w:val="24"/>
              </w:rPr>
              <w:t>部分</w:t>
            </w:r>
          </w:p>
        </w:tc>
        <w:tc>
          <w:tcPr>
            <w:tcW w:w="1231" w:type="pct"/>
            <w:noWrap/>
            <w:vAlign w:val="center"/>
          </w:tcPr>
          <w:p w14:paraId="1E37036E">
            <w:pPr>
              <w:spacing w:line="280" w:lineRule="exact"/>
              <w:jc w:val="center"/>
              <w:rPr>
                <w:rFonts w:ascii="宋体" w:hAnsi="宋体"/>
                <w:sz w:val="24"/>
              </w:rPr>
            </w:pPr>
            <w:r>
              <w:rPr>
                <w:rFonts w:ascii="宋体" w:hAnsi="宋体"/>
                <w:sz w:val="24"/>
              </w:rPr>
              <w:t>瓷砖墙身</w:t>
            </w:r>
          </w:p>
        </w:tc>
        <w:tc>
          <w:tcPr>
            <w:tcW w:w="1449" w:type="pct"/>
            <w:noWrap/>
            <w:vAlign w:val="center"/>
          </w:tcPr>
          <w:p w14:paraId="5D07D294">
            <w:pPr>
              <w:spacing w:line="280" w:lineRule="exact"/>
              <w:jc w:val="center"/>
              <w:rPr>
                <w:rFonts w:ascii="宋体" w:hAnsi="宋体"/>
                <w:sz w:val="24"/>
              </w:rPr>
            </w:pPr>
            <w:r>
              <w:rPr>
                <w:rFonts w:ascii="宋体" w:hAnsi="宋体"/>
                <w:sz w:val="24"/>
              </w:rPr>
              <w:t>每天保洁</w:t>
            </w:r>
          </w:p>
        </w:tc>
        <w:tc>
          <w:tcPr>
            <w:tcW w:w="1520" w:type="pct"/>
            <w:noWrap/>
            <w:vAlign w:val="center"/>
          </w:tcPr>
          <w:p w14:paraId="741A1BBD">
            <w:pPr>
              <w:spacing w:line="280" w:lineRule="exact"/>
              <w:jc w:val="center"/>
              <w:rPr>
                <w:rFonts w:ascii="宋体" w:hAnsi="宋体"/>
                <w:sz w:val="24"/>
              </w:rPr>
            </w:pPr>
            <w:r>
              <w:rPr>
                <w:rFonts w:ascii="宋体" w:hAnsi="宋体"/>
                <w:sz w:val="24"/>
              </w:rPr>
              <w:t>无污渍</w:t>
            </w:r>
          </w:p>
        </w:tc>
      </w:tr>
      <w:tr w14:paraId="6DEC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006EAE50">
            <w:pPr>
              <w:spacing w:line="280" w:lineRule="exact"/>
              <w:jc w:val="center"/>
              <w:rPr>
                <w:rFonts w:ascii="宋体" w:hAnsi="宋体"/>
                <w:sz w:val="24"/>
              </w:rPr>
            </w:pPr>
          </w:p>
        </w:tc>
        <w:tc>
          <w:tcPr>
            <w:tcW w:w="438" w:type="pct"/>
            <w:vMerge w:val="continue"/>
            <w:noWrap/>
            <w:vAlign w:val="center"/>
          </w:tcPr>
          <w:p w14:paraId="2361A71B">
            <w:pPr>
              <w:spacing w:line="280" w:lineRule="exact"/>
              <w:jc w:val="center"/>
              <w:rPr>
                <w:rFonts w:ascii="宋体" w:hAnsi="宋体"/>
                <w:sz w:val="24"/>
              </w:rPr>
            </w:pPr>
          </w:p>
        </w:tc>
        <w:tc>
          <w:tcPr>
            <w:tcW w:w="1231" w:type="pct"/>
            <w:noWrap/>
            <w:vAlign w:val="center"/>
          </w:tcPr>
          <w:p w14:paraId="0ECE6375">
            <w:pPr>
              <w:spacing w:line="280" w:lineRule="exact"/>
              <w:jc w:val="center"/>
              <w:rPr>
                <w:rFonts w:ascii="宋体" w:hAnsi="宋体"/>
                <w:sz w:val="24"/>
              </w:rPr>
            </w:pPr>
            <w:r>
              <w:rPr>
                <w:rFonts w:ascii="宋体" w:hAnsi="宋体"/>
                <w:sz w:val="24"/>
              </w:rPr>
              <w:t>瓷砖地面</w:t>
            </w:r>
          </w:p>
        </w:tc>
        <w:tc>
          <w:tcPr>
            <w:tcW w:w="1449" w:type="pct"/>
            <w:noWrap/>
            <w:vAlign w:val="center"/>
          </w:tcPr>
          <w:p w14:paraId="2F74CD77">
            <w:pPr>
              <w:spacing w:line="280" w:lineRule="exact"/>
              <w:jc w:val="center"/>
              <w:rPr>
                <w:rFonts w:ascii="宋体" w:hAnsi="宋体"/>
                <w:sz w:val="24"/>
              </w:rPr>
            </w:pPr>
            <w:r>
              <w:rPr>
                <w:rFonts w:ascii="宋体" w:hAnsi="宋体"/>
                <w:sz w:val="24"/>
              </w:rPr>
              <w:t>每天用清洁剂拖地并随时保持干净；每两周用洁厕灵清洗二次并拖抹干净</w:t>
            </w:r>
          </w:p>
        </w:tc>
        <w:tc>
          <w:tcPr>
            <w:tcW w:w="1520" w:type="pct"/>
            <w:noWrap/>
            <w:vAlign w:val="center"/>
          </w:tcPr>
          <w:p w14:paraId="130BA7C0">
            <w:pPr>
              <w:spacing w:line="280" w:lineRule="exact"/>
              <w:jc w:val="center"/>
              <w:rPr>
                <w:rFonts w:ascii="宋体" w:hAnsi="宋体"/>
                <w:sz w:val="24"/>
              </w:rPr>
            </w:pPr>
            <w:r>
              <w:rPr>
                <w:rFonts w:hint="eastAsia" w:ascii="宋体" w:hAnsi="宋体"/>
                <w:sz w:val="24"/>
              </w:rPr>
              <w:t>地面干净、干燥、无异味</w:t>
            </w:r>
          </w:p>
        </w:tc>
      </w:tr>
      <w:tr w14:paraId="190B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41A6D483">
            <w:pPr>
              <w:spacing w:line="280" w:lineRule="exact"/>
              <w:jc w:val="center"/>
              <w:rPr>
                <w:rFonts w:ascii="宋体" w:hAnsi="宋体"/>
                <w:sz w:val="24"/>
              </w:rPr>
            </w:pPr>
          </w:p>
        </w:tc>
        <w:tc>
          <w:tcPr>
            <w:tcW w:w="438" w:type="pct"/>
            <w:vMerge w:val="continue"/>
            <w:noWrap/>
            <w:vAlign w:val="center"/>
          </w:tcPr>
          <w:p w14:paraId="04CEE65B">
            <w:pPr>
              <w:spacing w:line="280" w:lineRule="exact"/>
              <w:jc w:val="center"/>
              <w:rPr>
                <w:rFonts w:ascii="宋体" w:hAnsi="宋体"/>
                <w:sz w:val="24"/>
              </w:rPr>
            </w:pPr>
          </w:p>
        </w:tc>
        <w:tc>
          <w:tcPr>
            <w:tcW w:w="1231" w:type="pct"/>
            <w:noWrap/>
            <w:vAlign w:val="center"/>
          </w:tcPr>
          <w:p w14:paraId="47784E33">
            <w:pPr>
              <w:jc w:val="center"/>
              <w:rPr>
                <w:rFonts w:ascii="宋体" w:hAnsi="宋体"/>
                <w:sz w:val="24"/>
              </w:rPr>
            </w:pPr>
            <w:r>
              <w:rPr>
                <w:rFonts w:ascii="宋体" w:hAnsi="宋体"/>
                <w:sz w:val="24"/>
              </w:rPr>
              <w:t>洗手间门</w:t>
            </w:r>
          </w:p>
        </w:tc>
        <w:tc>
          <w:tcPr>
            <w:tcW w:w="1449" w:type="pct"/>
            <w:noWrap/>
            <w:vAlign w:val="center"/>
          </w:tcPr>
          <w:p w14:paraId="529814FD">
            <w:pPr>
              <w:jc w:val="center"/>
              <w:rPr>
                <w:rFonts w:ascii="宋体" w:hAnsi="宋体"/>
                <w:sz w:val="24"/>
              </w:rPr>
            </w:pPr>
            <w:r>
              <w:rPr>
                <w:rFonts w:ascii="宋体" w:hAnsi="宋体"/>
                <w:sz w:val="24"/>
              </w:rPr>
              <w:t>每天保洁；每两周用清洁剂洗抹一次</w:t>
            </w:r>
          </w:p>
        </w:tc>
        <w:tc>
          <w:tcPr>
            <w:tcW w:w="1520" w:type="pct"/>
            <w:noWrap/>
            <w:vAlign w:val="center"/>
          </w:tcPr>
          <w:p w14:paraId="0C736C82">
            <w:pPr>
              <w:rPr>
                <w:rFonts w:ascii="宋体" w:hAnsi="宋体"/>
                <w:sz w:val="24"/>
              </w:rPr>
            </w:pPr>
            <w:r>
              <w:rPr>
                <w:rFonts w:ascii="宋体" w:hAnsi="宋体"/>
                <w:sz w:val="24"/>
              </w:rPr>
              <w:t>无水渍、无污渍、无手印</w:t>
            </w:r>
          </w:p>
        </w:tc>
      </w:tr>
      <w:tr w14:paraId="3749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19313848">
            <w:pPr>
              <w:spacing w:line="280" w:lineRule="exact"/>
              <w:jc w:val="center"/>
              <w:rPr>
                <w:rFonts w:ascii="宋体" w:hAnsi="宋体"/>
                <w:sz w:val="24"/>
              </w:rPr>
            </w:pPr>
          </w:p>
        </w:tc>
        <w:tc>
          <w:tcPr>
            <w:tcW w:w="438" w:type="pct"/>
            <w:vMerge w:val="continue"/>
            <w:noWrap/>
            <w:vAlign w:val="center"/>
          </w:tcPr>
          <w:p w14:paraId="0F4D75A0">
            <w:pPr>
              <w:spacing w:line="280" w:lineRule="exact"/>
              <w:jc w:val="center"/>
              <w:rPr>
                <w:rFonts w:ascii="宋体" w:hAnsi="宋体"/>
                <w:sz w:val="24"/>
              </w:rPr>
            </w:pPr>
          </w:p>
        </w:tc>
        <w:tc>
          <w:tcPr>
            <w:tcW w:w="1231" w:type="pct"/>
            <w:noWrap/>
            <w:vAlign w:val="center"/>
          </w:tcPr>
          <w:p w14:paraId="1F8BCEFC">
            <w:pPr>
              <w:pStyle w:val="3"/>
              <w:ind w:firstLine="0" w:firstLineChars="0"/>
              <w:rPr>
                <w:rFonts w:ascii="宋体" w:hAnsi="宋体"/>
              </w:rPr>
            </w:pPr>
            <w:r>
              <w:rPr>
                <w:rFonts w:ascii="宋体" w:hAnsi="宋体"/>
                <w:b/>
                <w:bCs/>
                <w:shd w:val="clear" w:color="auto" w:fill="auto"/>
              </w:rPr>
              <w:t>洗手间内玻璃镜</w:t>
            </w:r>
          </w:p>
        </w:tc>
        <w:tc>
          <w:tcPr>
            <w:tcW w:w="1449" w:type="pct"/>
            <w:noWrap/>
            <w:vAlign w:val="center"/>
          </w:tcPr>
          <w:p w14:paraId="6A06A58C">
            <w:pPr>
              <w:jc w:val="center"/>
              <w:rPr>
                <w:rFonts w:ascii="宋体" w:hAnsi="宋体"/>
                <w:sz w:val="24"/>
              </w:rPr>
            </w:pPr>
            <w:r>
              <w:rPr>
                <w:rFonts w:ascii="宋体" w:hAnsi="宋体"/>
                <w:sz w:val="24"/>
              </w:rPr>
              <w:t>每天随时清抹、保持无污渍、水渍；每两周用玻璃清洁剂清刮一次</w:t>
            </w:r>
          </w:p>
        </w:tc>
        <w:tc>
          <w:tcPr>
            <w:tcW w:w="1520" w:type="pct"/>
            <w:noWrap/>
            <w:vAlign w:val="center"/>
          </w:tcPr>
          <w:p w14:paraId="47A8D1F6">
            <w:pPr>
              <w:rPr>
                <w:rFonts w:ascii="宋体" w:hAnsi="宋体"/>
                <w:sz w:val="24"/>
              </w:rPr>
            </w:pPr>
            <w:r>
              <w:rPr>
                <w:rFonts w:ascii="宋体" w:hAnsi="宋体"/>
                <w:sz w:val="24"/>
              </w:rPr>
              <w:t>无水渍、无污渍、无手印</w:t>
            </w:r>
          </w:p>
        </w:tc>
      </w:tr>
      <w:tr w14:paraId="7C3A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1BD0E39F">
            <w:pPr>
              <w:spacing w:line="280" w:lineRule="exact"/>
              <w:jc w:val="center"/>
              <w:rPr>
                <w:rFonts w:ascii="宋体" w:hAnsi="宋体"/>
                <w:sz w:val="24"/>
              </w:rPr>
            </w:pPr>
          </w:p>
        </w:tc>
        <w:tc>
          <w:tcPr>
            <w:tcW w:w="438" w:type="pct"/>
            <w:vMerge w:val="continue"/>
            <w:noWrap/>
            <w:vAlign w:val="center"/>
          </w:tcPr>
          <w:p w14:paraId="5789C041">
            <w:pPr>
              <w:spacing w:line="280" w:lineRule="exact"/>
              <w:jc w:val="center"/>
              <w:rPr>
                <w:rFonts w:ascii="宋体" w:hAnsi="宋体"/>
                <w:sz w:val="24"/>
              </w:rPr>
            </w:pPr>
          </w:p>
        </w:tc>
        <w:tc>
          <w:tcPr>
            <w:tcW w:w="1231" w:type="pct"/>
            <w:noWrap/>
            <w:vAlign w:val="center"/>
          </w:tcPr>
          <w:p w14:paraId="1C443A22">
            <w:pPr>
              <w:jc w:val="center"/>
              <w:rPr>
                <w:rFonts w:ascii="宋体" w:hAnsi="宋体"/>
                <w:sz w:val="24"/>
              </w:rPr>
            </w:pPr>
            <w:r>
              <w:rPr>
                <w:rFonts w:ascii="宋体" w:hAnsi="宋体"/>
                <w:sz w:val="24"/>
              </w:rPr>
              <w:t>大、小便器、洗手盆</w:t>
            </w:r>
          </w:p>
        </w:tc>
        <w:tc>
          <w:tcPr>
            <w:tcW w:w="1449" w:type="pct"/>
            <w:noWrap/>
            <w:vAlign w:val="center"/>
          </w:tcPr>
          <w:p w14:paraId="21F2380B">
            <w:pPr>
              <w:rPr>
                <w:rFonts w:ascii="宋体" w:hAnsi="宋体"/>
                <w:sz w:val="24"/>
              </w:rPr>
            </w:pPr>
            <w:r>
              <w:rPr>
                <w:rFonts w:ascii="宋体" w:hAnsi="宋体"/>
                <w:sz w:val="24"/>
              </w:rPr>
              <w:t>每天用清洁剂清洗并放除臭香球；每两周用强力除渍剂去除尿垢、黄斑等；每月用消毒水清洁消毒二次</w:t>
            </w:r>
          </w:p>
        </w:tc>
        <w:tc>
          <w:tcPr>
            <w:tcW w:w="1520" w:type="pct"/>
            <w:noWrap/>
            <w:vAlign w:val="center"/>
          </w:tcPr>
          <w:p w14:paraId="3A74A4AA">
            <w:pPr>
              <w:rPr>
                <w:rFonts w:ascii="宋体" w:hAnsi="宋体"/>
                <w:sz w:val="24"/>
              </w:rPr>
            </w:pPr>
            <w:r>
              <w:rPr>
                <w:rFonts w:hint="eastAsia" w:ascii="宋体" w:hAnsi="宋体"/>
                <w:sz w:val="24"/>
              </w:rPr>
              <w:t>1.</w:t>
            </w:r>
            <w:r>
              <w:rPr>
                <w:rFonts w:ascii="宋体" w:hAnsi="宋体"/>
                <w:sz w:val="24"/>
              </w:rPr>
              <w:t>大、小便器无臭、无污垢，保持便瓷器的明洁如新</w:t>
            </w:r>
            <w:r>
              <w:rPr>
                <w:rFonts w:hint="eastAsia" w:ascii="宋体" w:hAnsi="宋体"/>
                <w:sz w:val="24"/>
              </w:rPr>
              <w:t>；2.洗手盆、水龙头光洁、无污渍</w:t>
            </w:r>
          </w:p>
        </w:tc>
      </w:tr>
      <w:tr w14:paraId="71DD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3CD431F8">
            <w:pPr>
              <w:spacing w:line="280" w:lineRule="exact"/>
              <w:jc w:val="center"/>
              <w:rPr>
                <w:rFonts w:ascii="宋体" w:hAnsi="宋体"/>
                <w:sz w:val="24"/>
              </w:rPr>
            </w:pPr>
          </w:p>
        </w:tc>
        <w:tc>
          <w:tcPr>
            <w:tcW w:w="438" w:type="pct"/>
            <w:vMerge w:val="continue"/>
            <w:noWrap/>
            <w:vAlign w:val="center"/>
          </w:tcPr>
          <w:p w14:paraId="274BBC7B">
            <w:pPr>
              <w:spacing w:line="280" w:lineRule="exact"/>
              <w:jc w:val="center"/>
              <w:rPr>
                <w:rFonts w:ascii="宋体" w:hAnsi="宋体"/>
                <w:sz w:val="24"/>
              </w:rPr>
            </w:pPr>
          </w:p>
        </w:tc>
        <w:tc>
          <w:tcPr>
            <w:tcW w:w="1231" w:type="pct"/>
            <w:noWrap/>
            <w:vAlign w:val="center"/>
          </w:tcPr>
          <w:p w14:paraId="4E04BA75">
            <w:pPr>
              <w:jc w:val="center"/>
              <w:rPr>
                <w:rFonts w:ascii="宋体" w:hAnsi="宋体"/>
                <w:sz w:val="24"/>
              </w:rPr>
            </w:pPr>
            <w:r>
              <w:rPr>
                <w:rFonts w:ascii="宋体" w:hAnsi="宋体"/>
                <w:sz w:val="24"/>
              </w:rPr>
              <w:t>洗手间隔断板</w:t>
            </w:r>
          </w:p>
        </w:tc>
        <w:tc>
          <w:tcPr>
            <w:tcW w:w="1449" w:type="pct"/>
            <w:noWrap/>
            <w:vAlign w:val="center"/>
          </w:tcPr>
          <w:p w14:paraId="457DF90B">
            <w:pPr>
              <w:jc w:val="center"/>
              <w:rPr>
                <w:rFonts w:ascii="宋体" w:hAnsi="宋体"/>
                <w:sz w:val="24"/>
              </w:rPr>
            </w:pPr>
            <w:r>
              <w:rPr>
                <w:rFonts w:ascii="宋体" w:hAnsi="宋体"/>
                <w:sz w:val="24"/>
              </w:rPr>
              <w:t>每天保洁；每两周用清洁剂洗抹二次、保持干净</w:t>
            </w:r>
          </w:p>
        </w:tc>
        <w:tc>
          <w:tcPr>
            <w:tcW w:w="1520" w:type="pct"/>
            <w:noWrap/>
            <w:vAlign w:val="center"/>
          </w:tcPr>
          <w:p w14:paraId="40212B6E">
            <w:pPr>
              <w:rPr>
                <w:rFonts w:ascii="宋体" w:hAnsi="宋体"/>
                <w:sz w:val="24"/>
              </w:rPr>
            </w:pPr>
            <w:r>
              <w:rPr>
                <w:rFonts w:ascii="宋体" w:hAnsi="宋体"/>
                <w:sz w:val="24"/>
              </w:rPr>
              <w:t>无污渍</w:t>
            </w:r>
          </w:p>
        </w:tc>
      </w:tr>
      <w:tr w14:paraId="0C16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6264F2EC">
            <w:pPr>
              <w:spacing w:line="280" w:lineRule="exact"/>
              <w:jc w:val="center"/>
              <w:rPr>
                <w:rFonts w:ascii="宋体" w:hAnsi="宋体"/>
                <w:sz w:val="24"/>
              </w:rPr>
            </w:pPr>
          </w:p>
        </w:tc>
        <w:tc>
          <w:tcPr>
            <w:tcW w:w="438" w:type="pct"/>
            <w:vMerge w:val="continue"/>
            <w:noWrap/>
            <w:vAlign w:val="center"/>
          </w:tcPr>
          <w:p w14:paraId="49620977">
            <w:pPr>
              <w:spacing w:line="280" w:lineRule="exact"/>
              <w:jc w:val="center"/>
              <w:rPr>
                <w:rFonts w:ascii="宋体" w:hAnsi="宋体"/>
                <w:sz w:val="24"/>
              </w:rPr>
            </w:pPr>
          </w:p>
        </w:tc>
        <w:tc>
          <w:tcPr>
            <w:tcW w:w="1231" w:type="pct"/>
            <w:noWrap/>
            <w:vAlign w:val="center"/>
          </w:tcPr>
          <w:p w14:paraId="3A30691C">
            <w:pPr>
              <w:jc w:val="center"/>
              <w:rPr>
                <w:rFonts w:ascii="宋体" w:hAnsi="宋体"/>
                <w:sz w:val="24"/>
              </w:rPr>
            </w:pPr>
            <w:r>
              <w:rPr>
                <w:rFonts w:ascii="宋体" w:hAnsi="宋体"/>
                <w:sz w:val="24"/>
              </w:rPr>
              <w:t>洗手间灯饰</w:t>
            </w:r>
          </w:p>
        </w:tc>
        <w:tc>
          <w:tcPr>
            <w:tcW w:w="1449" w:type="pct"/>
            <w:noWrap/>
            <w:vAlign w:val="center"/>
          </w:tcPr>
          <w:p w14:paraId="20816794">
            <w:pPr>
              <w:jc w:val="center"/>
              <w:rPr>
                <w:rFonts w:ascii="宋体" w:hAnsi="宋体"/>
                <w:sz w:val="24"/>
              </w:rPr>
            </w:pPr>
            <w:r>
              <w:rPr>
                <w:rFonts w:ascii="宋体" w:hAnsi="宋体"/>
                <w:sz w:val="24"/>
              </w:rPr>
              <w:t>每天保洁；每月用毛巾抹擦灯饰</w:t>
            </w:r>
          </w:p>
        </w:tc>
        <w:tc>
          <w:tcPr>
            <w:tcW w:w="1520" w:type="pct"/>
            <w:noWrap/>
            <w:vAlign w:val="center"/>
          </w:tcPr>
          <w:p w14:paraId="155BBF98">
            <w:pPr>
              <w:rPr>
                <w:rFonts w:ascii="宋体" w:hAnsi="宋体"/>
                <w:sz w:val="24"/>
              </w:rPr>
            </w:pPr>
            <w:r>
              <w:rPr>
                <w:rFonts w:ascii="宋体" w:hAnsi="宋体"/>
                <w:sz w:val="24"/>
              </w:rPr>
              <w:t>无蜘蛛网丝</w:t>
            </w:r>
          </w:p>
        </w:tc>
      </w:tr>
      <w:tr w14:paraId="7345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50069A82">
            <w:pPr>
              <w:spacing w:line="280" w:lineRule="exact"/>
              <w:jc w:val="center"/>
              <w:rPr>
                <w:rFonts w:ascii="宋体" w:hAnsi="宋体"/>
                <w:sz w:val="24"/>
              </w:rPr>
            </w:pPr>
          </w:p>
        </w:tc>
        <w:tc>
          <w:tcPr>
            <w:tcW w:w="438" w:type="pct"/>
            <w:vMerge w:val="continue"/>
            <w:noWrap/>
            <w:vAlign w:val="center"/>
          </w:tcPr>
          <w:p w14:paraId="25B6A9AF">
            <w:pPr>
              <w:spacing w:line="280" w:lineRule="exact"/>
              <w:jc w:val="center"/>
              <w:rPr>
                <w:rFonts w:ascii="宋体" w:hAnsi="宋体"/>
                <w:sz w:val="24"/>
              </w:rPr>
            </w:pPr>
          </w:p>
        </w:tc>
        <w:tc>
          <w:tcPr>
            <w:tcW w:w="1231" w:type="pct"/>
            <w:noWrap/>
            <w:vAlign w:val="center"/>
          </w:tcPr>
          <w:p w14:paraId="7B616E3F">
            <w:pPr>
              <w:jc w:val="center"/>
              <w:rPr>
                <w:rFonts w:hint="eastAsia" w:ascii="宋体" w:hAnsi="宋体"/>
                <w:sz w:val="24"/>
              </w:rPr>
            </w:pPr>
            <w:r>
              <w:rPr>
                <w:rFonts w:hint="eastAsia" w:ascii="宋体" w:hAnsi="宋体"/>
                <w:sz w:val="24"/>
              </w:rPr>
              <w:t>垃圾篓</w:t>
            </w:r>
          </w:p>
        </w:tc>
        <w:tc>
          <w:tcPr>
            <w:tcW w:w="1449" w:type="pct"/>
            <w:noWrap/>
            <w:vAlign w:val="center"/>
          </w:tcPr>
          <w:p w14:paraId="3078DA90">
            <w:pPr>
              <w:jc w:val="center"/>
              <w:rPr>
                <w:rFonts w:ascii="宋体" w:hAnsi="宋体"/>
                <w:sz w:val="24"/>
              </w:rPr>
            </w:pPr>
            <w:r>
              <w:rPr>
                <w:rFonts w:hint="eastAsia" w:ascii="宋体" w:hAnsi="宋体"/>
                <w:sz w:val="24"/>
              </w:rPr>
              <w:t>每三小时一次</w:t>
            </w:r>
          </w:p>
        </w:tc>
        <w:tc>
          <w:tcPr>
            <w:tcW w:w="1520" w:type="pct"/>
            <w:noWrap/>
            <w:vAlign w:val="center"/>
          </w:tcPr>
          <w:p w14:paraId="1BC5D000">
            <w:pPr>
              <w:rPr>
                <w:rFonts w:ascii="宋体" w:hAnsi="宋体"/>
                <w:sz w:val="24"/>
              </w:rPr>
            </w:pPr>
            <w:r>
              <w:rPr>
                <w:rFonts w:hint="eastAsia" w:ascii="宋体" w:hAnsi="宋体"/>
                <w:sz w:val="24"/>
              </w:rPr>
              <w:t>废纸篓置于蹲便器右后方，内置垃圾袋，废纸不超过三分之二</w:t>
            </w:r>
          </w:p>
        </w:tc>
      </w:tr>
      <w:tr w14:paraId="3708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restart"/>
            <w:noWrap/>
            <w:vAlign w:val="center"/>
          </w:tcPr>
          <w:p w14:paraId="4FA57D53">
            <w:pPr>
              <w:jc w:val="center"/>
              <w:rPr>
                <w:rFonts w:ascii="宋体" w:hAnsi="宋体"/>
                <w:sz w:val="24"/>
              </w:rPr>
            </w:pPr>
            <w:r>
              <w:rPr>
                <w:rFonts w:ascii="宋体" w:hAnsi="宋体"/>
                <w:sz w:val="24"/>
              </w:rPr>
              <w:t>5</w:t>
            </w:r>
          </w:p>
        </w:tc>
        <w:tc>
          <w:tcPr>
            <w:tcW w:w="438" w:type="pct"/>
            <w:vMerge w:val="restart"/>
            <w:noWrap/>
            <w:vAlign w:val="center"/>
          </w:tcPr>
          <w:p w14:paraId="27D8F439">
            <w:pPr>
              <w:jc w:val="center"/>
              <w:rPr>
                <w:rFonts w:ascii="宋体" w:hAnsi="宋体"/>
                <w:sz w:val="24"/>
              </w:rPr>
            </w:pPr>
            <w:r>
              <w:rPr>
                <w:rFonts w:ascii="宋体" w:hAnsi="宋体"/>
                <w:sz w:val="24"/>
              </w:rPr>
              <w:t>室外庭院部分</w:t>
            </w:r>
          </w:p>
        </w:tc>
        <w:tc>
          <w:tcPr>
            <w:tcW w:w="1231" w:type="pct"/>
            <w:noWrap/>
            <w:vAlign w:val="center"/>
          </w:tcPr>
          <w:p w14:paraId="26DC91F3">
            <w:pPr>
              <w:jc w:val="center"/>
              <w:rPr>
                <w:rFonts w:ascii="宋体" w:hAnsi="宋体"/>
                <w:sz w:val="24"/>
              </w:rPr>
            </w:pPr>
            <w:r>
              <w:rPr>
                <w:rFonts w:ascii="宋体" w:hAnsi="宋体"/>
                <w:sz w:val="24"/>
              </w:rPr>
              <w:t>地面</w:t>
            </w:r>
          </w:p>
        </w:tc>
        <w:tc>
          <w:tcPr>
            <w:tcW w:w="1449" w:type="pct"/>
            <w:noWrap/>
            <w:vAlign w:val="center"/>
          </w:tcPr>
          <w:p w14:paraId="5AE76885">
            <w:pPr>
              <w:jc w:val="center"/>
              <w:rPr>
                <w:rFonts w:ascii="宋体" w:hAnsi="宋体"/>
                <w:sz w:val="24"/>
              </w:rPr>
            </w:pPr>
            <w:r>
              <w:rPr>
                <w:rFonts w:ascii="宋体" w:hAnsi="宋体"/>
                <w:sz w:val="24"/>
              </w:rPr>
              <w:t>每天清扫二次、并随时保持干净、清除杂物</w:t>
            </w:r>
          </w:p>
        </w:tc>
        <w:tc>
          <w:tcPr>
            <w:tcW w:w="1520" w:type="pct"/>
            <w:noWrap/>
            <w:vAlign w:val="center"/>
          </w:tcPr>
          <w:p w14:paraId="36BD2AC1">
            <w:pPr>
              <w:rPr>
                <w:rFonts w:ascii="宋体" w:hAnsi="宋体"/>
                <w:sz w:val="24"/>
              </w:rPr>
            </w:pPr>
            <w:r>
              <w:rPr>
                <w:rFonts w:hint="eastAsia" w:ascii="宋体" w:hAnsi="宋体"/>
                <w:sz w:val="24"/>
              </w:rPr>
              <w:t>地面无杂物、积水，无明显污渍、泥沙</w:t>
            </w:r>
          </w:p>
        </w:tc>
      </w:tr>
      <w:tr w14:paraId="35E1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1C12AB15">
            <w:pPr>
              <w:rPr>
                <w:rFonts w:ascii="宋体" w:hAnsi="宋体"/>
                <w:sz w:val="24"/>
              </w:rPr>
            </w:pPr>
          </w:p>
        </w:tc>
        <w:tc>
          <w:tcPr>
            <w:tcW w:w="438" w:type="pct"/>
            <w:vMerge w:val="continue"/>
            <w:noWrap/>
            <w:vAlign w:val="center"/>
          </w:tcPr>
          <w:p w14:paraId="59AE75A9">
            <w:pPr>
              <w:rPr>
                <w:rFonts w:ascii="宋体" w:hAnsi="宋体"/>
                <w:sz w:val="24"/>
              </w:rPr>
            </w:pPr>
          </w:p>
        </w:tc>
        <w:tc>
          <w:tcPr>
            <w:tcW w:w="1231" w:type="pct"/>
            <w:noWrap/>
            <w:vAlign w:val="center"/>
          </w:tcPr>
          <w:p w14:paraId="54707B41">
            <w:pPr>
              <w:jc w:val="center"/>
              <w:rPr>
                <w:rFonts w:ascii="宋体" w:hAnsi="宋体"/>
                <w:sz w:val="24"/>
              </w:rPr>
            </w:pPr>
            <w:r>
              <w:rPr>
                <w:rFonts w:ascii="宋体" w:hAnsi="宋体"/>
                <w:sz w:val="24"/>
              </w:rPr>
              <w:t>绿化带</w:t>
            </w:r>
          </w:p>
        </w:tc>
        <w:tc>
          <w:tcPr>
            <w:tcW w:w="1449" w:type="pct"/>
            <w:noWrap/>
            <w:vAlign w:val="center"/>
          </w:tcPr>
          <w:p w14:paraId="08892EC4">
            <w:pPr>
              <w:jc w:val="center"/>
              <w:rPr>
                <w:rFonts w:ascii="宋体" w:hAnsi="宋体"/>
                <w:sz w:val="24"/>
              </w:rPr>
            </w:pPr>
            <w:r>
              <w:rPr>
                <w:rFonts w:ascii="宋体" w:hAnsi="宋体"/>
                <w:sz w:val="24"/>
              </w:rPr>
              <w:t>每天消除果皮、纸屑、烟蒂等杂物</w:t>
            </w:r>
          </w:p>
        </w:tc>
        <w:tc>
          <w:tcPr>
            <w:tcW w:w="1520" w:type="pct"/>
            <w:noWrap/>
            <w:vAlign w:val="center"/>
          </w:tcPr>
          <w:p w14:paraId="3AE42F15">
            <w:pPr>
              <w:rPr>
                <w:rFonts w:ascii="宋体" w:hAnsi="宋体"/>
                <w:sz w:val="24"/>
              </w:rPr>
            </w:pPr>
            <w:r>
              <w:rPr>
                <w:rFonts w:ascii="宋体" w:hAnsi="宋体"/>
                <w:sz w:val="24"/>
              </w:rPr>
              <w:t>无杂物</w:t>
            </w:r>
          </w:p>
        </w:tc>
      </w:tr>
      <w:tr w14:paraId="4D67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restart"/>
            <w:noWrap/>
            <w:vAlign w:val="center"/>
          </w:tcPr>
          <w:p w14:paraId="495586E3">
            <w:pPr>
              <w:jc w:val="center"/>
              <w:rPr>
                <w:rFonts w:ascii="宋体" w:hAnsi="宋体"/>
                <w:sz w:val="24"/>
              </w:rPr>
            </w:pPr>
            <w:r>
              <w:rPr>
                <w:rFonts w:ascii="宋体" w:hAnsi="宋体"/>
                <w:sz w:val="24"/>
              </w:rPr>
              <w:t>6</w:t>
            </w:r>
          </w:p>
        </w:tc>
        <w:tc>
          <w:tcPr>
            <w:tcW w:w="438" w:type="pct"/>
            <w:vMerge w:val="restart"/>
            <w:noWrap/>
            <w:vAlign w:val="center"/>
          </w:tcPr>
          <w:p w14:paraId="66EF4278">
            <w:pPr>
              <w:jc w:val="center"/>
              <w:rPr>
                <w:rFonts w:ascii="宋体" w:hAnsi="宋体"/>
                <w:sz w:val="24"/>
              </w:rPr>
            </w:pPr>
            <w:r>
              <w:rPr>
                <w:rFonts w:ascii="宋体" w:hAnsi="宋体"/>
                <w:sz w:val="24"/>
              </w:rPr>
              <w:t>车库部分</w:t>
            </w:r>
          </w:p>
        </w:tc>
        <w:tc>
          <w:tcPr>
            <w:tcW w:w="1231" w:type="pct"/>
            <w:noWrap/>
            <w:vAlign w:val="center"/>
          </w:tcPr>
          <w:p w14:paraId="11A28124">
            <w:pPr>
              <w:jc w:val="center"/>
              <w:rPr>
                <w:rFonts w:ascii="宋体" w:hAnsi="宋体"/>
                <w:sz w:val="24"/>
              </w:rPr>
            </w:pPr>
            <w:r>
              <w:rPr>
                <w:rFonts w:ascii="宋体" w:hAnsi="宋体"/>
                <w:sz w:val="24"/>
              </w:rPr>
              <w:t>地面</w:t>
            </w:r>
          </w:p>
        </w:tc>
        <w:tc>
          <w:tcPr>
            <w:tcW w:w="1449" w:type="pct"/>
            <w:noWrap/>
            <w:vAlign w:val="center"/>
          </w:tcPr>
          <w:p w14:paraId="233F8FF8">
            <w:pPr>
              <w:rPr>
                <w:rFonts w:ascii="宋体" w:hAnsi="宋体"/>
                <w:sz w:val="24"/>
              </w:rPr>
            </w:pPr>
            <w:r>
              <w:rPr>
                <w:rFonts w:ascii="宋体" w:hAnsi="宋体"/>
                <w:sz w:val="24"/>
              </w:rPr>
              <w:t>每天随时清除纸屑、杂物、保洁；每两周大清扫一次；每月水洗一次</w:t>
            </w:r>
          </w:p>
        </w:tc>
        <w:tc>
          <w:tcPr>
            <w:tcW w:w="1520" w:type="pct"/>
            <w:noWrap/>
            <w:vAlign w:val="center"/>
          </w:tcPr>
          <w:p w14:paraId="0689C843">
            <w:pPr>
              <w:rPr>
                <w:rFonts w:ascii="宋体" w:hAnsi="宋体"/>
                <w:sz w:val="24"/>
              </w:rPr>
            </w:pPr>
            <w:r>
              <w:rPr>
                <w:rFonts w:ascii="宋体" w:hAnsi="宋体"/>
                <w:sz w:val="24"/>
              </w:rPr>
              <w:t>无果皮、纸屑、杂物等</w:t>
            </w:r>
          </w:p>
        </w:tc>
      </w:tr>
      <w:tr w14:paraId="5B1C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2B32F522">
            <w:pPr>
              <w:rPr>
                <w:rFonts w:ascii="宋体" w:hAnsi="宋体"/>
                <w:sz w:val="24"/>
              </w:rPr>
            </w:pPr>
          </w:p>
        </w:tc>
        <w:tc>
          <w:tcPr>
            <w:tcW w:w="438" w:type="pct"/>
            <w:vMerge w:val="continue"/>
            <w:noWrap/>
            <w:vAlign w:val="center"/>
          </w:tcPr>
          <w:p w14:paraId="2635BE2A">
            <w:pPr>
              <w:rPr>
                <w:rFonts w:ascii="宋体" w:hAnsi="宋体"/>
                <w:sz w:val="24"/>
              </w:rPr>
            </w:pPr>
          </w:p>
        </w:tc>
        <w:tc>
          <w:tcPr>
            <w:tcW w:w="1231" w:type="pct"/>
            <w:noWrap/>
            <w:vAlign w:val="center"/>
          </w:tcPr>
          <w:p w14:paraId="58DD93D1">
            <w:pPr>
              <w:jc w:val="center"/>
              <w:rPr>
                <w:rFonts w:ascii="宋体" w:hAnsi="宋体"/>
                <w:sz w:val="24"/>
              </w:rPr>
            </w:pPr>
            <w:r>
              <w:rPr>
                <w:rFonts w:ascii="宋体" w:hAnsi="宋体"/>
                <w:sz w:val="24"/>
              </w:rPr>
              <w:t>指示牌</w:t>
            </w:r>
          </w:p>
        </w:tc>
        <w:tc>
          <w:tcPr>
            <w:tcW w:w="1449" w:type="pct"/>
            <w:noWrap/>
            <w:vAlign w:val="center"/>
          </w:tcPr>
          <w:p w14:paraId="27507378">
            <w:pPr>
              <w:jc w:val="center"/>
              <w:rPr>
                <w:rFonts w:ascii="宋体" w:hAnsi="宋体"/>
                <w:sz w:val="24"/>
              </w:rPr>
            </w:pPr>
            <w:r>
              <w:rPr>
                <w:rFonts w:ascii="宋体" w:hAnsi="宋体"/>
                <w:sz w:val="24"/>
              </w:rPr>
              <w:t>每天整齐停放；每两周清抹一次</w:t>
            </w:r>
          </w:p>
        </w:tc>
        <w:tc>
          <w:tcPr>
            <w:tcW w:w="1520" w:type="pct"/>
            <w:noWrap/>
            <w:vAlign w:val="center"/>
          </w:tcPr>
          <w:p w14:paraId="28DEED93">
            <w:pPr>
              <w:rPr>
                <w:rFonts w:ascii="宋体" w:hAnsi="宋体"/>
                <w:sz w:val="24"/>
              </w:rPr>
            </w:pPr>
            <w:r>
              <w:rPr>
                <w:rFonts w:ascii="宋体" w:hAnsi="宋体"/>
                <w:sz w:val="24"/>
              </w:rPr>
              <w:t>无污渍</w:t>
            </w:r>
          </w:p>
        </w:tc>
      </w:tr>
      <w:tr w14:paraId="6057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0E3F183F">
            <w:pPr>
              <w:rPr>
                <w:rFonts w:ascii="宋体" w:hAnsi="宋体"/>
                <w:sz w:val="24"/>
              </w:rPr>
            </w:pPr>
          </w:p>
        </w:tc>
        <w:tc>
          <w:tcPr>
            <w:tcW w:w="438" w:type="pct"/>
            <w:vMerge w:val="continue"/>
            <w:noWrap/>
            <w:vAlign w:val="center"/>
          </w:tcPr>
          <w:p w14:paraId="41A510EB">
            <w:pPr>
              <w:rPr>
                <w:rFonts w:ascii="宋体" w:hAnsi="宋体"/>
                <w:sz w:val="24"/>
              </w:rPr>
            </w:pPr>
          </w:p>
        </w:tc>
        <w:tc>
          <w:tcPr>
            <w:tcW w:w="1231" w:type="pct"/>
            <w:noWrap/>
            <w:vAlign w:val="center"/>
          </w:tcPr>
          <w:p w14:paraId="54943E10">
            <w:pPr>
              <w:jc w:val="center"/>
              <w:rPr>
                <w:rFonts w:ascii="宋体" w:hAnsi="宋体"/>
                <w:sz w:val="24"/>
              </w:rPr>
            </w:pPr>
            <w:r>
              <w:rPr>
                <w:rFonts w:ascii="宋体" w:hAnsi="宋体"/>
                <w:sz w:val="24"/>
              </w:rPr>
              <w:t>墙身及天花板</w:t>
            </w:r>
          </w:p>
        </w:tc>
        <w:tc>
          <w:tcPr>
            <w:tcW w:w="1449" w:type="pct"/>
            <w:noWrap/>
            <w:vAlign w:val="center"/>
          </w:tcPr>
          <w:p w14:paraId="72D0202B">
            <w:pPr>
              <w:jc w:val="center"/>
              <w:rPr>
                <w:rFonts w:ascii="宋体" w:hAnsi="宋体"/>
                <w:sz w:val="24"/>
              </w:rPr>
            </w:pPr>
          </w:p>
        </w:tc>
        <w:tc>
          <w:tcPr>
            <w:tcW w:w="1520" w:type="pct"/>
            <w:noWrap/>
            <w:vAlign w:val="center"/>
          </w:tcPr>
          <w:p w14:paraId="64B0CEF6">
            <w:pPr>
              <w:rPr>
                <w:rFonts w:ascii="宋体" w:hAnsi="宋体"/>
                <w:sz w:val="24"/>
              </w:rPr>
            </w:pPr>
            <w:r>
              <w:rPr>
                <w:rFonts w:ascii="宋体" w:hAnsi="宋体"/>
                <w:sz w:val="24"/>
              </w:rPr>
              <w:t>无灰尘、无蛛丝</w:t>
            </w:r>
          </w:p>
        </w:tc>
      </w:tr>
      <w:tr w14:paraId="44A3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restart"/>
            <w:noWrap/>
            <w:vAlign w:val="center"/>
          </w:tcPr>
          <w:p w14:paraId="44C7543C">
            <w:pPr>
              <w:jc w:val="center"/>
              <w:rPr>
                <w:rFonts w:ascii="宋体" w:hAnsi="宋体"/>
                <w:sz w:val="24"/>
              </w:rPr>
            </w:pPr>
            <w:r>
              <w:rPr>
                <w:rFonts w:ascii="宋体" w:hAnsi="宋体"/>
                <w:sz w:val="24"/>
              </w:rPr>
              <w:t>7</w:t>
            </w:r>
          </w:p>
        </w:tc>
        <w:tc>
          <w:tcPr>
            <w:tcW w:w="438" w:type="pct"/>
            <w:vMerge w:val="restart"/>
            <w:noWrap/>
            <w:vAlign w:val="center"/>
          </w:tcPr>
          <w:p w14:paraId="4E6BB0DF">
            <w:pPr>
              <w:jc w:val="center"/>
              <w:rPr>
                <w:rFonts w:ascii="宋体" w:hAnsi="宋体"/>
                <w:sz w:val="24"/>
              </w:rPr>
            </w:pPr>
            <w:r>
              <w:rPr>
                <w:rFonts w:ascii="宋体" w:hAnsi="宋体"/>
                <w:sz w:val="24"/>
              </w:rPr>
              <w:t>开水间</w:t>
            </w:r>
          </w:p>
        </w:tc>
        <w:tc>
          <w:tcPr>
            <w:tcW w:w="1231" w:type="pct"/>
            <w:noWrap/>
            <w:vAlign w:val="center"/>
          </w:tcPr>
          <w:p w14:paraId="27F8ACBA">
            <w:pPr>
              <w:jc w:val="center"/>
              <w:rPr>
                <w:rFonts w:ascii="宋体" w:hAnsi="宋体"/>
                <w:sz w:val="24"/>
              </w:rPr>
            </w:pPr>
            <w:r>
              <w:rPr>
                <w:rFonts w:ascii="宋体" w:hAnsi="宋体"/>
                <w:sz w:val="24"/>
              </w:rPr>
              <w:t>墙身</w:t>
            </w:r>
          </w:p>
        </w:tc>
        <w:tc>
          <w:tcPr>
            <w:tcW w:w="1449" w:type="pct"/>
            <w:noWrap/>
            <w:vAlign w:val="center"/>
          </w:tcPr>
          <w:p w14:paraId="06651D66">
            <w:pPr>
              <w:jc w:val="center"/>
              <w:rPr>
                <w:rFonts w:ascii="宋体" w:hAnsi="宋体"/>
                <w:sz w:val="24"/>
              </w:rPr>
            </w:pPr>
            <w:r>
              <w:rPr>
                <w:rFonts w:ascii="宋体" w:hAnsi="宋体"/>
                <w:sz w:val="24"/>
              </w:rPr>
              <w:t>每天保洁；每两周清洗一次、除污渍</w:t>
            </w:r>
          </w:p>
        </w:tc>
        <w:tc>
          <w:tcPr>
            <w:tcW w:w="1520" w:type="pct"/>
            <w:noWrap/>
            <w:vAlign w:val="center"/>
          </w:tcPr>
          <w:p w14:paraId="6FAF6D6D">
            <w:pPr>
              <w:rPr>
                <w:rFonts w:ascii="宋体" w:hAnsi="宋体"/>
                <w:sz w:val="24"/>
              </w:rPr>
            </w:pPr>
            <w:r>
              <w:rPr>
                <w:rFonts w:ascii="宋体" w:hAnsi="宋体"/>
                <w:sz w:val="24"/>
              </w:rPr>
              <w:t>无污渍</w:t>
            </w:r>
          </w:p>
        </w:tc>
      </w:tr>
      <w:tr w14:paraId="4F8E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7A750A57">
            <w:pPr>
              <w:rPr>
                <w:rFonts w:ascii="宋体" w:hAnsi="宋体"/>
                <w:sz w:val="24"/>
              </w:rPr>
            </w:pPr>
          </w:p>
        </w:tc>
        <w:tc>
          <w:tcPr>
            <w:tcW w:w="438" w:type="pct"/>
            <w:vMerge w:val="continue"/>
            <w:noWrap/>
            <w:vAlign w:val="center"/>
          </w:tcPr>
          <w:p w14:paraId="37065697">
            <w:pPr>
              <w:rPr>
                <w:rFonts w:ascii="宋体" w:hAnsi="宋体"/>
                <w:sz w:val="24"/>
              </w:rPr>
            </w:pPr>
          </w:p>
        </w:tc>
        <w:tc>
          <w:tcPr>
            <w:tcW w:w="1231" w:type="pct"/>
            <w:noWrap/>
            <w:vAlign w:val="center"/>
          </w:tcPr>
          <w:p w14:paraId="2A6F2593">
            <w:pPr>
              <w:jc w:val="center"/>
              <w:rPr>
                <w:rFonts w:ascii="宋体" w:hAnsi="宋体"/>
                <w:sz w:val="24"/>
              </w:rPr>
            </w:pPr>
            <w:r>
              <w:rPr>
                <w:rFonts w:ascii="宋体" w:hAnsi="宋体"/>
                <w:sz w:val="24"/>
              </w:rPr>
              <w:t>地面</w:t>
            </w:r>
          </w:p>
        </w:tc>
        <w:tc>
          <w:tcPr>
            <w:tcW w:w="1449" w:type="pct"/>
            <w:noWrap/>
            <w:vAlign w:val="center"/>
          </w:tcPr>
          <w:p w14:paraId="111BF135">
            <w:pPr>
              <w:rPr>
                <w:rFonts w:ascii="宋体" w:hAnsi="宋体"/>
                <w:sz w:val="24"/>
              </w:rPr>
            </w:pPr>
            <w:r>
              <w:rPr>
                <w:rFonts w:ascii="宋体" w:hAnsi="宋体"/>
                <w:sz w:val="24"/>
              </w:rPr>
              <w:t>每天随时拖抹、保洁；每两周用洁清剂清洗二次</w:t>
            </w:r>
          </w:p>
        </w:tc>
        <w:tc>
          <w:tcPr>
            <w:tcW w:w="1520" w:type="pct"/>
            <w:noWrap/>
            <w:vAlign w:val="center"/>
          </w:tcPr>
          <w:p w14:paraId="188CCC62">
            <w:pPr>
              <w:rPr>
                <w:rFonts w:ascii="宋体" w:hAnsi="宋体"/>
                <w:sz w:val="24"/>
              </w:rPr>
            </w:pPr>
            <w:r>
              <w:rPr>
                <w:rFonts w:ascii="宋体" w:hAnsi="宋体"/>
                <w:sz w:val="24"/>
              </w:rPr>
              <w:t>无污渍</w:t>
            </w:r>
          </w:p>
        </w:tc>
      </w:tr>
      <w:tr w14:paraId="003B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52DA648B">
            <w:pPr>
              <w:rPr>
                <w:rFonts w:ascii="宋体" w:hAnsi="宋体"/>
                <w:sz w:val="24"/>
              </w:rPr>
            </w:pPr>
          </w:p>
        </w:tc>
        <w:tc>
          <w:tcPr>
            <w:tcW w:w="438" w:type="pct"/>
            <w:vMerge w:val="continue"/>
            <w:noWrap/>
            <w:vAlign w:val="center"/>
          </w:tcPr>
          <w:p w14:paraId="73ECEF02">
            <w:pPr>
              <w:rPr>
                <w:rFonts w:ascii="宋体" w:hAnsi="宋体"/>
                <w:sz w:val="24"/>
              </w:rPr>
            </w:pPr>
          </w:p>
        </w:tc>
        <w:tc>
          <w:tcPr>
            <w:tcW w:w="1231" w:type="pct"/>
            <w:noWrap/>
            <w:vAlign w:val="center"/>
          </w:tcPr>
          <w:p w14:paraId="0076A2D6">
            <w:pPr>
              <w:jc w:val="center"/>
              <w:rPr>
                <w:rFonts w:ascii="宋体" w:hAnsi="宋体"/>
                <w:sz w:val="24"/>
              </w:rPr>
            </w:pPr>
            <w:r>
              <w:rPr>
                <w:rFonts w:ascii="宋体" w:hAnsi="宋体"/>
                <w:sz w:val="24"/>
              </w:rPr>
              <w:t>箱体</w:t>
            </w:r>
          </w:p>
        </w:tc>
        <w:tc>
          <w:tcPr>
            <w:tcW w:w="1449" w:type="pct"/>
            <w:noWrap/>
            <w:vAlign w:val="center"/>
          </w:tcPr>
          <w:p w14:paraId="1E919942">
            <w:pPr>
              <w:rPr>
                <w:rFonts w:ascii="宋体" w:hAnsi="宋体"/>
                <w:sz w:val="24"/>
              </w:rPr>
            </w:pPr>
            <w:r>
              <w:rPr>
                <w:rFonts w:ascii="宋体" w:hAnsi="宋体"/>
                <w:sz w:val="24"/>
              </w:rPr>
              <w:t>每周清洗水箱</w:t>
            </w:r>
            <w:r>
              <w:rPr>
                <w:rFonts w:hint="eastAsia" w:ascii="宋体" w:hAnsi="宋体"/>
                <w:sz w:val="24"/>
              </w:rPr>
              <w:t>1</w:t>
            </w:r>
            <w:r>
              <w:rPr>
                <w:rFonts w:ascii="宋体" w:hAnsi="宋体"/>
                <w:sz w:val="24"/>
              </w:rPr>
              <w:t>次，确保水箱内外清洁</w:t>
            </w:r>
          </w:p>
        </w:tc>
        <w:tc>
          <w:tcPr>
            <w:tcW w:w="1520" w:type="pct"/>
            <w:noWrap/>
            <w:vAlign w:val="center"/>
          </w:tcPr>
          <w:p w14:paraId="298D25A5">
            <w:pPr>
              <w:rPr>
                <w:rFonts w:ascii="宋体" w:hAnsi="宋体"/>
                <w:sz w:val="24"/>
              </w:rPr>
            </w:pPr>
            <w:r>
              <w:rPr>
                <w:rFonts w:ascii="宋体" w:hAnsi="宋体"/>
                <w:sz w:val="24"/>
              </w:rPr>
              <w:t>无异味</w:t>
            </w:r>
          </w:p>
        </w:tc>
      </w:tr>
      <w:tr w14:paraId="171D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1DC51652">
            <w:pPr>
              <w:rPr>
                <w:rFonts w:ascii="宋体" w:hAnsi="宋体"/>
                <w:sz w:val="24"/>
              </w:rPr>
            </w:pPr>
          </w:p>
        </w:tc>
        <w:tc>
          <w:tcPr>
            <w:tcW w:w="438" w:type="pct"/>
            <w:vMerge w:val="continue"/>
            <w:noWrap/>
            <w:vAlign w:val="center"/>
          </w:tcPr>
          <w:p w14:paraId="08CF9B5D">
            <w:pPr>
              <w:rPr>
                <w:rFonts w:ascii="宋体" w:hAnsi="宋体"/>
                <w:sz w:val="24"/>
              </w:rPr>
            </w:pPr>
          </w:p>
        </w:tc>
        <w:tc>
          <w:tcPr>
            <w:tcW w:w="1231" w:type="pct"/>
            <w:noWrap/>
            <w:vAlign w:val="center"/>
          </w:tcPr>
          <w:p w14:paraId="777EA784">
            <w:pPr>
              <w:jc w:val="center"/>
              <w:rPr>
                <w:rFonts w:ascii="宋体" w:hAnsi="宋体"/>
                <w:sz w:val="24"/>
              </w:rPr>
            </w:pPr>
            <w:r>
              <w:rPr>
                <w:rFonts w:ascii="宋体" w:hAnsi="宋体"/>
                <w:sz w:val="24"/>
              </w:rPr>
              <w:t>电源</w:t>
            </w:r>
          </w:p>
        </w:tc>
        <w:tc>
          <w:tcPr>
            <w:tcW w:w="1449" w:type="pct"/>
            <w:noWrap/>
            <w:vAlign w:val="center"/>
          </w:tcPr>
          <w:p w14:paraId="31364AC8">
            <w:pPr>
              <w:rPr>
                <w:rFonts w:ascii="宋体" w:hAnsi="宋体"/>
                <w:sz w:val="24"/>
              </w:rPr>
            </w:pPr>
            <w:r>
              <w:rPr>
                <w:rFonts w:ascii="宋体" w:hAnsi="宋体"/>
                <w:sz w:val="24"/>
              </w:rPr>
              <w:t>每天早上、下午开关</w:t>
            </w:r>
          </w:p>
        </w:tc>
        <w:tc>
          <w:tcPr>
            <w:tcW w:w="1520" w:type="pct"/>
            <w:noWrap/>
            <w:vAlign w:val="center"/>
          </w:tcPr>
          <w:p w14:paraId="5114E5E7">
            <w:pPr>
              <w:rPr>
                <w:rFonts w:ascii="宋体" w:hAnsi="宋体"/>
                <w:sz w:val="24"/>
              </w:rPr>
            </w:pPr>
          </w:p>
        </w:tc>
      </w:tr>
      <w:tr w14:paraId="64FEC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noWrap/>
            <w:vAlign w:val="center"/>
          </w:tcPr>
          <w:p w14:paraId="73A5B6B5">
            <w:pPr>
              <w:jc w:val="center"/>
              <w:rPr>
                <w:rFonts w:ascii="宋体" w:hAnsi="宋体"/>
                <w:sz w:val="24"/>
              </w:rPr>
            </w:pPr>
            <w:r>
              <w:rPr>
                <w:rFonts w:ascii="宋体" w:hAnsi="宋体"/>
                <w:sz w:val="24"/>
              </w:rPr>
              <w:t>8</w:t>
            </w:r>
          </w:p>
        </w:tc>
        <w:tc>
          <w:tcPr>
            <w:tcW w:w="438" w:type="pct"/>
            <w:noWrap/>
            <w:vAlign w:val="center"/>
          </w:tcPr>
          <w:p w14:paraId="18528775">
            <w:pPr>
              <w:jc w:val="center"/>
              <w:rPr>
                <w:rFonts w:ascii="宋体" w:hAnsi="宋体"/>
                <w:sz w:val="24"/>
              </w:rPr>
            </w:pPr>
            <w:r>
              <w:rPr>
                <w:rFonts w:ascii="宋体" w:hAnsi="宋体"/>
                <w:sz w:val="24"/>
              </w:rPr>
              <w:t>其它</w:t>
            </w:r>
          </w:p>
        </w:tc>
        <w:tc>
          <w:tcPr>
            <w:tcW w:w="1231" w:type="pct"/>
            <w:noWrap/>
            <w:vAlign w:val="center"/>
          </w:tcPr>
          <w:p w14:paraId="1B77CDE3">
            <w:pPr>
              <w:jc w:val="center"/>
              <w:rPr>
                <w:rFonts w:ascii="宋体" w:hAnsi="宋体"/>
                <w:sz w:val="24"/>
              </w:rPr>
            </w:pPr>
            <w:r>
              <w:rPr>
                <w:rFonts w:ascii="宋体" w:hAnsi="宋体"/>
                <w:sz w:val="24"/>
              </w:rPr>
              <w:t>中控房、保安、电工房</w:t>
            </w:r>
          </w:p>
        </w:tc>
        <w:tc>
          <w:tcPr>
            <w:tcW w:w="1449" w:type="pct"/>
            <w:noWrap/>
            <w:vAlign w:val="center"/>
          </w:tcPr>
          <w:p w14:paraId="114D1B7D">
            <w:pPr>
              <w:rPr>
                <w:rFonts w:ascii="宋体" w:hAnsi="宋体"/>
                <w:sz w:val="24"/>
              </w:rPr>
            </w:pPr>
            <w:r>
              <w:rPr>
                <w:rFonts w:ascii="宋体" w:hAnsi="宋体"/>
                <w:sz w:val="24"/>
              </w:rPr>
              <w:t>每天保洁一次</w:t>
            </w:r>
          </w:p>
        </w:tc>
        <w:tc>
          <w:tcPr>
            <w:tcW w:w="1520" w:type="pct"/>
            <w:noWrap/>
            <w:vAlign w:val="center"/>
          </w:tcPr>
          <w:p w14:paraId="107E7DB6">
            <w:pPr>
              <w:rPr>
                <w:rFonts w:ascii="宋体" w:hAnsi="宋体"/>
                <w:sz w:val="24"/>
              </w:rPr>
            </w:pPr>
            <w:r>
              <w:rPr>
                <w:rFonts w:ascii="宋体" w:hAnsi="宋体"/>
                <w:sz w:val="24"/>
              </w:rPr>
              <w:t>无杂物</w:t>
            </w:r>
          </w:p>
        </w:tc>
      </w:tr>
      <w:tr w14:paraId="78B1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noWrap/>
            <w:vAlign w:val="center"/>
          </w:tcPr>
          <w:p w14:paraId="42A332CE">
            <w:pPr>
              <w:jc w:val="center"/>
              <w:rPr>
                <w:rFonts w:ascii="宋体" w:hAnsi="宋体"/>
                <w:sz w:val="24"/>
              </w:rPr>
            </w:pPr>
            <w:r>
              <w:rPr>
                <w:rFonts w:ascii="宋体" w:hAnsi="宋体"/>
                <w:sz w:val="24"/>
              </w:rPr>
              <w:t>9</w:t>
            </w:r>
          </w:p>
        </w:tc>
        <w:tc>
          <w:tcPr>
            <w:tcW w:w="1670" w:type="pct"/>
            <w:gridSpan w:val="2"/>
            <w:noWrap/>
            <w:vAlign w:val="center"/>
          </w:tcPr>
          <w:p w14:paraId="7DED290E">
            <w:pPr>
              <w:jc w:val="center"/>
              <w:rPr>
                <w:rFonts w:ascii="宋体" w:hAnsi="宋体"/>
                <w:sz w:val="24"/>
              </w:rPr>
            </w:pPr>
            <w:r>
              <w:rPr>
                <w:rFonts w:ascii="宋体" w:hAnsi="宋体"/>
                <w:sz w:val="24"/>
              </w:rPr>
              <w:t>风机房</w:t>
            </w:r>
          </w:p>
        </w:tc>
        <w:tc>
          <w:tcPr>
            <w:tcW w:w="2970" w:type="pct"/>
            <w:gridSpan w:val="2"/>
            <w:noWrap/>
            <w:vAlign w:val="center"/>
          </w:tcPr>
          <w:p w14:paraId="54D17DDC">
            <w:pPr>
              <w:jc w:val="center"/>
              <w:rPr>
                <w:rFonts w:ascii="宋体" w:hAnsi="宋体"/>
                <w:sz w:val="24"/>
              </w:rPr>
            </w:pPr>
            <w:r>
              <w:rPr>
                <w:rFonts w:ascii="宋体" w:hAnsi="宋体"/>
                <w:sz w:val="24"/>
              </w:rPr>
              <w:t>每两周清扫二次</w:t>
            </w:r>
          </w:p>
        </w:tc>
      </w:tr>
      <w:tr w14:paraId="567C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restart"/>
            <w:noWrap/>
            <w:vAlign w:val="center"/>
          </w:tcPr>
          <w:p w14:paraId="22E0CC07">
            <w:pPr>
              <w:jc w:val="center"/>
              <w:rPr>
                <w:rFonts w:ascii="宋体" w:hAnsi="宋体"/>
                <w:sz w:val="24"/>
              </w:rPr>
            </w:pPr>
            <w:r>
              <w:rPr>
                <w:rFonts w:ascii="宋体" w:hAnsi="宋体"/>
                <w:sz w:val="24"/>
              </w:rPr>
              <w:t>10</w:t>
            </w:r>
          </w:p>
        </w:tc>
        <w:tc>
          <w:tcPr>
            <w:tcW w:w="438" w:type="pct"/>
            <w:vMerge w:val="restart"/>
            <w:noWrap/>
            <w:vAlign w:val="center"/>
          </w:tcPr>
          <w:p w14:paraId="031BDF88">
            <w:pPr>
              <w:jc w:val="center"/>
              <w:rPr>
                <w:rFonts w:ascii="宋体" w:hAnsi="宋体"/>
                <w:sz w:val="24"/>
              </w:rPr>
            </w:pPr>
            <w:r>
              <w:rPr>
                <w:rFonts w:ascii="宋体" w:hAnsi="宋体"/>
                <w:sz w:val="24"/>
              </w:rPr>
              <w:t>道路公共设施</w:t>
            </w:r>
          </w:p>
        </w:tc>
        <w:tc>
          <w:tcPr>
            <w:tcW w:w="1231" w:type="pct"/>
            <w:noWrap/>
            <w:vAlign w:val="center"/>
          </w:tcPr>
          <w:p w14:paraId="5A1BC96F">
            <w:pPr>
              <w:jc w:val="center"/>
              <w:rPr>
                <w:rFonts w:ascii="宋体" w:hAnsi="宋体"/>
                <w:sz w:val="24"/>
              </w:rPr>
            </w:pPr>
            <w:r>
              <w:rPr>
                <w:rFonts w:ascii="宋体" w:hAnsi="宋体"/>
                <w:sz w:val="24"/>
              </w:rPr>
              <w:t>垃圾桶</w:t>
            </w:r>
          </w:p>
        </w:tc>
        <w:tc>
          <w:tcPr>
            <w:tcW w:w="1449" w:type="pct"/>
            <w:noWrap/>
            <w:vAlign w:val="center"/>
          </w:tcPr>
          <w:p w14:paraId="3684F9EA">
            <w:pPr>
              <w:rPr>
                <w:rFonts w:ascii="宋体" w:hAnsi="宋体"/>
                <w:sz w:val="24"/>
              </w:rPr>
            </w:pPr>
            <w:r>
              <w:rPr>
                <w:rFonts w:ascii="宋体" w:hAnsi="宋体"/>
                <w:sz w:val="24"/>
              </w:rPr>
              <w:t>每天清倒垃圾、清抹表面一次；每两周洗刷二次</w:t>
            </w:r>
          </w:p>
        </w:tc>
        <w:tc>
          <w:tcPr>
            <w:tcW w:w="1520" w:type="pct"/>
            <w:noWrap/>
            <w:vAlign w:val="center"/>
          </w:tcPr>
          <w:p w14:paraId="53DD43CA">
            <w:pPr>
              <w:rPr>
                <w:rFonts w:ascii="宋体" w:hAnsi="宋体"/>
                <w:sz w:val="24"/>
              </w:rPr>
            </w:pPr>
            <w:r>
              <w:rPr>
                <w:rFonts w:ascii="宋体" w:hAnsi="宋体"/>
                <w:sz w:val="24"/>
              </w:rPr>
              <w:t>干净、无污渍、无异味</w:t>
            </w:r>
          </w:p>
        </w:tc>
      </w:tr>
      <w:tr w14:paraId="1877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26C68CB5">
            <w:pPr>
              <w:rPr>
                <w:rFonts w:ascii="宋体" w:hAnsi="宋体"/>
                <w:sz w:val="24"/>
              </w:rPr>
            </w:pPr>
          </w:p>
        </w:tc>
        <w:tc>
          <w:tcPr>
            <w:tcW w:w="438" w:type="pct"/>
            <w:vMerge w:val="continue"/>
            <w:noWrap/>
            <w:vAlign w:val="top"/>
          </w:tcPr>
          <w:p w14:paraId="5CFE432F">
            <w:pPr>
              <w:jc w:val="center"/>
              <w:rPr>
                <w:rFonts w:ascii="宋体" w:hAnsi="宋体"/>
                <w:sz w:val="24"/>
              </w:rPr>
            </w:pPr>
          </w:p>
        </w:tc>
        <w:tc>
          <w:tcPr>
            <w:tcW w:w="1231" w:type="pct"/>
            <w:noWrap/>
            <w:vAlign w:val="center"/>
          </w:tcPr>
          <w:p w14:paraId="02329B8E">
            <w:pPr>
              <w:jc w:val="center"/>
              <w:rPr>
                <w:rFonts w:ascii="宋体" w:hAnsi="宋体"/>
                <w:sz w:val="24"/>
              </w:rPr>
            </w:pPr>
            <w:r>
              <w:rPr>
                <w:rFonts w:ascii="宋体" w:hAnsi="宋体"/>
                <w:sz w:val="24"/>
              </w:rPr>
              <w:t>路灯、园林灯等</w:t>
            </w:r>
          </w:p>
        </w:tc>
        <w:tc>
          <w:tcPr>
            <w:tcW w:w="1449" w:type="pct"/>
            <w:noWrap/>
            <w:vAlign w:val="center"/>
          </w:tcPr>
          <w:p w14:paraId="62FB208A">
            <w:pPr>
              <w:rPr>
                <w:rFonts w:ascii="宋体" w:hAnsi="宋体"/>
                <w:sz w:val="24"/>
              </w:rPr>
            </w:pPr>
            <w:r>
              <w:rPr>
                <w:rFonts w:ascii="宋体" w:hAnsi="宋体"/>
                <w:sz w:val="24"/>
              </w:rPr>
              <w:t>每两周清抹一次</w:t>
            </w:r>
          </w:p>
        </w:tc>
        <w:tc>
          <w:tcPr>
            <w:tcW w:w="1520" w:type="pct"/>
            <w:noWrap/>
            <w:vAlign w:val="center"/>
          </w:tcPr>
          <w:p w14:paraId="64EA0F9D">
            <w:pPr>
              <w:rPr>
                <w:rFonts w:ascii="宋体" w:hAnsi="宋体"/>
                <w:sz w:val="24"/>
              </w:rPr>
            </w:pPr>
            <w:r>
              <w:rPr>
                <w:rFonts w:ascii="宋体" w:hAnsi="宋体"/>
                <w:sz w:val="24"/>
              </w:rPr>
              <w:t>无灰尘、蛛丝</w:t>
            </w:r>
          </w:p>
        </w:tc>
      </w:tr>
      <w:tr w14:paraId="3A8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vMerge w:val="continue"/>
            <w:noWrap/>
            <w:vAlign w:val="center"/>
          </w:tcPr>
          <w:p w14:paraId="534C15D6">
            <w:pPr>
              <w:rPr>
                <w:rFonts w:ascii="宋体" w:hAnsi="宋体"/>
                <w:sz w:val="24"/>
              </w:rPr>
            </w:pPr>
          </w:p>
        </w:tc>
        <w:tc>
          <w:tcPr>
            <w:tcW w:w="438" w:type="pct"/>
            <w:vMerge w:val="continue"/>
            <w:noWrap/>
            <w:vAlign w:val="top"/>
          </w:tcPr>
          <w:p w14:paraId="26AA2A3C">
            <w:pPr>
              <w:jc w:val="center"/>
              <w:rPr>
                <w:rFonts w:ascii="宋体" w:hAnsi="宋体"/>
                <w:sz w:val="24"/>
              </w:rPr>
            </w:pPr>
          </w:p>
        </w:tc>
        <w:tc>
          <w:tcPr>
            <w:tcW w:w="1231" w:type="pct"/>
            <w:noWrap/>
            <w:vAlign w:val="center"/>
          </w:tcPr>
          <w:p w14:paraId="5A6CEC11">
            <w:pPr>
              <w:jc w:val="center"/>
              <w:rPr>
                <w:rFonts w:ascii="宋体" w:hAnsi="宋体"/>
                <w:sz w:val="24"/>
              </w:rPr>
            </w:pPr>
            <w:r>
              <w:rPr>
                <w:rFonts w:ascii="宋体" w:hAnsi="宋体"/>
                <w:sz w:val="24"/>
              </w:rPr>
              <w:t>标识牌</w:t>
            </w:r>
          </w:p>
        </w:tc>
        <w:tc>
          <w:tcPr>
            <w:tcW w:w="1449" w:type="pct"/>
            <w:noWrap/>
            <w:vAlign w:val="center"/>
          </w:tcPr>
          <w:p w14:paraId="3F2C78FF">
            <w:pPr>
              <w:rPr>
                <w:rFonts w:ascii="宋体" w:hAnsi="宋体"/>
                <w:sz w:val="24"/>
              </w:rPr>
            </w:pPr>
            <w:r>
              <w:rPr>
                <w:rFonts w:ascii="宋体" w:hAnsi="宋体"/>
                <w:sz w:val="24"/>
              </w:rPr>
              <w:t>每天保洁；每周清抹二次</w:t>
            </w:r>
          </w:p>
        </w:tc>
        <w:tc>
          <w:tcPr>
            <w:tcW w:w="1520" w:type="pct"/>
            <w:noWrap/>
            <w:vAlign w:val="center"/>
          </w:tcPr>
          <w:p w14:paraId="2D018A8A">
            <w:pPr>
              <w:rPr>
                <w:rFonts w:ascii="宋体" w:hAnsi="宋体"/>
                <w:sz w:val="24"/>
              </w:rPr>
            </w:pPr>
            <w:r>
              <w:rPr>
                <w:rFonts w:ascii="宋体" w:hAnsi="宋体"/>
                <w:sz w:val="24"/>
              </w:rPr>
              <w:t>无灰尘、蛛丝</w:t>
            </w:r>
          </w:p>
        </w:tc>
      </w:tr>
      <w:tr w14:paraId="513F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noWrap/>
            <w:vAlign w:val="center"/>
          </w:tcPr>
          <w:p w14:paraId="1E571366">
            <w:pPr>
              <w:jc w:val="center"/>
              <w:rPr>
                <w:rFonts w:ascii="宋体" w:hAnsi="宋体"/>
                <w:sz w:val="24"/>
              </w:rPr>
            </w:pPr>
            <w:r>
              <w:rPr>
                <w:rFonts w:ascii="宋体" w:hAnsi="宋体"/>
                <w:sz w:val="24"/>
              </w:rPr>
              <w:t>11</w:t>
            </w:r>
          </w:p>
        </w:tc>
        <w:tc>
          <w:tcPr>
            <w:tcW w:w="1670" w:type="pct"/>
            <w:gridSpan w:val="2"/>
            <w:noWrap/>
            <w:vAlign w:val="top"/>
          </w:tcPr>
          <w:p w14:paraId="698EBAF4">
            <w:pPr>
              <w:jc w:val="center"/>
              <w:rPr>
                <w:rFonts w:ascii="宋体" w:hAnsi="宋体"/>
                <w:sz w:val="24"/>
              </w:rPr>
            </w:pPr>
            <w:r>
              <w:rPr>
                <w:rFonts w:ascii="宋体" w:hAnsi="宋体"/>
                <w:sz w:val="24"/>
              </w:rPr>
              <w:t>天面、平台</w:t>
            </w:r>
          </w:p>
        </w:tc>
        <w:tc>
          <w:tcPr>
            <w:tcW w:w="1449" w:type="pct"/>
            <w:noWrap/>
            <w:vAlign w:val="center"/>
          </w:tcPr>
          <w:p w14:paraId="572772DB">
            <w:pPr>
              <w:rPr>
                <w:rFonts w:ascii="宋体" w:hAnsi="宋体"/>
                <w:sz w:val="24"/>
              </w:rPr>
            </w:pPr>
            <w:r>
              <w:rPr>
                <w:rFonts w:ascii="宋体" w:hAnsi="宋体"/>
                <w:sz w:val="24"/>
              </w:rPr>
              <w:t>每两周清抹二次</w:t>
            </w:r>
          </w:p>
        </w:tc>
        <w:tc>
          <w:tcPr>
            <w:tcW w:w="1520" w:type="pct"/>
            <w:noWrap/>
            <w:vAlign w:val="center"/>
          </w:tcPr>
          <w:p w14:paraId="38AF8393">
            <w:pPr>
              <w:spacing w:line="280" w:lineRule="exact"/>
              <w:jc w:val="center"/>
              <w:rPr>
                <w:rFonts w:ascii="宋体" w:hAnsi="宋体"/>
                <w:sz w:val="24"/>
              </w:rPr>
            </w:pPr>
            <w:r>
              <w:rPr>
                <w:rFonts w:ascii="宋体" w:hAnsi="宋体"/>
                <w:sz w:val="24"/>
              </w:rPr>
              <w:t>无杂物、无积水</w:t>
            </w:r>
          </w:p>
        </w:tc>
      </w:tr>
      <w:tr w14:paraId="34D9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noWrap/>
            <w:vAlign w:val="center"/>
          </w:tcPr>
          <w:p w14:paraId="1C63A1B4">
            <w:pPr>
              <w:jc w:val="center"/>
              <w:rPr>
                <w:rFonts w:ascii="宋体" w:hAnsi="宋体"/>
                <w:sz w:val="24"/>
              </w:rPr>
            </w:pPr>
            <w:r>
              <w:rPr>
                <w:rFonts w:ascii="宋体" w:hAnsi="宋体"/>
                <w:sz w:val="24"/>
              </w:rPr>
              <w:t>12</w:t>
            </w:r>
          </w:p>
        </w:tc>
        <w:tc>
          <w:tcPr>
            <w:tcW w:w="1670" w:type="pct"/>
            <w:gridSpan w:val="2"/>
            <w:noWrap/>
            <w:vAlign w:val="top"/>
          </w:tcPr>
          <w:p w14:paraId="5A9FCFE3">
            <w:pPr>
              <w:rPr>
                <w:rFonts w:ascii="宋体" w:hAnsi="宋体"/>
                <w:sz w:val="24"/>
              </w:rPr>
            </w:pPr>
            <w:r>
              <w:rPr>
                <w:rFonts w:ascii="宋体" w:hAnsi="宋体"/>
                <w:sz w:val="24"/>
              </w:rPr>
              <w:t>外墙、玻璃幕墙、玻璃屋顶</w:t>
            </w:r>
          </w:p>
        </w:tc>
        <w:tc>
          <w:tcPr>
            <w:tcW w:w="2970" w:type="pct"/>
            <w:gridSpan w:val="2"/>
            <w:noWrap/>
            <w:vAlign w:val="center"/>
          </w:tcPr>
          <w:p w14:paraId="0338CE30">
            <w:pPr>
              <w:spacing w:line="280" w:lineRule="exact"/>
              <w:jc w:val="center"/>
              <w:rPr>
                <w:rFonts w:ascii="宋体" w:hAnsi="宋体"/>
                <w:sz w:val="24"/>
              </w:rPr>
            </w:pPr>
            <w:r>
              <w:rPr>
                <w:rFonts w:ascii="宋体" w:hAnsi="宋体"/>
                <w:sz w:val="24"/>
              </w:rPr>
              <w:t>每年全面清洗一次</w:t>
            </w:r>
          </w:p>
        </w:tc>
      </w:tr>
      <w:tr w14:paraId="62EE1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359" w:type="pct"/>
            <w:noWrap/>
            <w:vAlign w:val="center"/>
          </w:tcPr>
          <w:p w14:paraId="1EB2AD40">
            <w:pPr>
              <w:jc w:val="center"/>
              <w:rPr>
                <w:rFonts w:ascii="宋体" w:hAnsi="宋体"/>
                <w:sz w:val="24"/>
              </w:rPr>
            </w:pPr>
            <w:r>
              <w:rPr>
                <w:rFonts w:ascii="宋体" w:hAnsi="宋体"/>
                <w:sz w:val="24"/>
              </w:rPr>
              <w:t>13</w:t>
            </w:r>
          </w:p>
        </w:tc>
        <w:tc>
          <w:tcPr>
            <w:tcW w:w="1670" w:type="pct"/>
            <w:gridSpan w:val="2"/>
            <w:noWrap/>
            <w:vAlign w:val="center"/>
          </w:tcPr>
          <w:p w14:paraId="54020CFB">
            <w:pPr>
              <w:rPr>
                <w:rFonts w:ascii="宋体" w:hAnsi="宋体"/>
                <w:sz w:val="24"/>
              </w:rPr>
            </w:pPr>
            <w:r>
              <w:rPr>
                <w:rFonts w:ascii="宋体" w:hAnsi="宋体"/>
                <w:sz w:val="24"/>
              </w:rPr>
              <w:t>不定期项目</w:t>
            </w:r>
          </w:p>
        </w:tc>
        <w:tc>
          <w:tcPr>
            <w:tcW w:w="2970" w:type="pct"/>
            <w:gridSpan w:val="2"/>
            <w:noWrap/>
            <w:vAlign w:val="center"/>
          </w:tcPr>
          <w:p w14:paraId="399D7BA5">
            <w:pPr>
              <w:spacing w:line="280" w:lineRule="exact"/>
              <w:jc w:val="center"/>
              <w:rPr>
                <w:rFonts w:ascii="宋体" w:hAnsi="宋体"/>
                <w:sz w:val="24"/>
              </w:rPr>
            </w:pPr>
            <w:r>
              <w:rPr>
                <w:rFonts w:ascii="宋体" w:hAnsi="宋体"/>
                <w:sz w:val="24"/>
              </w:rPr>
              <w:t>清扫积水、积雪、清理乱堆放物品、乱张贴，清运装修垃圾</w:t>
            </w:r>
            <w:r>
              <w:rPr>
                <w:rFonts w:hint="eastAsia" w:ascii="宋体" w:hAnsi="宋体"/>
                <w:sz w:val="24"/>
              </w:rPr>
              <w:t>等</w:t>
            </w:r>
          </w:p>
        </w:tc>
      </w:tr>
    </w:tbl>
    <w:p w14:paraId="24A087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（三）、绿化和灭虫管理工作内容与要求</w:t>
      </w:r>
    </w:p>
    <w:p w14:paraId="4712C3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1.物业公司要配足绿化养护所需机械器具，对业主负责范围区域内绿化实施精品养护，认真落实各项养护管理措施。</w:t>
      </w:r>
    </w:p>
    <w:p w14:paraId="5DEE01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2.绿化养护要求：</w:t>
      </w:r>
    </w:p>
    <w:p w14:paraId="0909A7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2.1.绿地内杜绝黄泥裸露；绿地系统内乔木、灌木、花坛现状接管，对大院内现有苗木进行有序管理与维护，确保苗木无死亡，否则应予以补种。如在约定内未补种，每棵按市场购入价予以补偿。</w:t>
      </w:r>
    </w:p>
    <w:p w14:paraId="548039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2.2.浇水：根据植物品种和条件适时适量浇水，确保不因缺水而影响植物生长。</w:t>
      </w:r>
    </w:p>
    <w:p w14:paraId="121F16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2.3.修剪：乔木类修剪达到均衡树势、促进生长、满足功能需要。及时清除徒长枝、枯黄枝、病虫害枝、重叠枝和其它影响景观的枝叶；观叶灌木类、色块花坛类、立体图案类、绿篱类则根据原设计意图进行造型修剪，以使线条流畅，层次清楚，比例合适，图案清晰；草坪修剪高度控制在8㎝以内；花坛内枯枝烂叶及时清除，花坛与草坪边线清晰；草坪内栽植乔木肥水修剪合适。</w:t>
      </w:r>
    </w:p>
    <w:p w14:paraId="46348DF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2.4.施肥：根据不同植物的生长规律及实地物候特点选择合适的方式施肥，促进各类植物的健康生长。</w:t>
      </w:r>
    </w:p>
    <w:p w14:paraId="05A859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2.5.病虫害防治：在补苗或引种时禁止带有病菌和虫害的植物材料进入绿地；在病虫害高发期每月例行喷药1次；一旦发现显著危害症状即时灭治；确保全年不发生重大病虫害事故。</w:t>
      </w:r>
    </w:p>
    <w:p w14:paraId="2FF486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2.6.杂草控制：采用化学除草和人工除草相结合的方式控制绿地内杂草生长和蔓延。立春后在多数杂草生长期前针对性地喷除草剂。及时去除杂草，确保绿地内无显著杂草生长，杜绝杂草荒芜现象。</w:t>
      </w:r>
    </w:p>
    <w:p w14:paraId="37BBA51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2.7.绿地保洁：绿地基本整洁，绿地内无明显堆放杂物、侵占现象。</w:t>
      </w:r>
    </w:p>
    <w:p w14:paraId="2924AF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2.8.绿地管理与修复：及时修复行人践踏地块、斑秃草坪和缺苗地块；对工程内的物品及附属设施及时查看损坏现象，及时修补。发现破坏绿地的行为及时制止，采取有效措施禁止践踏绿地占用绿地现象。</w:t>
      </w:r>
    </w:p>
    <w:p w14:paraId="287626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（四）、房屋及公用设施维修养护工作标准</w:t>
      </w:r>
    </w:p>
    <w:p w14:paraId="1D54F85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每天巡视检查，公共设施出现损坏及时修复，保持房屋外观完好、整洁，外墙面无脱落，无污迹，公共楼梯间扶手完好，梯灯正常，消防门启闭正常，无杂物乱堆放。公共卫生间和茶水间的洁具和设施完好、使用功能正常。负责组织对房屋外墙、楼梯间通道、屋面、上下水管道等房屋本体公用设施的定期养护和维修，并编制维修计划。</w:t>
      </w:r>
    </w:p>
    <w:p w14:paraId="609B2A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2.机关大楼公共设施维护管理工作是：</w:t>
      </w:r>
    </w:p>
    <w:p w14:paraId="455A74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2.1.供水设施的日常运作、维修养护；</w:t>
      </w:r>
    </w:p>
    <w:p w14:paraId="2BD5079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2.2.公共场所地面、道路及其它设施的保养和维修；</w:t>
      </w:r>
    </w:p>
    <w:p w14:paraId="6AA39E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2.3.公共楼道灯、路灯、庭院灯等公共照明的维护和保养。</w:t>
      </w:r>
    </w:p>
    <w:p w14:paraId="07EE2F15">
      <w:pPr>
        <w:rPr>
          <w:rFonts w:hint="eastAsia" w:ascii="宋体" w:hAnsi="宋体"/>
          <w:sz w:val="24"/>
        </w:rPr>
      </w:pPr>
      <w:r>
        <w:rPr>
          <w:rFonts w:hint="eastAsia" w:ascii="宋体" w:hAnsi="宋体"/>
          <w:sz w:val="24"/>
          <w:lang w:val="en-US" w:eastAsia="zh-CN"/>
        </w:rPr>
        <w:t xml:space="preserve"> </w:t>
      </w:r>
      <w:r>
        <w:rPr>
          <w:rFonts w:hint="eastAsia" w:ascii="宋体" w:hAnsi="宋体"/>
          <w:sz w:val="24"/>
        </w:rPr>
        <w:t>3.工作标准</w:t>
      </w:r>
    </w:p>
    <w:tbl>
      <w:tblPr>
        <w:tblStyle w:val="63"/>
        <w:tblW w:w="49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377"/>
        <w:gridCol w:w="2857"/>
        <w:gridCol w:w="3737"/>
      </w:tblGrid>
      <w:tr w14:paraId="4342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361" w:type="pct"/>
            <w:noWrap/>
            <w:vAlign w:val="center"/>
          </w:tcPr>
          <w:p w14:paraId="481484F9">
            <w:pPr>
              <w:spacing w:line="360" w:lineRule="exact"/>
              <w:jc w:val="center"/>
              <w:rPr>
                <w:rFonts w:ascii="宋体" w:hAnsi="宋体"/>
                <w:b/>
                <w:sz w:val="24"/>
              </w:rPr>
            </w:pPr>
            <w:r>
              <w:rPr>
                <w:rFonts w:ascii="宋体" w:hAnsi="宋体"/>
                <w:b/>
                <w:sz w:val="24"/>
              </w:rPr>
              <w:t>序号</w:t>
            </w:r>
          </w:p>
        </w:tc>
        <w:tc>
          <w:tcPr>
            <w:tcW w:w="1229" w:type="pct"/>
            <w:noWrap/>
            <w:vAlign w:val="center"/>
          </w:tcPr>
          <w:p w14:paraId="19C9281E">
            <w:pPr>
              <w:spacing w:line="360" w:lineRule="exact"/>
              <w:jc w:val="center"/>
              <w:rPr>
                <w:rFonts w:ascii="宋体" w:hAnsi="宋体"/>
                <w:b/>
                <w:sz w:val="24"/>
              </w:rPr>
            </w:pPr>
            <w:r>
              <w:rPr>
                <w:rFonts w:ascii="宋体" w:hAnsi="宋体"/>
                <w:b/>
                <w:sz w:val="24"/>
              </w:rPr>
              <w:t>项  目</w:t>
            </w:r>
          </w:p>
        </w:tc>
        <w:tc>
          <w:tcPr>
            <w:tcW w:w="1477" w:type="pct"/>
            <w:noWrap/>
            <w:vAlign w:val="center"/>
          </w:tcPr>
          <w:p w14:paraId="22F5461C">
            <w:pPr>
              <w:spacing w:line="360" w:lineRule="exact"/>
              <w:jc w:val="center"/>
              <w:rPr>
                <w:rFonts w:ascii="宋体" w:hAnsi="宋体"/>
                <w:b/>
                <w:sz w:val="24"/>
              </w:rPr>
            </w:pPr>
            <w:r>
              <w:rPr>
                <w:rFonts w:ascii="宋体" w:hAnsi="宋体"/>
                <w:b/>
                <w:sz w:val="24"/>
              </w:rPr>
              <w:t>方  式</w:t>
            </w:r>
          </w:p>
        </w:tc>
        <w:tc>
          <w:tcPr>
            <w:tcW w:w="1933" w:type="pct"/>
            <w:noWrap/>
            <w:vAlign w:val="center"/>
          </w:tcPr>
          <w:p w14:paraId="1F458291">
            <w:pPr>
              <w:spacing w:line="360" w:lineRule="exact"/>
              <w:jc w:val="center"/>
              <w:rPr>
                <w:rFonts w:ascii="宋体" w:hAnsi="宋体"/>
                <w:b/>
                <w:sz w:val="24"/>
              </w:rPr>
            </w:pPr>
            <w:r>
              <w:rPr>
                <w:rFonts w:ascii="宋体" w:hAnsi="宋体"/>
                <w:b/>
                <w:sz w:val="24"/>
              </w:rPr>
              <w:t>标  准</w:t>
            </w:r>
          </w:p>
        </w:tc>
      </w:tr>
      <w:tr w14:paraId="1FE7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361" w:type="pct"/>
            <w:noWrap/>
            <w:vAlign w:val="center"/>
          </w:tcPr>
          <w:p w14:paraId="20270235">
            <w:pPr>
              <w:spacing w:line="360" w:lineRule="exact"/>
              <w:jc w:val="center"/>
              <w:rPr>
                <w:rFonts w:ascii="宋体" w:hAnsi="宋体"/>
                <w:sz w:val="24"/>
              </w:rPr>
            </w:pPr>
            <w:r>
              <w:rPr>
                <w:rFonts w:ascii="宋体" w:hAnsi="宋体"/>
                <w:sz w:val="24"/>
              </w:rPr>
              <w:t>1</w:t>
            </w:r>
          </w:p>
        </w:tc>
        <w:tc>
          <w:tcPr>
            <w:tcW w:w="1229" w:type="pct"/>
            <w:noWrap/>
            <w:vAlign w:val="center"/>
          </w:tcPr>
          <w:p w14:paraId="68CB98CF">
            <w:pPr>
              <w:spacing w:line="360" w:lineRule="exact"/>
              <w:jc w:val="center"/>
              <w:rPr>
                <w:rFonts w:ascii="宋体" w:hAnsi="宋体"/>
                <w:sz w:val="24"/>
              </w:rPr>
            </w:pPr>
            <w:r>
              <w:rPr>
                <w:rFonts w:ascii="宋体" w:hAnsi="宋体"/>
                <w:sz w:val="24"/>
              </w:rPr>
              <w:t>室内装修</w:t>
            </w:r>
          </w:p>
        </w:tc>
        <w:tc>
          <w:tcPr>
            <w:tcW w:w="1477" w:type="pct"/>
            <w:noWrap/>
            <w:vAlign w:val="center"/>
          </w:tcPr>
          <w:p w14:paraId="3C12E5C9">
            <w:pPr>
              <w:spacing w:line="360" w:lineRule="exact"/>
              <w:jc w:val="center"/>
              <w:rPr>
                <w:rFonts w:ascii="宋体" w:hAnsi="宋体"/>
                <w:sz w:val="24"/>
              </w:rPr>
            </w:pPr>
            <w:r>
              <w:rPr>
                <w:rFonts w:ascii="宋体" w:hAnsi="宋体"/>
                <w:sz w:val="24"/>
              </w:rPr>
              <w:t>用户报修</w:t>
            </w:r>
          </w:p>
        </w:tc>
        <w:tc>
          <w:tcPr>
            <w:tcW w:w="1933" w:type="pct"/>
            <w:noWrap/>
            <w:vAlign w:val="center"/>
          </w:tcPr>
          <w:p w14:paraId="13F62BB1">
            <w:pPr>
              <w:spacing w:line="360" w:lineRule="exact"/>
              <w:jc w:val="center"/>
              <w:rPr>
                <w:rFonts w:ascii="宋体" w:hAnsi="宋体"/>
                <w:sz w:val="24"/>
              </w:rPr>
            </w:pPr>
            <w:r>
              <w:rPr>
                <w:rFonts w:ascii="宋体" w:hAnsi="宋体"/>
                <w:sz w:val="24"/>
              </w:rPr>
              <w:t>接报修后20分钟内到现场</w:t>
            </w:r>
          </w:p>
        </w:tc>
      </w:tr>
      <w:tr w14:paraId="42B3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 w:hRule="atLeast"/>
        </w:trPr>
        <w:tc>
          <w:tcPr>
            <w:tcW w:w="361" w:type="pct"/>
            <w:noWrap/>
            <w:vAlign w:val="center"/>
          </w:tcPr>
          <w:p w14:paraId="4F5D5BAC">
            <w:pPr>
              <w:spacing w:line="360" w:lineRule="exact"/>
              <w:jc w:val="center"/>
              <w:rPr>
                <w:rFonts w:ascii="宋体" w:hAnsi="宋体"/>
                <w:sz w:val="24"/>
              </w:rPr>
            </w:pPr>
            <w:r>
              <w:rPr>
                <w:rFonts w:ascii="宋体" w:hAnsi="宋体"/>
                <w:sz w:val="24"/>
              </w:rPr>
              <w:t>2</w:t>
            </w:r>
          </w:p>
        </w:tc>
        <w:tc>
          <w:tcPr>
            <w:tcW w:w="1229" w:type="pct"/>
            <w:noWrap/>
            <w:vAlign w:val="center"/>
          </w:tcPr>
          <w:p w14:paraId="21E89968">
            <w:pPr>
              <w:spacing w:line="360" w:lineRule="exact"/>
              <w:jc w:val="center"/>
              <w:rPr>
                <w:rFonts w:ascii="宋体" w:hAnsi="宋体"/>
                <w:sz w:val="24"/>
              </w:rPr>
            </w:pPr>
            <w:r>
              <w:rPr>
                <w:rFonts w:ascii="宋体" w:hAnsi="宋体"/>
                <w:sz w:val="24"/>
              </w:rPr>
              <w:t>各层卫生间、茶水间</w:t>
            </w:r>
          </w:p>
        </w:tc>
        <w:tc>
          <w:tcPr>
            <w:tcW w:w="1477" w:type="pct"/>
            <w:noWrap/>
            <w:vAlign w:val="center"/>
          </w:tcPr>
          <w:p w14:paraId="50BB002A">
            <w:pPr>
              <w:spacing w:line="360" w:lineRule="exact"/>
              <w:jc w:val="center"/>
              <w:rPr>
                <w:rFonts w:ascii="宋体" w:hAnsi="宋体"/>
                <w:sz w:val="24"/>
              </w:rPr>
            </w:pPr>
            <w:r>
              <w:rPr>
                <w:rFonts w:ascii="宋体" w:hAnsi="宋体"/>
                <w:sz w:val="24"/>
              </w:rPr>
              <w:t>每天检查</w:t>
            </w:r>
            <w:r>
              <w:rPr>
                <w:rFonts w:hint="eastAsia" w:ascii="宋体" w:hAnsi="宋体"/>
                <w:sz w:val="24"/>
              </w:rPr>
              <w:t>1</w:t>
            </w:r>
            <w:r>
              <w:rPr>
                <w:rFonts w:ascii="宋体" w:hAnsi="宋体"/>
                <w:sz w:val="24"/>
              </w:rPr>
              <w:t>次、即坏即修</w:t>
            </w:r>
          </w:p>
        </w:tc>
        <w:tc>
          <w:tcPr>
            <w:tcW w:w="1933" w:type="pct"/>
            <w:noWrap/>
            <w:vAlign w:val="center"/>
          </w:tcPr>
          <w:p w14:paraId="53EAA4F2">
            <w:pPr>
              <w:spacing w:line="360" w:lineRule="exact"/>
              <w:jc w:val="center"/>
              <w:rPr>
                <w:rFonts w:ascii="宋体" w:hAnsi="宋体"/>
                <w:sz w:val="24"/>
              </w:rPr>
            </w:pPr>
            <w:r>
              <w:rPr>
                <w:rFonts w:ascii="宋体" w:hAnsi="宋体"/>
                <w:sz w:val="24"/>
              </w:rPr>
              <w:t>洁具和设施完好，使用功能正常，无滴漏，无堵塞</w:t>
            </w:r>
          </w:p>
        </w:tc>
      </w:tr>
      <w:tr w14:paraId="0CBD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361" w:type="pct"/>
            <w:noWrap/>
            <w:vAlign w:val="center"/>
          </w:tcPr>
          <w:p w14:paraId="0A24E3EA">
            <w:pPr>
              <w:spacing w:line="360" w:lineRule="exact"/>
              <w:jc w:val="center"/>
              <w:rPr>
                <w:rFonts w:ascii="宋体" w:hAnsi="宋体"/>
                <w:sz w:val="24"/>
              </w:rPr>
            </w:pPr>
            <w:r>
              <w:rPr>
                <w:rFonts w:ascii="宋体" w:hAnsi="宋体"/>
                <w:sz w:val="24"/>
              </w:rPr>
              <w:t>3</w:t>
            </w:r>
          </w:p>
        </w:tc>
        <w:tc>
          <w:tcPr>
            <w:tcW w:w="1229" w:type="pct"/>
            <w:noWrap/>
            <w:vAlign w:val="center"/>
          </w:tcPr>
          <w:p w14:paraId="7484C712">
            <w:pPr>
              <w:spacing w:line="360" w:lineRule="exact"/>
              <w:jc w:val="center"/>
              <w:rPr>
                <w:rFonts w:ascii="宋体" w:hAnsi="宋体"/>
                <w:sz w:val="24"/>
              </w:rPr>
            </w:pPr>
            <w:r>
              <w:rPr>
                <w:rFonts w:ascii="宋体" w:hAnsi="宋体"/>
                <w:sz w:val="24"/>
              </w:rPr>
              <w:t>道路</w:t>
            </w:r>
          </w:p>
        </w:tc>
        <w:tc>
          <w:tcPr>
            <w:tcW w:w="1477" w:type="pct"/>
            <w:noWrap/>
            <w:vAlign w:val="center"/>
          </w:tcPr>
          <w:p w14:paraId="35F59276">
            <w:pPr>
              <w:spacing w:line="360" w:lineRule="exact"/>
              <w:jc w:val="center"/>
              <w:rPr>
                <w:rFonts w:ascii="宋体" w:hAnsi="宋体"/>
                <w:sz w:val="24"/>
              </w:rPr>
            </w:pPr>
            <w:r>
              <w:rPr>
                <w:rFonts w:ascii="宋体" w:hAnsi="宋体"/>
                <w:sz w:val="24"/>
              </w:rPr>
              <w:t>每天检查</w:t>
            </w:r>
            <w:r>
              <w:rPr>
                <w:rFonts w:hint="eastAsia" w:ascii="宋体" w:hAnsi="宋体"/>
                <w:sz w:val="24"/>
              </w:rPr>
              <w:t>1次</w:t>
            </w:r>
            <w:r>
              <w:rPr>
                <w:rFonts w:ascii="宋体" w:hAnsi="宋体"/>
                <w:sz w:val="24"/>
              </w:rPr>
              <w:t>、即坏即修</w:t>
            </w:r>
          </w:p>
        </w:tc>
        <w:tc>
          <w:tcPr>
            <w:tcW w:w="1933" w:type="pct"/>
            <w:noWrap/>
            <w:vAlign w:val="center"/>
          </w:tcPr>
          <w:p w14:paraId="3CF4473A">
            <w:pPr>
              <w:spacing w:line="360" w:lineRule="exact"/>
              <w:jc w:val="center"/>
              <w:rPr>
                <w:rFonts w:ascii="宋体" w:hAnsi="宋体"/>
                <w:sz w:val="24"/>
              </w:rPr>
            </w:pPr>
            <w:r>
              <w:rPr>
                <w:rFonts w:ascii="宋体" w:hAnsi="宋体"/>
                <w:sz w:val="24"/>
              </w:rPr>
              <w:t>平整无积水、无缺损、完好率100%以上</w:t>
            </w:r>
          </w:p>
        </w:tc>
      </w:tr>
      <w:tr w14:paraId="3AE1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 w:hRule="atLeast"/>
        </w:trPr>
        <w:tc>
          <w:tcPr>
            <w:tcW w:w="361" w:type="pct"/>
            <w:noWrap/>
            <w:vAlign w:val="center"/>
          </w:tcPr>
          <w:p w14:paraId="4C721A7D">
            <w:pPr>
              <w:spacing w:line="360" w:lineRule="exact"/>
              <w:jc w:val="center"/>
              <w:rPr>
                <w:rFonts w:ascii="宋体" w:hAnsi="宋体"/>
                <w:sz w:val="24"/>
              </w:rPr>
            </w:pPr>
            <w:r>
              <w:rPr>
                <w:rFonts w:ascii="宋体" w:hAnsi="宋体"/>
                <w:sz w:val="24"/>
              </w:rPr>
              <w:t>4</w:t>
            </w:r>
          </w:p>
        </w:tc>
        <w:tc>
          <w:tcPr>
            <w:tcW w:w="1229" w:type="pct"/>
            <w:noWrap/>
            <w:vAlign w:val="center"/>
          </w:tcPr>
          <w:p w14:paraId="049A762F">
            <w:pPr>
              <w:spacing w:line="360" w:lineRule="exact"/>
              <w:jc w:val="center"/>
              <w:rPr>
                <w:rFonts w:ascii="宋体" w:hAnsi="宋体"/>
                <w:sz w:val="24"/>
              </w:rPr>
            </w:pPr>
            <w:r>
              <w:rPr>
                <w:rFonts w:ascii="宋体" w:hAnsi="宋体"/>
                <w:sz w:val="24"/>
              </w:rPr>
              <w:t>楼梯及墙面</w:t>
            </w:r>
          </w:p>
        </w:tc>
        <w:tc>
          <w:tcPr>
            <w:tcW w:w="1477" w:type="pct"/>
            <w:noWrap/>
            <w:vAlign w:val="center"/>
          </w:tcPr>
          <w:p w14:paraId="5A932FF8">
            <w:pPr>
              <w:spacing w:line="360" w:lineRule="exact"/>
              <w:jc w:val="center"/>
              <w:rPr>
                <w:rFonts w:ascii="宋体" w:hAnsi="宋体"/>
                <w:sz w:val="24"/>
              </w:rPr>
            </w:pPr>
            <w:r>
              <w:rPr>
                <w:rFonts w:ascii="宋体" w:hAnsi="宋体"/>
                <w:sz w:val="24"/>
              </w:rPr>
              <w:t>每周检查</w:t>
            </w:r>
            <w:r>
              <w:rPr>
                <w:rFonts w:hint="eastAsia" w:ascii="宋体" w:hAnsi="宋体"/>
                <w:sz w:val="24"/>
              </w:rPr>
              <w:t>1次</w:t>
            </w:r>
            <w:r>
              <w:rPr>
                <w:rFonts w:ascii="宋体" w:hAnsi="宋体"/>
                <w:sz w:val="24"/>
              </w:rPr>
              <w:t>、即坏即修</w:t>
            </w:r>
          </w:p>
        </w:tc>
        <w:tc>
          <w:tcPr>
            <w:tcW w:w="1933" w:type="pct"/>
            <w:noWrap/>
            <w:vAlign w:val="center"/>
          </w:tcPr>
          <w:p w14:paraId="0BCDD947">
            <w:pPr>
              <w:spacing w:line="360" w:lineRule="exact"/>
              <w:jc w:val="center"/>
              <w:rPr>
                <w:rFonts w:ascii="宋体" w:hAnsi="宋体"/>
                <w:sz w:val="24"/>
              </w:rPr>
            </w:pPr>
            <w:r>
              <w:rPr>
                <w:rFonts w:ascii="宋体" w:hAnsi="宋体"/>
                <w:sz w:val="24"/>
              </w:rPr>
              <w:t>整洁、无缺损，扶手完好，楼灯正常，无张贴痕迹</w:t>
            </w:r>
          </w:p>
        </w:tc>
      </w:tr>
      <w:tr w14:paraId="1AB3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361" w:type="pct"/>
            <w:noWrap/>
            <w:vAlign w:val="center"/>
          </w:tcPr>
          <w:p w14:paraId="4C545CAA">
            <w:pPr>
              <w:spacing w:line="360" w:lineRule="exact"/>
              <w:jc w:val="center"/>
              <w:rPr>
                <w:rFonts w:ascii="宋体" w:hAnsi="宋体"/>
                <w:sz w:val="24"/>
              </w:rPr>
            </w:pPr>
            <w:r>
              <w:rPr>
                <w:rFonts w:ascii="宋体" w:hAnsi="宋体"/>
                <w:sz w:val="24"/>
              </w:rPr>
              <w:t>5</w:t>
            </w:r>
          </w:p>
        </w:tc>
        <w:tc>
          <w:tcPr>
            <w:tcW w:w="1229" w:type="pct"/>
            <w:noWrap/>
            <w:vAlign w:val="center"/>
          </w:tcPr>
          <w:p w14:paraId="2B86DCF5">
            <w:pPr>
              <w:pStyle w:val="43"/>
              <w:pBdr>
                <w:bottom w:val="none" w:color="auto" w:sz="0" w:space="0"/>
              </w:pBdr>
              <w:tabs>
                <w:tab w:val="clear" w:pos="4153"/>
                <w:tab w:val="clear" w:pos="8306"/>
              </w:tabs>
              <w:snapToGrid/>
              <w:spacing w:line="360" w:lineRule="exact"/>
              <w:rPr>
                <w:rFonts w:ascii="宋体" w:hAnsi="宋体"/>
                <w:sz w:val="24"/>
                <w:szCs w:val="24"/>
              </w:rPr>
            </w:pPr>
            <w:r>
              <w:rPr>
                <w:rFonts w:ascii="宋体" w:hAnsi="宋体"/>
                <w:sz w:val="24"/>
                <w:szCs w:val="24"/>
              </w:rPr>
              <w:t>明暗沟</w:t>
            </w:r>
          </w:p>
        </w:tc>
        <w:tc>
          <w:tcPr>
            <w:tcW w:w="1477" w:type="pct"/>
            <w:noWrap/>
            <w:vAlign w:val="center"/>
          </w:tcPr>
          <w:p w14:paraId="7F007523">
            <w:pPr>
              <w:pStyle w:val="43"/>
              <w:pBdr>
                <w:bottom w:val="none" w:color="auto" w:sz="0" w:space="0"/>
              </w:pBdr>
              <w:tabs>
                <w:tab w:val="clear" w:pos="4153"/>
                <w:tab w:val="clear" w:pos="8306"/>
              </w:tabs>
              <w:snapToGrid/>
              <w:spacing w:line="360" w:lineRule="exact"/>
              <w:rPr>
                <w:rFonts w:ascii="宋体" w:hAnsi="宋体"/>
                <w:sz w:val="24"/>
                <w:szCs w:val="24"/>
              </w:rPr>
            </w:pPr>
            <w:r>
              <w:rPr>
                <w:rFonts w:ascii="宋体" w:hAnsi="宋体"/>
                <w:sz w:val="24"/>
                <w:szCs w:val="24"/>
              </w:rPr>
              <w:t>每周检查</w:t>
            </w:r>
            <w:r>
              <w:rPr>
                <w:rFonts w:hint="eastAsia" w:ascii="宋体" w:hAnsi="宋体"/>
                <w:sz w:val="24"/>
                <w:szCs w:val="24"/>
              </w:rPr>
              <w:t>1次</w:t>
            </w:r>
            <w:r>
              <w:rPr>
                <w:rFonts w:ascii="宋体" w:hAnsi="宋体"/>
                <w:sz w:val="24"/>
                <w:szCs w:val="24"/>
              </w:rPr>
              <w:t>，即坏即修</w:t>
            </w:r>
          </w:p>
        </w:tc>
        <w:tc>
          <w:tcPr>
            <w:tcW w:w="1933" w:type="pct"/>
            <w:noWrap/>
            <w:vAlign w:val="center"/>
          </w:tcPr>
          <w:p w14:paraId="6378C442">
            <w:pPr>
              <w:spacing w:line="360" w:lineRule="exact"/>
              <w:jc w:val="center"/>
              <w:rPr>
                <w:rFonts w:ascii="宋体" w:hAnsi="宋体"/>
                <w:sz w:val="24"/>
              </w:rPr>
            </w:pPr>
            <w:r>
              <w:rPr>
                <w:rFonts w:ascii="宋体" w:hAnsi="宋体"/>
                <w:sz w:val="24"/>
              </w:rPr>
              <w:t>畅通、无积水、无尘土、无塌陷、无鼠洞</w:t>
            </w:r>
          </w:p>
        </w:tc>
      </w:tr>
      <w:tr w14:paraId="6A57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361" w:type="pct"/>
            <w:noWrap/>
            <w:vAlign w:val="center"/>
          </w:tcPr>
          <w:p w14:paraId="387388CD">
            <w:pPr>
              <w:spacing w:line="360" w:lineRule="exact"/>
              <w:jc w:val="center"/>
              <w:rPr>
                <w:rFonts w:ascii="宋体" w:hAnsi="宋体"/>
                <w:sz w:val="24"/>
              </w:rPr>
            </w:pPr>
            <w:r>
              <w:rPr>
                <w:rFonts w:ascii="宋体" w:hAnsi="宋体"/>
                <w:sz w:val="24"/>
              </w:rPr>
              <w:t>6</w:t>
            </w:r>
          </w:p>
        </w:tc>
        <w:tc>
          <w:tcPr>
            <w:tcW w:w="1229" w:type="pct"/>
            <w:noWrap/>
            <w:vAlign w:val="center"/>
          </w:tcPr>
          <w:p w14:paraId="59DF943C">
            <w:pPr>
              <w:spacing w:line="360" w:lineRule="exact"/>
              <w:jc w:val="center"/>
              <w:rPr>
                <w:rFonts w:ascii="宋体" w:hAnsi="宋体"/>
                <w:sz w:val="24"/>
              </w:rPr>
            </w:pPr>
            <w:r>
              <w:rPr>
                <w:rFonts w:ascii="宋体" w:hAnsi="宋体"/>
                <w:sz w:val="24"/>
              </w:rPr>
              <w:t>污水管</w:t>
            </w:r>
          </w:p>
        </w:tc>
        <w:tc>
          <w:tcPr>
            <w:tcW w:w="1477" w:type="pct"/>
            <w:noWrap/>
            <w:vAlign w:val="center"/>
          </w:tcPr>
          <w:p w14:paraId="74F1383B">
            <w:pPr>
              <w:spacing w:line="360" w:lineRule="exact"/>
              <w:jc w:val="center"/>
              <w:rPr>
                <w:rFonts w:ascii="宋体" w:hAnsi="宋体"/>
                <w:sz w:val="24"/>
              </w:rPr>
            </w:pPr>
            <w:r>
              <w:rPr>
                <w:rFonts w:ascii="宋体" w:hAnsi="宋体"/>
                <w:sz w:val="24"/>
              </w:rPr>
              <w:t>每月检查</w:t>
            </w:r>
            <w:r>
              <w:rPr>
                <w:rFonts w:hint="eastAsia" w:ascii="宋体" w:hAnsi="宋体"/>
                <w:sz w:val="24"/>
              </w:rPr>
              <w:t>1次</w:t>
            </w:r>
          </w:p>
        </w:tc>
        <w:tc>
          <w:tcPr>
            <w:tcW w:w="1933" w:type="pct"/>
            <w:noWrap/>
            <w:vAlign w:val="center"/>
          </w:tcPr>
          <w:p w14:paraId="09185EC6">
            <w:pPr>
              <w:spacing w:line="360" w:lineRule="exact"/>
              <w:jc w:val="center"/>
              <w:rPr>
                <w:rFonts w:ascii="宋体" w:hAnsi="宋体"/>
                <w:sz w:val="24"/>
              </w:rPr>
            </w:pPr>
            <w:r>
              <w:rPr>
                <w:rFonts w:ascii="宋体" w:hAnsi="宋体"/>
                <w:sz w:val="24"/>
              </w:rPr>
              <w:t>无堵、少污积、无外溢</w:t>
            </w:r>
          </w:p>
        </w:tc>
      </w:tr>
    </w:tbl>
    <w:p w14:paraId="35F78019">
      <w:pPr>
        <w:rPr>
          <w:rFonts w:hint="eastAsia" w:ascii="宋体" w:hAnsi="宋体"/>
          <w:sz w:val="24"/>
        </w:rPr>
      </w:pPr>
      <w:r>
        <w:rPr>
          <w:rFonts w:hint="eastAsia" w:ascii="宋体" w:hAnsi="宋体"/>
          <w:sz w:val="24"/>
        </w:rPr>
        <w:t>（五）、机电设备的维修养护标准</w:t>
      </w:r>
    </w:p>
    <w:p w14:paraId="0D3F1208">
      <w:pPr>
        <w:keepNext w:val="0"/>
        <w:keepLines w:val="0"/>
        <w:pageBreakBefore w:val="0"/>
        <w:widowControl w:val="0"/>
        <w:kinsoku/>
        <w:wordWrap/>
        <w:overflowPunct/>
        <w:topLinePunct w:val="0"/>
        <w:autoSpaceDE/>
        <w:autoSpaceDN/>
        <w:bidi w:val="0"/>
        <w:adjustRightInd/>
        <w:snapToGrid/>
        <w:spacing w:line="400" w:lineRule="exact"/>
        <w:ind w:firstLine="240" w:firstLineChars="100"/>
        <w:textAlignment w:val="auto"/>
        <w:rPr>
          <w:rFonts w:hint="eastAsia" w:ascii="宋体" w:hAnsi="宋体"/>
          <w:sz w:val="24"/>
        </w:rPr>
      </w:pPr>
      <w:r>
        <w:rPr>
          <w:rFonts w:hint="eastAsia" w:ascii="宋体" w:hAnsi="宋体"/>
          <w:sz w:val="24"/>
        </w:rPr>
        <w:t>★1.水电技术人员人数：不少于6人。水电技术人员年龄不超过</w:t>
      </w:r>
      <w:r>
        <w:rPr>
          <w:rFonts w:hint="eastAsia" w:ascii="宋体" w:hAnsi="宋体"/>
          <w:sz w:val="24"/>
          <w:lang w:val="en-US" w:eastAsia="zh-CN"/>
        </w:rPr>
        <w:t>55</w:t>
      </w:r>
      <w:r>
        <w:rPr>
          <w:rFonts w:hint="eastAsia" w:ascii="宋体" w:hAnsi="宋体"/>
          <w:sz w:val="24"/>
        </w:rPr>
        <w:t>周岁。中标后，所有水电技术人员要求经相关培训后持特种作业操作证（作业类别：电工作业）上岗，其中至少3人须同时持电工进网作业许可证（作业类别：高压）上岗。机电设备日常维护管理的内容有：供配电系统24小时专人值班守护，运行记录、清除框内外灰尘、污垢，机房保洁，按维修保养计划定期保养，保持良好的备用状态。空调系统每天上班前半小时开机，按季节设定空调温度，定时做主机运行记录。投标时应提供至少3名人员的特种作业操作证（作业类别：电工作业），其中1人必须提供</w:t>
      </w:r>
      <w:r>
        <w:rPr>
          <w:rFonts w:ascii="宋体" w:hAnsi="宋体"/>
          <w:sz w:val="24"/>
        </w:rPr>
        <w:t>高压电工作业证</w:t>
      </w:r>
      <w:r>
        <w:rPr>
          <w:rFonts w:hint="eastAsia" w:ascii="宋体" w:hAnsi="宋体"/>
          <w:sz w:val="24"/>
        </w:rPr>
        <w:t>，提供证书扫描件加盖投标单位电子签章。</w:t>
      </w:r>
    </w:p>
    <w:p w14:paraId="494FDA2A">
      <w:pPr>
        <w:rPr>
          <w:rFonts w:hint="eastAsia" w:ascii="宋体" w:hAnsi="宋体"/>
          <w:sz w:val="24"/>
        </w:rPr>
      </w:pPr>
      <w:r>
        <w:rPr>
          <w:rFonts w:hint="eastAsia" w:ascii="宋体" w:hAnsi="宋体"/>
          <w:sz w:val="24"/>
        </w:rPr>
        <w:t>2.高低配电系统维修养护计划和标准：</w:t>
      </w:r>
    </w:p>
    <w:tbl>
      <w:tblPr>
        <w:tblStyle w:val="6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060"/>
        <w:gridCol w:w="2804"/>
        <w:gridCol w:w="5125"/>
      </w:tblGrid>
      <w:tr w14:paraId="0604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31" w:type="pct"/>
            <w:noWrap/>
            <w:vAlign w:val="center"/>
          </w:tcPr>
          <w:p w14:paraId="4AA27172">
            <w:pPr>
              <w:spacing w:line="360" w:lineRule="exact"/>
              <w:jc w:val="center"/>
              <w:rPr>
                <w:rFonts w:ascii="宋体" w:hAnsi="宋体"/>
                <w:b/>
                <w:sz w:val="24"/>
              </w:rPr>
            </w:pPr>
            <w:r>
              <w:rPr>
                <w:rFonts w:ascii="宋体" w:hAnsi="宋体"/>
                <w:b/>
                <w:sz w:val="24"/>
              </w:rPr>
              <w:t>序号</w:t>
            </w:r>
          </w:p>
        </w:tc>
        <w:tc>
          <w:tcPr>
            <w:tcW w:w="551" w:type="pct"/>
            <w:noWrap/>
            <w:vAlign w:val="center"/>
          </w:tcPr>
          <w:p w14:paraId="48CB41BB">
            <w:pPr>
              <w:spacing w:line="360" w:lineRule="exact"/>
              <w:jc w:val="center"/>
              <w:rPr>
                <w:rFonts w:ascii="宋体" w:hAnsi="宋体"/>
                <w:b/>
                <w:sz w:val="24"/>
              </w:rPr>
            </w:pPr>
            <w:r>
              <w:rPr>
                <w:rFonts w:ascii="宋体" w:hAnsi="宋体"/>
                <w:b/>
                <w:sz w:val="24"/>
              </w:rPr>
              <w:t>保养周期</w:t>
            </w:r>
          </w:p>
        </w:tc>
        <w:tc>
          <w:tcPr>
            <w:tcW w:w="1456" w:type="pct"/>
            <w:noWrap/>
            <w:vAlign w:val="center"/>
          </w:tcPr>
          <w:p w14:paraId="0EC7AE43">
            <w:pPr>
              <w:spacing w:line="360" w:lineRule="exact"/>
              <w:jc w:val="center"/>
              <w:rPr>
                <w:rFonts w:ascii="宋体" w:hAnsi="宋体"/>
                <w:b/>
                <w:sz w:val="24"/>
              </w:rPr>
            </w:pPr>
            <w:r>
              <w:rPr>
                <w:rFonts w:ascii="宋体" w:hAnsi="宋体"/>
                <w:b/>
                <w:sz w:val="24"/>
              </w:rPr>
              <w:t>保养内容</w:t>
            </w:r>
          </w:p>
        </w:tc>
        <w:tc>
          <w:tcPr>
            <w:tcW w:w="2662" w:type="pct"/>
            <w:noWrap/>
            <w:vAlign w:val="center"/>
          </w:tcPr>
          <w:p w14:paraId="7FBF5513">
            <w:pPr>
              <w:spacing w:line="360" w:lineRule="exact"/>
              <w:jc w:val="center"/>
              <w:rPr>
                <w:rFonts w:ascii="宋体" w:hAnsi="宋体"/>
                <w:b/>
                <w:sz w:val="24"/>
              </w:rPr>
            </w:pPr>
            <w:r>
              <w:rPr>
                <w:rFonts w:ascii="宋体" w:hAnsi="宋体"/>
                <w:b/>
                <w:sz w:val="24"/>
              </w:rPr>
              <w:t>保养标准</w:t>
            </w:r>
          </w:p>
        </w:tc>
      </w:tr>
      <w:tr w14:paraId="5844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31" w:type="pct"/>
            <w:noWrap/>
            <w:vAlign w:val="center"/>
          </w:tcPr>
          <w:p w14:paraId="32CF0C27">
            <w:pPr>
              <w:spacing w:line="360" w:lineRule="exact"/>
              <w:jc w:val="center"/>
              <w:rPr>
                <w:rFonts w:ascii="宋体" w:hAnsi="宋体"/>
                <w:sz w:val="24"/>
              </w:rPr>
            </w:pPr>
            <w:r>
              <w:rPr>
                <w:rFonts w:ascii="宋体" w:hAnsi="宋体"/>
                <w:sz w:val="24"/>
              </w:rPr>
              <w:t>1</w:t>
            </w:r>
          </w:p>
        </w:tc>
        <w:tc>
          <w:tcPr>
            <w:tcW w:w="551" w:type="pct"/>
            <w:noWrap/>
            <w:vAlign w:val="center"/>
          </w:tcPr>
          <w:p w14:paraId="684FB38A">
            <w:pPr>
              <w:spacing w:line="360" w:lineRule="exact"/>
              <w:jc w:val="center"/>
              <w:rPr>
                <w:rFonts w:ascii="宋体" w:hAnsi="宋体"/>
                <w:sz w:val="24"/>
              </w:rPr>
            </w:pPr>
            <w:r>
              <w:rPr>
                <w:rFonts w:ascii="宋体" w:hAnsi="宋体"/>
                <w:sz w:val="24"/>
              </w:rPr>
              <w:t>日常保养</w:t>
            </w:r>
          </w:p>
        </w:tc>
        <w:tc>
          <w:tcPr>
            <w:tcW w:w="1456" w:type="pct"/>
            <w:noWrap/>
            <w:vAlign w:val="center"/>
          </w:tcPr>
          <w:p w14:paraId="28500122">
            <w:pPr>
              <w:spacing w:line="360" w:lineRule="exact"/>
              <w:rPr>
                <w:rFonts w:ascii="宋体" w:hAnsi="宋体"/>
                <w:sz w:val="24"/>
              </w:rPr>
            </w:pPr>
            <w:r>
              <w:rPr>
                <w:rFonts w:ascii="宋体" w:hAnsi="宋体"/>
                <w:sz w:val="24"/>
              </w:rPr>
              <w:t>高低压配电室清洁；检查仪表、指示灯是否正常；检查变压器外观、运行温度和噪音</w:t>
            </w:r>
          </w:p>
        </w:tc>
        <w:tc>
          <w:tcPr>
            <w:tcW w:w="2662" w:type="pct"/>
            <w:noWrap/>
            <w:vAlign w:val="center"/>
          </w:tcPr>
          <w:p w14:paraId="49EDB797">
            <w:pPr>
              <w:pStyle w:val="59"/>
              <w:spacing w:line="360" w:lineRule="exact"/>
              <w:rPr>
                <w:rFonts w:ascii="宋体" w:hAnsi="宋体"/>
              </w:rPr>
            </w:pPr>
            <w:r>
              <w:rPr>
                <w:rFonts w:ascii="宋体" w:hAnsi="宋体"/>
              </w:rPr>
              <w:t>室内环境整洁；配电柜内外无杂物和污物；电缆沟线无积水；仪表指示灯显示正常。</w:t>
            </w:r>
          </w:p>
        </w:tc>
      </w:tr>
      <w:tr w14:paraId="34B8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31" w:type="pct"/>
            <w:noWrap/>
            <w:vAlign w:val="center"/>
          </w:tcPr>
          <w:p w14:paraId="7F53E049">
            <w:pPr>
              <w:spacing w:line="360" w:lineRule="exact"/>
              <w:jc w:val="center"/>
              <w:rPr>
                <w:rFonts w:ascii="宋体" w:hAnsi="宋体"/>
                <w:sz w:val="24"/>
              </w:rPr>
            </w:pPr>
            <w:r>
              <w:rPr>
                <w:rFonts w:ascii="宋体" w:hAnsi="宋体"/>
                <w:sz w:val="24"/>
              </w:rPr>
              <w:t>2</w:t>
            </w:r>
          </w:p>
        </w:tc>
        <w:tc>
          <w:tcPr>
            <w:tcW w:w="551" w:type="pct"/>
            <w:noWrap/>
            <w:vAlign w:val="center"/>
          </w:tcPr>
          <w:p w14:paraId="3292766E">
            <w:pPr>
              <w:spacing w:line="360" w:lineRule="exact"/>
              <w:jc w:val="center"/>
              <w:rPr>
                <w:rFonts w:ascii="宋体" w:hAnsi="宋体"/>
                <w:sz w:val="24"/>
              </w:rPr>
            </w:pPr>
            <w:r>
              <w:rPr>
                <w:rFonts w:ascii="宋体" w:hAnsi="宋体"/>
                <w:sz w:val="24"/>
              </w:rPr>
              <w:t>每周保养</w:t>
            </w:r>
          </w:p>
        </w:tc>
        <w:tc>
          <w:tcPr>
            <w:tcW w:w="1456" w:type="pct"/>
            <w:noWrap/>
            <w:vAlign w:val="center"/>
          </w:tcPr>
          <w:p w14:paraId="71A11939">
            <w:pPr>
              <w:spacing w:line="360" w:lineRule="exact"/>
              <w:rPr>
                <w:rFonts w:ascii="宋体" w:hAnsi="宋体"/>
                <w:sz w:val="24"/>
              </w:rPr>
            </w:pPr>
            <w:r>
              <w:rPr>
                <w:rFonts w:ascii="宋体" w:hAnsi="宋体"/>
                <w:sz w:val="24"/>
              </w:rPr>
              <w:t>检查配电元件和线路连接</w:t>
            </w:r>
          </w:p>
        </w:tc>
        <w:tc>
          <w:tcPr>
            <w:tcW w:w="2662" w:type="pct"/>
            <w:noWrap/>
            <w:vAlign w:val="center"/>
          </w:tcPr>
          <w:p w14:paraId="6B68F96C">
            <w:pPr>
              <w:spacing w:line="360" w:lineRule="exact"/>
              <w:rPr>
                <w:rFonts w:ascii="宋体" w:hAnsi="宋体"/>
                <w:sz w:val="24"/>
              </w:rPr>
            </w:pPr>
            <w:r>
              <w:rPr>
                <w:rFonts w:ascii="宋体" w:hAnsi="宋体"/>
                <w:sz w:val="24"/>
              </w:rPr>
              <w:t>元件和线路表面完好无损，压接良好。</w:t>
            </w:r>
          </w:p>
        </w:tc>
      </w:tr>
      <w:tr w14:paraId="4453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331" w:type="pct"/>
            <w:noWrap/>
            <w:vAlign w:val="center"/>
          </w:tcPr>
          <w:p w14:paraId="26ECEF8A">
            <w:pPr>
              <w:spacing w:line="360" w:lineRule="exact"/>
              <w:jc w:val="center"/>
              <w:rPr>
                <w:rFonts w:ascii="宋体" w:hAnsi="宋体"/>
                <w:sz w:val="24"/>
              </w:rPr>
            </w:pPr>
            <w:r>
              <w:rPr>
                <w:rFonts w:ascii="宋体" w:hAnsi="宋体"/>
                <w:sz w:val="24"/>
              </w:rPr>
              <w:t>3</w:t>
            </w:r>
          </w:p>
        </w:tc>
        <w:tc>
          <w:tcPr>
            <w:tcW w:w="551" w:type="pct"/>
            <w:noWrap/>
            <w:vAlign w:val="center"/>
          </w:tcPr>
          <w:p w14:paraId="2D58C7BE">
            <w:pPr>
              <w:spacing w:line="360" w:lineRule="exact"/>
              <w:jc w:val="center"/>
              <w:rPr>
                <w:rFonts w:ascii="宋体" w:hAnsi="宋体"/>
                <w:sz w:val="24"/>
              </w:rPr>
            </w:pPr>
            <w:r>
              <w:rPr>
                <w:rFonts w:ascii="宋体" w:hAnsi="宋体"/>
                <w:sz w:val="24"/>
              </w:rPr>
              <w:t>每月保养</w:t>
            </w:r>
          </w:p>
        </w:tc>
        <w:tc>
          <w:tcPr>
            <w:tcW w:w="1456" w:type="pct"/>
            <w:noWrap/>
            <w:vAlign w:val="center"/>
          </w:tcPr>
          <w:p w14:paraId="7261090E">
            <w:pPr>
              <w:spacing w:line="360" w:lineRule="exact"/>
              <w:rPr>
                <w:rFonts w:ascii="宋体" w:hAnsi="宋体"/>
                <w:sz w:val="24"/>
              </w:rPr>
            </w:pPr>
            <w:r>
              <w:rPr>
                <w:rFonts w:ascii="宋体" w:hAnsi="宋体"/>
                <w:sz w:val="24"/>
              </w:rPr>
              <w:t>检查井道内电缆、切换箱、T接箱和控制箱；检查变压器测温报警系统及通风系统。</w:t>
            </w:r>
          </w:p>
        </w:tc>
        <w:tc>
          <w:tcPr>
            <w:tcW w:w="2662" w:type="pct"/>
            <w:noWrap/>
            <w:vAlign w:val="center"/>
          </w:tcPr>
          <w:p w14:paraId="5116B32E">
            <w:pPr>
              <w:spacing w:line="360" w:lineRule="exact"/>
              <w:rPr>
                <w:rFonts w:ascii="宋体" w:hAnsi="宋体"/>
                <w:sz w:val="24"/>
              </w:rPr>
            </w:pPr>
            <w:r>
              <w:rPr>
                <w:rFonts w:ascii="宋体" w:hAnsi="宋体"/>
                <w:sz w:val="24"/>
              </w:rPr>
              <w:t>井道内清洁干燥；电缆表面完好，标号牌齐全，接地良好；各种控制箱应完好、清洁；操作良好</w:t>
            </w:r>
          </w:p>
        </w:tc>
      </w:tr>
      <w:tr w14:paraId="04DB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31" w:type="pct"/>
            <w:noWrap/>
            <w:vAlign w:val="center"/>
          </w:tcPr>
          <w:p w14:paraId="32FD0255">
            <w:pPr>
              <w:spacing w:line="360" w:lineRule="exact"/>
              <w:jc w:val="center"/>
              <w:rPr>
                <w:rFonts w:ascii="宋体" w:hAnsi="宋体"/>
                <w:sz w:val="24"/>
              </w:rPr>
            </w:pPr>
            <w:r>
              <w:rPr>
                <w:rFonts w:ascii="宋体" w:hAnsi="宋体"/>
                <w:sz w:val="24"/>
              </w:rPr>
              <w:t>4</w:t>
            </w:r>
          </w:p>
        </w:tc>
        <w:tc>
          <w:tcPr>
            <w:tcW w:w="551" w:type="pct"/>
            <w:noWrap/>
            <w:vAlign w:val="center"/>
          </w:tcPr>
          <w:p w14:paraId="5E986C55">
            <w:pPr>
              <w:spacing w:line="360" w:lineRule="exact"/>
              <w:jc w:val="center"/>
              <w:rPr>
                <w:rFonts w:ascii="宋体" w:hAnsi="宋体"/>
                <w:sz w:val="24"/>
              </w:rPr>
            </w:pPr>
            <w:r>
              <w:rPr>
                <w:rFonts w:ascii="宋体" w:hAnsi="宋体"/>
                <w:sz w:val="24"/>
              </w:rPr>
              <w:t>每季保养</w:t>
            </w:r>
          </w:p>
        </w:tc>
        <w:tc>
          <w:tcPr>
            <w:tcW w:w="1456" w:type="pct"/>
            <w:noWrap/>
            <w:vAlign w:val="center"/>
          </w:tcPr>
          <w:p w14:paraId="648E7E66">
            <w:pPr>
              <w:spacing w:line="360" w:lineRule="exact"/>
              <w:rPr>
                <w:rFonts w:ascii="宋体" w:hAnsi="宋体"/>
                <w:sz w:val="24"/>
              </w:rPr>
            </w:pPr>
            <w:r>
              <w:rPr>
                <w:rFonts w:ascii="宋体" w:hAnsi="宋体"/>
                <w:sz w:val="24"/>
              </w:rPr>
              <w:t>低压配电柜箱内元件检查、清洁（每二季一次）</w:t>
            </w:r>
          </w:p>
        </w:tc>
        <w:tc>
          <w:tcPr>
            <w:tcW w:w="2662" w:type="pct"/>
            <w:noWrap/>
            <w:vAlign w:val="center"/>
          </w:tcPr>
          <w:p w14:paraId="5E234469">
            <w:pPr>
              <w:spacing w:line="360" w:lineRule="exact"/>
              <w:rPr>
                <w:rFonts w:ascii="宋体" w:hAnsi="宋体"/>
                <w:sz w:val="24"/>
              </w:rPr>
            </w:pPr>
            <w:r>
              <w:rPr>
                <w:rFonts w:ascii="宋体" w:hAnsi="宋体"/>
                <w:sz w:val="24"/>
              </w:rPr>
              <w:t>柜内无灰尘污物，螺丝坚固</w:t>
            </w:r>
          </w:p>
        </w:tc>
      </w:tr>
      <w:tr w14:paraId="6FCE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331" w:type="pct"/>
            <w:noWrap/>
            <w:vAlign w:val="center"/>
          </w:tcPr>
          <w:p w14:paraId="3FB7C977">
            <w:pPr>
              <w:spacing w:line="360" w:lineRule="exact"/>
              <w:jc w:val="center"/>
              <w:rPr>
                <w:rFonts w:ascii="宋体" w:hAnsi="宋体"/>
                <w:sz w:val="24"/>
              </w:rPr>
            </w:pPr>
            <w:r>
              <w:rPr>
                <w:rFonts w:ascii="宋体" w:hAnsi="宋体"/>
                <w:sz w:val="24"/>
              </w:rPr>
              <w:t>5</w:t>
            </w:r>
          </w:p>
        </w:tc>
        <w:tc>
          <w:tcPr>
            <w:tcW w:w="551" w:type="pct"/>
            <w:noWrap/>
            <w:vAlign w:val="center"/>
          </w:tcPr>
          <w:p w14:paraId="292BCC0C">
            <w:pPr>
              <w:spacing w:line="360" w:lineRule="exact"/>
              <w:jc w:val="center"/>
              <w:rPr>
                <w:rFonts w:ascii="宋体" w:hAnsi="宋体"/>
                <w:sz w:val="24"/>
              </w:rPr>
            </w:pPr>
            <w:r>
              <w:rPr>
                <w:rFonts w:ascii="宋体" w:hAnsi="宋体"/>
                <w:sz w:val="24"/>
              </w:rPr>
              <w:t>每年保养</w:t>
            </w:r>
          </w:p>
        </w:tc>
        <w:tc>
          <w:tcPr>
            <w:tcW w:w="1456" w:type="pct"/>
            <w:noWrap/>
            <w:vAlign w:val="center"/>
          </w:tcPr>
          <w:p w14:paraId="7427D4BF">
            <w:pPr>
              <w:spacing w:line="360" w:lineRule="exact"/>
              <w:rPr>
                <w:rFonts w:ascii="宋体" w:hAnsi="宋体"/>
                <w:sz w:val="24"/>
              </w:rPr>
            </w:pPr>
            <w:r>
              <w:rPr>
                <w:rFonts w:ascii="宋体" w:hAnsi="宋体"/>
                <w:sz w:val="24"/>
              </w:rPr>
              <w:t>预防性试验（每二年一次）</w:t>
            </w:r>
          </w:p>
        </w:tc>
        <w:tc>
          <w:tcPr>
            <w:tcW w:w="2662" w:type="pct"/>
            <w:noWrap/>
            <w:vAlign w:val="center"/>
          </w:tcPr>
          <w:p w14:paraId="3D224CD5">
            <w:pPr>
              <w:spacing w:line="360" w:lineRule="exact"/>
              <w:rPr>
                <w:rFonts w:ascii="宋体" w:hAnsi="宋体"/>
                <w:sz w:val="24"/>
              </w:rPr>
            </w:pPr>
            <w:r>
              <w:rPr>
                <w:rFonts w:ascii="宋体" w:hAnsi="宋体"/>
                <w:sz w:val="24"/>
              </w:rPr>
              <w:t>参照GB50150-91标准要求</w:t>
            </w:r>
          </w:p>
        </w:tc>
      </w:tr>
    </w:tbl>
    <w:p w14:paraId="0D2028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（六）保安岗位额定人数、服务规范及职责</w:t>
      </w:r>
    </w:p>
    <w:p w14:paraId="2A33D1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1.保安岗位额定人数：不少于22人(包括门口值班保安)。保安员年龄不超过</w:t>
      </w:r>
      <w:r>
        <w:rPr>
          <w:rFonts w:hint="eastAsia" w:ascii="宋体" w:hAnsi="宋体"/>
          <w:sz w:val="24"/>
          <w:lang w:val="en-US" w:eastAsia="zh-CN"/>
        </w:rPr>
        <w:t>55</w:t>
      </w:r>
      <w:r>
        <w:rPr>
          <w:rFonts w:hint="eastAsia" w:ascii="宋体" w:hAnsi="宋体"/>
          <w:sz w:val="24"/>
        </w:rPr>
        <w:t>周岁。中标后，保安人员应按有关规定持保安证上岗，在岗人员要求全部持有上岗证，新招聘人员要求有1个月内取得上岗证。其中含消防员至少6人，须同时持消防职业资格证书（工种：建（构）筑物消防员）上岗。相应培训费用由中标单位负责。其中包含至少6名消防员，投标时须提供6名消防员的消防职业资格证书（工种：建（构）筑物消防员）。</w:t>
      </w:r>
      <w:r>
        <w:rPr>
          <w:rFonts w:ascii="宋体" w:hAnsi="宋体"/>
          <w:b/>
          <w:bCs/>
          <w:sz w:val="24"/>
        </w:rPr>
        <w:t>消控中心需24小时值班，按消防规范持消防设施操作员证或建（构）筑物消防员</w:t>
      </w:r>
      <w:r>
        <w:rPr>
          <w:rFonts w:hint="eastAsia" w:ascii="宋体" w:hAnsi="宋体"/>
          <w:b/>
          <w:bCs/>
          <w:sz w:val="24"/>
        </w:rPr>
        <w:t>证</w:t>
      </w:r>
      <w:r>
        <w:rPr>
          <w:rFonts w:ascii="宋体" w:hAnsi="宋体"/>
          <w:b/>
          <w:bCs/>
          <w:sz w:val="24"/>
        </w:rPr>
        <w:t>上岗</w:t>
      </w:r>
      <w:r>
        <w:rPr>
          <w:rFonts w:hint="eastAsia" w:ascii="宋体" w:hAnsi="宋体"/>
          <w:b/>
          <w:bCs/>
          <w:sz w:val="24"/>
        </w:rPr>
        <w:t>（</w:t>
      </w:r>
      <w:r>
        <w:rPr>
          <w:rFonts w:hint="eastAsia" w:ascii="宋体" w:hAnsi="宋体"/>
          <w:b/>
          <w:bCs/>
          <w:sz w:val="24"/>
          <w:u w:val="single"/>
        </w:rPr>
        <w:t>投标时提供相关证件的扫描件</w:t>
      </w:r>
      <w:r>
        <w:rPr>
          <w:rFonts w:hint="eastAsia" w:ascii="宋体" w:hAnsi="宋体"/>
          <w:b/>
          <w:bCs/>
          <w:sz w:val="24"/>
        </w:rPr>
        <w:t>）</w:t>
      </w:r>
      <w:r>
        <w:rPr>
          <w:rFonts w:ascii="宋体" w:hAnsi="宋体"/>
          <w:b/>
          <w:bCs/>
          <w:sz w:val="24"/>
        </w:rPr>
        <w:t>，并且在合同期间消控中心人员要求是固定的专职人员，不得随意更换。</w:t>
      </w:r>
    </w:p>
    <w:p w14:paraId="5CDF20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2.保安岗位服务规范及职责</w:t>
      </w:r>
    </w:p>
    <w:p w14:paraId="7D4471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2.1.大楼实行24小时值班巡逻服务。大门24小时有人值班，大院、大楼24小时有人巡逻，大厅工作时间有人值班，治安管理人员统一制服，工作规范，作风严谨。</w:t>
      </w:r>
    </w:p>
    <w:p w14:paraId="0F1917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2.2.认真做好大楼进出人员登记工作，关做好交接工作。</w:t>
      </w:r>
    </w:p>
    <w:p w14:paraId="6FE5DB7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2.3.注意可疑人员所携带物品，仔细询问，发现情况及时汇报。</w:t>
      </w:r>
    </w:p>
    <w:p w14:paraId="441B32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2.4.维护大门秩序，保持道路畅通；来车时主动上前，引导车辆有序停放，保持道路畅通；送发各种报刊杂志，将其及时正确无误地送到发放点。</w:t>
      </w:r>
    </w:p>
    <w:p w14:paraId="4DCBC2B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2.5.巡逻人员要定时定点查看，对重要部门、要害部位要勤查看，做好巡更记录。节假日、夜间巡逻时，增加巡逻次数。</w:t>
      </w:r>
    </w:p>
    <w:p w14:paraId="017769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2.6.巡逻时要注意发现可疑人员及可疑情况，发现反常或意外情况，除及时向领导报告外，要采取必要措施以防止火灾事故及破坏行为的发生。发现偷盗、闹事、斗殴、凶杀、放火、投毒、爆炸等犯罪分子，要坚决果断地采取措施，力争抓获犯罪分子。</w:t>
      </w:r>
    </w:p>
    <w:p w14:paraId="7091D5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2.7.若发现盗窃、凶案、火灾、投毒、损毁财物，以及一切有现场的案件或事件，要妥善保护好现场，迅速上报并积极协助调查。</w:t>
      </w:r>
    </w:p>
    <w:p w14:paraId="33B06C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2.8.巡逻人员应熟练掌握灭火常识，会使用消防器材，对初起火灾能及时扑灭。</w:t>
      </w:r>
    </w:p>
    <w:p w14:paraId="3C109A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2.9.北苑广场地下停车场保安值班时间保证在13个小时以上。</w:t>
      </w:r>
    </w:p>
    <w:p w14:paraId="45B9AB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（六）总体要求：</w:t>
      </w:r>
    </w:p>
    <w:p w14:paraId="4EF9F1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1.房屋及公共配套设施完好率100%。</w:t>
      </w:r>
    </w:p>
    <w:p w14:paraId="219D5B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2.管理区域内无重大火灾、刑事和交通事故。</w:t>
      </w:r>
    </w:p>
    <w:p w14:paraId="5A0A0AA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3.管理区域内卫生、消毒满意率达100%。</w:t>
      </w:r>
    </w:p>
    <w:p w14:paraId="207B3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4.房屋及日常设备零修、急修及时率达100%。</w:t>
      </w:r>
    </w:p>
    <w:p w14:paraId="1467EC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5.进出人员登记制度落实到位。</w:t>
      </w:r>
    </w:p>
    <w:p w14:paraId="0401A9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6.车辆管理有序，保证行车和车辆安全。</w:t>
      </w:r>
    </w:p>
    <w:p w14:paraId="7937159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rPr>
      </w:pPr>
      <w:r>
        <w:rPr>
          <w:rFonts w:hint="eastAsia" w:ascii="宋体" w:hAnsi="宋体"/>
          <w:sz w:val="24"/>
        </w:rPr>
        <w:t>7通过义乌市及上级相关部门组织的物业、消防、除四害、雨污分流等有关考核工作。</w:t>
      </w:r>
    </w:p>
    <w:bookmarkEnd w:id="43"/>
    <w:bookmarkEnd w:id="44"/>
    <w:bookmarkEnd w:id="45"/>
    <w:bookmarkEnd w:id="46"/>
    <w:p w14:paraId="5EEE9EE2">
      <w:pPr>
        <w:pStyle w:val="6"/>
        <w:numPr>
          <w:ilvl w:val="0"/>
          <w:numId w:val="0"/>
        </w:numPr>
        <w:spacing w:before="120" w:after="120" w:line="400" w:lineRule="exact"/>
        <w:ind w:leftChars="0"/>
        <w:rPr>
          <w:rFonts w:hint="eastAsia" w:ascii="新宋体" w:hAnsi="新宋体" w:eastAsia="新宋体" w:cs="新宋体"/>
          <w:b/>
          <w:bCs/>
          <w:color w:val="auto"/>
          <w:sz w:val="24"/>
          <w:szCs w:val="24"/>
          <w:highlight w:val="none"/>
          <w:lang w:val="en-US" w:eastAsia="zh-CN"/>
        </w:rPr>
      </w:pPr>
      <w:bookmarkStart w:id="48" w:name="_Toc29985"/>
      <w:r>
        <w:rPr>
          <w:rFonts w:hint="eastAsia" w:ascii="新宋体" w:hAnsi="新宋体" w:eastAsia="新宋体" w:cs="新宋体"/>
          <w:b/>
          <w:bCs/>
          <w:color w:val="auto"/>
          <w:sz w:val="24"/>
          <w:szCs w:val="24"/>
          <w:highlight w:val="none"/>
          <w:lang w:val="en-US" w:eastAsia="zh-CN"/>
        </w:rPr>
        <w:t>五、商务要求</w:t>
      </w:r>
    </w:p>
    <w:p w14:paraId="3318104A">
      <w:pPr>
        <w:spacing w:line="400" w:lineRule="exact"/>
        <w:ind w:firstLine="480" w:firstLineChars="200"/>
        <w:rPr>
          <w:rFonts w:hint="eastAsia" w:ascii="宋体" w:hAnsi="宋体" w:eastAsia="宋体" w:cs="宋体"/>
          <w:b/>
          <w:bCs/>
          <w:color w:val="auto"/>
          <w:kern w:val="2"/>
          <w:sz w:val="24"/>
          <w:szCs w:val="24"/>
          <w:highlight w:val="none"/>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val="zh-CN" w:eastAsia="zh-CN"/>
        </w:rPr>
        <w:t>）服务期限及合同续签</w:t>
      </w:r>
    </w:p>
    <w:p w14:paraId="1EC92B9D">
      <w:pPr>
        <w:spacing w:line="380" w:lineRule="exact"/>
        <w:ind w:firstLine="480" w:firstLineChars="200"/>
        <w:rPr>
          <w:rFonts w:hint="eastAsia" w:ascii="宋体" w:hAnsi="宋体" w:eastAsia="宋体" w:cs="宋体"/>
          <w:b w:val="0"/>
          <w:bCs w:val="0"/>
          <w:kern w:val="2"/>
          <w:sz w:val="24"/>
          <w:szCs w:val="24"/>
          <w:shd w:val="clear" w:color="auto" w:fill="auto"/>
          <w:lang w:val="en-US" w:eastAsia="zh-CN" w:bidi="ar-SA"/>
        </w:rPr>
      </w:pPr>
      <w:r>
        <w:rPr>
          <w:rFonts w:hint="eastAsia" w:ascii="宋体" w:hAnsi="宋体" w:eastAsia="宋体" w:cs="宋体"/>
          <w:b w:val="0"/>
          <w:bCs w:val="0"/>
          <w:kern w:val="2"/>
          <w:sz w:val="24"/>
          <w:szCs w:val="24"/>
          <w:shd w:val="clear" w:color="auto" w:fill="auto"/>
          <w:lang w:val="en-US" w:eastAsia="zh-CN" w:bidi="ar-SA"/>
        </w:rPr>
        <w:t>1.合同期限：一年。合同期执行期间，采购人对中标方每月进行满意度考核测评（考核标准见附件：行政五号楼物业管理服务考核标准及奖惩办法）。甲方可与在十二个月的考核成绩平均分达到85分及以上的乙方续签合同。如续签，则最多续签2次且每次续签合同期限为1年，全部合同累计时间最长3年。同时新一期的承包合同服务要求与上一期相同，且一年的承包总价不高于上一年的承包总价，费用结算方式与上一期合同一致。</w:t>
      </w:r>
    </w:p>
    <w:p w14:paraId="3DDBBF5E">
      <w:pPr>
        <w:pageBreakBefore w:val="0"/>
        <w:widowControl/>
        <w:kinsoku/>
        <w:wordWrap/>
        <w:overflowPunct/>
        <w:topLinePunct w:val="0"/>
        <w:autoSpaceDE/>
        <w:autoSpaceDN/>
        <w:bidi w:val="0"/>
        <w:adjustRightInd/>
        <w:spacing w:line="360" w:lineRule="exact"/>
        <w:ind w:firstLine="480" w:firstLineChars="200"/>
        <w:jc w:val="left"/>
        <w:textAlignment w:val="auto"/>
        <w:rPr>
          <w:rFonts w:hint="eastAsia" w:ascii="宋体" w:hAnsi="宋体" w:eastAsia="宋体" w:cs="仿宋_GB2312"/>
          <w:sz w:val="24"/>
          <w:lang w:val="zh-CN" w:eastAsia="zh-CN"/>
        </w:rPr>
      </w:pPr>
      <w:r>
        <w:rPr>
          <w:rFonts w:hint="eastAsia" w:ascii="宋体" w:hAnsi="宋体" w:eastAsia="宋体" w:cs="仿宋_GB2312"/>
          <w:sz w:val="24"/>
          <w:lang w:val="zh-CN" w:eastAsia="zh-CN"/>
        </w:rPr>
        <w:t>（</w:t>
      </w:r>
      <w:r>
        <w:rPr>
          <w:rFonts w:hint="eastAsia" w:ascii="宋体" w:hAnsi="宋体" w:eastAsia="宋体" w:cs="仿宋_GB2312"/>
          <w:sz w:val="24"/>
          <w:lang w:val="en-US" w:eastAsia="zh-CN"/>
        </w:rPr>
        <w:t>二</w:t>
      </w:r>
      <w:r>
        <w:rPr>
          <w:rFonts w:hint="eastAsia" w:ascii="宋体" w:hAnsi="宋体" w:eastAsia="宋体" w:cs="仿宋_GB2312"/>
          <w:sz w:val="24"/>
          <w:lang w:val="zh-CN" w:eastAsia="zh-CN"/>
        </w:rPr>
        <w:t>）验收标准</w:t>
      </w:r>
    </w:p>
    <w:p w14:paraId="0F1EE8F6">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国标宋体" w:hAnsi="国标宋体" w:eastAsia="国标宋体" w:cs="国标宋体"/>
          <w:sz w:val="24"/>
          <w:szCs w:val="24"/>
        </w:rPr>
      </w:pPr>
      <w:r>
        <w:rPr>
          <w:rFonts w:hint="eastAsia" w:ascii="国标宋体" w:hAnsi="国标宋体" w:eastAsia="国标宋体" w:cs="国标宋体"/>
          <w:sz w:val="24"/>
          <w:szCs w:val="24"/>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采购人可以邀请参加本项目的其他供应商或者第三方机构参与验收。参与验收的供应商或者第三方机构的意见作为验收书的参考资料一并存档。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6208EEF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国标宋体" w:hAnsi="国标宋体" w:eastAsia="国标宋体" w:cs="国标宋体"/>
          <w:sz w:val="24"/>
        </w:rPr>
      </w:pPr>
      <w:r>
        <w:rPr>
          <w:rFonts w:hint="eastAsia" w:ascii="国标宋体" w:hAnsi="国标宋体" w:eastAsia="国标宋体" w:cs="国标宋体"/>
          <w:sz w:val="24"/>
          <w:szCs w:val="24"/>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E140A76">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zh-CN" w:eastAsia="zh-CN" w:bidi="ar-SA"/>
        </w:rPr>
      </w:pPr>
      <w:r>
        <w:rPr>
          <w:rFonts w:hint="eastAsia" w:ascii="宋体" w:hAnsi="宋体" w:eastAsia="宋体" w:cs="Times New Roman"/>
          <w:b w:val="0"/>
          <w:bCs w:val="0"/>
          <w:color w:val="000000"/>
          <w:kern w:val="2"/>
          <w:sz w:val="24"/>
          <w:szCs w:val="24"/>
          <w:shd w:val="clear" w:color="auto" w:fill="auto"/>
          <w:lang w:val="zh-CN" w:eastAsia="zh-CN" w:bidi="ar-SA"/>
        </w:rPr>
        <w:t>（</w:t>
      </w:r>
      <w:r>
        <w:rPr>
          <w:rFonts w:hint="eastAsia" w:ascii="宋体" w:hAnsi="宋体" w:eastAsia="宋体" w:cs="Times New Roman"/>
          <w:b w:val="0"/>
          <w:bCs w:val="0"/>
          <w:color w:val="000000"/>
          <w:kern w:val="2"/>
          <w:sz w:val="24"/>
          <w:szCs w:val="24"/>
          <w:shd w:val="clear" w:color="auto" w:fill="auto"/>
          <w:lang w:val="en-US" w:eastAsia="zh-CN" w:bidi="ar-SA"/>
        </w:rPr>
        <w:t>三</w:t>
      </w:r>
      <w:r>
        <w:rPr>
          <w:rFonts w:hint="eastAsia" w:ascii="宋体" w:hAnsi="宋体" w:eastAsia="宋体" w:cs="Times New Roman"/>
          <w:b w:val="0"/>
          <w:bCs w:val="0"/>
          <w:color w:val="000000"/>
          <w:kern w:val="2"/>
          <w:sz w:val="24"/>
          <w:szCs w:val="24"/>
          <w:shd w:val="clear" w:color="auto" w:fill="auto"/>
          <w:lang w:val="zh-CN" w:eastAsia="zh-CN" w:bidi="ar-SA"/>
        </w:rPr>
        <w:t>）结算和付款方式：</w:t>
      </w:r>
    </w:p>
    <w:p w14:paraId="343BDB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Times New Roman"/>
          <w:color w:val="000000"/>
          <w:spacing w:val="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zh-CN" w:eastAsia="zh-CN" w:bidi="ar-SA"/>
        </w:rPr>
        <w:t>1.</w:t>
      </w:r>
      <w:r>
        <w:rPr>
          <w:rFonts w:hint="eastAsia" w:ascii="宋体" w:hAnsi="宋体" w:eastAsia="宋体" w:cs="Times New Roman"/>
          <w:color w:val="000000"/>
          <w:spacing w:val="0"/>
          <w:kern w:val="2"/>
          <w:sz w:val="24"/>
          <w:szCs w:val="24"/>
          <w:shd w:val="clear" w:color="auto" w:fill="auto"/>
          <w:lang w:val="en-US" w:eastAsia="zh-CN" w:bidi="ar-SA"/>
        </w:rPr>
        <w:t>在合同生效以及具备实施条件后7日内，甲方向乙方支付合同总价的40%作为预付款，剩余款项自项目履约开始在考核合格后由甲方于每月20日支付前根据考核情况和实际到岗人数按照剩余合同款平均数（计数12个月）支付上月费用，在签订合同时，乙方明确标书无需预付款或者主动要求降低预付款比例的，甲方可不支付或减少预付款支付比例。</w:t>
      </w:r>
    </w:p>
    <w:p w14:paraId="45F0429F">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zh-CN" w:eastAsia="zh-CN" w:bidi="ar-SA"/>
        </w:rPr>
        <w:t>2.</w:t>
      </w:r>
      <w:r>
        <w:rPr>
          <w:rFonts w:hint="eastAsia" w:ascii="宋体" w:hAnsi="宋体" w:eastAsia="宋体" w:cs="Times New Roman"/>
          <w:b w:val="0"/>
          <w:bCs w:val="0"/>
          <w:color w:val="000000"/>
          <w:kern w:val="2"/>
          <w:sz w:val="24"/>
          <w:szCs w:val="24"/>
          <w:shd w:val="clear" w:color="auto" w:fill="auto"/>
          <w:lang w:val="en-US" w:eastAsia="zh-CN" w:bidi="ar-SA"/>
        </w:rPr>
        <w:t>剩余的合同款项按月平均支付，甲</w:t>
      </w:r>
      <w:r>
        <w:rPr>
          <w:rFonts w:hint="eastAsia" w:ascii="宋体" w:hAnsi="宋体" w:eastAsia="宋体" w:cs="Times New Roman"/>
          <w:b w:val="0"/>
          <w:bCs w:val="0"/>
          <w:color w:val="auto"/>
          <w:kern w:val="2"/>
          <w:sz w:val="24"/>
          <w:szCs w:val="24"/>
          <w:shd w:val="clear" w:color="auto" w:fill="auto"/>
          <w:lang w:val="en-US" w:eastAsia="zh-CN" w:bidi="ar-SA"/>
        </w:rPr>
        <w:t>方每月对乙方进行考核，考核后对乙方实施的奖、罚金额纳入当月服务费结算。甲方根据合同按月支付服务费（如有预付款，预付款抵扣采购人实际支付金额），在次月凭乙方开具的正规发票，甲方收到发票7个工作日内，经甲方确定无误后支付。</w:t>
      </w:r>
      <w:r>
        <w:rPr>
          <w:rFonts w:hint="eastAsia" w:ascii="宋体" w:hAnsi="宋体" w:eastAsia="宋体" w:cs="Times New Roman"/>
          <w:b w:val="0"/>
          <w:bCs w:val="0"/>
          <w:color w:val="000000"/>
          <w:kern w:val="2"/>
          <w:sz w:val="24"/>
          <w:szCs w:val="24"/>
          <w:shd w:val="clear" w:color="auto" w:fill="auto"/>
          <w:lang w:val="en-US" w:eastAsia="zh-CN" w:bidi="ar-SA"/>
        </w:rPr>
        <w:t>计算办法：中标价÷12±考核奖罚金额-预付款（如有）＝实际支付金额。</w:t>
      </w:r>
    </w:p>
    <w:p w14:paraId="708144FD">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en-US" w:eastAsia="zh-CN" w:bidi="ar-SA"/>
        </w:rPr>
        <w:t>如提前解除合同，乙方须退回甲方提前支付的剩余预付款。</w:t>
      </w:r>
    </w:p>
    <w:p w14:paraId="6F3C6228">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zh-CN" w:eastAsia="zh-CN" w:bidi="ar-SA"/>
        </w:rPr>
        <w:t>（</w:t>
      </w:r>
      <w:r>
        <w:rPr>
          <w:rFonts w:hint="eastAsia" w:ascii="宋体" w:hAnsi="宋体" w:eastAsia="宋体" w:cs="Times New Roman"/>
          <w:b w:val="0"/>
          <w:bCs w:val="0"/>
          <w:color w:val="000000"/>
          <w:kern w:val="2"/>
          <w:sz w:val="24"/>
          <w:szCs w:val="24"/>
          <w:shd w:val="clear" w:color="auto" w:fill="auto"/>
          <w:lang w:val="en-US" w:eastAsia="zh-CN" w:bidi="ar-SA"/>
        </w:rPr>
        <w:t>四</w:t>
      </w:r>
      <w:r>
        <w:rPr>
          <w:rFonts w:hint="eastAsia" w:ascii="宋体" w:hAnsi="宋体" w:eastAsia="宋体" w:cs="Times New Roman"/>
          <w:b w:val="0"/>
          <w:bCs w:val="0"/>
          <w:color w:val="000000"/>
          <w:kern w:val="2"/>
          <w:sz w:val="24"/>
          <w:szCs w:val="24"/>
          <w:shd w:val="clear" w:color="auto" w:fill="auto"/>
          <w:lang w:val="zh-CN" w:eastAsia="zh-CN" w:bidi="ar-SA"/>
        </w:rPr>
        <w:t>）</w:t>
      </w:r>
      <w:r>
        <w:rPr>
          <w:rFonts w:hint="eastAsia" w:ascii="宋体" w:hAnsi="宋体" w:eastAsia="宋体" w:cs="Times New Roman"/>
          <w:b w:val="0"/>
          <w:bCs w:val="0"/>
          <w:color w:val="000000"/>
          <w:kern w:val="2"/>
          <w:sz w:val="24"/>
          <w:szCs w:val="24"/>
          <w:shd w:val="clear" w:color="auto" w:fill="auto"/>
          <w:lang w:val="en-US" w:eastAsia="zh-CN" w:bidi="ar-SA"/>
        </w:rPr>
        <w:t>其他要求</w:t>
      </w:r>
    </w:p>
    <w:p w14:paraId="2BF176CF">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bookmarkStart w:id="49" w:name="_Toc503535430"/>
      <w:bookmarkStart w:id="50" w:name="_Toc14382"/>
      <w:r>
        <w:rPr>
          <w:rFonts w:hint="eastAsia" w:ascii="宋体" w:hAnsi="宋体" w:eastAsia="宋体" w:cs="Times New Roman"/>
          <w:b w:val="0"/>
          <w:bCs w:val="0"/>
          <w:color w:val="000000"/>
          <w:kern w:val="2"/>
          <w:sz w:val="24"/>
          <w:szCs w:val="24"/>
          <w:shd w:val="clear" w:color="auto" w:fill="auto"/>
          <w:lang w:val="en-US" w:eastAsia="zh-CN" w:bidi="ar-SA"/>
        </w:rPr>
        <w:t>1.中标人在签订合同时，若坚持提出附加条件和不合理要求，中标资格将被取消，该中标人对由此产生的一切后果负责。</w:t>
      </w:r>
    </w:p>
    <w:p w14:paraId="7EB0BF84">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en-US" w:eastAsia="zh-CN" w:bidi="ar-SA"/>
        </w:rPr>
        <w:t>2.投标人可进行现场考察，以获取有关投标文件、签署合同所需的资料。招标方不组织集中考察，由各供应商自行安排，但必须在开标前进行。考察的各种费用由供应商负责。</w:t>
      </w:r>
    </w:p>
    <w:p w14:paraId="2830DC28">
      <w:pPr>
        <w:pStyle w:val="6"/>
        <w:pageBreakBefore w:val="0"/>
        <w:widowControl w:val="0"/>
        <w:kinsoku/>
        <w:wordWrap/>
        <w:overflowPunct/>
        <w:topLinePunct w:val="0"/>
        <w:autoSpaceDE/>
        <w:autoSpaceDN/>
        <w:bidi w:val="0"/>
        <w:adjustRightInd/>
        <w:spacing w:before="0" w:after="0" w:line="360" w:lineRule="exact"/>
        <w:jc w:val="both"/>
        <w:textAlignment w:val="auto"/>
        <w:rPr>
          <w:rFonts w:hint="eastAsia" w:ascii="宋体" w:hAnsi="宋体" w:eastAsia="宋体"/>
          <w:color w:val="000000"/>
          <w:sz w:val="24"/>
          <w:szCs w:val="24"/>
          <w:highlight w:val="none"/>
          <w:lang w:eastAsia="zh-CN"/>
        </w:rPr>
      </w:pPr>
      <w:bookmarkStart w:id="51" w:name="_Toc3757"/>
      <w:bookmarkStart w:id="52" w:name="_Toc25042"/>
      <w:bookmarkStart w:id="53" w:name="_Toc1384"/>
      <w:bookmarkStart w:id="54" w:name="_Toc17876"/>
      <w:r>
        <w:rPr>
          <w:rFonts w:hint="eastAsia" w:ascii="宋体" w:hAnsi="宋体" w:eastAsia="宋体"/>
          <w:color w:val="000000"/>
          <w:sz w:val="24"/>
          <w:szCs w:val="24"/>
          <w:highlight w:val="none"/>
          <w:lang w:val="en-US" w:eastAsia="zh-CN"/>
        </w:rPr>
        <w:t>五、</w:t>
      </w:r>
      <w:r>
        <w:rPr>
          <w:rFonts w:hint="eastAsia" w:ascii="宋体" w:hAnsi="宋体" w:eastAsia="宋体" w:cs="Times New Roman"/>
          <w:b/>
          <w:bCs/>
          <w:color w:val="000000"/>
          <w:sz w:val="24"/>
          <w:szCs w:val="24"/>
          <w:highlight w:val="none"/>
          <w:lang w:val="en-US" w:eastAsia="zh-CN"/>
        </w:rPr>
        <w:t>对中标方的要求</w:t>
      </w:r>
      <w:bookmarkEnd w:id="49"/>
      <w:bookmarkEnd w:id="50"/>
      <w:bookmarkEnd w:id="51"/>
      <w:bookmarkEnd w:id="52"/>
      <w:bookmarkEnd w:id="53"/>
      <w:bookmarkEnd w:id="54"/>
    </w:p>
    <w:p w14:paraId="6909175D">
      <w:pPr>
        <w:pStyle w:val="2"/>
        <w:pageBreakBefore w:val="0"/>
        <w:kinsoku/>
        <w:wordWrap/>
        <w:overflowPunct/>
        <w:topLinePunct w:val="0"/>
        <w:autoSpaceDE/>
        <w:autoSpaceDN/>
        <w:bidi w:val="0"/>
        <w:adjustRightInd/>
        <w:spacing w:after="0" w:line="360" w:lineRule="exact"/>
        <w:ind w:left="0" w:leftChars="0" w:firstLine="480"/>
        <w:textAlignment w:val="auto"/>
        <w:rPr>
          <w:rFonts w:hint="eastAsia" w:ascii="宋体" w:hAnsi="宋体" w:eastAsia="宋体" w:cs="Times New Roman"/>
          <w:b w:val="0"/>
          <w:bCs w:val="0"/>
          <w:color w:val="000000"/>
          <w:kern w:val="2"/>
          <w:sz w:val="24"/>
          <w:szCs w:val="24"/>
          <w:shd w:val="clear" w:color="auto" w:fill="auto"/>
          <w:lang w:val="en-US" w:eastAsia="zh-CN" w:bidi="ar-SA"/>
        </w:rPr>
      </w:pPr>
      <w:r>
        <w:rPr>
          <w:rFonts w:hint="eastAsia" w:ascii="宋体" w:hAnsi="宋体" w:eastAsia="宋体" w:cs="Times New Roman"/>
          <w:b w:val="0"/>
          <w:bCs w:val="0"/>
          <w:color w:val="000000"/>
          <w:kern w:val="2"/>
          <w:sz w:val="24"/>
          <w:szCs w:val="24"/>
          <w:shd w:val="clear" w:color="auto" w:fill="auto"/>
          <w:lang w:val="en-US" w:eastAsia="zh-CN" w:bidi="ar-SA"/>
        </w:rPr>
        <w:t>中标方在签订合同之前须根据《国务院物业管理条例》和省、市物业管理方面的法律法规，充分考虑实际服务内容，制订出详细的物业管理方案，包括本项目人员配备等详细的服务方案，并将该方案报采购人审定后执行。</w:t>
      </w:r>
    </w:p>
    <w:p w14:paraId="5C6B64CD">
      <w:pPr>
        <w:pStyle w:val="6"/>
        <w:pageBreakBefore w:val="0"/>
        <w:kinsoku/>
        <w:wordWrap/>
        <w:overflowPunct/>
        <w:topLinePunct w:val="0"/>
        <w:autoSpaceDE/>
        <w:autoSpaceDN/>
        <w:bidi w:val="0"/>
        <w:adjustRightInd/>
        <w:spacing w:before="120" w:after="120" w:line="360" w:lineRule="exact"/>
        <w:textAlignment w:val="auto"/>
        <w:rPr>
          <w:rFonts w:ascii="新宋体" w:hAnsi="新宋体" w:eastAsia="新宋体" w:cs="新宋体"/>
          <w:color w:val="auto"/>
          <w:sz w:val="24"/>
          <w:szCs w:val="24"/>
          <w:highlight w:val="none"/>
        </w:rPr>
      </w:pPr>
      <w:bookmarkStart w:id="55" w:name="_Toc17014"/>
      <w:bookmarkStart w:id="56" w:name="_Toc39154079"/>
      <w:bookmarkStart w:id="57" w:name="_Toc28254"/>
      <w:bookmarkStart w:id="58" w:name="_Toc464825737"/>
      <w:bookmarkStart w:id="59" w:name="_Toc12645"/>
      <w:bookmarkStart w:id="60" w:name="_Toc7512737"/>
      <w:bookmarkStart w:id="61" w:name="_Toc20343"/>
      <w:r>
        <w:rPr>
          <w:rFonts w:hint="eastAsia" w:ascii="新宋体" w:hAnsi="新宋体" w:eastAsia="新宋体" w:cs="新宋体"/>
          <w:color w:val="auto"/>
          <w:sz w:val="24"/>
          <w:szCs w:val="24"/>
          <w:highlight w:val="none"/>
          <w:lang w:val="en-US" w:eastAsia="zh-CN"/>
        </w:rPr>
        <w:t>六</w:t>
      </w:r>
      <w:r>
        <w:rPr>
          <w:rFonts w:hint="eastAsia" w:ascii="新宋体" w:hAnsi="新宋体" w:eastAsia="新宋体" w:cs="新宋体"/>
          <w:color w:val="auto"/>
          <w:sz w:val="24"/>
          <w:szCs w:val="24"/>
          <w:highlight w:val="none"/>
        </w:rPr>
        <w:t>、特别说明</w:t>
      </w:r>
      <w:bookmarkEnd w:id="55"/>
      <w:bookmarkEnd w:id="56"/>
      <w:bookmarkEnd w:id="57"/>
      <w:bookmarkEnd w:id="58"/>
      <w:bookmarkEnd w:id="59"/>
      <w:bookmarkEnd w:id="60"/>
      <w:bookmarkEnd w:id="61"/>
    </w:p>
    <w:p w14:paraId="639BDE62">
      <w:pPr>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仿宋_GB2312"/>
          <w:sz w:val="24"/>
          <w:lang w:val="zh-CN" w:eastAsia="zh-CN"/>
        </w:rPr>
      </w:pPr>
      <w:r>
        <w:rPr>
          <w:rFonts w:hint="eastAsia" w:ascii="新宋体" w:hAnsi="新宋体" w:eastAsia="新宋体"/>
          <w:color w:val="auto"/>
          <w:szCs w:val="21"/>
          <w:highlight w:val="none"/>
        </w:rPr>
        <w:t>★</w:t>
      </w:r>
      <w:r>
        <w:rPr>
          <w:rFonts w:hint="eastAsia" w:ascii="宋体" w:hAnsi="宋体" w:eastAsia="宋体" w:cs="仿宋_GB2312"/>
          <w:sz w:val="24"/>
          <w:lang w:val="en-US" w:eastAsia="zh-CN"/>
        </w:rPr>
        <w:t>1</w:t>
      </w:r>
      <w:r>
        <w:rPr>
          <w:rFonts w:hint="eastAsia" w:ascii="宋体" w:hAnsi="宋体" w:eastAsia="宋体" w:cs="仿宋_GB2312"/>
          <w:sz w:val="24"/>
          <w:lang w:val="zh-CN" w:eastAsia="zh-CN"/>
        </w:rPr>
        <w:t>.本项目设有</w:t>
      </w:r>
      <w:r>
        <w:rPr>
          <w:rFonts w:hint="eastAsia" w:ascii="宋体" w:hAnsi="宋体" w:eastAsia="宋体" w:cs="仿宋_GB2312"/>
          <w:sz w:val="24"/>
          <w:lang w:val="en-US" w:eastAsia="zh-CN"/>
        </w:rPr>
        <w:t>一</w:t>
      </w:r>
      <w:r>
        <w:rPr>
          <w:rFonts w:hint="eastAsia" w:ascii="宋体" w:hAnsi="宋体" w:eastAsia="宋体" w:cs="仿宋_GB2312"/>
          <w:sz w:val="24"/>
          <w:lang w:val="zh-CN" w:eastAsia="zh-CN"/>
        </w:rPr>
        <w:t>个标项，对于同一标段内的产品或服务不允许拆分参投，否则其投标无效。</w:t>
      </w:r>
    </w:p>
    <w:p w14:paraId="3D88904B">
      <w:pPr>
        <w:widowControl w:val="0"/>
        <w:spacing w:line="600" w:lineRule="exact"/>
        <w:jc w:val="both"/>
        <w:rPr>
          <w:rFonts w:hint="eastAsia" w:ascii="方正小标宋简体" w:hAnsi="Calibri" w:eastAsia="方正小标宋简体" w:cs="Times New Roman"/>
          <w:color w:val="auto"/>
          <w:kern w:val="1"/>
          <w:sz w:val="28"/>
          <w:szCs w:val="28"/>
          <w:highlight w:val="none"/>
          <w:lang w:val="en-US" w:eastAsia="zh-CN"/>
        </w:rPr>
      </w:pPr>
      <w:r>
        <w:rPr>
          <w:rFonts w:hint="eastAsia" w:ascii="黑体" w:hAnsi="黑体" w:eastAsia="黑体" w:cs="黑体"/>
          <w:color w:val="auto"/>
          <w:kern w:val="2"/>
          <w:sz w:val="28"/>
          <w:szCs w:val="28"/>
          <w:highlight w:val="none"/>
        </w:rPr>
        <w:t>附件</w:t>
      </w:r>
    </w:p>
    <w:p w14:paraId="67935972">
      <w:pPr>
        <w:widowControl w:val="0"/>
        <w:spacing w:line="600" w:lineRule="exact"/>
        <w:jc w:val="center"/>
        <w:rPr>
          <w:rFonts w:hint="eastAsia" w:ascii="国标宋体" w:hAnsi="国标宋体" w:eastAsia="国标宋体" w:cs="国标宋体"/>
          <w:color w:val="auto"/>
          <w:kern w:val="1"/>
          <w:sz w:val="24"/>
          <w:szCs w:val="24"/>
          <w:highlight w:val="none"/>
          <w:lang w:val="en-US" w:eastAsia="zh-CN"/>
        </w:rPr>
      </w:pPr>
      <w:r>
        <w:rPr>
          <w:rFonts w:hint="eastAsia" w:ascii="国标宋体" w:hAnsi="国标宋体" w:eastAsia="国标宋体" w:cs="国标宋体"/>
          <w:color w:val="auto"/>
          <w:kern w:val="1"/>
          <w:sz w:val="24"/>
          <w:szCs w:val="24"/>
          <w:highlight w:val="none"/>
          <w:lang w:val="en-US" w:eastAsia="zh-CN"/>
        </w:rPr>
        <w:t>物业服务每月满意度考核测评表</w:t>
      </w:r>
    </w:p>
    <w:tbl>
      <w:tblPr>
        <w:tblStyle w:val="63"/>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183"/>
        <w:gridCol w:w="866"/>
        <w:gridCol w:w="3720"/>
      </w:tblGrid>
      <w:tr w14:paraId="486E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47A04D7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序号</w:t>
            </w:r>
          </w:p>
        </w:tc>
        <w:tc>
          <w:tcPr>
            <w:tcW w:w="4183" w:type="dxa"/>
            <w:noWrap w:val="0"/>
            <w:vAlign w:val="center"/>
          </w:tcPr>
          <w:p w14:paraId="4B473DB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标准内容</w:t>
            </w:r>
          </w:p>
        </w:tc>
        <w:tc>
          <w:tcPr>
            <w:tcW w:w="866" w:type="dxa"/>
            <w:noWrap w:val="0"/>
            <w:vAlign w:val="center"/>
          </w:tcPr>
          <w:p w14:paraId="674A6F0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规定</w:t>
            </w:r>
          </w:p>
          <w:p w14:paraId="552D01E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分值</w:t>
            </w:r>
          </w:p>
        </w:tc>
        <w:tc>
          <w:tcPr>
            <w:tcW w:w="3720" w:type="dxa"/>
            <w:noWrap w:val="0"/>
            <w:vAlign w:val="center"/>
          </w:tcPr>
          <w:p w14:paraId="7CC5E16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评分细则</w:t>
            </w:r>
          </w:p>
        </w:tc>
      </w:tr>
      <w:tr w14:paraId="4E4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9" w:type="dxa"/>
            <w:vMerge w:val="restart"/>
            <w:shd w:val="clear" w:color="auto" w:fill="auto"/>
            <w:noWrap w:val="0"/>
            <w:vAlign w:val="center"/>
          </w:tcPr>
          <w:p w14:paraId="3254004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一</w:t>
            </w:r>
          </w:p>
        </w:tc>
        <w:tc>
          <w:tcPr>
            <w:tcW w:w="4183" w:type="dxa"/>
            <w:shd w:val="clear" w:color="auto" w:fill="FFFFFF"/>
            <w:noWrap w:val="0"/>
            <w:vAlign w:val="center"/>
          </w:tcPr>
          <w:p w14:paraId="4163A91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基础管理</w:t>
            </w:r>
          </w:p>
        </w:tc>
        <w:tc>
          <w:tcPr>
            <w:tcW w:w="866" w:type="dxa"/>
            <w:shd w:val="clear" w:color="auto" w:fill="FFFFFF"/>
            <w:noWrap w:val="0"/>
            <w:vAlign w:val="center"/>
          </w:tcPr>
          <w:p w14:paraId="75BA103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18</w:t>
            </w:r>
          </w:p>
        </w:tc>
        <w:tc>
          <w:tcPr>
            <w:tcW w:w="3720" w:type="dxa"/>
            <w:shd w:val="clear" w:color="auto" w:fill="FFFFFF"/>
            <w:noWrap w:val="0"/>
            <w:vAlign w:val="center"/>
          </w:tcPr>
          <w:p w14:paraId="53684CF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2943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DA56DF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3276DFF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1.规定岗位持证上岗：员工着装规范，佩戴明显标志，使用标准服务用语、工作规范。</w:t>
            </w:r>
          </w:p>
        </w:tc>
        <w:tc>
          <w:tcPr>
            <w:tcW w:w="866" w:type="dxa"/>
            <w:shd w:val="clear" w:color="auto" w:fill="FFFFFF"/>
            <w:noWrap w:val="0"/>
            <w:vAlign w:val="center"/>
          </w:tcPr>
          <w:p w14:paraId="73F64E9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653D43B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专业技术人员每发现1人无上岗证书扣0.5分；着装及标志符合0.5分，不使用文明用语扣0.5分</w:t>
            </w:r>
          </w:p>
        </w:tc>
      </w:tr>
      <w:tr w14:paraId="773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EC382D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2F10709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2.物业管理企业应用计算机、智能化设备等现代化管理手段，提高管理效率。</w:t>
            </w:r>
          </w:p>
        </w:tc>
        <w:tc>
          <w:tcPr>
            <w:tcW w:w="866" w:type="dxa"/>
            <w:shd w:val="clear" w:color="auto" w:fill="FFFFFF"/>
            <w:noWrap w:val="0"/>
            <w:vAlign w:val="center"/>
          </w:tcPr>
          <w:p w14:paraId="575174A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1.5</w:t>
            </w:r>
          </w:p>
        </w:tc>
        <w:tc>
          <w:tcPr>
            <w:tcW w:w="3720" w:type="dxa"/>
            <w:shd w:val="clear" w:color="auto" w:fill="FFFFFF"/>
            <w:noWrap w:val="0"/>
            <w:vAlign w:val="center"/>
          </w:tcPr>
          <w:p w14:paraId="3B66905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符合1.5分，基本符合1分，不符合0分</w:t>
            </w:r>
          </w:p>
        </w:tc>
      </w:tr>
      <w:tr w14:paraId="7FD4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794E31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6A13F09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3.档案资料齐全，分类成册、管理完善，查阅方便。</w:t>
            </w:r>
          </w:p>
        </w:tc>
        <w:tc>
          <w:tcPr>
            <w:tcW w:w="866" w:type="dxa"/>
            <w:shd w:val="clear" w:color="auto" w:fill="FFFFFF"/>
            <w:noWrap w:val="0"/>
            <w:vAlign w:val="center"/>
          </w:tcPr>
          <w:p w14:paraId="38DB7F3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0A252EC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包括所有档案，分类归档，统计成册。每发现一项不齐全或不完善扣1分</w:t>
            </w:r>
          </w:p>
        </w:tc>
      </w:tr>
      <w:tr w14:paraId="160E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FDAD85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30FA7E2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在日常管理中要建立交接班、维修保养、保洁、管理登记制度，设立服务电话，接受业主和使用人对行政物业管理服务报修、求助、建议、问询、质疑、投诉等各类信息的收集和反馈，并及时处理，有回访制度和记录。</w:t>
            </w:r>
          </w:p>
        </w:tc>
        <w:tc>
          <w:tcPr>
            <w:tcW w:w="866" w:type="dxa"/>
            <w:shd w:val="clear" w:color="auto" w:fill="FFFFFF"/>
            <w:noWrap w:val="0"/>
            <w:vAlign w:val="center"/>
          </w:tcPr>
          <w:p w14:paraId="6A65A97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w:t>
            </w:r>
          </w:p>
        </w:tc>
        <w:tc>
          <w:tcPr>
            <w:tcW w:w="3720" w:type="dxa"/>
            <w:shd w:val="clear" w:color="auto" w:fill="FFFFFF"/>
            <w:noWrap w:val="0"/>
            <w:vAlign w:val="center"/>
          </w:tcPr>
          <w:p w14:paraId="7281142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符合4分，没有值班制度扣1分，未设服务电话扣1分，发现一处处理不及时扣1分，没有回访记录每次扣1分</w:t>
            </w:r>
          </w:p>
        </w:tc>
      </w:tr>
      <w:tr w14:paraId="228C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54832F4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4FBC736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5.有物业项目的整体管理方案及各部门岗位职责、工作标准、具体落实办法，定期向单位和工作人员发放物业管理服务工作征求意见单，对合理的建议及时整改，满意率达95％以上。</w:t>
            </w:r>
          </w:p>
        </w:tc>
        <w:tc>
          <w:tcPr>
            <w:tcW w:w="866" w:type="dxa"/>
            <w:shd w:val="clear" w:color="auto" w:fill="FFFFFF"/>
            <w:noWrap w:val="0"/>
            <w:vAlign w:val="center"/>
          </w:tcPr>
          <w:p w14:paraId="7959F2C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w:t>
            </w:r>
          </w:p>
        </w:tc>
        <w:tc>
          <w:tcPr>
            <w:tcW w:w="3720" w:type="dxa"/>
            <w:shd w:val="clear" w:color="auto" w:fill="FFFFFF"/>
            <w:noWrap w:val="0"/>
            <w:vAlign w:val="center"/>
          </w:tcPr>
          <w:p w14:paraId="6C9188E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无制定管理方案扣2分，未向工作人员发放管理工作意见扣2分，发现问题未改进扣2分</w:t>
            </w:r>
          </w:p>
        </w:tc>
      </w:tr>
      <w:tr w14:paraId="3568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DD6764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39F9C2F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6.建立物业服务投诉处理流程，并落实维修服务承诺制、零修急修及时率 100％，返修率不高于1％，并有回访记录。</w:t>
            </w:r>
          </w:p>
        </w:tc>
        <w:tc>
          <w:tcPr>
            <w:tcW w:w="866" w:type="dxa"/>
            <w:shd w:val="clear" w:color="auto" w:fill="FFFFFF"/>
            <w:noWrap w:val="0"/>
            <w:vAlign w:val="center"/>
          </w:tcPr>
          <w:p w14:paraId="02E3326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2.5</w:t>
            </w:r>
          </w:p>
        </w:tc>
        <w:tc>
          <w:tcPr>
            <w:tcW w:w="3720" w:type="dxa"/>
            <w:shd w:val="clear" w:color="auto" w:fill="FFFFFF"/>
            <w:noWrap w:val="0"/>
            <w:vAlign w:val="center"/>
          </w:tcPr>
          <w:p w14:paraId="60AEA89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未建立并落实1分，建立但未落实扣0.5分，未建立扣1分；及时率不符合扣1分，每降低1个百分点扣 0.3分；返修率不符合扣0.5分，回访记录不完整扣0.5分，</w:t>
            </w:r>
          </w:p>
        </w:tc>
      </w:tr>
      <w:tr w14:paraId="72A0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9" w:type="dxa"/>
            <w:vMerge w:val="restart"/>
            <w:shd w:val="clear" w:color="auto" w:fill="auto"/>
            <w:noWrap w:val="0"/>
            <w:vAlign w:val="center"/>
          </w:tcPr>
          <w:p w14:paraId="419033A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二</w:t>
            </w:r>
          </w:p>
        </w:tc>
        <w:tc>
          <w:tcPr>
            <w:tcW w:w="4183" w:type="dxa"/>
            <w:shd w:val="clear" w:color="auto" w:fill="FFFFFF"/>
            <w:noWrap w:val="0"/>
            <w:vAlign w:val="center"/>
          </w:tcPr>
          <w:p w14:paraId="3568C16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房屋管理与维修养护</w:t>
            </w:r>
          </w:p>
        </w:tc>
        <w:tc>
          <w:tcPr>
            <w:tcW w:w="866" w:type="dxa"/>
            <w:shd w:val="clear" w:color="auto" w:fill="FFFFFF"/>
            <w:noWrap w:val="0"/>
            <w:vAlign w:val="center"/>
          </w:tcPr>
          <w:p w14:paraId="6FBF0BC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5</w:t>
            </w:r>
          </w:p>
        </w:tc>
        <w:tc>
          <w:tcPr>
            <w:tcW w:w="3720" w:type="dxa"/>
            <w:shd w:val="clear" w:color="auto" w:fill="FFFFFF"/>
            <w:noWrap w:val="0"/>
            <w:vAlign w:val="center"/>
          </w:tcPr>
          <w:p w14:paraId="2F629F9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0DA4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AFB2B4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4A40B3F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1.室外招牌按规定设置，保持整洁统一美观，无安全隐患或破损，无违反规划私搭乱建，无擅自改变房屋用途现象。</w:t>
            </w:r>
          </w:p>
        </w:tc>
        <w:tc>
          <w:tcPr>
            <w:tcW w:w="866" w:type="dxa"/>
            <w:shd w:val="clear" w:color="auto" w:fill="FFFFFF"/>
            <w:noWrap w:val="0"/>
            <w:vAlign w:val="center"/>
          </w:tcPr>
          <w:p w14:paraId="5920917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shd w:val="clear" w:color="auto" w:fill="FFFFFF"/>
            <w:noWrap w:val="0"/>
            <w:vAlign w:val="center"/>
          </w:tcPr>
          <w:p w14:paraId="4E07AC1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符合1分，每发现一处私搭乱建或擅自改变房屋使用用途扣0.5分，按规定设置，但不整齐或有破损每处扣0.1分，有安全隐患每处扣0.5分</w:t>
            </w:r>
          </w:p>
        </w:tc>
      </w:tr>
      <w:tr w14:paraId="5812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0B5E02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659025A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2.房屋完好、整洁，外墙是建材贴面的、无脱落；玻璃的，清洁明亮、无破损；是涂料的，无脱落、无污渍：无纸张乱贴、乱涂、乱画和乱悬挂现象。</w:t>
            </w:r>
          </w:p>
        </w:tc>
        <w:tc>
          <w:tcPr>
            <w:tcW w:w="866" w:type="dxa"/>
            <w:shd w:val="clear" w:color="auto" w:fill="FFFFFF"/>
            <w:noWrap w:val="0"/>
            <w:vAlign w:val="center"/>
          </w:tcPr>
          <w:p w14:paraId="5A8DFE8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200AFB2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符合2分，房屋外墙是建材贴用的每发现一处脱落扣0.2分，是玻璃幕墙的每发现一处破损或不整洁的扣0.2分，是涂料的每发现一处褪色不一致扣0.2分；每发现一处纸张乱贴、乱涂、乱画和乱悬挂扣0.2分</w:t>
            </w:r>
          </w:p>
        </w:tc>
      </w:tr>
      <w:tr w14:paraId="1067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C9E634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344A7F8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3.楼宇内楼梯、走道、扶手、天花板、吊顶等无破损；墙体整洁，无乱张贴；共用部位门窗、灯具、开关等功能良好；卫生间、水房等管理完好空调安装位置统一，支架无锈蚀，冷凝水集中收集。</w:t>
            </w:r>
          </w:p>
        </w:tc>
        <w:tc>
          <w:tcPr>
            <w:tcW w:w="866" w:type="dxa"/>
            <w:shd w:val="clear" w:color="auto" w:fill="FFFFFF"/>
            <w:noWrap w:val="0"/>
            <w:vAlign w:val="center"/>
          </w:tcPr>
          <w:p w14:paraId="547C9BA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61B9E89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符合2.0分，如发现一处不符合扣0.5分</w:t>
            </w:r>
          </w:p>
        </w:tc>
      </w:tr>
      <w:tr w14:paraId="479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9" w:type="dxa"/>
            <w:vMerge w:val="restart"/>
            <w:shd w:val="clear" w:color="auto" w:fill="auto"/>
            <w:noWrap w:val="0"/>
            <w:vAlign w:val="center"/>
          </w:tcPr>
          <w:p w14:paraId="3DFD9E5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三</w:t>
            </w:r>
          </w:p>
        </w:tc>
        <w:tc>
          <w:tcPr>
            <w:tcW w:w="4183" w:type="dxa"/>
            <w:shd w:val="clear" w:color="auto" w:fill="FFFFFF"/>
            <w:noWrap w:val="0"/>
            <w:vAlign w:val="center"/>
          </w:tcPr>
          <w:p w14:paraId="14C6CE3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共用设施设备管理</w:t>
            </w:r>
          </w:p>
        </w:tc>
        <w:tc>
          <w:tcPr>
            <w:tcW w:w="866" w:type="dxa"/>
            <w:shd w:val="clear" w:color="auto" w:fill="FFFFFF"/>
            <w:noWrap w:val="0"/>
            <w:vAlign w:val="center"/>
          </w:tcPr>
          <w:p w14:paraId="7D8FD3A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26</w:t>
            </w:r>
          </w:p>
        </w:tc>
        <w:tc>
          <w:tcPr>
            <w:tcW w:w="3720" w:type="dxa"/>
            <w:shd w:val="clear" w:color="auto" w:fill="FFFFFF"/>
            <w:noWrap w:val="0"/>
            <w:vAlign w:val="center"/>
          </w:tcPr>
          <w:p w14:paraId="6D7C364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4AD5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9" w:type="dxa"/>
            <w:vMerge w:val="continue"/>
            <w:shd w:val="clear" w:color="auto" w:fill="auto"/>
            <w:noWrap w:val="0"/>
            <w:vAlign w:val="top"/>
          </w:tcPr>
          <w:p w14:paraId="78F3623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0638C8E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（一）综合要求</w:t>
            </w:r>
          </w:p>
        </w:tc>
        <w:tc>
          <w:tcPr>
            <w:tcW w:w="866" w:type="dxa"/>
            <w:shd w:val="clear" w:color="auto" w:fill="FFFFFF"/>
            <w:noWrap w:val="0"/>
            <w:vAlign w:val="center"/>
          </w:tcPr>
          <w:p w14:paraId="78CA3A4F">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w:t>
            </w:r>
          </w:p>
        </w:tc>
        <w:tc>
          <w:tcPr>
            <w:tcW w:w="3720" w:type="dxa"/>
            <w:shd w:val="clear" w:color="auto" w:fill="FFFFFF"/>
            <w:noWrap w:val="0"/>
            <w:vAlign w:val="center"/>
          </w:tcPr>
          <w:p w14:paraId="176AA3C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4513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5E9243C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53A551E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1.设备及机房环境整洁、无杂物、灰尘、无鼠、虫害发生、机房环境符合设备要求。</w:t>
            </w:r>
          </w:p>
        </w:tc>
        <w:tc>
          <w:tcPr>
            <w:tcW w:w="866" w:type="dxa"/>
            <w:shd w:val="clear" w:color="auto" w:fill="FFFFFF"/>
            <w:noWrap w:val="0"/>
            <w:vAlign w:val="center"/>
          </w:tcPr>
          <w:p w14:paraId="5F55875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shd w:val="clear" w:color="auto" w:fill="FFFFFF"/>
            <w:noWrap w:val="0"/>
            <w:vAlign w:val="center"/>
          </w:tcPr>
          <w:p w14:paraId="3958158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符合1.0分，每发现一处不符合扣0.2分</w:t>
            </w:r>
          </w:p>
        </w:tc>
      </w:tr>
      <w:tr w14:paraId="4B55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29BB89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7C4A1BA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2.配足符合上岗持证要求的工程部人员，上岗作业严格执行操作规程。</w:t>
            </w:r>
          </w:p>
        </w:tc>
        <w:tc>
          <w:tcPr>
            <w:tcW w:w="866" w:type="dxa"/>
            <w:shd w:val="clear" w:color="auto" w:fill="FFFFFF"/>
            <w:noWrap w:val="0"/>
            <w:vAlign w:val="center"/>
          </w:tcPr>
          <w:p w14:paraId="1FDA549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3C677BE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符合2.0分，无证上岗发现一次扣1分，不按规定操作造成损失扣2分</w:t>
            </w:r>
          </w:p>
        </w:tc>
      </w:tr>
      <w:tr w14:paraId="2B50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7A6BC3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5C8C602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3.设备良好，运行正常，考核期内无重大管理责任事故。</w:t>
            </w:r>
          </w:p>
        </w:tc>
        <w:tc>
          <w:tcPr>
            <w:tcW w:w="866" w:type="dxa"/>
            <w:shd w:val="clear" w:color="auto" w:fill="FFFFFF"/>
            <w:noWrap w:val="0"/>
            <w:vAlign w:val="center"/>
          </w:tcPr>
          <w:p w14:paraId="109D422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shd w:val="clear" w:color="auto" w:fill="FFFFFF"/>
            <w:noWrap w:val="0"/>
            <w:vAlign w:val="center"/>
          </w:tcPr>
          <w:p w14:paraId="3BDDB5F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符合1分，考核期内发现一次扣1分</w:t>
            </w:r>
          </w:p>
        </w:tc>
      </w:tr>
      <w:tr w14:paraId="64F9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9" w:type="dxa"/>
            <w:vMerge w:val="continue"/>
            <w:shd w:val="clear" w:color="auto" w:fill="auto"/>
            <w:noWrap w:val="0"/>
            <w:vAlign w:val="top"/>
          </w:tcPr>
          <w:p w14:paraId="3992965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291B56A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（二）供电系统</w:t>
            </w:r>
          </w:p>
        </w:tc>
        <w:tc>
          <w:tcPr>
            <w:tcW w:w="866" w:type="dxa"/>
            <w:shd w:val="clear" w:color="auto" w:fill="FFFFFF"/>
            <w:noWrap w:val="0"/>
            <w:vAlign w:val="center"/>
          </w:tcPr>
          <w:p w14:paraId="6388F7C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w:t>
            </w:r>
          </w:p>
        </w:tc>
        <w:tc>
          <w:tcPr>
            <w:tcW w:w="3720" w:type="dxa"/>
            <w:shd w:val="clear" w:color="auto" w:fill="FFFFFF"/>
            <w:noWrap w:val="0"/>
            <w:vAlign w:val="center"/>
          </w:tcPr>
          <w:p w14:paraId="7BA56E7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0B1A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34423C8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4B690C1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保证正常供电。限电、停电按规定时间通知甲方，制订临时用电管理措施与停电应急处理措施，备用应急发电机可随时启用。</w:t>
            </w:r>
          </w:p>
        </w:tc>
        <w:tc>
          <w:tcPr>
            <w:tcW w:w="866" w:type="dxa"/>
            <w:shd w:val="clear" w:color="auto" w:fill="FFFFFF"/>
            <w:noWrap w:val="0"/>
            <w:vAlign w:val="center"/>
          </w:tcPr>
          <w:p w14:paraId="0BA5AEB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w:t>
            </w:r>
          </w:p>
        </w:tc>
        <w:tc>
          <w:tcPr>
            <w:tcW w:w="3720" w:type="dxa"/>
            <w:shd w:val="clear" w:color="auto" w:fill="FFFFFF"/>
            <w:noWrap w:val="0"/>
            <w:vAlign w:val="center"/>
          </w:tcPr>
          <w:p w14:paraId="379D336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符合3.0分，临时用电措施或停电应急措施不符，各扣0.5分，发电机不能随时起用扣3分</w:t>
            </w:r>
          </w:p>
        </w:tc>
      </w:tr>
      <w:tr w14:paraId="0052A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9" w:type="dxa"/>
            <w:vMerge w:val="restart"/>
            <w:shd w:val="clear" w:color="auto" w:fill="auto"/>
            <w:noWrap w:val="0"/>
            <w:vAlign w:val="center"/>
          </w:tcPr>
          <w:p w14:paraId="38954F9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三</w:t>
            </w:r>
          </w:p>
        </w:tc>
        <w:tc>
          <w:tcPr>
            <w:tcW w:w="4183" w:type="dxa"/>
            <w:shd w:val="clear" w:color="auto" w:fill="FFFFFF"/>
            <w:noWrap w:val="0"/>
            <w:vAlign w:val="center"/>
          </w:tcPr>
          <w:p w14:paraId="55A16EB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（三）弱电系统</w:t>
            </w:r>
          </w:p>
        </w:tc>
        <w:tc>
          <w:tcPr>
            <w:tcW w:w="866" w:type="dxa"/>
            <w:shd w:val="clear" w:color="auto" w:fill="FFFFFF"/>
            <w:noWrap w:val="0"/>
            <w:vAlign w:val="center"/>
          </w:tcPr>
          <w:p w14:paraId="3746F79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13DD6F7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0D1B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18F27F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0061607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巡查保证各弱电系统正常工作，监控系统等智能化设施设备运行正常，有记录并按规定期限保存。若出现系统故障及时上报通知甲方请系统维保单位在规定时间内到达现场维修。</w:t>
            </w:r>
          </w:p>
        </w:tc>
        <w:tc>
          <w:tcPr>
            <w:tcW w:w="866" w:type="dxa"/>
            <w:shd w:val="clear" w:color="auto" w:fill="FFFFFF"/>
            <w:noWrap w:val="0"/>
            <w:vAlign w:val="center"/>
          </w:tcPr>
          <w:p w14:paraId="7089369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1DDC5CA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符合2.0分，无记录扣0.5分，未按规定定期保存扣0.5分，出现故障未能及时到达现场扣1分</w:t>
            </w:r>
          </w:p>
        </w:tc>
      </w:tr>
      <w:tr w14:paraId="6EB6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9" w:type="dxa"/>
            <w:vMerge w:val="continue"/>
            <w:shd w:val="clear" w:color="auto" w:fill="auto"/>
            <w:noWrap w:val="0"/>
            <w:vAlign w:val="top"/>
          </w:tcPr>
          <w:p w14:paraId="5F8FC6A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7D6A5A2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（四）电梯系统</w:t>
            </w:r>
          </w:p>
        </w:tc>
        <w:tc>
          <w:tcPr>
            <w:tcW w:w="866" w:type="dxa"/>
            <w:shd w:val="clear" w:color="auto" w:fill="FFFFFF"/>
            <w:noWrap w:val="0"/>
            <w:vAlign w:val="center"/>
          </w:tcPr>
          <w:p w14:paraId="11E61BC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9</w:t>
            </w:r>
          </w:p>
        </w:tc>
        <w:tc>
          <w:tcPr>
            <w:tcW w:w="3720" w:type="dxa"/>
            <w:shd w:val="clear" w:color="auto" w:fill="FFFFFF"/>
            <w:noWrap w:val="0"/>
            <w:vAlign w:val="center"/>
          </w:tcPr>
          <w:p w14:paraId="159CC3A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21FD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D2018C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08AF33B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1.巡查电梯准用证、年检合格证是否有掉落、到期的现象。</w:t>
            </w:r>
          </w:p>
        </w:tc>
        <w:tc>
          <w:tcPr>
            <w:tcW w:w="866" w:type="dxa"/>
            <w:shd w:val="clear" w:color="auto" w:fill="FFFFFF"/>
            <w:noWrap w:val="0"/>
            <w:vAlign w:val="center"/>
          </w:tcPr>
          <w:p w14:paraId="6428FA3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34DA16B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符合1.0分，每发现一处不符合扣0.5分</w:t>
            </w:r>
          </w:p>
        </w:tc>
      </w:tr>
      <w:tr w14:paraId="4B8D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380138B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718C0AC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2.巡查电梯是否正常运行，安全设施是否齐全，通风、照明及附属设施是否完好；巡查电梯门、壁及天花是否有积尘、污迹、蜘蛛网、手印等情况，如有手印、污迹等情况，需用电梯专用清洗剂擦拭。</w:t>
            </w:r>
          </w:p>
        </w:tc>
        <w:tc>
          <w:tcPr>
            <w:tcW w:w="866" w:type="dxa"/>
            <w:shd w:val="clear" w:color="auto" w:fill="FFFFFF"/>
            <w:noWrap w:val="0"/>
            <w:vAlign w:val="center"/>
          </w:tcPr>
          <w:p w14:paraId="1DD7ACA6">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w:t>
            </w:r>
          </w:p>
        </w:tc>
        <w:tc>
          <w:tcPr>
            <w:tcW w:w="3720" w:type="dxa"/>
            <w:shd w:val="clear" w:color="auto" w:fill="FFFFFF"/>
            <w:noWrap w:val="0"/>
            <w:vAlign w:val="center"/>
          </w:tcPr>
          <w:p w14:paraId="6B4B71B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符合2.0分，每发现一处不符合扣0.5分</w:t>
            </w:r>
          </w:p>
        </w:tc>
      </w:tr>
      <w:tr w14:paraId="44AA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5DFA74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3FAF94D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3.若运行出现故障，应有排除险情的应急处理措施，第一时间通知甲方请维保单位在规定时间内到达现场维修。</w:t>
            </w:r>
          </w:p>
        </w:tc>
        <w:tc>
          <w:tcPr>
            <w:tcW w:w="866" w:type="dxa"/>
            <w:shd w:val="clear" w:color="auto" w:fill="FFFFFF"/>
            <w:noWrap w:val="0"/>
            <w:vAlign w:val="center"/>
          </w:tcPr>
          <w:p w14:paraId="6FFAE30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w:t>
            </w:r>
          </w:p>
        </w:tc>
        <w:tc>
          <w:tcPr>
            <w:tcW w:w="3720" w:type="dxa"/>
            <w:shd w:val="clear" w:color="auto" w:fill="FFFFFF"/>
            <w:noWrap w:val="0"/>
            <w:vAlign w:val="center"/>
          </w:tcPr>
          <w:p w14:paraId="31EAA1C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符合1.0分，未设有排除险情的应急措施扣1 分，未能到及时到达现场扣2分</w:t>
            </w:r>
          </w:p>
        </w:tc>
      </w:tr>
      <w:tr w14:paraId="3A58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Merge w:val="continue"/>
            <w:shd w:val="clear" w:color="auto" w:fill="auto"/>
            <w:noWrap w:val="0"/>
            <w:vAlign w:val="top"/>
          </w:tcPr>
          <w:p w14:paraId="6AEF45C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1D64497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（五）给排水系统</w:t>
            </w:r>
          </w:p>
        </w:tc>
        <w:tc>
          <w:tcPr>
            <w:tcW w:w="866" w:type="dxa"/>
            <w:shd w:val="clear" w:color="auto" w:fill="FFFFFF"/>
            <w:noWrap w:val="0"/>
            <w:vAlign w:val="center"/>
          </w:tcPr>
          <w:p w14:paraId="4010F01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w:t>
            </w:r>
          </w:p>
        </w:tc>
        <w:tc>
          <w:tcPr>
            <w:tcW w:w="3720" w:type="dxa"/>
            <w:shd w:val="clear" w:color="auto" w:fill="FFFFFF"/>
            <w:noWrap w:val="0"/>
            <w:vAlign w:val="center"/>
          </w:tcPr>
          <w:p w14:paraId="1E3BC51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7713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5A394D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5DA9AF0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建立用水、供水管理制度、积极协助用户安排合理的用水和节水计划设备、阀门、管道工作正常、无跑冒滴漏；遇有事故，维修人员在规定时间内进行抢修，无大面积跑水、泛水、长时间停水现象；制定事故应急处理方案。</w:t>
            </w:r>
          </w:p>
        </w:tc>
        <w:tc>
          <w:tcPr>
            <w:tcW w:w="866" w:type="dxa"/>
            <w:shd w:val="clear" w:color="auto" w:fill="FFFFFF"/>
            <w:noWrap w:val="0"/>
            <w:vAlign w:val="center"/>
          </w:tcPr>
          <w:p w14:paraId="334C0CC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4D1C86C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符合2分，每发现一处不符合扣0.2分，维修人员不能及时抢修造成影响扣0.5分</w:t>
            </w:r>
          </w:p>
        </w:tc>
      </w:tr>
      <w:tr w14:paraId="7BC4D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shd w:val="clear" w:color="auto" w:fill="auto"/>
            <w:noWrap w:val="0"/>
            <w:vAlign w:val="top"/>
          </w:tcPr>
          <w:p w14:paraId="385B5FF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616FD52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2.按规定对二次供水蓄水池设施设备进行清洁、消毒；水池、水箱清洁卫生，无二次污染；高压水泵、水池、水箱有严格的管理措施，水池、水箱周围无污染隐患。</w:t>
            </w:r>
          </w:p>
        </w:tc>
        <w:tc>
          <w:tcPr>
            <w:tcW w:w="866" w:type="dxa"/>
            <w:shd w:val="clear" w:color="auto" w:fill="FFFFFF"/>
            <w:noWrap w:val="0"/>
            <w:vAlign w:val="center"/>
          </w:tcPr>
          <w:p w14:paraId="184DE4D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6FB17C6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符合2分，每发现一项不符合扣0.5分没有管理措施扣0.5分，水箱周围每发现一处隐患扣0.2分</w:t>
            </w:r>
          </w:p>
        </w:tc>
      </w:tr>
      <w:tr w14:paraId="6ACF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B7D704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2BF5217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3.排水系统通畅，汛期道路无积水，设备房无积水、浸泡发生。</w:t>
            </w:r>
          </w:p>
        </w:tc>
        <w:tc>
          <w:tcPr>
            <w:tcW w:w="866" w:type="dxa"/>
            <w:shd w:val="clear" w:color="auto" w:fill="FFFFFF"/>
            <w:noWrap w:val="0"/>
            <w:vAlign w:val="center"/>
          </w:tcPr>
          <w:p w14:paraId="2A34E96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172355C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符合2分，每发现一处不符合扣1分</w:t>
            </w:r>
          </w:p>
        </w:tc>
      </w:tr>
      <w:tr w14:paraId="7CF9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79" w:type="dxa"/>
            <w:vMerge w:val="continue"/>
            <w:shd w:val="clear" w:color="auto" w:fill="auto"/>
            <w:noWrap w:val="0"/>
            <w:vAlign w:val="top"/>
          </w:tcPr>
          <w:p w14:paraId="28B56C9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51672FB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（六）空调系统</w:t>
            </w:r>
          </w:p>
        </w:tc>
        <w:tc>
          <w:tcPr>
            <w:tcW w:w="866" w:type="dxa"/>
            <w:shd w:val="clear" w:color="auto" w:fill="FFFFFF"/>
            <w:noWrap w:val="0"/>
            <w:vAlign w:val="center"/>
          </w:tcPr>
          <w:p w14:paraId="33F2336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3E90F79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6706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8ECB80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62BCD33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巡查空调系统是否运行正常，噪音是否超标，有无严重滴漏水现象；若空调系统出现运行故障后，及时通知甲方请维保单位在规定时间内到达现场维修。</w:t>
            </w:r>
          </w:p>
        </w:tc>
        <w:tc>
          <w:tcPr>
            <w:tcW w:w="866" w:type="dxa"/>
            <w:shd w:val="clear" w:color="auto" w:fill="FFFFFF"/>
            <w:noWrap w:val="0"/>
            <w:vAlign w:val="center"/>
          </w:tcPr>
          <w:p w14:paraId="0B281D6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5475DAA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符合2.0分，空调不能正常运行扣0.2分，噪音超标扣0.2分，严重漏水口0.2分，运行故障后未能及时到达现场扣1分</w:t>
            </w:r>
          </w:p>
        </w:tc>
      </w:tr>
      <w:tr w14:paraId="07AA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9" w:type="dxa"/>
            <w:vMerge w:val="restart"/>
            <w:shd w:val="clear" w:color="auto" w:fill="auto"/>
            <w:noWrap w:val="0"/>
            <w:vAlign w:val="center"/>
          </w:tcPr>
          <w:p w14:paraId="58B556B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四</w:t>
            </w:r>
          </w:p>
        </w:tc>
        <w:tc>
          <w:tcPr>
            <w:tcW w:w="4183" w:type="dxa"/>
            <w:shd w:val="clear" w:color="auto" w:fill="FFFFFF"/>
            <w:noWrap w:val="0"/>
            <w:vAlign w:val="center"/>
          </w:tcPr>
          <w:p w14:paraId="0B1105E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共用设施管理</w:t>
            </w:r>
          </w:p>
        </w:tc>
        <w:tc>
          <w:tcPr>
            <w:tcW w:w="866" w:type="dxa"/>
            <w:shd w:val="clear" w:color="auto" w:fill="FFFFFF"/>
            <w:noWrap w:val="0"/>
            <w:vAlign w:val="center"/>
          </w:tcPr>
          <w:p w14:paraId="188AF8E0">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w:t>
            </w:r>
          </w:p>
        </w:tc>
        <w:tc>
          <w:tcPr>
            <w:tcW w:w="3720" w:type="dxa"/>
            <w:shd w:val="clear" w:color="auto" w:fill="FFFFFF"/>
            <w:noWrap w:val="0"/>
            <w:vAlign w:val="center"/>
          </w:tcPr>
          <w:p w14:paraId="2B68B76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0033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79" w:type="dxa"/>
            <w:vMerge w:val="continue"/>
            <w:shd w:val="clear" w:color="auto" w:fill="auto"/>
            <w:noWrap w:val="0"/>
            <w:vAlign w:val="top"/>
          </w:tcPr>
          <w:p w14:paraId="705899F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44B9850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1.共用配套设施完好，无随意改变用途，区域范围内的道路通畅，路面平坦。</w:t>
            </w:r>
          </w:p>
        </w:tc>
        <w:tc>
          <w:tcPr>
            <w:tcW w:w="866" w:type="dxa"/>
            <w:shd w:val="clear" w:color="auto" w:fill="FFFFFF"/>
            <w:noWrap w:val="0"/>
            <w:vAlign w:val="center"/>
          </w:tcPr>
          <w:p w14:paraId="065505FF">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0A118EB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符合1.0分，每发现一处不符合扣0.2分</w:t>
            </w:r>
          </w:p>
        </w:tc>
      </w:tr>
      <w:tr w14:paraId="2417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959404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205F140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2.道路、楼道、大堂等公共照明完好。</w:t>
            </w:r>
          </w:p>
        </w:tc>
        <w:tc>
          <w:tcPr>
            <w:tcW w:w="866" w:type="dxa"/>
            <w:shd w:val="clear" w:color="auto" w:fill="FFFFFF"/>
            <w:noWrap w:val="0"/>
            <w:vAlign w:val="center"/>
          </w:tcPr>
          <w:p w14:paraId="75159B7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shd w:val="clear" w:color="auto" w:fill="FFFFFF"/>
            <w:noWrap w:val="0"/>
            <w:vAlign w:val="center"/>
          </w:tcPr>
          <w:p w14:paraId="28747C1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符合1.0分，每发现一处不亮扣0.5分</w:t>
            </w:r>
          </w:p>
        </w:tc>
      </w:tr>
      <w:tr w14:paraId="7869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79" w:type="dxa"/>
            <w:vMerge w:val="restart"/>
            <w:shd w:val="clear" w:color="auto" w:fill="auto"/>
            <w:noWrap w:val="0"/>
            <w:vAlign w:val="center"/>
          </w:tcPr>
          <w:p w14:paraId="4F62904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五</w:t>
            </w:r>
          </w:p>
        </w:tc>
        <w:tc>
          <w:tcPr>
            <w:tcW w:w="4183" w:type="dxa"/>
            <w:shd w:val="clear" w:color="auto" w:fill="FFFFFF"/>
            <w:noWrap w:val="0"/>
            <w:vAlign w:val="center"/>
          </w:tcPr>
          <w:p w14:paraId="528F0ED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环境卫生管理</w:t>
            </w:r>
          </w:p>
        </w:tc>
        <w:tc>
          <w:tcPr>
            <w:tcW w:w="866" w:type="dxa"/>
            <w:shd w:val="clear" w:color="auto" w:fill="FFFFFF"/>
            <w:noWrap w:val="0"/>
            <w:vAlign w:val="center"/>
          </w:tcPr>
          <w:p w14:paraId="03E8360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32</w:t>
            </w:r>
          </w:p>
        </w:tc>
        <w:tc>
          <w:tcPr>
            <w:tcW w:w="3720" w:type="dxa"/>
            <w:shd w:val="clear" w:color="auto" w:fill="FFFFFF"/>
            <w:noWrap w:val="0"/>
            <w:vAlign w:val="center"/>
          </w:tcPr>
          <w:p w14:paraId="35F6B69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7DB0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shd w:val="clear" w:color="auto" w:fill="auto"/>
            <w:noWrap w:val="0"/>
            <w:vAlign w:val="top"/>
          </w:tcPr>
          <w:p w14:paraId="15DB451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shd w:val="clear" w:color="auto" w:fill="FFFFFF"/>
            <w:noWrap w:val="0"/>
            <w:vAlign w:val="center"/>
          </w:tcPr>
          <w:p w14:paraId="6267970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1.楼梯、标识牌、电梯、内外停车、道路地面、通道、服务大厅、走廊地面、内庭、边缘区域的卫生管理。</w:t>
            </w:r>
          </w:p>
        </w:tc>
        <w:tc>
          <w:tcPr>
            <w:tcW w:w="866" w:type="dxa"/>
            <w:shd w:val="clear" w:color="auto" w:fill="FFFFFF"/>
            <w:noWrap w:val="0"/>
            <w:vAlign w:val="center"/>
          </w:tcPr>
          <w:p w14:paraId="3C500A0A">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8</w:t>
            </w:r>
          </w:p>
        </w:tc>
        <w:tc>
          <w:tcPr>
            <w:tcW w:w="3720" w:type="dxa"/>
            <w:shd w:val="clear" w:color="auto" w:fill="FFFFFF"/>
            <w:noWrap w:val="0"/>
            <w:vAlign w:val="center"/>
          </w:tcPr>
          <w:p w14:paraId="00A8215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无杂物、明显纸屑、污垢，无蛛丝，每个楼道烟头等脏物不超过2个；目测：无灰尘，无污迹，20平方米内不得超过2个杂物。符合5.0分，每发现一处不符合扣0.5分</w:t>
            </w:r>
          </w:p>
        </w:tc>
      </w:tr>
      <w:tr w14:paraId="6657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562C8F2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25997EE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2.房屋立面、墙面、门、窗、玻璃、扶手、座椅、垃圾桶、消防箱、室内物品、楼道灯、开关面板的卫生管理。</w:t>
            </w:r>
          </w:p>
        </w:tc>
        <w:tc>
          <w:tcPr>
            <w:tcW w:w="866" w:type="dxa"/>
            <w:noWrap w:val="0"/>
            <w:vAlign w:val="center"/>
          </w:tcPr>
          <w:p w14:paraId="7F9A332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8</w:t>
            </w:r>
          </w:p>
        </w:tc>
        <w:tc>
          <w:tcPr>
            <w:tcW w:w="3720" w:type="dxa"/>
            <w:noWrap w:val="0"/>
            <w:vAlign w:val="center"/>
          </w:tcPr>
          <w:p w14:paraId="127E46E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无乱张贴，无蜘蛛网，无痰迹，无积尘。目测：无灰尘，无蛛网、无明显污迹，纸巾测试30CM无黑灰。无过夜垃圾，无异味，桶身无污渍；桶内垃圾不得超过2/3，不过夜。符合5.0，每发现一处不符合扣0.5</w:t>
            </w:r>
          </w:p>
        </w:tc>
      </w:tr>
      <w:tr w14:paraId="1B88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3FBDBA8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7C3548F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3.垃圾分类设施摆放位置规范，分类设施齐全，垃圾桶标签设置合理、规范，分类垃圾桶无破损，桶身清洁。</w:t>
            </w:r>
          </w:p>
        </w:tc>
        <w:tc>
          <w:tcPr>
            <w:tcW w:w="866" w:type="dxa"/>
            <w:noWrap w:val="0"/>
            <w:vAlign w:val="center"/>
          </w:tcPr>
          <w:p w14:paraId="0DB998F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2.5</w:t>
            </w:r>
          </w:p>
        </w:tc>
        <w:tc>
          <w:tcPr>
            <w:tcW w:w="3720" w:type="dxa"/>
            <w:noWrap w:val="0"/>
            <w:vAlign w:val="center"/>
          </w:tcPr>
          <w:p w14:paraId="757C25E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每发现一处不合格扣0.5分</w:t>
            </w:r>
          </w:p>
        </w:tc>
      </w:tr>
      <w:tr w14:paraId="3499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49DE717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2AC217C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4.卫生间做到按标准定人定点定时管理、巡查、监督。</w:t>
            </w:r>
          </w:p>
        </w:tc>
        <w:tc>
          <w:tcPr>
            <w:tcW w:w="866" w:type="dxa"/>
            <w:noWrap w:val="0"/>
            <w:vAlign w:val="center"/>
          </w:tcPr>
          <w:p w14:paraId="0C4AA62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w:t>
            </w:r>
          </w:p>
        </w:tc>
        <w:tc>
          <w:tcPr>
            <w:tcW w:w="3720" w:type="dxa"/>
            <w:noWrap w:val="0"/>
            <w:vAlign w:val="center"/>
          </w:tcPr>
          <w:p w14:paraId="4CDB0E8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地面无积水、无污渍、无杂物、无异味，墙面瓷片、门、窗用纸巾擦拭无明显灰尘，便器无污渍；天花、灯具等目视无明显灰尘，玻璃、镜面无灰尘，无污渍。无异味、干净、清爽，每发现一处扣0.5分</w:t>
            </w:r>
          </w:p>
        </w:tc>
      </w:tr>
      <w:tr w14:paraId="664B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noWrap w:val="0"/>
            <w:vAlign w:val="top"/>
          </w:tcPr>
          <w:p w14:paraId="77AE334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29F14F7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5.定期检查报告蚊、蝇、白蚁虫害情况，并做到无孳生源。需留存相关记录。</w:t>
            </w:r>
          </w:p>
        </w:tc>
        <w:tc>
          <w:tcPr>
            <w:tcW w:w="866" w:type="dxa"/>
            <w:noWrap w:val="0"/>
            <w:vAlign w:val="center"/>
          </w:tcPr>
          <w:p w14:paraId="5C431BFE">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2.5</w:t>
            </w:r>
          </w:p>
        </w:tc>
        <w:tc>
          <w:tcPr>
            <w:tcW w:w="3720" w:type="dxa"/>
            <w:noWrap w:val="0"/>
            <w:vAlign w:val="center"/>
          </w:tcPr>
          <w:p w14:paraId="186975D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符合2.5分，遗漏定期检查扣0.5分，无台账记录扣2分</w:t>
            </w:r>
          </w:p>
        </w:tc>
      </w:tr>
      <w:tr w14:paraId="4F02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79" w:type="dxa"/>
            <w:vMerge w:val="restart"/>
            <w:noWrap w:val="0"/>
            <w:vAlign w:val="center"/>
          </w:tcPr>
          <w:p w14:paraId="52B24C3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五</w:t>
            </w:r>
          </w:p>
        </w:tc>
        <w:tc>
          <w:tcPr>
            <w:tcW w:w="4183" w:type="dxa"/>
            <w:tcBorders>
              <w:bottom w:val="single" w:color="auto" w:sz="4" w:space="0"/>
            </w:tcBorders>
            <w:noWrap w:val="0"/>
            <w:vAlign w:val="center"/>
          </w:tcPr>
          <w:p w14:paraId="1DB086A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6.清洁区域明确划分并落实责任人；清洁卫生实行责任制，有专职的清洁人员做到按制定标准全天候、全方位保洁。明确责任范围，实行标准化清洁保洁。</w:t>
            </w:r>
          </w:p>
        </w:tc>
        <w:tc>
          <w:tcPr>
            <w:tcW w:w="866" w:type="dxa"/>
            <w:tcBorders>
              <w:bottom w:val="single" w:color="auto" w:sz="4" w:space="0"/>
            </w:tcBorders>
            <w:noWrap w:val="0"/>
            <w:vAlign w:val="center"/>
          </w:tcPr>
          <w:p w14:paraId="0BB81258">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2.5</w:t>
            </w:r>
          </w:p>
        </w:tc>
        <w:tc>
          <w:tcPr>
            <w:tcW w:w="3720" w:type="dxa"/>
            <w:tcBorders>
              <w:bottom w:val="single" w:color="auto" w:sz="4" w:space="0"/>
            </w:tcBorders>
            <w:noWrap w:val="0"/>
            <w:vAlign w:val="center"/>
          </w:tcPr>
          <w:p w14:paraId="389FEF4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未实行责任制的扣0.5，无专职清洁人员和责任范围的扣0.3，未实行标准化保洁的扣0.2</w:t>
            </w:r>
          </w:p>
        </w:tc>
      </w:tr>
      <w:tr w14:paraId="7B81D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785DBB9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7E3C990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7.垃圾的收集、清运，做到垃圾日产日清，统一按规定堆放到指定地点。做好清运记录，形成台账，，定期进行卫生灭杀。</w:t>
            </w:r>
          </w:p>
        </w:tc>
        <w:tc>
          <w:tcPr>
            <w:tcW w:w="866" w:type="dxa"/>
            <w:noWrap w:val="0"/>
            <w:vAlign w:val="center"/>
          </w:tcPr>
          <w:p w14:paraId="5B17CEA4">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1.5</w:t>
            </w:r>
          </w:p>
        </w:tc>
        <w:tc>
          <w:tcPr>
            <w:tcW w:w="3720" w:type="dxa"/>
            <w:noWrap w:val="0"/>
            <w:vAlign w:val="center"/>
          </w:tcPr>
          <w:p w14:paraId="61A5FC8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每发现一处垃圾扣0.2，未达到垃圾日产日清的扣0.5，未定期进行卫生消毒灭杀扣0.5</w:t>
            </w:r>
          </w:p>
        </w:tc>
      </w:tr>
      <w:tr w14:paraId="29F1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797237B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62CFD9C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8.对有害垃圾管理严格按规定分装，不得与其他垃圾混杂。</w:t>
            </w:r>
          </w:p>
        </w:tc>
        <w:tc>
          <w:tcPr>
            <w:tcW w:w="866" w:type="dxa"/>
            <w:noWrap w:val="0"/>
            <w:vAlign w:val="center"/>
          </w:tcPr>
          <w:p w14:paraId="0E6C9A0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04448D8F">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符合1分，发现一次扣1分</w:t>
            </w:r>
          </w:p>
        </w:tc>
      </w:tr>
      <w:tr w14:paraId="39C3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041CF77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38BBAF6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866" w:type="dxa"/>
            <w:noWrap w:val="0"/>
            <w:vAlign w:val="center"/>
          </w:tcPr>
          <w:p w14:paraId="7A33B589">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p>
        </w:tc>
        <w:tc>
          <w:tcPr>
            <w:tcW w:w="3720" w:type="dxa"/>
            <w:noWrap w:val="0"/>
            <w:vAlign w:val="center"/>
          </w:tcPr>
          <w:p w14:paraId="27C4E54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r>
      <w:tr w14:paraId="06A5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restart"/>
            <w:shd w:val="clear" w:color="auto" w:fill="auto"/>
            <w:noWrap w:val="0"/>
            <w:vAlign w:val="center"/>
          </w:tcPr>
          <w:p w14:paraId="5E6C964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六</w:t>
            </w:r>
          </w:p>
        </w:tc>
        <w:tc>
          <w:tcPr>
            <w:tcW w:w="4183" w:type="dxa"/>
            <w:shd w:val="clear" w:color="auto" w:fill="FFFFFF"/>
            <w:noWrap w:val="0"/>
            <w:vAlign w:val="center"/>
          </w:tcPr>
          <w:p w14:paraId="3B0829C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shd w:val="clear" w:color="auto" w:fill="auto"/>
                <w:lang w:val="en-US" w:eastAsia="zh-CN"/>
              </w:rPr>
            </w:pPr>
            <w:r>
              <w:rPr>
                <w:rFonts w:hint="eastAsia" w:ascii="国标宋体" w:hAnsi="国标宋体" w:eastAsia="国标宋体" w:cs="国标宋体"/>
                <w:spacing w:val="-6"/>
                <w:sz w:val="24"/>
                <w:szCs w:val="24"/>
                <w:shd w:val="clear" w:color="auto" w:fill="auto"/>
                <w:lang w:val="en-US" w:eastAsia="zh-CN"/>
              </w:rPr>
              <w:t>工作纪律</w:t>
            </w:r>
          </w:p>
        </w:tc>
        <w:tc>
          <w:tcPr>
            <w:tcW w:w="866" w:type="dxa"/>
            <w:shd w:val="clear" w:color="auto" w:fill="FFFFFF"/>
            <w:noWrap w:val="0"/>
            <w:vAlign w:val="center"/>
          </w:tcPr>
          <w:p w14:paraId="2206A0C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shd w:val="clear" w:color="auto" w:fill="auto"/>
                <w:lang w:val="en-US" w:eastAsia="zh-CN"/>
              </w:rPr>
            </w:pPr>
            <w:r>
              <w:rPr>
                <w:rFonts w:hint="eastAsia" w:ascii="国标宋体" w:hAnsi="国标宋体" w:eastAsia="国标宋体" w:cs="国标宋体"/>
                <w:spacing w:val="-6"/>
                <w:sz w:val="24"/>
                <w:szCs w:val="24"/>
                <w:shd w:val="clear" w:color="auto" w:fill="auto"/>
                <w:lang w:val="en-US" w:eastAsia="zh-CN"/>
              </w:rPr>
              <w:t>9</w:t>
            </w:r>
          </w:p>
        </w:tc>
        <w:tc>
          <w:tcPr>
            <w:tcW w:w="3720" w:type="dxa"/>
            <w:shd w:val="clear" w:color="auto" w:fill="FFFFFF"/>
            <w:noWrap w:val="0"/>
            <w:vAlign w:val="center"/>
          </w:tcPr>
          <w:p w14:paraId="6BC3535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shd w:val="clear" w:color="auto" w:fill="auto"/>
                <w:lang w:val="en-US" w:eastAsia="zh-CN"/>
              </w:rPr>
            </w:pPr>
          </w:p>
        </w:tc>
      </w:tr>
      <w:tr w14:paraId="0C11E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418FEBF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1B09EC1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1.不服从甲方的监管，未按时完成合同内的工作任务并酿成后果。</w:t>
            </w:r>
          </w:p>
        </w:tc>
        <w:tc>
          <w:tcPr>
            <w:tcW w:w="866" w:type="dxa"/>
            <w:noWrap w:val="0"/>
            <w:vAlign w:val="center"/>
          </w:tcPr>
          <w:p w14:paraId="04693935">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noWrap w:val="0"/>
            <w:vAlign w:val="center"/>
          </w:tcPr>
          <w:p w14:paraId="450CFAF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发现问题并改正未酿成后果扣1分，有以上现象扣3分</w:t>
            </w:r>
          </w:p>
        </w:tc>
      </w:tr>
      <w:tr w14:paraId="1FEB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4C80E15E">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66E0C22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2.主管负责人督查不严，导致工作出现重大失误，使甲方形象受损或造成较大经济损失。</w:t>
            </w:r>
          </w:p>
        </w:tc>
        <w:tc>
          <w:tcPr>
            <w:tcW w:w="866" w:type="dxa"/>
            <w:noWrap w:val="0"/>
            <w:vAlign w:val="center"/>
          </w:tcPr>
          <w:p w14:paraId="3C07EDA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noWrap w:val="0"/>
            <w:vAlign w:val="center"/>
          </w:tcPr>
          <w:p w14:paraId="14D5572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向工作人员提出管理意见并改正的扣除1分，不服从管理扣2分</w:t>
            </w:r>
          </w:p>
        </w:tc>
      </w:tr>
      <w:tr w14:paraId="317D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778E75D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09686DF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3.破坏团结、搬弄是非，工作推诿、拖拉。</w:t>
            </w:r>
          </w:p>
        </w:tc>
        <w:tc>
          <w:tcPr>
            <w:tcW w:w="866" w:type="dxa"/>
            <w:noWrap w:val="0"/>
            <w:vAlign w:val="center"/>
          </w:tcPr>
          <w:p w14:paraId="341154D2">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3B58109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有以上现象未造成甲方损失并服从管理发现一次扣除0.5分，如对甲方造成损失扣1分</w:t>
            </w:r>
          </w:p>
        </w:tc>
      </w:tr>
      <w:tr w14:paraId="3C18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3C35591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66AF2D4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4.不得当班饮酒或酒后上班。遵守员工管理规范，无打架斗殴等不良情况。</w:t>
            </w:r>
          </w:p>
        </w:tc>
        <w:tc>
          <w:tcPr>
            <w:tcW w:w="866" w:type="dxa"/>
            <w:noWrap w:val="0"/>
            <w:vAlign w:val="center"/>
          </w:tcPr>
          <w:p w14:paraId="369A5E1B">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68659DF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上班饮酒或醉酒上班扣0.5分，打架斗殴扣0.5分</w:t>
            </w:r>
          </w:p>
        </w:tc>
      </w:tr>
      <w:tr w14:paraId="0BC2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4DA7AA1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6EDCCA8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5.当班期间不得串岗、脱岗、睡岗。</w:t>
            </w:r>
          </w:p>
        </w:tc>
        <w:tc>
          <w:tcPr>
            <w:tcW w:w="866" w:type="dxa"/>
            <w:noWrap w:val="0"/>
            <w:vAlign w:val="center"/>
          </w:tcPr>
          <w:p w14:paraId="54C880E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1D2802B3">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发现一次扣1分</w:t>
            </w:r>
          </w:p>
        </w:tc>
      </w:tr>
      <w:tr w14:paraId="3759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392FC00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4C10434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6.工作区域内不得扎堆闲聊、上网游戏、看电影或在岗聊私人电话。按规定足额配备人员，排班合理。</w:t>
            </w:r>
          </w:p>
        </w:tc>
        <w:tc>
          <w:tcPr>
            <w:tcW w:w="866" w:type="dxa"/>
            <w:noWrap w:val="0"/>
            <w:vAlign w:val="center"/>
          </w:tcPr>
          <w:p w14:paraId="5667A4E7">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327BB21C">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发现一次扣1分</w:t>
            </w:r>
          </w:p>
        </w:tc>
      </w:tr>
      <w:tr w14:paraId="6654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3B1A9DF7">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2871EF5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7.未经允许不得在工作期间利用甲方的资源接私活 。</w:t>
            </w:r>
          </w:p>
        </w:tc>
        <w:tc>
          <w:tcPr>
            <w:tcW w:w="866" w:type="dxa"/>
            <w:noWrap w:val="0"/>
            <w:vAlign w:val="center"/>
          </w:tcPr>
          <w:p w14:paraId="5919D880">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w:t>
            </w:r>
          </w:p>
        </w:tc>
        <w:tc>
          <w:tcPr>
            <w:tcW w:w="3720" w:type="dxa"/>
            <w:noWrap w:val="0"/>
            <w:vAlign w:val="center"/>
          </w:tcPr>
          <w:p w14:paraId="38EB9F19">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发现一次扣1分</w:t>
            </w:r>
          </w:p>
        </w:tc>
      </w:tr>
      <w:tr w14:paraId="450D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79" w:type="dxa"/>
            <w:vMerge w:val="restart"/>
            <w:shd w:val="clear" w:color="auto" w:fill="auto"/>
            <w:noWrap w:val="0"/>
            <w:vAlign w:val="center"/>
          </w:tcPr>
          <w:p w14:paraId="36C04FB2">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七</w:t>
            </w:r>
          </w:p>
        </w:tc>
        <w:tc>
          <w:tcPr>
            <w:tcW w:w="4183" w:type="dxa"/>
            <w:shd w:val="clear" w:color="auto" w:fill="FFFFFF"/>
            <w:noWrap w:val="0"/>
            <w:vAlign w:val="center"/>
          </w:tcPr>
          <w:p w14:paraId="33EF30E8">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shd w:val="clear" w:color="auto" w:fill="auto"/>
                <w:lang w:val="en-US" w:eastAsia="zh-CN"/>
              </w:rPr>
            </w:pPr>
            <w:r>
              <w:rPr>
                <w:rFonts w:hint="eastAsia" w:ascii="国标宋体" w:hAnsi="国标宋体" w:eastAsia="国标宋体" w:cs="国标宋体"/>
                <w:spacing w:val="-6"/>
                <w:sz w:val="24"/>
                <w:szCs w:val="24"/>
                <w:shd w:val="clear" w:color="auto" w:fill="auto"/>
                <w:lang w:val="en-US" w:eastAsia="zh-CN"/>
              </w:rPr>
              <w:t>精神文明建设</w:t>
            </w:r>
          </w:p>
        </w:tc>
        <w:tc>
          <w:tcPr>
            <w:tcW w:w="866" w:type="dxa"/>
            <w:shd w:val="clear" w:color="auto" w:fill="FFFFFF"/>
            <w:noWrap w:val="0"/>
            <w:vAlign w:val="center"/>
          </w:tcPr>
          <w:p w14:paraId="25926DB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shd w:val="clear" w:color="auto" w:fill="auto"/>
                <w:lang w:val="en-US" w:eastAsia="zh-CN"/>
              </w:rPr>
            </w:pPr>
            <w:r>
              <w:rPr>
                <w:rFonts w:hint="eastAsia" w:ascii="国标宋体" w:hAnsi="国标宋体" w:eastAsia="国标宋体" w:cs="国标宋体"/>
                <w:spacing w:val="-6"/>
                <w:sz w:val="24"/>
                <w:szCs w:val="24"/>
                <w:shd w:val="clear" w:color="auto" w:fill="auto"/>
                <w:lang w:val="en-US" w:eastAsia="zh-CN"/>
              </w:rPr>
              <w:t>6</w:t>
            </w:r>
          </w:p>
        </w:tc>
        <w:tc>
          <w:tcPr>
            <w:tcW w:w="3720" w:type="dxa"/>
            <w:shd w:val="clear" w:color="auto" w:fill="FFFFFF"/>
            <w:noWrap w:val="0"/>
            <w:vAlign w:val="center"/>
          </w:tcPr>
          <w:p w14:paraId="21372A54">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shd w:val="clear" w:color="FFFFFF" w:fill="D9D9D9"/>
                <w:lang w:val="en-US" w:eastAsia="zh-CN"/>
              </w:rPr>
            </w:pPr>
          </w:p>
        </w:tc>
      </w:tr>
      <w:tr w14:paraId="67E0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32B2FD4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1E05BABA">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1.全体员工和使用人能自觉维护公众利益，遵守各项管理规定。</w:t>
            </w:r>
          </w:p>
        </w:tc>
        <w:tc>
          <w:tcPr>
            <w:tcW w:w="866" w:type="dxa"/>
            <w:noWrap w:val="0"/>
            <w:vAlign w:val="center"/>
          </w:tcPr>
          <w:p w14:paraId="3DB915C3">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noWrap w:val="0"/>
            <w:vAlign w:val="center"/>
          </w:tcPr>
          <w:p w14:paraId="7479D76B">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不遵守规章制度扣2分，发现问题服从管理改过自新扣1分</w:t>
            </w:r>
          </w:p>
        </w:tc>
      </w:tr>
      <w:tr w14:paraId="5A48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1866F476">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2E208E9D">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2.设有学习宣传园地，宣传管理、卫生、治安、消防等方面的知识，开展积极健康向上的活动；设信息公告栏。</w:t>
            </w:r>
          </w:p>
        </w:tc>
        <w:tc>
          <w:tcPr>
            <w:tcW w:w="866" w:type="dxa"/>
            <w:noWrap w:val="0"/>
            <w:vAlign w:val="center"/>
          </w:tcPr>
          <w:p w14:paraId="2842D2DD">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noWrap w:val="0"/>
            <w:vAlign w:val="center"/>
          </w:tcPr>
          <w:p w14:paraId="1D098A9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未做记录扣1分</w:t>
            </w:r>
          </w:p>
        </w:tc>
      </w:tr>
      <w:tr w14:paraId="0202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79" w:type="dxa"/>
            <w:vMerge w:val="continue"/>
            <w:noWrap w:val="0"/>
            <w:vAlign w:val="top"/>
          </w:tcPr>
          <w:p w14:paraId="0F5301D0">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p>
        </w:tc>
        <w:tc>
          <w:tcPr>
            <w:tcW w:w="4183" w:type="dxa"/>
            <w:noWrap w:val="0"/>
            <w:vAlign w:val="center"/>
          </w:tcPr>
          <w:p w14:paraId="00780515">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3.区内未发现重大违纪违法案件。</w:t>
            </w:r>
          </w:p>
        </w:tc>
        <w:tc>
          <w:tcPr>
            <w:tcW w:w="866" w:type="dxa"/>
            <w:noWrap w:val="0"/>
            <w:vAlign w:val="center"/>
          </w:tcPr>
          <w:p w14:paraId="3BFD2651">
            <w:pPr>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2</w:t>
            </w:r>
          </w:p>
        </w:tc>
        <w:tc>
          <w:tcPr>
            <w:tcW w:w="3720" w:type="dxa"/>
            <w:noWrap w:val="0"/>
            <w:vAlign w:val="center"/>
          </w:tcPr>
          <w:p w14:paraId="51576631">
            <w:pPr>
              <w:keepNext w:val="0"/>
              <w:keepLines w:val="0"/>
              <w:pageBreakBefore w:val="0"/>
              <w:widowControl w:val="0"/>
              <w:kinsoku/>
              <w:wordWrap/>
              <w:overflowPunct/>
              <w:topLinePunct w:val="0"/>
              <w:autoSpaceDE/>
              <w:autoSpaceDN/>
              <w:bidi w:val="0"/>
              <w:adjustRightInd/>
              <w:snapToGrid/>
              <w:spacing w:line="380" w:lineRule="exact"/>
              <w:ind w:firstLine="0" w:firstLineChars="0"/>
              <w:jc w:val="both"/>
              <w:textAlignment w:val="auto"/>
              <w:rPr>
                <w:rFonts w:hint="eastAsia" w:ascii="国标宋体" w:hAnsi="国标宋体" w:eastAsia="国标宋体" w:cs="国标宋体"/>
                <w:spacing w:val="-6"/>
                <w:sz w:val="24"/>
                <w:szCs w:val="24"/>
                <w:lang w:val="en-US" w:eastAsia="zh-CN"/>
              </w:rPr>
            </w:pPr>
            <w:r>
              <w:rPr>
                <w:rFonts w:hint="eastAsia" w:ascii="国标宋体" w:hAnsi="国标宋体" w:eastAsia="国标宋体" w:cs="国标宋体"/>
                <w:spacing w:val="-6"/>
                <w:sz w:val="24"/>
                <w:szCs w:val="24"/>
                <w:lang w:val="en-US" w:eastAsia="zh-CN"/>
              </w:rPr>
              <w:t>发现一次扣2分，并加强管理</w:t>
            </w:r>
          </w:p>
        </w:tc>
      </w:tr>
    </w:tbl>
    <w:p w14:paraId="4A028E84">
      <w:pPr>
        <w:keepNext w:val="0"/>
        <w:keepLines w:val="0"/>
        <w:pageBreakBefore w:val="0"/>
        <w:widowControl w:val="0"/>
        <w:kinsoku/>
        <w:wordWrap/>
        <w:overflowPunct/>
        <w:topLinePunct w:val="0"/>
        <w:autoSpaceDE/>
        <w:autoSpaceDN/>
        <w:bidi w:val="0"/>
        <w:adjustRightInd/>
        <w:snapToGrid/>
        <w:spacing w:line="59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rPr>
        <w:t>备注：</w:t>
      </w:r>
    </w:p>
    <w:p w14:paraId="4CD45123">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rPr>
        <w:t>1.满意度考核测评流程：以科室为打分单位</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每个月对物业服务工作满意度进行考核测评</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再回收、汇总及统计。</w:t>
      </w:r>
    </w:p>
    <w:p w14:paraId="697A5BB1">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rPr>
        <w:t>2.如物业公司在调换员工时</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由于员工不熟练造成政府机关较难开展工作或造成损失的，在100分制内，直接扣除20分。</w:t>
      </w:r>
    </w:p>
    <w:p w14:paraId="6F1BFAC9">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rPr>
        <w:t>3.考核其他事项：</w:t>
      </w:r>
    </w:p>
    <w:p w14:paraId="5934063B">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1</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由各科室考核本月物业服务人员缺岗天数。</w:t>
      </w:r>
    </w:p>
    <w:p w14:paraId="3E1817B0">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2</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乙方必须于每月10日前向甲方提供在职职工花名册和作业人员分布表，若不按时提供，每超出一天扣100元人民币。</w:t>
      </w:r>
    </w:p>
    <w:p w14:paraId="407D91A6">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3</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 xml:space="preserve">当月的奖罚在结算承包款时兑现。 </w:t>
      </w:r>
    </w:p>
    <w:p w14:paraId="7D3EC1F6">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4</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仪表整洁，精神饱满，举止大方得</w:t>
      </w:r>
      <w:r>
        <w:rPr>
          <w:rFonts w:hint="eastAsia" w:ascii="国标宋体" w:hAnsi="国标宋体" w:eastAsia="国标宋体" w:cs="国标宋体"/>
          <w:spacing w:val="-6"/>
          <w:sz w:val="24"/>
          <w:szCs w:val="24"/>
          <w:u w:val="none"/>
          <w:lang w:val="en-US" w:eastAsia="zh-CN"/>
        </w:rPr>
        <w:t>体</w:t>
      </w:r>
      <w:r>
        <w:rPr>
          <w:rFonts w:hint="eastAsia" w:ascii="国标宋体" w:hAnsi="国标宋体" w:eastAsia="国标宋体" w:cs="国标宋体"/>
          <w:spacing w:val="-6"/>
          <w:sz w:val="24"/>
          <w:szCs w:val="24"/>
          <w:u w:val="none"/>
        </w:rPr>
        <w:t>。</w:t>
      </w:r>
    </w:p>
    <w:p w14:paraId="37174DA0">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5</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不得随便翻动办公室物品、文件，办公用品应轻拿轻放。</w:t>
      </w:r>
    </w:p>
    <w:p w14:paraId="696D3844">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6</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不能用同一条毛巾既擦台面又擦门窗。</w:t>
      </w:r>
    </w:p>
    <w:p w14:paraId="37A1E1BD">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7</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擦抹电脑、电器时须用干毛巾。</w:t>
      </w:r>
    </w:p>
    <w:p w14:paraId="0449E3E7">
      <w:pPr>
        <w:keepNext w:val="0"/>
        <w:keepLines w:val="0"/>
        <w:pageBreakBefore w:val="0"/>
        <w:widowControl w:val="0"/>
        <w:kinsoku/>
        <w:wordWrap/>
        <w:overflowPunct/>
        <w:topLinePunct w:val="0"/>
        <w:autoSpaceDE/>
        <w:autoSpaceDN/>
        <w:bidi w:val="0"/>
        <w:adjustRightInd/>
        <w:snapToGrid/>
        <w:spacing w:line="360" w:lineRule="exact"/>
        <w:ind w:firstLine="456" w:firstLineChars="200"/>
        <w:jc w:val="both"/>
        <w:textAlignment w:val="auto"/>
        <w:rPr>
          <w:rFonts w:hint="eastAsia" w:ascii="国标宋体" w:hAnsi="国标宋体" w:eastAsia="国标宋体" w:cs="国标宋体"/>
          <w:spacing w:val="-6"/>
          <w:sz w:val="24"/>
          <w:szCs w:val="24"/>
          <w:u w:val="none"/>
        </w:rPr>
      </w:pP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8</w:t>
      </w:r>
      <w:r>
        <w:rPr>
          <w:rFonts w:hint="eastAsia" w:ascii="国标宋体" w:hAnsi="国标宋体" w:eastAsia="国标宋体" w:cs="国标宋体"/>
          <w:spacing w:val="-6"/>
          <w:sz w:val="24"/>
          <w:szCs w:val="24"/>
          <w:u w:val="none"/>
          <w:lang w:eastAsia="zh-CN"/>
        </w:rPr>
        <w:t>）</w:t>
      </w:r>
      <w:r>
        <w:rPr>
          <w:rFonts w:hint="eastAsia" w:ascii="国标宋体" w:hAnsi="国标宋体" w:eastAsia="国标宋体" w:cs="国标宋体"/>
          <w:spacing w:val="-6"/>
          <w:sz w:val="24"/>
          <w:szCs w:val="24"/>
          <w:u w:val="none"/>
        </w:rPr>
        <w:t>工作人员上班期间不得串岗、离岗，服从大楼管理办及科室有关人员的临时工作安排。</w:t>
      </w:r>
    </w:p>
    <w:p w14:paraId="6F84C381">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eastAsia" w:ascii="Times New Roman" w:hAnsi="Times New Roman" w:eastAsia="仿宋_GB2312" w:cs="Times New Roman"/>
          <w:spacing w:val="-6"/>
          <w:sz w:val="28"/>
          <w:szCs w:val="28"/>
          <w:u w:val="none"/>
        </w:rPr>
      </w:pPr>
    </w:p>
    <w:p w14:paraId="6D068C32">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eastAsia" w:ascii="Times New Roman" w:hAnsi="Times New Roman" w:eastAsia="仿宋_GB2312" w:cs="Times New Roman"/>
          <w:spacing w:val="-6"/>
          <w:sz w:val="28"/>
          <w:szCs w:val="28"/>
          <w:u w:val="none"/>
        </w:rPr>
      </w:pPr>
    </w:p>
    <w:p w14:paraId="7A03A252">
      <w:pPr>
        <w:pStyle w:val="2"/>
        <w:ind w:left="0" w:leftChars="0" w:firstLine="0" w:firstLineChars="0"/>
        <w:rPr>
          <w:rFonts w:hint="eastAsia"/>
        </w:rPr>
      </w:pPr>
    </w:p>
    <w:p w14:paraId="15818FE4">
      <w:pPr>
        <w:pStyle w:val="5"/>
        <w:numPr>
          <w:ilvl w:val="0"/>
          <w:numId w:val="0"/>
        </w:numPr>
        <w:spacing w:before="0" w:after="0" w:line="520" w:lineRule="exact"/>
        <w:ind w:firstLine="2168" w:firstLineChars="600"/>
        <w:rPr>
          <w:rFonts w:hint="eastAsia" w:ascii="新宋体" w:hAnsi="新宋体" w:eastAsia="新宋体"/>
          <w:sz w:val="36"/>
        </w:rPr>
      </w:pPr>
      <w:r>
        <w:rPr>
          <w:rFonts w:hint="eastAsia" w:ascii="新宋体" w:hAnsi="新宋体" w:eastAsia="新宋体"/>
          <w:sz w:val="36"/>
        </w:rPr>
        <w:t>第四章 开标、评标和定标须知</w:t>
      </w:r>
      <w:bookmarkEnd w:id="47"/>
      <w:bookmarkEnd w:id="48"/>
    </w:p>
    <w:p w14:paraId="6A81E977">
      <w:pPr>
        <w:pStyle w:val="6"/>
        <w:spacing w:before="120" w:after="120" w:line="400" w:lineRule="exact"/>
        <w:rPr>
          <w:rFonts w:hint="eastAsia" w:ascii="新宋体" w:hAnsi="新宋体" w:eastAsia="新宋体"/>
          <w:sz w:val="28"/>
          <w:szCs w:val="28"/>
        </w:rPr>
      </w:pPr>
      <w:bookmarkStart w:id="62" w:name="_Toc27686"/>
      <w:bookmarkStart w:id="63" w:name="_Toc274303252"/>
      <w:bookmarkStart w:id="64" w:name="_Toc362250704"/>
      <w:r>
        <w:rPr>
          <w:rFonts w:hint="eastAsia" w:ascii="新宋体" w:hAnsi="新宋体" w:eastAsia="新宋体"/>
          <w:sz w:val="28"/>
          <w:szCs w:val="28"/>
        </w:rPr>
        <w:t>一、开标</w:t>
      </w:r>
      <w:bookmarkEnd w:id="62"/>
      <w:bookmarkEnd w:id="63"/>
      <w:bookmarkEnd w:id="64"/>
    </w:p>
    <w:p w14:paraId="7CFAB2CF">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1.本项目实行电子开评标，投标人无需前往开评标现场，</w:t>
      </w:r>
      <w:r>
        <w:rPr>
          <w:rFonts w:hint="eastAsia" w:ascii="新宋体" w:hAnsi="新宋体" w:eastAsia="新宋体" w:cs="新宋体"/>
          <w:color w:val="000000"/>
          <w:sz w:val="24"/>
        </w:rPr>
        <w:t>应</w:t>
      </w:r>
      <w:r>
        <w:rPr>
          <w:rFonts w:hint="eastAsia" w:ascii="新宋体" w:hAnsi="新宋体" w:eastAsia="新宋体" w:cs="新宋体"/>
          <w:sz w:val="24"/>
        </w:rPr>
        <w:t>在规定时间内在“政采云”上上传电子投标文件和准时在线参加开标。投标人不足3家的，不得开标。</w:t>
      </w:r>
    </w:p>
    <w:p w14:paraId="0519DF9B">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2.电子开评标及评审程序</w:t>
      </w:r>
    </w:p>
    <w:p w14:paraId="5092CC86">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2.1采购代理机构开启解密后的1小时内，由各投标人自行对电子投标文件进行解密（请各投标人务必在规定时间内完成电子投标文件的解密工作，在电子开评标期间，投标人（授权代表）需确保在各自所在的区域具备上网的技术条件并保持网络及联系方式畅通）；</w:t>
      </w:r>
    </w:p>
    <w:p w14:paraId="08B5ADA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2.2.采购人或采购代理机构对投标人的资格响应文件进行评审。采购人或采购代理机构应对投标人“信用中国”网站（</w:t>
      </w:r>
      <w:r>
        <w:rPr>
          <w:rFonts w:hint="eastAsia" w:ascii="新宋体" w:hAnsi="新宋体" w:eastAsia="新宋体" w:cs="新宋体"/>
          <w:sz w:val="24"/>
        </w:rPr>
        <w:fldChar w:fldCharType="begin"/>
      </w:r>
      <w:r>
        <w:rPr>
          <w:rFonts w:hint="eastAsia" w:ascii="新宋体" w:hAnsi="新宋体" w:eastAsia="新宋体" w:cs="新宋体"/>
          <w:sz w:val="24"/>
        </w:rPr>
        <w:instrText xml:space="preserve"> HYPERLINK "http://www.creditchina.gov.cn/" \t "_blank" </w:instrText>
      </w:r>
      <w:r>
        <w:rPr>
          <w:rFonts w:hint="eastAsia" w:ascii="新宋体" w:hAnsi="新宋体" w:eastAsia="新宋体" w:cs="新宋体"/>
          <w:sz w:val="24"/>
        </w:rPr>
        <w:fldChar w:fldCharType="separate"/>
      </w:r>
      <w:r>
        <w:rPr>
          <w:rFonts w:hint="eastAsia" w:ascii="新宋体" w:hAnsi="新宋体" w:eastAsia="新宋体" w:cs="新宋体"/>
          <w:sz w:val="24"/>
        </w:rPr>
        <w:t>www.creditchina.gov.cn</w:t>
      </w:r>
      <w:r>
        <w:rPr>
          <w:rFonts w:hint="eastAsia" w:ascii="新宋体" w:hAnsi="新宋体" w:eastAsia="新宋体" w:cs="新宋体"/>
          <w:sz w:val="24"/>
        </w:rPr>
        <w:fldChar w:fldCharType="end"/>
      </w:r>
      <w:r>
        <w:rPr>
          <w:rFonts w:hint="eastAsia" w:ascii="新宋体" w:hAnsi="新宋体" w:eastAsia="新宋体" w:cs="新宋体"/>
          <w:sz w:val="24"/>
        </w:rPr>
        <w:t>）、中国政府采购网（</w:t>
      </w:r>
      <w:r>
        <w:rPr>
          <w:rFonts w:hint="eastAsia" w:ascii="新宋体" w:hAnsi="新宋体" w:eastAsia="新宋体" w:cs="新宋体"/>
          <w:sz w:val="24"/>
        </w:rPr>
        <w:fldChar w:fldCharType="begin"/>
      </w:r>
      <w:r>
        <w:rPr>
          <w:rFonts w:hint="eastAsia" w:ascii="新宋体" w:hAnsi="新宋体" w:eastAsia="新宋体" w:cs="新宋体"/>
          <w:sz w:val="24"/>
        </w:rPr>
        <w:instrText xml:space="preserve"> HYPERLINK "http://www.ccgp.gov.cn/" \t "_blank" </w:instrText>
      </w:r>
      <w:r>
        <w:rPr>
          <w:rFonts w:hint="eastAsia" w:ascii="新宋体" w:hAnsi="新宋体" w:eastAsia="新宋体" w:cs="新宋体"/>
          <w:sz w:val="24"/>
        </w:rPr>
        <w:fldChar w:fldCharType="separate"/>
      </w:r>
      <w:r>
        <w:rPr>
          <w:rFonts w:hint="eastAsia" w:ascii="新宋体" w:hAnsi="新宋体" w:eastAsia="新宋体" w:cs="新宋体"/>
          <w:sz w:val="24"/>
        </w:rPr>
        <w:t>www.ccgp.gov.cn</w:t>
      </w:r>
      <w:r>
        <w:rPr>
          <w:rFonts w:hint="eastAsia" w:ascii="新宋体" w:hAnsi="新宋体" w:eastAsia="新宋体" w:cs="新宋体"/>
          <w:sz w:val="24"/>
        </w:rPr>
        <w:fldChar w:fldCharType="end"/>
      </w:r>
      <w:r>
        <w:rPr>
          <w:rFonts w:hint="eastAsia" w:ascii="新宋体" w:hAnsi="新宋体" w:eastAsia="新宋体" w:cs="新宋体"/>
          <w:sz w:val="24"/>
        </w:rPr>
        <w:t>）信用记录情况进行查询。根据《浙江省公共信用信息管理条例》第二十六条的规定，对投标人的公共信用信息进行查询。</w:t>
      </w:r>
    </w:p>
    <w:p w14:paraId="745E0F0E">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2.3评标委员会（即评标小组）对通过资格审查的投标人的商务技术响应文件进行评审。</w:t>
      </w:r>
    </w:p>
    <w:p w14:paraId="394F0D5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2.4评标小组对通过符合性审查的投标人的报价响应文件进行评审；</w:t>
      </w:r>
    </w:p>
    <w:p w14:paraId="7B796F1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2.5在系统上公布评审结果。</w:t>
      </w:r>
    </w:p>
    <w:p w14:paraId="000A7099">
      <w:pPr>
        <w:spacing w:line="400" w:lineRule="exact"/>
        <w:ind w:firstLine="482" w:firstLineChars="200"/>
        <w:rPr>
          <w:rFonts w:hint="eastAsia" w:ascii="新宋体" w:hAnsi="新宋体" w:eastAsia="新宋体"/>
          <w:sz w:val="24"/>
        </w:rPr>
      </w:pPr>
      <w:r>
        <w:rPr>
          <w:rFonts w:hint="eastAsia" w:ascii="新宋体" w:hAnsi="新宋体" w:eastAsia="新宋体" w:cs="新宋体"/>
          <w:b/>
          <w:bCs/>
          <w:sz w:val="24"/>
          <w:u w:val="single"/>
        </w:rPr>
        <w:t>特别说明：“政采云”如对开评标程序有调整的，按调整后的程序操作。</w:t>
      </w:r>
    </w:p>
    <w:p w14:paraId="07E2B2A0">
      <w:pPr>
        <w:pStyle w:val="6"/>
        <w:spacing w:before="120" w:after="120" w:line="400" w:lineRule="exact"/>
        <w:rPr>
          <w:rFonts w:hint="eastAsia" w:ascii="新宋体" w:hAnsi="新宋体" w:eastAsia="新宋体"/>
          <w:sz w:val="28"/>
          <w:szCs w:val="28"/>
        </w:rPr>
      </w:pPr>
      <w:bookmarkStart w:id="65" w:name="_Toc263090375"/>
      <w:bookmarkStart w:id="66" w:name="_Toc6703"/>
      <w:bookmarkStart w:id="67" w:name="_Toc274303253"/>
      <w:bookmarkStart w:id="68" w:name="_Toc226973002"/>
      <w:bookmarkStart w:id="69" w:name="_Toc362250705"/>
      <w:bookmarkStart w:id="70" w:name="_Toc261519847"/>
      <w:r>
        <w:rPr>
          <w:rFonts w:hint="eastAsia" w:ascii="新宋体" w:hAnsi="新宋体" w:eastAsia="新宋体"/>
        </w:rPr>
        <w:t>二</w:t>
      </w:r>
      <w:r>
        <w:rPr>
          <w:rFonts w:hint="eastAsia" w:ascii="新宋体" w:hAnsi="新宋体" w:eastAsia="新宋体"/>
          <w:sz w:val="28"/>
          <w:szCs w:val="28"/>
        </w:rPr>
        <w:t>、</w:t>
      </w:r>
      <w:r>
        <w:rPr>
          <w:rFonts w:hint="eastAsia" w:ascii="新宋体" w:hAnsi="新宋体" w:eastAsia="新宋体"/>
        </w:rPr>
        <w:t>评标</w:t>
      </w:r>
      <w:bookmarkEnd w:id="65"/>
      <w:bookmarkEnd w:id="66"/>
      <w:bookmarkEnd w:id="67"/>
      <w:bookmarkEnd w:id="68"/>
      <w:bookmarkEnd w:id="69"/>
      <w:bookmarkEnd w:id="70"/>
    </w:p>
    <w:p w14:paraId="31098F09">
      <w:pPr>
        <w:spacing w:line="400" w:lineRule="exact"/>
        <w:ind w:firstLine="480"/>
        <w:rPr>
          <w:rFonts w:ascii="新宋体" w:hAnsi="新宋体" w:eastAsia="新宋体"/>
          <w:b/>
          <w:kern w:val="0"/>
          <w:sz w:val="24"/>
        </w:rPr>
      </w:pPr>
      <w:r>
        <w:rPr>
          <w:rFonts w:hint="eastAsia" w:ascii="新宋体" w:hAnsi="新宋体" w:eastAsia="新宋体"/>
          <w:b/>
          <w:kern w:val="0"/>
          <w:sz w:val="24"/>
        </w:rPr>
        <w:t>3.评标委员会</w:t>
      </w:r>
    </w:p>
    <w:p w14:paraId="43E0DFFE">
      <w:pPr>
        <w:spacing w:line="400" w:lineRule="exact"/>
        <w:ind w:firstLine="480" w:firstLineChars="200"/>
        <w:rPr>
          <w:rFonts w:hint="eastAsia" w:ascii="新宋体" w:hAnsi="新宋体" w:eastAsia="新宋体"/>
          <w:iCs/>
          <w:sz w:val="24"/>
        </w:rPr>
      </w:pPr>
      <w:r>
        <w:rPr>
          <w:rFonts w:hint="eastAsia" w:ascii="新宋体" w:hAnsi="新宋体" w:eastAsia="新宋体" w:cs="新宋体"/>
          <w:iCs/>
          <w:sz w:val="24"/>
        </w:rPr>
        <w:t>招标方将根据招标采购项目的特点确定评标委员会（即评标小组）。其成员由专家和采购人代表共</w:t>
      </w:r>
      <w:r>
        <w:rPr>
          <w:rFonts w:hint="eastAsia" w:ascii="新宋体" w:hAnsi="新宋体" w:eastAsia="新宋体" w:cs="Courier New"/>
          <w:iCs/>
          <w:sz w:val="24"/>
          <w:szCs w:val="21"/>
        </w:rPr>
        <w:t>5人及以上单数</w:t>
      </w:r>
      <w:r>
        <w:rPr>
          <w:rFonts w:hint="eastAsia" w:ascii="新宋体" w:hAnsi="新宋体" w:eastAsia="新宋体" w:cs="新宋体"/>
          <w:iCs/>
          <w:sz w:val="24"/>
        </w:rPr>
        <w:t>组成。评标委员会对投标文件进行审查、质疑、评估和比较。</w:t>
      </w:r>
    </w:p>
    <w:p w14:paraId="23F227F3">
      <w:pPr>
        <w:spacing w:line="400" w:lineRule="exact"/>
        <w:ind w:firstLine="480"/>
        <w:rPr>
          <w:rFonts w:hint="eastAsia" w:ascii="新宋体" w:hAnsi="新宋体" w:eastAsia="新宋体"/>
          <w:b/>
          <w:sz w:val="24"/>
        </w:rPr>
      </w:pPr>
      <w:r>
        <w:rPr>
          <w:rFonts w:hint="eastAsia" w:ascii="新宋体" w:hAnsi="新宋体" w:eastAsia="新宋体"/>
          <w:b/>
          <w:sz w:val="24"/>
        </w:rPr>
        <w:t>4.评标原则</w:t>
      </w:r>
    </w:p>
    <w:p w14:paraId="5D703745">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4.1评标委员会将遵循公开、公平、公正的原则，严格遵守评标工作纪律。</w:t>
      </w:r>
    </w:p>
    <w:p w14:paraId="17375A75">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4.2先评资格及商务技术响应文件，再评报价响应文件。</w:t>
      </w:r>
    </w:p>
    <w:p w14:paraId="7A9DF7B0">
      <w:pPr>
        <w:spacing w:line="440" w:lineRule="exact"/>
        <w:ind w:firstLine="480"/>
        <w:rPr>
          <w:rFonts w:hint="eastAsia" w:ascii="新宋体" w:hAnsi="新宋体" w:eastAsia="新宋体" w:cs="新宋体"/>
          <w:sz w:val="24"/>
        </w:rPr>
      </w:pPr>
      <w:r>
        <w:rPr>
          <w:rFonts w:hint="eastAsia" w:ascii="新宋体" w:hAnsi="新宋体" w:eastAsia="新宋体" w:cs="新宋体"/>
          <w:bCs/>
          <w:sz w:val="24"/>
        </w:rPr>
        <w:t>4.3</w:t>
      </w:r>
      <w:r>
        <w:rPr>
          <w:rFonts w:hint="eastAsia" w:ascii="新宋体" w:hAnsi="新宋体" w:eastAsia="新宋体" w:cs="新宋体"/>
          <w:sz w:val="24"/>
        </w:rPr>
        <w:t>客观公正对待所有投标人，对所有投标评审均采用相同的程序和标准。评标的依据为招标文件和相关法律法规及政策文件。</w:t>
      </w:r>
    </w:p>
    <w:p w14:paraId="1DD44717">
      <w:pPr>
        <w:pStyle w:val="35"/>
        <w:spacing w:line="440" w:lineRule="exact"/>
        <w:ind w:firstLine="482"/>
        <w:rPr>
          <w:rFonts w:hint="eastAsia" w:ascii="新宋体" w:hAnsi="新宋体" w:eastAsia="新宋体" w:cs="新宋体"/>
          <w:sz w:val="24"/>
        </w:rPr>
      </w:pPr>
      <w:r>
        <w:rPr>
          <w:rFonts w:hint="eastAsia" w:ascii="新宋体" w:hAnsi="新宋体" w:eastAsia="新宋体" w:cs="新宋体"/>
          <w:sz w:val="24"/>
        </w:rPr>
        <w:t>4.4异常或特殊情况处理：</w:t>
      </w:r>
    </w:p>
    <w:p w14:paraId="57F89474">
      <w:pPr>
        <w:pStyle w:val="35"/>
        <w:spacing w:line="440" w:lineRule="exact"/>
        <w:ind w:firstLine="482"/>
        <w:rPr>
          <w:rFonts w:hint="eastAsia" w:ascii="新宋体" w:hAnsi="新宋体" w:eastAsia="新宋体" w:cs="新宋体"/>
          <w:sz w:val="24"/>
          <w:szCs w:val="24"/>
        </w:rPr>
      </w:pPr>
      <w:r>
        <w:rPr>
          <w:rFonts w:hint="eastAsia" w:ascii="新宋体" w:hAnsi="新宋体" w:eastAsia="新宋体" w:cs="新宋体"/>
          <w:sz w:val="24"/>
        </w:rPr>
        <w:t>4.4.1</w:t>
      </w:r>
      <w:r>
        <w:rPr>
          <w:rFonts w:hint="eastAsia" w:ascii="新宋体" w:hAnsi="新宋体" w:eastAsia="新宋体" w:cs="新宋体"/>
          <w:sz w:val="24"/>
          <w:szCs w:val="24"/>
        </w:rPr>
        <w:t>在评标过程中，如发现招标文件中内容有不一致的（除招标文件中其他地方另有规定的外），经评标委员</w:t>
      </w:r>
      <w:r>
        <w:rPr>
          <w:rFonts w:hint="eastAsia" w:ascii="新宋体" w:hAnsi="新宋体" w:eastAsia="新宋体" w:cs="新宋体"/>
          <w:color w:val="000000"/>
          <w:sz w:val="24"/>
          <w:szCs w:val="24"/>
        </w:rPr>
        <w:t>会</w:t>
      </w:r>
      <w:r>
        <w:rPr>
          <w:rFonts w:hint="eastAsia" w:ascii="新宋体" w:hAnsi="新宋体" w:eastAsia="新宋体" w:cs="新宋体"/>
          <w:sz w:val="24"/>
          <w:szCs w:val="24"/>
        </w:rPr>
        <w:t>讨论认为不影响评标的，可以继续评标；</w:t>
      </w:r>
    </w:p>
    <w:p w14:paraId="2048CB02">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55BE8AC">
      <w:pPr>
        <w:spacing w:line="440" w:lineRule="exact"/>
        <w:ind w:firstLine="464" w:firstLineChars="200"/>
        <w:rPr>
          <w:rFonts w:hint="eastAsia" w:ascii="新宋体" w:hAnsi="新宋体" w:eastAsia="新宋体" w:cs="新宋体"/>
          <w:sz w:val="24"/>
        </w:rPr>
      </w:pPr>
      <w:r>
        <w:rPr>
          <w:rFonts w:hint="eastAsia" w:ascii="新宋体" w:hAnsi="新宋体" w:eastAsia="新宋体" w:cs="新宋体"/>
          <w:bCs/>
          <w:spacing w:val="-4"/>
          <w:sz w:val="24"/>
        </w:rPr>
        <w:t>4.4.2</w:t>
      </w:r>
      <w:r>
        <w:rPr>
          <w:rFonts w:hint="eastAsia" w:ascii="新宋体" w:hAnsi="新宋体" w:eastAsia="新宋体" w:cs="新宋体"/>
          <w:sz w:val="24"/>
        </w:rPr>
        <w:t>在评标过程中，出现其他异常或特殊情况时，由评标委员会集体讨论决定。</w:t>
      </w:r>
    </w:p>
    <w:p w14:paraId="1F4ECE90">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4.5评标委员会成员对需要共同认定的事项存在争议的，应当按照少数服从多数的原则作出结论。持不同意见的评标委员会成员应当在评标报告上签署不同意见及理由，否则视为同意评标报告。</w:t>
      </w:r>
    </w:p>
    <w:p w14:paraId="03093688">
      <w:pPr>
        <w:spacing w:line="440" w:lineRule="exact"/>
        <w:ind w:firstLine="482" w:firstLineChars="200"/>
        <w:rPr>
          <w:rFonts w:hint="eastAsia" w:ascii="新宋体" w:hAnsi="新宋体" w:eastAsia="新宋体" w:cs="新宋体"/>
          <w:sz w:val="28"/>
        </w:rPr>
      </w:pPr>
      <w:r>
        <w:rPr>
          <w:rFonts w:hint="eastAsia" w:ascii="新宋体" w:hAnsi="新宋体" w:eastAsia="新宋体" w:cs="新宋体"/>
          <w:b/>
          <w:sz w:val="24"/>
        </w:rPr>
        <w:t>5.评标过程的保密</w:t>
      </w:r>
    </w:p>
    <w:p w14:paraId="75403B8F">
      <w:pPr>
        <w:spacing w:line="440" w:lineRule="exact"/>
        <w:ind w:firstLine="480" w:firstLineChars="200"/>
        <w:rPr>
          <w:rFonts w:hint="eastAsia" w:ascii="新宋体" w:hAnsi="新宋体" w:eastAsia="新宋体" w:cs="新宋体"/>
          <w:spacing w:val="-4"/>
          <w:sz w:val="24"/>
        </w:rPr>
      </w:pPr>
      <w:r>
        <w:rPr>
          <w:rFonts w:hint="eastAsia" w:ascii="新宋体" w:hAnsi="新宋体" w:eastAsia="新宋体" w:cs="新宋体"/>
          <w:color w:val="000000"/>
          <w:sz w:val="24"/>
        </w:rPr>
        <w:t>开标后，直至授予中标人合同为止，凡属于对投标文件的审查、澄清、评价和比较等与评标有关的任何资料、情况均严格保密。</w:t>
      </w:r>
    </w:p>
    <w:p w14:paraId="7795B943">
      <w:pPr>
        <w:adjustRightInd w:val="0"/>
        <w:snapToGrid w:val="0"/>
        <w:spacing w:line="440" w:lineRule="exact"/>
        <w:ind w:firstLine="472" w:firstLineChars="196"/>
        <w:rPr>
          <w:rFonts w:hint="eastAsia" w:ascii="新宋体" w:hAnsi="新宋体" w:eastAsia="新宋体" w:cs="新宋体"/>
          <w:b/>
          <w:sz w:val="24"/>
        </w:rPr>
      </w:pPr>
      <w:r>
        <w:rPr>
          <w:rFonts w:hint="eastAsia" w:ascii="新宋体" w:hAnsi="新宋体" w:eastAsia="新宋体" w:cs="新宋体"/>
          <w:b/>
          <w:sz w:val="24"/>
        </w:rPr>
        <w:t>6.投标文件中内容不一致的处理</w:t>
      </w:r>
    </w:p>
    <w:p w14:paraId="1E67BD1C">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同一份投标文件中，彩页、官网下载资料、检测报告等证明性资料中描写的技术性能指标与投标文件中其他地方内容描述不一致的，应以上述证明性资料为准；规范偏离表等偏离表的内容与投标文件中其他地方内容有描述不一致的，应以投标文件中其他地方内容的描述为准。</w:t>
      </w:r>
    </w:p>
    <w:p w14:paraId="62194463">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7.投标文件的澄清</w:t>
      </w:r>
    </w:p>
    <w:p w14:paraId="2923E0E8">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7.1为有助于投标文件的审查、评价和比较，评标委员会应当在“政采云”在线询标或采用其他有效形式要求投标人对同一份投标文件含义不明确、同类问题表述不一致或者有明显文字和计算错误的内容（除招标文件中其他地方另有规定的外）作必要的澄清或说明，投标人应采用在线回复或其他有效形式在询标规定时间内进行澄清或说明（需盖电子签章或实体公章），但不得超出投标文件的范围或改变投标文件的实质性内容。根据本须知第9条规定，凡属于评标小组在评标中发现的计算错误并进行核实的修改不在此列。</w:t>
      </w:r>
    </w:p>
    <w:p w14:paraId="417B384C">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7.2如果投标人代表拒绝按评标委员会要求在“政采云”作出在线回复且无其他有效回复方式的，评标委员会可以对其作出无效标处理。</w:t>
      </w:r>
    </w:p>
    <w:p w14:paraId="22C9CE19">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w:t>
      </w:r>
      <w:r>
        <w:rPr>
          <w:rFonts w:hint="eastAsia" w:ascii="新宋体" w:hAnsi="新宋体" w:eastAsia="新宋体" w:cs="新宋体"/>
          <w:b/>
          <w:sz w:val="24"/>
        </w:rPr>
        <w:t>投标文件的资格性和符合性评审</w:t>
      </w:r>
    </w:p>
    <w:p w14:paraId="7978790B">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8.1评标时，评标委员会将首先评定每份投标文件是否实质上响应了招标文件的要求。所谓实质上响应，是指投标文件应与招标文件的所有实质性条款、条件和要求相符，无显著差异或保留。</w:t>
      </w:r>
    </w:p>
    <w:p w14:paraId="1FD1864F">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8.2如果投标文件出现第五章规定的内容，即为实质上不响应招标文件的各项要求，评标委员会将予以拒绝（或认定为无效标），并且不允许投标人通过修改或撤销其不符合要求的差异或保留，使之成为实质上响应的投标。</w:t>
      </w:r>
    </w:p>
    <w:p w14:paraId="690C37D4">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8.3在投标文件的评审和比较、中标候选人推荐的过程中，投标人向采购人和评标小组施加影响的任何行为，都将会导致其投标被拒绝。</w:t>
      </w:r>
    </w:p>
    <w:p w14:paraId="68CABE2B">
      <w:pPr>
        <w:adjustRightInd w:val="0"/>
        <w:snapToGrid w:val="0"/>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8.4评标委员会在作出任何一项无效标决定前，都应当严格遵循以下程序：</w:t>
      </w:r>
    </w:p>
    <w:p w14:paraId="06E42D1D">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8.4.1要求当事投标人作相应的答辩；</w:t>
      </w:r>
    </w:p>
    <w:p w14:paraId="74AA0741">
      <w:pPr>
        <w:adjustRightInd w:val="0"/>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8.4.2在充分讨论的基础上集体表决。</w:t>
      </w:r>
    </w:p>
    <w:p w14:paraId="0575FEFB">
      <w:pPr>
        <w:pStyle w:val="35"/>
        <w:spacing w:line="440" w:lineRule="exact"/>
        <w:ind w:firstLine="482"/>
        <w:rPr>
          <w:rFonts w:hint="eastAsia" w:ascii="新宋体" w:hAnsi="新宋体" w:eastAsia="新宋体" w:cs="新宋体"/>
          <w:b/>
          <w:sz w:val="24"/>
        </w:rPr>
      </w:pPr>
      <w:r>
        <w:rPr>
          <w:rFonts w:hint="eastAsia" w:ascii="新宋体" w:hAnsi="新宋体" w:eastAsia="新宋体" w:cs="新宋体"/>
          <w:b/>
          <w:sz w:val="24"/>
        </w:rPr>
        <w:t>9.投标文件中</w:t>
      </w:r>
      <w:r>
        <w:rPr>
          <w:rFonts w:hint="eastAsia" w:ascii="新宋体" w:hAnsi="新宋体" w:eastAsia="新宋体" w:cs="新宋体"/>
          <w:b/>
          <w:sz w:val="24"/>
          <w:u w:val="single"/>
        </w:rPr>
        <w:t>计算错误和不同文字文本</w:t>
      </w:r>
      <w:r>
        <w:rPr>
          <w:rFonts w:hint="eastAsia" w:ascii="新宋体" w:hAnsi="新宋体" w:eastAsia="新宋体" w:cs="新宋体"/>
          <w:b/>
          <w:sz w:val="24"/>
        </w:rPr>
        <w:t>的修正</w:t>
      </w:r>
    </w:p>
    <w:p w14:paraId="750346D0">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9.1修正原则如下：</w:t>
      </w:r>
    </w:p>
    <w:p w14:paraId="38E911DC">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9.1.1对不同文字文本投标文件的解释发生异义的，以中文文本为准；评标委员会可以拒绝接受不是中文版的投标文件以及与投标相关的资料。</w:t>
      </w:r>
    </w:p>
    <w:p w14:paraId="28881226">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9.1.2投标文件报价出现不一致的，除招标文件另有规定外，按照下列规定修正：</w:t>
      </w:r>
    </w:p>
    <w:p w14:paraId="2D124E8A">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（1）客户端填写的报价与以pdf格式上传文件中的报价不一致的，应以Pdf格式上传文件中的报价为准；</w:t>
      </w:r>
    </w:p>
    <w:p w14:paraId="3A39B29A">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（2）投标文件中开标一览表内容与投标文件中相应内容不一致的，以开标一览表为准；</w:t>
      </w:r>
    </w:p>
    <w:p w14:paraId="69961524">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（3）投标文件的大写金额和小写金额不一致的，以大写金额为准；</w:t>
      </w:r>
    </w:p>
    <w:p w14:paraId="159D0A26">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（4）单价金额的小数点或者百分比有明显错位的，</w:t>
      </w:r>
      <w:r>
        <w:rPr>
          <w:rFonts w:hint="eastAsia" w:ascii="新宋体" w:hAnsi="新宋体" w:eastAsia="新宋体" w:cs="新宋体"/>
          <w:color w:val="000000"/>
          <w:kern w:val="0"/>
          <w:sz w:val="24"/>
          <w:szCs w:val="24"/>
        </w:rPr>
        <w:t>以开标一览表的总价为准，</w:t>
      </w:r>
      <w:r>
        <w:rPr>
          <w:rFonts w:hint="eastAsia" w:ascii="新宋体" w:hAnsi="新宋体" w:eastAsia="新宋体" w:cs="新宋体"/>
          <w:kern w:val="0"/>
          <w:sz w:val="24"/>
          <w:szCs w:val="24"/>
        </w:rPr>
        <w:t>并修改单价；</w:t>
      </w:r>
    </w:p>
    <w:p w14:paraId="2C7E915B">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（5）总价金额与按单价汇总金额不一致的，以单价金额计算结果为准。</w:t>
      </w:r>
    </w:p>
    <w:p w14:paraId="4B57D190">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同时出现两种以上不一致的，按照前款规定的顺序修正。修正后的报价通过“政采云”经投标人确认后产生约束力，投标人不确认的，其投标无效。</w:t>
      </w:r>
    </w:p>
    <w:p w14:paraId="188B5229">
      <w:pPr>
        <w:pStyle w:val="35"/>
        <w:spacing w:line="440" w:lineRule="exact"/>
        <w:ind w:firstLine="482"/>
        <w:rPr>
          <w:rFonts w:hint="eastAsia" w:ascii="新宋体" w:hAnsi="新宋体" w:eastAsia="新宋体" w:cs="新宋体"/>
          <w:b/>
          <w:spacing w:val="-4"/>
          <w:sz w:val="24"/>
        </w:rPr>
      </w:pPr>
      <w:r>
        <w:rPr>
          <w:rFonts w:hint="eastAsia" w:ascii="新宋体" w:hAnsi="新宋体" w:eastAsia="新宋体" w:cs="新宋体"/>
          <w:b/>
          <w:spacing w:val="-4"/>
          <w:sz w:val="24"/>
        </w:rPr>
        <w:t>10.评标办法</w:t>
      </w:r>
    </w:p>
    <w:p w14:paraId="2E085EA6">
      <w:pPr>
        <w:adjustRightInd w:val="0"/>
        <w:snapToGrid w:val="0"/>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本项目采用综合评分法。</w:t>
      </w:r>
    </w:p>
    <w:p w14:paraId="7345768A">
      <w:pPr>
        <w:pStyle w:val="35"/>
        <w:spacing w:line="440" w:lineRule="exact"/>
        <w:ind w:firstLine="482"/>
        <w:rPr>
          <w:rFonts w:hint="eastAsia" w:ascii="新宋体" w:hAnsi="新宋体" w:eastAsia="新宋体" w:cs="新宋体"/>
          <w:b/>
          <w:spacing w:val="-4"/>
          <w:sz w:val="24"/>
        </w:rPr>
      </w:pPr>
      <w:r>
        <w:rPr>
          <w:rFonts w:hint="eastAsia" w:ascii="新宋体" w:hAnsi="新宋体" w:eastAsia="新宋体" w:cs="新宋体"/>
          <w:b/>
          <w:spacing w:val="-4"/>
          <w:sz w:val="24"/>
        </w:rPr>
        <w:t>11.决标</w:t>
      </w:r>
    </w:p>
    <w:p w14:paraId="6C129983">
      <w:pPr>
        <w:pStyle w:val="35"/>
        <w:spacing w:line="440" w:lineRule="exact"/>
        <w:ind w:firstLine="482"/>
        <w:rPr>
          <w:rFonts w:hint="eastAsia" w:ascii="新宋体" w:hAnsi="新宋体" w:eastAsia="新宋体" w:cs="新宋体"/>
          <w:kern w:val="0"/>
          <w:sz w:val="24"/>
          <w:szCs w:val="24"/>
        </w:rPr>
      </w:pPr>
      <w:r>
        <w:rPr>
          <w:rFonts w:hint="eastAsia" w:ascii="新宋体" w:hAnsi="新宋体" w:eastAsia="新宋体" w:cs="新宋体"/>
          <w:kern w:val="0"/>
          <w:sz w:val="24"/>
          <w:szCs w:val="24"/>
        </w:rPr>
        <w:t>11.1评标委员会依据本招标文件规定的评标标准和方法，对投标文件进行评审和比较，向招标方提出书面评标报告。</w:t>
      </w:r>
    </w:p>
    <w:p w14:paraId="47B8B875">
      <w:pPr>
        <w:pStyle w:val="35"/>
        <w:spacing w:line="440" w:lineRule="exact"/>
        <w:ind w:firstLine="482"/>
        <w:rPr>
          <w:rFonts w:hint="eastAsia" w:ascii="新宋体" w:hAnsi="新宋体" w:eastAsia="新宋体" w:cs="新宋体"/>
          <w:b/>
          <w:spacing w:val="-4"/>
          <w:sz w:val="24"/>
        </w:rPr>
      </w:pPr>
      <w:r>
        <w:rPr>
          <w:rFonts w:hint="eastAsia" w:ascii="新宋体" w:hAnsi="新宋体" w:eastAsia="新宋体" w:cs="新宋体"/>
          <w:b/>
          <w:spacing w:val="-4"/>
          <w:sz w:val="24"/>
        </w:rPr>
        <w:t>11.2在招标采购过程中，有下列情形之一的，应对采购项目予以废标：</w:t>
      </w:r>
    </w:p>
    <w:p w14:paraId="65E5CEA1">
      <w:pPr>
        <w:adjustRightInd w:val="0"/>
        <w:snapToGrid w:val="0"/>
        <w:spacing w:line="440" w:lineRule="exact"/>
        <w:ind w:firstLine="573"/>
        <w:rPr>
          <w:rFonts w:hint="eastAsia" w:ascii="新宋体" w:hAnsi="新宋体" w:eastAsia="新宋体" w:cs="新宋体"/>
          <w:sz w:val="24"/>
        </w:rPr>
      </w:pPr>
      <w:r>
        <w:rPr>
          <w:rFonts w:hint="eastAsia" w:ascii="新宋体" w:hAnsi="新宋体" w:eastAsia="新宋体" w:cs="新宋体"/>
          <w:sz w:val="24"/>
        </w:rPr>
        <w:t>（1）通过资格审查或评审后有效投标人不足三家的；</w:t>
      </w:r>
    </w:p>
    <w:p w14:paraId="58913BF7">
      <w:pPr>
        <w:adjustRightInd w:val="0"/>
        <w:snapToGrid w:val="0"/>
        <w:spacing w:line="440" w:lineRule="exact"/>
        <w:ind w:firstLine="573"/>
        <w:rPr>
          <w:rFonts w:hint="eastAsia" w:ascii="新宋体" w:hAnsi="新宋体" w:eastAsia="新宋体" w:cs="新宋体"/>
          <w:sz w:val="24"/>
        </w:rPr>
      </w:pPr>
      <w:r>
        <w:rPr>
          <w:rFonts w:hint="eastAsia" w:ascii="新宋体" w:hAnsi="新宋体" w:eastAsia="新宋体" w:cs="新宋体"/>
          <w:sz w:val="24"/>
        </w:rPr>
        <w:t>（2）出现影响采购公正的违法、违规行为的；</w:t>
      </w:r>
    </w:p>
    <w:p w14:paraId="7EBB24B4">
      <w:pPr>
        <w:adjustRightInd w:val="0"/>
        <w:snapToGrid w:val="0"/>
        <w:spacing w:line="440" w:lineRule="exact"/>
        <w:ind w:firstLine="573"/>
        <w:rPr>
          <w:rFonts w:hint="eastAsia" w:ascii="新宋体" w:hAnsi="新宋体" w:eastAsia="新宋体" w:cs="新宋体"/>
          <w:sz w:val="24"/>
        </w:rPr>
      </w:pPr>
      <w:r>
        <w:rPr>
          <w:rFonts w:hint="eastAsia" w:ascii="新宋体" w:hAnsi="新宋体" w:eastAsia="新宋体" w:cs="新宋体"/>
          <w:sz w:val="24"/>
        </w:rPr>
        <w:t>（3）因重大变故采购任务取消的；</w:t>
      </w:r>
    </w:p>
    <w:p w14:paraId="477C8C0C">
      <w:pPr>
        <w:adjustRightInd w:val="0"/>
        <w:snapToGrid w:val="0"/>
        <w:spacing w:line="440" w:lineRule="exact"/>
        <w:ind w:firstLine="573"/>
        <w:rPr>
          <w:rFonts w:hint="eastAsia" w:ascii="新宋体" w:hAnsi="新宋体" w:eastAsia="新宋体" w:cs="新宋体"/>
          <w:sz w:val="24"/>
        </w:rPr>
      </w:pPr>
      <w:r>
        <w:rPr>
          <w:rFonts w:hint="eastAsia" w:ascii="新宋体" w:hAnsi="新宋体" w:eastAsia="新宋体" w:cs="新宋体"/>
          <w:sz w:val="24"/>
        </w:rPr>
        <w:t>（4）招标文件另有规定情形的。</w:t>
      </w:r>
    </w:p>
    <w:p w14:paraId="4097D2C5">
      <w:pPr>
        <w:pStyle w:val="6"/>
        <w:spacing w:before="120" w:after="120" w:line="400" w:lineRule="exact"/>
        <w:rPr>
          <w:rFonts w:hint="eastAsia" w:ascii="新宋体" w:hAnsi="新宋体" w:eastAsia="新宋体"/>
          <w:sz w:val="28"/>
          <w:szCs w:val="28"/>
        </w:rPr>
      </w:pPr>
      <w:bookmarkStart w:id="71" w:name="_Toc30774"/>
      <w:bookmarkStart w:id="72" w:name="_Toc362250706"/>
      <w:bookmarkStart w:id="73" w:name="_Toc274303254"/>
      <w:bookmarkStart w:id="74" w:name="_Toc261519848"/>
      <w:bookmarkStart w:id="75" w:name="_Toc263090376"/>
      <w:bookmarkStart w:id="76" w:name="_Toc226973003"/>
      <w:r>
        <w:rPr>
          <w:rFonts w:hint="eastAsia" w:ascii="新宋体" w:hAnsi="新宋体" w:eastAsia="新宋体"/>
          <w:sz w:val="28"/>
          <w:szCs w:val="28"/>
        </w:rPr>
        <w:t>三、定标</w:t>
      </w:r>
      <w:bookmarkEnd w:id="71"/>
      <w:bookmarkEnd w:id="72"/>
      <w:bookmarkEnd w:id="73"/>
      <w:bookmarkEnd w:id="74"/>
      <w:bookmarkEnd w:id="75"/>
      <w:bookmarkEnd w:id="76"/>
    </w:p>
    <w:p w14:paraId="6009C5F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12.中标通知</w:t>
      </w:r>
    </w:p>
    <w:p w14:paraId="4D776CAE">
      <w:pPr>
        <w:widowControl/>
        <w:spacing w:line="440" w:lineRule="exact"/>
        <w:ind w:firstLine="480"/>
        <w:jc w:val="left"/>
        <w:rPr>
          <w:rFonts w:hint="eastAsia" w:ascii="新宋体" w:hAnsi="新宋体" w:eastAsia="新宋体" w:cs="新宋体"/>
          <w:sz w:val="24"/>
        </w:rPr>
      </w:pPr>
      <w:r>
        <w:rPr>
          <w:rFonts w:hint="eastAsia" w:ascii="新宋体" w:hAnsi="新宋体" w:eastAsia="新宋体" w:cs="新宋体"/>
          <w:sz w:val="24"/>
        </w:rPr>
        <w:t>12.1投标人自</w:t>
      </w:r>
      <w:r>
        <w:rPr>
          <w:rFonts w:hint="eastAsia" w:ascii="新宋体" w:hAnsi="新宋体" w:eastAsia="新宋体" w:cs="Courier New"/>
          <w:sz w:val="24"/>
        </w:rPr>
        <w:t>202</w:t>
      </w:r>
      <w:r>
        <w:rPr>
          <w:rFonts w:hint="eastAsia" w:ascii="新宋体" w:hAnsi="新宋体" w:eastAsia="新宋体" w:cs="Courier New"/>
          <w:sz w:val="24"/>
          <w:lang w:val="en-US" w:eastAsia="zh-CN"/>
        </w:rPr>
        <w:t>3</w:t>
      </w:r>
      <w:r>
        <w:rPr>
          <w:rFonts w:hint="eastAsia" w:ascii="新宋体" w:hAnsi="新宋体" w:eastAsia="新宋体" w:cs="Courier New"/>
          <w:sz w:val="24"/>
        </w:rPr>
        <w:t>年01月01日</w:t>
      </w:r>
      <w:r>
        <w:rPr>
          <w:rFonts w:hint="eastAsia" w:ascii="新宋体" w:hAnsi="新宋体" w:eastAsia="新宋体" w:cs="新宋体"/>
          <w:sz w:val="24"/>
        </w:rPr>
        <w:t>起至中标公告期结束前无行贿犯罪记录【评标结束后，确认中标（成交）供应商前，由采购人通过中国裁判文书网（http://wenshu.court.gov.cn/）按照招标文件约定对</w:t>
      </w:r>
      <w:bookmarkStart w:id="77" w:name="OLE_LINK1"/>
      <w:r>
        <w:rPr>
          <w:rFonts w:hint="eastAsia" w:ascii="新宋体" w:hAnsi="新宋体" w:eastAsia="新宋体" w:cs="新宋体"/>
          <w:sz w:val="24"/>
        </w:rPr>
        <w:t>拟中标（成交）供应商</w:t>
      </w:r>
      <w:bookmarkEnd w:id="77"/>
      <w:r>
        <w:rPr>
          <w:rFonts w:hint="eastAsia" w:ascii="新宋体" w:hAnsi="新宋体" w:eastAsia="新宋体" w:cs="新宋体"/>
          <w:sz w:val="24"/>
        </w:rPr>
        <w:t>及其拟派项目负责人的行贿犯罪记录进行查询（拟中标（成交）供应商为</w:t>
      </w:r>
      <w:r>
        <w:rPr>
          <w:rFonts w:hint="eastAsia" w:ascii="新宋体" w:hAnsi="新宋体" w:eastAsia="新宋体" w:cs="Courier New"/>
          <w:sz w:val="24"/>
        </w:rPr>
        <w:t>联合体</w:t>
      </w:r>
      <w:r>
        <w:rPr>
          <w:rFonts w:hint="eastAsia" w:ascii="新宋体" w:hAnsi="新宋体" w:eastAsia="新宋体" w:cs="新宋体"/>
          <w:sz w:val="24"/>
        </w:rPr>
        <w:t>的</w:t>
      </w:r>
      <w:r>
        <w:rPr>
          <w:rFonts w:hint="eastAsia" w:ascii="新宋体" w:hAnsi="新宋体" w:eastAsia="新宋体" w:cs="Courier New"/>
          <w:sz w:val="24"/>
        </w:rPr>
        <w:t>：对</w:t>
      </w:r>
      <w:r>
        <w:rPr>
          <w:rFonts w:hint="eastAsia" w:ascii="新宋体" w:hAnsi="新宋体" w:eastAsia="新宋体" w:cs="新宋体"/>
          <w:sz w:val="24"/>
        </w:rPr>
        <w:t>拟</w:t>
      </w:r>
      <w:r>
        <w:rPr>
          <w:rFonts w:hint="eastAsia" w:ascii="新宋体" w:hAnsi="新宋体" w:eastAsia="新宋体" w:cs="Courier New"/>
          <w:sz w:val="24"/>
        </w:rPr>
        <w:t>中标</w:t>
      </w:r>
      <w:r>
        <w:rPr>
          <w:rFonts w:hint="eastAsia" w:ascii="新宋体" w:hAnsi="新宋体" w:eastAsia="新宋体" w:cs="新宋体"/>
          <w:sz w:val="24"/>
        </w:rPr>
        <w:t>（成交）</w:t>
      </w:r>
      <w:r>
        <w:rPr>
          <w:rFonts w:hint="eastAsia" w:ascii="新宋体" w:hAnsi="新宋体" w:eastAsia="新宋体" w:cs="Courier New"/>
          <w:sz w:val="24"/>
        </w:rPr>
        <w:t>的联合体各方</w:t>
      </w:r>
      <w:r>
        <w:rPr>
          <w:rFonts w:hint="eastAsia" w:ascii="新宋体" w:hAnsi="新宋体" w:eastAsia="新宋体" w:cs="新宋体"/>
          <w:sz w:val="24"/>
        </w:rPr>
        <w:t>及其拟派项目负责人的行贿犯罪记录</w:t>
      </w:r>
      <w:r>
        <w:rPr>
          <w:rFonts w:hint="eastAsia" w:ascii="新宋体" w:hAnsi="新宋体" w:eastAsia="新宋体" w:cs="Courier New"/>
          <w:sz w:val="24"/>
        </w:rPr>
        <w:t>进行查询</w:t>
      </w:r>
      <w:r>
        <w:rPr>
          <w:rFonts w:hint="eastAsia" w:ascii="新宋体" w:hAnsi="新宋体" w:eastAsia="新宋体" w:cs="新宋体"/>
          <w:sz w:val="24"/>
        </w:rPr>
        <w:t>），查询结果以网站页面显示内容为准】，经查实，中标人有前述行贿犯罪记录的，取消其中标资格，采购人依法重新组织采购。</w:t>
      </w:r>
    </w:p>
    <w:p w14:paraId="2336DB4C">
      <w:pPr>
        <w:pStyle w:val="35"/>
        <w:snapToGrid w:val="0"/>
        <w:spacing w:line="440" w:lineRule="exact"/>
        <w:ind w:firstLine="480" w:firstLineChars="200"/>
        <w:rPr>
          <w:rFonts w:hint="eastAsia" w:ascii="新宋体" w:hAnsi="新宋体" w:eastAsia="新宋体" w:cs="新宋体"/>
          <w:sz w:val="24"/>
        </w:rPr>
      </w:pPr>
      <w:r>
        <w:rPr>
          <w:rFonts w:hint="eastAsia" w:ascii="新宋体" w:hAnsi="新宋体" w:eastAsia="新宋体" w:cs="新宋体"/>
          <w:color w:val="000000"/>
          <w:sz w:val="24"/>
        </w:rPr>
        <w:t>12.2评标结束后，采购结果公告期限为1个工作日，发布采购结果公告的媒体为：浙江政府采购网站。自中标人确定之日起2个工作日内，由采购代理机构通过 “政采云”签发《中标通知书》，《中标通知书》一经发出即发生法律效力。</w:t>
      </w:r>
    </w:p>
    <w:p w14:paraId="24964E12">
      <w:pPr>
        <w:pStyle w:val="35"/>
        <w:tabs>
          <w:tab w:val="left" w:pos="900"/>
        </w:tabs>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13.合同签订</w:t>
      </w:r>
    </w:p>
    <w:p w14:paraId="2F56EFAD">
      <w:pPr>
        <w:widowControl/>
        <w:spacing w:line="440" w:lineRule="exact"/>
        <w:ind w:firstLine="480"/>
        <w:jc w:val="left"/>
        <w:rPr>
          <w:rFonts w:hint="eastAsia" w:ascii="新宋体" w:hAnsi="新宋体" w:eastAsia="新宋体" w:cs="新宋体"/>
          <w:color w:val="000000"/>
          <w:kern w:val="0"/>
          <w:sz w:val="24"/>
        </w:rPr>
      </w:pPr>
      <w:r>
        <w:rPr>
          <w:rFonts w:hint="eastAsia" w:ascii="新宋体" w:hAnsi="新宋体" w:eastAsia="新宋体" w:cs="新宋体"/>
          <w:color w:val="000000"/>
          <w:sz w:val="24"/>
        </w:rPr>
        <w:t>13.1中标人应在自《中标通知书》发出之日起三十天内与采购人签订合同，按照招标文件确定的事项签订政府采购合同，并在签订之日起2个工作日内将政府采购合同在浙江政府采购网上公告。鼓励有条件的采购人视情缩减采购合同签订时限，提高采购效率。</w:t>
      </w:r>
    </w:p>
    <w:p w14:paraId="749FF357">
      <w:pPr>
        <w:spacing w:line="440" w:lineRule="exact"/>
        <w:ind w:firstLine="480" w:firstLineChars="200"/>
        <w:rPr>
          <w:rFonts w:hint="eastAsia" w:ascii="新宋体" w:hAnsi="新宋体" w:eastAsia="新宋体" w:cs="新宋体"/>
          <w:color w:val="000000"/>
          <w:sz w:val="24"/>
        </w:rPr>
      </w:pPr>
      <w:r>
        <w:rPr>
          <w:rFonts w:hint="eastAsia" w:ascii="新宋体" w:hAnsi="新宋体" w:eastAsia="新宋体" w:cs="新宋体"/>
          <w:color w:val="000000"/>
          <w:sz w:val="24"/>
        </w:rPr>
        <w:t>13.2</w:t>
      </w:r>
      <w:r>
        <w:rPr>
          <w:rFonts w:hint="eastAsia" w:ascii="新宋体" w:hAnsi="新宋体" w:eastAsia="新宋体" w:cs="新宋体"/>
          <w:color w:val="000000"/>
          <w:sz w:val="24"/>
          <w:lang w:val="zh-CN"/>
        </w:rPr>
        <w:t>中标人按规定的日期、时间、地点，由法定代表人或其授权代表与采购人代表签订合同。如中标人为联合体的，由联合体成员各方法定代表人或其授权代表与采购人代表签订合同。</w:t>
      </w:r>
    </w:p>
    <w:p w14:paraId="1EF43F71">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13.3招标文件、中标人的投标文件、评标过程中投标人在询标时作出的承诺及其澄清文件等，均为签订合同的依据。</w:t>
      </w:r>
    </w:p>
    <w:p w14:paraId="2B6F09F3">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13.4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F50B25F">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13.5采购人变更数量的权利</w:t>
      </w:r>
    </w:p>
    <w:p w14:paraId="3701824C">
      <w:pPr>
        <w:spacing w:line="400" w:lineRule="exact"/>
        <w:ind w:firstLine="480" w:firstLineChars="200"/>
        <w:rPr>
          <w:rFonts w:hint="eastAsia" w:ascii="新宋体" w:hAnsi="新宋体" w:eastAsia="新宋体"/>
          <w:sz w:val="24"/>
        </w:rPr>
      </w:pPr>
      <w:r>
        <w:rPr>
          <w:rFonts w:hint="eastAsia" w:ascii="新宋体" w:hAnsi="新宋体" w:eastAsia="新宋体"/>
          <w:sz w:val="24"/>
        </w:rPr>
        <w:t>采购人在授予合同时有权对“第三章 招标项目要求”中规定的服务予以增加或减少，但必须符合《中华人民共和国政府采购法》及义乌市政府采购的相关规定。</w:t>
      </w:r>
    </w:p>
    <w:p w14:paraId="75F33AA7">
      <w:pPr>
        <w:pStyle w:val="6"/>
        <w:spacing w:before="120" w:after="120" w:line="400" w:lineRule="exact"/>
        <w:rPr>
          <w:rFonts w:hint="eastAsia" w:ascii="新宋体" w:hAnsi="新宋体" w:eastAsia="新宋体"/>
          <w:sz w:val="28"/>
          <w:szCs w:val="28"/>
        </w:rPr>
      </w:pPr>
      <w:bookmarkStart w:id="78" w:name="_Toc360"/>
      <w:r>
        <w:rPr>
          <w:rFonts w:hint="eastAsia" w:ascii="新宋体" w:hAnsi="新宋体" w:eastAsia="新宋体"/>
          <w:sz w:val="28"/>
          <w:szCs w:val="28"/>
        </w:rPr>
        <w:t>四、质疑和投诉</w:t>
      </w:r>
      <w:bookmarkEnd w:id="78"/>
    </w:p>
    <w:p w14:paraId="295CE2AE">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14.1开标过程中，投标人对开标有异议的，应当在“政采云”上及时提出，评标委员</w:t>
      </w:r>
      <w:r>
        <w:rPr>
          <w:rFonts w:hint="eastAsia" w:ascii="新宋体" w:hAnsi="新宋体" w:eastAsia="新宋体" w:cs="新宋体"/>
          <w:color w:val="auto"/>
          <w:sz w:val="24"/>
        </w:rPr>
        <w:t>会</w:t>
      </w:r>
      <w:r>
        <w:rPr>
          <w:rFonts w:hint="eastAsia" w:ascii="新宋体" w:hAnsi="新宋体" w:eastAsia="新宋体" w:cs="新宋体"/>
          <w:sz w:val="24"/>
        </w:rPr>
        <w:t>应对异常情况制作相关记录。</w:t>
      </w:r>
    </w:p>
    <w:p w14:paraId="3EEB782D">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14.2开评标结束后，投标人或者其他利害关系人对依法必须进行招标的项目的评标结果有异议的，应在采购结果公告期限结束之日起的7个工作日内，依据政府采购相关法律法规向采购人、采购代理机构提出书面质疑。采购人或招标代理机构将在收到书面质疑后7个工作日内对质疑内容作出答复。若投标人对采购人或采购代理机构的答复、处理结果不满意，应在收到书面答复后十五个工作日内向同级政府采购监督管理部门投诉。</w:t>
      </w:r>
    </w:p>
    <w:p w14:paraId="01B984EE">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14.3质疑函应当包括下列内容：</w:t>
      </w:r>
    </w:p>
    <w:p w14:paraId="47EA5AF8">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（1）供应商的名称（或姓名）、地址、邮编、联系人及联系电话；</w:t>
      </w:r>
    </w:p>
    <w:p w14:paraId="3C0E251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（2）质疑项目的名称、编号；</w:t>
      </w:r>
    </w:p>
    <w:p w14:paraId="5611803F">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（3）具体、明确的质疑事项和与质疑事项相关的请求；</w:t>
      </w:r>
    </w:p>
    <w:p w14:paraId="426CD091">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（4）事实依据及相关证据材料；</w:t>
      </w:r>
    </w:p>
    <w:p w14:paraId="604D817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（5）必要的法律依据；</w:t>
      </w:r>
    </w:p>
    <w:p w14:paraId="492DCD8E">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（6）提出质疑的日期。</w:t>
      </w:r>
    </w:p>
    <w:p w14:paraId="697EC4C7">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供应商为自然人的，应当由本人签字；供应商为法人或者其他组织的，应当由法定代表人、主要负责人，或者其授权代表签字或者盖章，并加盖公章。质疑应明确阐述招标过程或中标结果中使自己合法权益受到损害的实质性内容，提供相关事实、依据和证据及其来源或线索，便于有关单位调查、答复和处理，质疑函不符合《政府采购质疑和投诉办法》相关规定的，应在规定期限内补齐的，招标方自收到补齐材料之日起受理；逾期未补齐的，按自动撤回质疑处理。</w:t>
      </w:r>
    </w:p>
    <w:p w14:paraId="4DE2D6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质疑投诉存在以下情形之一的，将不予受理：</w:t>
      </w:r>
    </w:p>
    <w:p w14:paraId="083AE321">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（1）质疑投诉人不是参加本项目的供应商；</w:t>
      </w:r>
    </w:p>
    <w:p w14:paraId="62EBD692">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（2）供应商自身权益未受到损害的；</w:t>
      </w:r>
    </w:p>
    <w:p w14:paraId="27F7925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（3）已超过法定质疑投诉提出期限的事项；</w:t>
      </w:r>
    </w:p>
    <w:p w14:paraId="4054289C">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（4）质疑未提供书面质疑或未按要求签署或盖章的；</w:t>
      </w:r>
    </w:p>
    <w:p w14:paraId="4ECC6255">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（5）质疑已经处理并答复后，质疑人就同一事项再次提起质疑且未提供新的有效证据的；</w:t>
      </w:r>
    </w:p>
    <w:p w14:paraId="4C9FA6BD">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（6）质疑投诉的事项已经进入行政复议或者行政诉讼程序的；投诉事项应先提出质疑而没有提出质疑的；</w:t>
      </w:r>
    </w:p>
    <w:p w14:paraId="5B7C2C46">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w:t>（7）不符合《政府采购质疑和投诉办法》（财政部令第94号）等有关规定的投诉。</w:t>
      </w:r>
    </w:p>
    <w:p w14:paraId="35FC7135">
      <w:pPr>
        <w:spacing w:line="440" w:lineRule="exact"/>
        <w:ind w:firstLine="480" w:firstLineChars="200"/>
        <w:rPr>
          <w:rFonts w:hint="eastAsia" w:ascii="新宋体" w:hAnsi="新宋体" w:eastAsia="新宋体" w:cs="新宋体"/>
          <w:sz w:val="24"/>
        </w:rPr>
      </w:pPr>
    </w:p>
    <w:p w14:paraId="7146B251">
      <w:pPr>
        <w:spacing w:line="440" w:lineRule="exact"/>
        <w:ind w:firstLine="480" w:firstLineChars="200"/>
        <w:rPr>
          <w:rFonts w:hint="eastAsia" w:ascii="新宋体" w:hAnsi="新宋体" w:eastAsia="新宋体" w:cs="新宋体"/>
          <w:sz w:val="24"/>
        </w:rPr>
      </w:pPr>
    </w:p>
    <w:p w14:paraId="4EBBE486">
      <w:pPr>
        <w:pStyle w:val="5"/>
        <w:numPr>
          <w:ilvl w:val="0"/>
          <w:numId w:val="0"/>
        </w:numPr>
        <w:spacing w:before="0" w:after="0" w:line="520" w:lineRule="exact"/>
        <w:jc w:val="center"/>
        <w:rPr>
          <w:rFonts w:hint="eastAsia" w:ascii="新宋体" w:hAnsi="新宋体" w:eastAsia="新宋体"/>
          <w:sz w:val="36"/>
        </w:rPr>
      </w:pPr>
      <w:r>
        <w:rPr>
          <w:rFonts w:hint="eastAsia" w:ascii="新宋体" w:hAnsi="新宋体" w:eastAsia="新宋体"/>
          <w:sz w:val="24"/>
        </w:rPr>
        <w:br w:type="page"/>
      </w:r>
      <w:bookmarkStart w:id="79" w:name="_Toc10478"/>
      <w:r>
        <w:rPr>
          <w:rFonts w:hint="eastAsia" w:ascii="新宋体" w:hAnsi="新宋体" w:eastAsia="新宋体"/>
          <w:sz w:val="36"/>
        </w:rPr>
        <w:t>第五章 投标文件的无效情形</w:t>
      </w:r>
      <w:bookmarkEnd w:id="79"/>
    </w:p>
    <w:p w14:paraId="6B12A230">
      <w:pPr>
        <w:pStyle w:val="35"/>
        <w:spacing w:line="400" w:lineRule="exact"/>
        <w:rPr>
          <w:rFonts w:hint="eastAsia" w:ascii="新宋体" w:hAnsi="新宋体" w:eastAsia="新宋体"/>
          <w:b/>
          <w:sz w:val="24"/>
        </w:rPr>
      </w:pPr>
    </w:p>
    <w:p w14:paraId="40B40769">
      <w:pPr>
        <w:pStyle w:val="35"/>
        <w:spacing w:line="440" w:lineRule="exact"/>
        <w:ind w:firstLine="472" w:firstLineChars="196"/>
        <w:rPr>
          <w:rFonts w:ascii="新宋体" w:hAnsi="新宋体" w:eastAsia="新宋体"/>
          <w:b/>
          <w:sz w:val="24"/>
        </w:rPr>
      </w:pPr>
      <w:bookmarkStart w:id="80" w:name="_Toc213038697"/>
      <w:bookmarkStart w:id="81" w:name="_Toc238878128"/>
      <w:bookmarkStart w:id="82" w:name="_Toc274303258"/>
      <w:r>
        <w:rPr>
          <w:rFonts w:hint="eastAsia" w:ascii="新宋体" w:hAnsi="新宋体" w:eastAsia="新宋体"/>
          <w:b/>
          <w:sz w:val="24"/>
        </w:rPr>
        <w:t>1.</w:t>
      </w:r>
      <w:r>
        <w:rPr>
          <w:rFonts w:ascii="新宋体" w:hAnsi="新宋体" w:eastAsia="新宋体"/>
          <w:b/>
          <w:sz w:val="24"/>
        </w:rPr>
        <w:t>有下列情形之一的，</w:t>
      </w:r>
      <w:r>
        <w:rPr>
          <w:rFonts w:hint="eastAsia" w:ascii="新宋体" w:hAnsi="新宋体" w:eastAsia="新宋体"/>
          <w:b/>
          <w:sz w:val="24"/>
        </w:rPr>
        <w:t>招标方</w:t>
      </w:r>
      <w:r>
        <w:rPr>
          <w:rFonts w:ascii="新宋体" w:hAnsi="新宋体" w:eastAsia="新宋体"/>
          <w:b/>
          <w:sz w:val="24"/>
        </w:rPr>
        <w:t>将不予受理投标文件：</w:t>
      </w:r>
    </w:p>
    <w:p w14:paraId="0498333C">
      <w:pPr>
        <w:tabs>
          <w:tab w:val="left" w:pos="5325"/>
        </w:tabs>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1.1未上传或逾期上传电子投标文件至“政采云”的；</w:t>
      </w:r>
    </w:p>
    <w:p w14:paraId="11FDAC7A">
      <w:pPr>
        <w:tabs>
          <w:tab w:val="left" w:pos="5325"/>
        </w:tabs>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1.2电子投标文件在规定时间内解密未成功且未提供备份投标文件的，或电子投标文件在规定时间内解密未成功且提供的备份投标文件无法上传打开的；</w:t>
      </w:r>
    </w:p>
    <w:p w14:paraId="7DF634DF">
      <w:pPr>
        <w:tabs>
          <w:tab w:val="left" w:pos="5325"/>
        </w:tabs>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1.3仅提供备份投标文件的。</w:t>
      </w:r>
    </w:p>
    <w:p w14:paraId="422174B8">
      <w:pPr>
        <w:adjustRightInd w:val="0"/>
        <w:snapToGrid w:val="0"/>
        <w:spacing w:line="440" w:lineRule="exact"/>
        <w:ind w:firstLine="482" w:firstLineChars="200"/>
        <w:rPr>
          <w:rFonts w:hint="eastAsia" w:ascii="新宋体" w:hAnsi="新宋体" w:eastAsia="新宋体"/>
          <w:b/>
          <w:sz w:val="24"/>
        </w:rPr>
      </w:pPr>
      <w:r>
        <w:rPr>
          <w:rFonts w:hint="eastAsia" w:ascii="新宋体" w:hAnsi="新宋体" w:eastAsia="新宋体"/>
          <w:b/>
          <w:sz w:val="24"/>
          <w:shd w:val="pct10" w:color="auto" w:fill="FFFFFF"/>
        </w:rPr>
        <w:t>2.投标文件在</w:t>
      </w:r>
      <w:r>
        <w:rPr>
          <w:rFonts w:hint="eastAsia" w:ascii="新宋体" w:hAnsi="新宋体" w:eastAsia="新宋体"/>
          <w:b/>
          <w:color w:val="000000"/>
          <w:sz w:val="24"/>
          <w:shd w:val="pct10" w:color="auto" w:fill="FFFFFF"/>
        </w:rPr>
        <w:t>资格响应文件或商务技术响应文件</w:t>
      </w:r>
      <w:r>
        <w:rPr>
          <w:rFonts w:hint="eastAsia" w:ascii="新宋体" w:hAnsi="新宋体" w:eastAsia="新宋体"/>
          <w:b/>
          <w:sz w:val="24"/>
          <w:shd w:val="pct10" w:color="auto" w:fill="FFFFFF"/>
        </w:rPr>
        <w:t>评审中出现下列情形之一的，由评标委员会审核后按无效投标文件处理：</w:t>
      </w:r>
    </w:p>
    <w:p w14:paraId="6F250561">
      <w:pPr>
        <w:tabs>
          <w:tab w:val="left" w:pos="5325"/>
        </w:tabs>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2.1资格响应文件或商务技术响应文件中包含商务报价的；</w:t>
      </w:r>
    </w:p>
    <w:p w14:paraId="6A6A1960">
      <w:pPr>
        <w:tabs>
          <w:tab w:val="left" w:pos="5325"/>
        </w:tabs>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2.2招标文件关于投标文件要求中打“★”的内容，投标人的投标文件内容未提供完整的，或关键字迹模糊、无法辨认的，或未按其规定的格式及要求填写、签字、盖章，或提供的投标文件内容不符合招标文件中有关打★号的条款的规定；</w:t>
      </w:r>
    </w:p>
    <w:p w14:paraId="446767DE">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2.3投标人不具备招标文件中规定的资格要求的（投标人未提供有效的资格文件的，视为投标人不具备招标文件中规定的资格要求）；</w:t>
      </w:r>
    </w:p>
    <w:p w14:paraId="788AEBE3">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2.4采购人拟采购的产品属于政府强制采购的节能产品品目清单范围的，投标人相应的投标产品在中国政府采购网（http://www.ccgp.gov.cn）中未查询到；</w:t>
      </w:r>
    </w:p>
    <w:p w14:paraId="3C1DEDF8">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2.5投标文件中承诺的投标有效期少于招标文件中载明的投标有效期的；</w:t>
      </w:r>
    </w:p>
    <w:p w14:paraId="7B6DB314">
      <w:pPr>
        <w:adjustRightInd w:val="0"/>
        <w:snapToGrid w:val="0"/>
        <w:spacing w:line="440" w:lineRule="exact"/>
        <w:ind w:firstLine="480" w:firstLineChars="200"/>
        <w:rPr>
          <w:rFonts w:hint="eastAsia" w:ascii="新宋体" w:hAnsi="新宋体" w:eastAsia="新宋体"/>
          <w:color w:val="000000"/>
          <w:szCs w:val="21"/>
        </w:rPr>
      </w:pPr>
      <w:r>
        <w:rPr>
          <w:rFonts w:hint="eastAsia" w:ascii="新宋体" w:hAnsi="新宋体" w:eastAsia="新宋体"/>
          <w:color w:val="000000"/>
          <w:sz w:val="24"/>
        </w:rPr>
        <w:t>2.6投标人所投产品的数量不符合招标文件规定的；</w:t>
      </w:r>
    </w:p>
    <w:p w14:paraId="35F75266">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2.7投标人借用或冒用他人名义或证件、涂改文件、伪造或编造投标文件的；</w:t>
      </w:r>
    </w:p>
    <w:p w14:paraId="4013F3D6">
      <w:pPr>
        <w:spacing w:line="440" w:lineRule="exact"/>
        <w:ind w:firstLine="480" w:firstLineChars="200"/>
        <w:rPr>
          <w:rFonts w:hint="eastAsia" w:ascii="新宋体" w:hAnsi="新宋体" w:eastAsia="新宋体"/>
          <w:kern w:val="0"/>
          <w:sz w:val="24"/>
        </w:rPr>
      </w:pPr>
      <w:r>
        <w:rPr>
          <w:rFonts w:hint="eastAsia" w:ascii="新宋体" w:hAnsi="新宋体" w:eastAsia="新宋体"/>
          <w:kern w:val="0"/>
          <w:sz w:val="24"/>
        </w:rPr>
        <w:t>2.8投标中不同投标人的投标文件出现雷同或相似（包括部分雷同或相似），对所有雷同或相似投标人按无效标处理，招标方将保留进一步追究责任的权利；</w:t>
      </w:r>
    </w:p>
    <w:p w14:paraId="1B731E27">
      <w:pPr>
        <w:spacing w:line="440" w:lineRule="exact"/>
        <w:ind w:firstLine="480" w:firstLineChars="200"/>
        <w:rPr>
          <w:rFonts w:hint="eastAsia" w:ascii="新宋体" w:hAnsi="新宋体" w:eastAsia="新宋体"/>
          <w:kern w:val="0"/>
          <w:sz w:val="24"/>
        </w:rPr>
      </w:pPr>
      <w:r>
        <w:rPr>
          <w:rFonts w:hint="eastAsia" w:ascii="新宋体" w:hAnsi="新宋体" w:eastAsia="新宋体"/>
          <w:kern w:val="0"/>
          <w:sz w:val="24"/>
        </w:rPr>
        <w:t>2.9其他</w:t>
      </w:r>
      <w:r>
        <w:rPr>
          <w:rFonts w:hint="eastAsia" w:ascii="新宋体" w:hAnsi="新宋体" w:eastAsia="新宋体"/>
          <w:sz w:val="24"/>
        </w:rPr>
        <w:t>对本招标文件中打★号的条款未完全响应的；</w:t>
      </w:r>
    </w:p>
    <w:p w14:paraId="7092444E">
      <w:pPr>
        <w:spacing w:line="440" w:lineRule="exact"/>
        <w:ind w:firstLine="480" w:firstLineChars="200"/>
        <w:rPr>
          <w:rFonts w:hint="eastAsia" w:ascii="新宋体" w:hAnsi="新宋体" w:eastAsia="新宋体"/>
          <w:sz w:val="24"/>
        </w:rPr>
      </w:pPr>
      <w:r>
        <w:rPr>
          <w:rFonts w:hint="eastAsia" w:ascii="新宋体" w:hAnsi="新宋体" w:eastAsia="新宋体"/>
          <w:kern w:val="0"/>
          <w:sz w:val="24"/>
        </w:rPr>
        <w:t>2.10经评标委员会认定，</w:t>
      </w:r>
      <w:r>
        <w:rPr>
          <w:rFonts w:hint="eastAsia" w:ascii="新宋体" w:hAnsi="新宋体" w:eastAsia="新宋体"/>
          <w:sz w:val="24"/>
        </w:rPr>
        <w:t>投标文件附有采购人不能接受的条件；</w:t>
      </w:r>
    </w:p>
    <w:p w14:paraId="4A71A025">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2.11评标委员会要求投标人澄清或说明的，如果投标人拒绝按照招标文件规定进行澄清或说明的。</w:t>
      </w:r>
    </w:p>
    <w:p w14:paraId="0E26E57F">
      <w:pPr>
        <w:adjustRightInd w:val="0"/>
        <w:snapToGrid w:val="0"/>
        <w:spacing w:line="440" w:lineRule="exact"/>
        <w:ind w:firstLine="482" w:firstLineChars="200"/>
        <w:rPr>
          <w:rFonts w:hint="eastAsia" w:ascii="新宋体" w:hAnsi="新宋体" w:eastAsia="新宋体"/>
          <w:b/>
          <w:sz w:val="24"/>
        </w:rPr>
      </w:pPr>
      <w:r>
        <w:rPr>
          <w:rFonts w:hint="eastAsia" w:ascii="新宋体" w:hAnsi="新宋体" w:eastAsia="新宋体"/>
          <w:b/>
          <w:sz w:val="24"/>
          <w:shd w:val="pct10" w:color="auto" w:fill="FFFFFF"/>
        </w:rPr>
        <w:t>3.投标文件在</w:t>
      </w:r>
      <w:r>
        <w:rPr>
          <w:rFonts w:hint="eastAsia" w:ascii="新宋体" w:hAnsi="新宋体" w:eastAsia="新宋体"/>
          <w:b/>
          <w:color w:val="000000"/>
          <w:sz w:val="24"/>
          <w:shd w:val="pct10" w:color="auto" w:fill="FFFFFF"/>
        </w:rPr>
        <w:t>报价响应文件</w:t>
      </w:r>
      <w:r>
        <w:rPr>
          <w:rFonts w:hint="eastAsia" w:ascii="新宋体" w:hAnsi="新宋体" w:eastAsia="新宋体"/>
          <w:b/>
          <w:sz w:val="24"/>
          <w:shd w:val="pct10" w:color="auto" w:fill="FFFFFF"/>
        </w:rPr>
        <w:t>评审出现下列情形之一的，由评标委员会审核后按无效投标文件处理：</w:t>
      </w:r>
    </w:p>
    <w:p w14:paraId="582D1B2C">
      <w:pPr>
        <w:adjustRightInd w:val="0"/>
        <w:snapToGrid w:val="0"/>
        <w:spacing w:line="440" w:lineRule="exact"/>
        <w:ind w:firstLine="480" w:firstLineChars="200"/>
        <w:rPr>
          <w:rFonts w:hint="eastAsia" w:ascii="新宋体" w:hAnsi="新宋体" w:eastAsia="新宋体"/>
          <w:kern w:val="0"/>
          <w:sz w:val="24"/>
        </w:rPr>
      </w:pPr>
      <w:r>
        <w:rPr>
          <w:rFonts w:hint="eastAsia" w:ascii="新宋体" w:hAnsi="新宋体" w:eastAsia="新宋体"/>
          <w:sz w:val="24"/>
        </w:rPr>
        <w:t>3.1招标文件关于投标文件组成内容报价响应文件要求中打“</w:t>
      </w:r>
      <w:r>
        <w:rPr>
          <w:rFonts w:ascii="新宋体" w:hAnsi="新宋体" w:eastAsia="新宋体"/>
        </w:rPr>
        <w:t>★</w:t>
      </w:r>
      <w:r>
        <w:rPr>
          <w:rFonts w:hint="eastAsia" w:ascii="新宋体" w:hAnsi="新宋体" w:eastAsia="新宋体"/>
        </w:rPr>
        <w:t>”的</w:t>
      </w:r>
      <w:r>
        <w:rPr>
          <w:rFonts w:hint="eastAsia" w:ascii="新宋体" w:hAnsi="新宋体" w:eastAsia="新宋体"/>
          <w:kern w:val="0"/>
          <w:sz w:val="24"/>
        </w:rPr>
        <w:t>内容，投标人的投标文件内容未提供完整，或关键字迹模糊、无法辨认的，或未按其规定的格式及要求填写、签字、盖章，或提供的投标文件内容不符合招标文件</w:t>
      </w:r>
      <w:r>
        <w:rPr>
          <w:rFonts w:hint="eastAsia" w:ascii="新宋体" w:hAnsi="新宋体" w:eastAsia="新宋体"/>
          <w:color w:val="000000"/>
          <w:kern w:val="0"/>
          <w:sz w:val="24"/>
        </w:rPr>
        <w:t>中</w:t>
      </w:r>
      <w:r>
        <w:rPr>
          <w:rFonts w:hint="eastAsia" w:ascii="新宋体" w:hAnsi="新宋体" w:eastAsia="新宋体"/>
          <w:kern w:val="0"/>
          <w:sz w:val="24"/>
        </w:rPr>
        <w:t>有关打★号的条款的规定；</w:t>
      </w:r>
    </w:p>
    <w:p w14:paraId="06294756">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3.2</w:t>
      </w:r>
      <w:r>
        <w:rPr>
          <w:rFonts w:hint="eastAsia" w:ascii="新宋体" w:hAnsi="新宋体" w:eastAsia="新宋体"/>
          <w:i/>
          <w:iCs/>
          <w:sz w:val="24"/>
        </w:rPr>
        <w:t>投标总价高于预算价（或最高限价），或投标总价低于投标人的企业成本价；</w:t>
      </w:r>
    </w:p>
    <w:p w14:paraId="34257B02">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3.3投标人所投产品的数量不符合招标文件规定的；</w:t>
      </w:r>
    </w:p>
    <w:p w14:paraId="44F73E19">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3.4投标人的投标报价未明确的，或者对同一采购项目提供两个或两个以上报价且未声明哪一个有效的，或者对同一采购项目提供两个或两个以上成本价且未声明哪一个有效；</w:t>
      </w:r>
    </w:p>
    <w:p w14:paraId="3727F5F5">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3.5</w:t>
      </w:r>
      <w:r>
        <w:rPr>
          <w:rFonts w:hint="eastAsia" w:ascii="新宋体" w:hAnsi="新宋体" w:eastAsia="新宋体" w:cs="Times New Roman"/>
          <w:sz w:val="24"/>
        </w:rPr>
        <w:t>评标小组认为投标人的报价明显低于其他通过符合性审查投标人的报价，有可能影响产品服务或者不能诚信履约的，要求其通过“政采云”在规定的时间内提供CA签章的材料，</w:t>
      </w:r>
      <w:r>
        <w:rPr>
          <w:rFonts w:hint="eastAsia" w:ascii="新宋体" w:hAnsi="新宋体" w:eastAsia="新宋体"/>
          <w:color w:val="000000"/>
          <w:sz w:val="24"/>
          <w:lang w:val="en-US" w:eastAsia="zh-CN"/>
        </w:rPr>
        <w:t>投标人不能提供书面说明、证明材料，或者提供的书面说明、证明材料不能证明其报价合理性的，</w:t>
      </w:r>
      <w:r>
        <w:rPr>
          <w:rFonts w:hint="eastAsia" w:hAnsi="宋体"/>
          <w:color w:val="000000"/>
          <w:sz w:val="24"/>
          <w:szCs w:val="24"/>
        </w:rPr>
        <w:t>评标小组</w:t>
      </w:r>
      <w:r>
        <w:rPr>
          <w:rFonts w:hint="eastAsia" w:ascii="新宋体" w:hAnsi="新宋体" w:eastAsia="新宋体"/>
          <w:color w:val="000000"/>
          <w:sz w:val="24"/>
          <w:lang w:val="en-US" w:eastAsia="zh-CN"/>
        </w:rPr>
        <w:t>应当将其作为无效投标（响应）处理；</w:t>
      </w:r>
    </w:p>
    <w:p w14:paraId="1D2321CA">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3.6当投标人由于报价计算错误，投标人拒绝接受按招标文件的规定进行修正处理；</w:t>
      </w:r>
    </w:p>
    <w:p w14:paraId="1F130F0F">
      <w:pPr>
        <w:adjustRightInd w:val="0"/>
        <w:snapToGrid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3.7经评标委员会审议认为投标文件附有采购人不能接受的条件。</w:t>
      </w:r>
    </w:p>
    <w:p w14:paraId="7E505DDF">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4、在资格审查及评审过程中，符合中华人民共和国财政部令第87号《政府采购货物和服务招标投标管理办法》第三十七条情形之一的，视为投标人串通投标，其投标无效，并移送采购监管部门：</w:t>
      </w:r>
    </w:p>
    <w:p w14:paraId="1570DD00">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4.1不同投标人的投标文件由同一单位或者个人编制；</w:t>
      </w:r>
    </w:p>
    <w:p w14:paraId="5E674F61">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4.2不同投标人委托同一单位或者个人办理投标事宜；</w:t>
      </w:r>
    </w:p>
    <w:p w14:paraId="3ADB4BFD">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4.3不同投标人的投标文件载明的项目管理成员或者联系人员为同一人；</w:t>
      </w:r>
    </w:p>
    <w:p w14:paraId="52832D8C">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4.4不同投标人的投标文件异常一致或者投标报价呈规律性差异；</w:t>
      </w:r>
    </w:p>
    <w:p w14:paraId="7EC09FF1">
      <w:pPr>
        <w:adjustRightInd w:val="0"/>
        <w:snapToGrid w:val="0"/>
        <w:spacing w:line="440" w:lineRule="exact"/>
        <w:ind w:firstLine="480" w:firstLineChars="200"/>
        <w:rPr>
          <w:rFonts w:hint="eastAsia" w:ascii="新宋体" w:hAnsi="新宋体" w:eastAsia="新宋体"/>
          <w:sz w:val="24"/>
        </w:rPr>
      </w:pPr>
      <w:r>
        <w:rPr>
          <w:rFonts w:hint="eastAsia" w:ascii="新宋体" w:hAnsi="新宋体" w:eastAsia="新宋体"/>
          <w:sz w:val="24"/>
        </w:rPr>
        <w:t>4.5不同投标人的投标文件相互混装。</w:t>
      </w:r>
    </w:p>
    <w:p w14:paraId="4E82176F">
      <w:pPr>
        <w:spacing w:line="440" w:lineRule="exact"/>
        <w:ind w:firstLine="480" w:firstLineChars="200"/>
        <w:rPr>
          <w:rFonts w:hint="eastAsia" w:ascii="新宋体" w:hAnsi="新宋体" w:eastAsia="新宋体"/>
          <w:b/>
          <w:kern w:val="0"/>
          <w:sz w:val="24"/>
        </w:rPr>
      </w:pPr>
      <w:r>
        <w:rPr>
          <w:rFonts w:hint="eastAsia" w:ascii="新宋体" w:hAnsi="新宋体" w:eastAsia="新宋体" w:cs="Times New Roman"/>
          <w:sz w:val="24"/>
        </w:rPr>
        <w:t>5.参与同一个标项的供应商存在下列情形之一</w:t>
      </w:r>
      <w:r>
        <w:rPr>
          <w:rFonts w:hint="eastAsia" w:ascii="新宋体" w:hAnsi="新宋体" w:eastAsia="新宋体" w:cs="Times New Roman"/>
          <w:sz w:val="24"/>
          <w:lang w:eastAsia="zh-CN"/>
        </w:rPr>
        <w:t>且无法合理解释的</w:t>
      </w:r>
      <w:r>
        <w:rPr>
          <w:rFonts w:hint="eastAsia" w:ascii="新宋体" w:hAnsi="新宋体" w:eastAsia="新宋体" w:cs="Times New Roman"/>
          <w:sz w:val="24"/>
        </w:rPr>
        <w:t>，其投标（响应）文件无效：</w:t>
      </w:r>
      <w:r>
        <w:rPr>
          <w:rFonts w:hint="eastAsia" w:ascii="新宋体" w:hAnsi="新宋体" w:eastAsia="新宋体" w:cs="Times New Roman"/>
          <w:sz w:val="24"/>
        </w:rPr>
        <w:br w:type="textWrapping"/>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5.1不同供应商的电子投标（响应）文件上传计算机的网卡MAC地址或硬盘序列号等硬件信息相同的；</w:t>
      </w:r>
      <w:r>
        <w:rPr>
          <w:rFonts w:hint="eastAsia" w:ascii="新宋体" w:hAnsi="新宋体" w:eastAsia="新宋体" w:cs="Times New Roman"/>
          <w:sz w:val="24"/>
        </w:rPr>
        <w:br w:type="textWrapping"/>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5.2上传的电子投标（响应）文件若出现使用本项目其他投标（响应）供应商的数字证书加密的，或者加盖本项目其他投标（响应）供应商的电子印章的；</w:t>
      </w:r>
      <w:r>
        <w:rPr>
          <w:rFonts w:hint="eastAsia" w:ascii="新宋体" w:hAnsi="新宋体" w:eastAsia="新宋体" w:cs="Times New Roman"/>
          <w:sz w:val="24"/>
        </w:rPr>
        <w:br w:type="textWrapping"/>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5.3不同供应商的投标（响应）文件的内容存在3处（含）以上错误一致的；</w:t>
      </w:r>
      <w:r>
        <w:rPr>
          <w:rFonts w:hint="eastAsia" w:ascii="新宋体" w:hAnsi="新宋体" w:eastAsia="新宋体" w:cs="Times New Roman"/>
          <w:sz w:val="24"/>
        </w:rPr>
        <w:br w:type="textWrapping"/>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5.4不同供应商联系人为同一人或不同联系人的联系电话一致的。</w:t>
      </w:r>
      <w:r>
        <w:rPr>
          <w:rFonts w:hint="eastAsia" w:ascii="新宋体" w:hAnsi="新宋体" w:eastAsia="新宋体" w:cs="Times New Roman"/>
          <w:sz w:val="24"/>
        </w:rPr>
        <w:br w:type="textWrapping"/>
      </w:r>
      <w:r>
        <w:rPr>
          <w:rFonts w:hint="eastAsia" w:ascii="新宋体" w:hAnsi="新宋体" w:eastAsia="新宋体" w:cs="Times New Roman"/>
          <w:sz w:val="24"/>
          <w:lang w:val="en-US" w:eastAsia="zh-CN"/>
        </w:rPr>
        <w:t xml:space="preserve">    </w:t>
      </w:r>
      <w:r>
        <w:rPr>
          <w:rFonts w:hint="eastAsia" w:ascii="新宋体" w:hAnsi="新宋体" w:eastAsia="新宋体" w:cs="Times New Roman"/>
          <w:b/>
          <w:bCs/>
          <w:sz w:val="24"/>
          <w:lang w:val="en-US" w:eastAsia="zh-CN"/>
        </w:rPr>
        <w:t>6</w:t>
      </w:r>
      <w:r>
        <w:rPr>
          <w:rFonts w:hint="eastAsia" w:ascii="新宋体" w:hAnsi="新宋体" w:eastAsia="新宋体" w:cs="Times New Roman"/>
          <w:b/>
          <w:bCs/>
          <w:sz w:val="24"/>
        </w:rPr>
        <w:t>.其他违反法律法规的情况。</w:t>
      </w:r>
      <w:r>
        <w:rPr>
          <w:rFonts w:hint="eastAsia" w:ascii="新宋体" w:hAnsi="新宋体" w:eastAsia="新宋体" w:cs="Times New Roman"/>
          <w:b/>
          <w:bCs/>
          <w:sz w:val="24"/>
        </w:rPr>
        <w:br w:type="textWrapping"/>
      </w:r>
      <w:r>
        <w:rPr>
          <w:rFonts w:hint="eastAsia" w:ascii="新宋体" w:hAnsi="新宋体" w:eastAsia="新宋体" w:cs="Times New Roman"/>
          <w:b/>
          <w:bCs/>
          <w:sz w:val="24"/>
          <w:lang w:val="en-US" w:eastAsia="zh-CN"/>
        </w:rPr>
        <w:t xml:space="preserve">    7</w:t>
      </w:r>
      <w:r>
        <w:rPr>
          <w:rFonts w:hint="eastAsia" w:ascii="新宋体" w:hAnsi="新宋体" w:eastAsia="新宋体" w:cs="Times New Roman"/>
          <w:b/>
          <w:bCs/>
          <w:sz w:val="24"/>
        </w:rPr>
        <w:t>.评标过程中，非上述所罗列的情况，不得以无效标处理。</w:t>
      </w:r>
    </w:p>
    <w:p w14:paraId="46214A30">
      <w:pPr>
        <w:spacing w:line="460" w:lineRule="exact"/>
        <w:ind w:firstLine="482" w:firstLineChars="200"/>
        <w:rPr>
          <w:rFonts w:hint="eastAsia" w:ascii="新宋体" w:hAnsi="新宋体" w:eastAsia="新宋体"/>
          <w:b/>
          <w:kern w:val="0"/>
          <w:sz w:val="24"/>
        </w:rPr>
      </w:pPr>
    </w:p>
    <w:p w14:paraId="6A395A07">
      <w:pPr>
        <w:pStyle w:val="5"/>
        <w:numPr>
          <w:ilvl w:val="0"/>
          <w:numId w:val="0"/>
        </w:numPr>
        <w:spacing w:before="0" w:after="0" w:line="520" w:lineRule="exact"/>
        <w:jc w:val="center"/>
        <w:rPr>
          <w:rFonts w:hint="eastAsia" w:ascii="新宋体" w:hAnsi="新宋体" w:eastAsia="新宋体"/>
          <w:sz w:val="36"/>
        </w:rPr>
      </w:pPr>
      <w:r>
        <w:rPr>
          <w:rFonts w:hint="eastAsia" w:ascii="新宋体" w:hAnsi="新宋体" w:eastAsia="新宋体"/>
          <w:sz w:val="24"/>
        </w:rPr>
        <w:br w:type="page"/>
      </w:r>
      <w:bookmarkStart w:id="83" w:name="_Toc226973004"/>
      <w:bookmarkStart w:id="84" w:name="_Toc8758"/>
      <w:bookmarkStart w:id="85" w:name="_Toc145992551"/>
      <w:bookmarkStart w:id="86" w:name="_Toc274303255"/>
      <w:r>
        <w:rPr>
          <w:rFonts w:hint="eastAsia" w:ascii="新宋体" w:hAnsi="新宋体" w:eastAsia="新宋体"/>
          <w:sz w:val="36"/>
        </w:rPr>
        <w:t>第六章 评标办法</w:t>
      </w:r>
      <w:bookmarkEnd w:id="83"/>
      <w:bookmarkEnd w:id="84"/>
      <w:bookmarkEnd w:id="85"/>
      <w:bookmarkEnd w:id="86"/>
    </w:p>
    <w:p w14:paraId="347EE76A">
      <w:pPr>
        <w:spacing w:line="400" w:lineRule="exact"/>
        <w:rPr>
          <w:rFonts w:hint="eastAsia" w:ascii="新宋体" w:hAnsi="新宋体" w:eastAsia="新宋体"/>
        </w:rPr>
      </w:pPr>
    </w:p>
    <w:p w14:paraId="796D0BB9">
      <w:pPr>
        <w:pStyle w:val="35"/>
        <w:spacing w:line="420" w:lineRule="exact"/>
        <w:ind w:firstLine="480" w:firstLineChars="200"/>
        <w:rPr>
          <w:rFonts w:hint="eastAsia" w:ascii="新宋体" w:hAnsi="新宋体" w:eastAsia="新宋体"/>
          <w:sz w:val="24"/>
        </w:rPr>
      </w:pPr>
      <w:bookmarkStart w:id="87" w:name="_Toc274303257"/>
      <w:r>
        <w:rPr>
          <w:rFonts w:hint="eastAsia" w:ascii="新宋体" w:hAnsi="新宋体" w:eastAsia="新宋体"/>
          <w:sz w:val="24"/>
        </w:rPr>
        <w:t>根据《中华人民共和国政府采购法》及相关法律的有关规定，为更好地做到公开、公平、公正，结合本次招标的特点，特制定本评标办法，本项目的评标办法为综合评分法。</w:t>
      </w:r>
    </w:p>
    <w:p w14:paraId="4D639F36">
      <w:pPr>
        <w:pStyle w:val="35"/>
        <w:spacing w:line="440" w:lineRule="exact"/>
        <w:ind w:firstLine="482" w:firstLineChars="200"/>
        <w:rPr>
          <w:rFonts w:hint="eastAsia" w:ascii="新宋体" w:hAnsi="新宋体" w:eastAsia="新宋体"/>
          <w:b/>
          <w:sz w:val="24"/>
        </w:rPr>
      </w:pPr>
      <w:r>
        <w:rPr>
          <w:rFonts w:hint="eastAsia" w:ascii="新宋体" w:hAnsi="新宋体" w:eastAsia="新宋体"/>
          <w:b/>
          <w:sz w:val="24"/>
        </w:rPr>
        <w:t>一、评审程序</w:t>
      </w:r>
    </w:p>
    <w:bookmarkEnd w:id="87"/>
    <w:p w14:paraId="25F487CF">
      <w:pPr>
        <w:pStyle w:val="35"/>
        <w:spacing w:line="440" w:lineRule="exact"/>
        <w:ind w:firstLine="480" w:firstLineChars="200"/>
        <w:rPr>
          <w:rFonts w:hint="eastAsia" w:ascii="新宋体" w:hAnsi="新宋体" w:eastAsia="新宋体"/>
          <w:color w:val="auto"/>
          <w:sz w:val="24"/>
          <w:highlight w:val="none"/>
        </w:rPr>
      </w:pPr>
      <w:bookmarkStart w:id="88" w:name="_Toc362250710"/>
      <w:bookmarkStart w:id="89" w:name="_Toc295815145"/>
      <w:bookmarkStart w:id="90" w:name="_Toc323024194"/>
      <w:bookmarkStart w:id="91" w:name="_Toc330474791"/>
      <w:bookmarkStart w:id="92" w:name="_Toc358884475"/>
      <w:bookmarkStart w:id="93" w:name="_Toc269969080"/>
      <w:r>
        <w:rPr>
          <w:rFonts w:hint="eastAsia" w:ascii="新宋体" w:hAnsi="新宋体" w:eastAsia="新宋体"/>
          <w:color w:val="auto"/>
          <w:sz w:val="24"/>
          <w:highlight w:val="none"/>
        </w:rPr>
        <w:t>评标委员会以开标、评标、询标情</w:t>
      </w:r>
      <w:r>
        <w:rPr>
          <w:rFonts w:hint="eastAsia" w:ascii="新宋体" w:hAnsi="新宋体" w:eastAsia="新宋体" w:cs="Courier New"/>
          <w:color w:val="auto"/>
          <w:sz w:val="24"/>
          <w:highlight w:val="none"/>
        </w:rPr>
        <w:t>况为基本依据，按照招标文件的规定，对各投标人的投标文件按商务技术部分和报价部分顺序进行分析、评议，具体按以下程序进行评审</w:t>
      </w:r>
      <w:r>
        <w:rPr>
          <w:rFonts w:hint="eastAsia" w:ascii="新宋体" w:hAnsi="新宋体" w:eastAsia="新宋体" w:cs="Courier New"/>
          <w:color w:val="auto"/>
          <w:sz w:val="24"/>
          <w:highlight w:val="none"/>
          <w:lang w:eastAsia="zh-CN"/>
        </w:rPr>
        <w:t>。</w:t>
      </w:r>
    </w:p>
    <w:p w14:paraId="246DC0AC">
      <w:pPr>
        <w:pStyle w:val="35"/>
        <w:spacing w:line="44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（一）对通过资格性审查合格的投标人的商务技术响应文件进行符合性审查。</w:t>
      </w:r>
    </w:p>
    <w:p w14:paraId="1734F61B">
      <w:pPr>
        <w:pStyle w:val="35"/>
        <w:spacing w:line="440" w:lineRule="exact"/>
        <w:ind w:firstLine="480" w:firstLineChars="200"/>
        <w:rPr>
          <w:rFonts w:hint="eastAsia" w:ascii="新宋体" w:hAnsi="新宋体" w:eastAsia="新宋体" w:cs="Courier New"/>
          <w:color w:val="auto"/>
          <w:sz w:val="24"/>
          <w:highlight w:val="none"/>
          <w:lang w:val="en-US" w:eastAsia="zh-CN"/>
        </w:rPr>
      </w:pPr>
      <w:r>
        <w:rPr>
          <w:rFonts w:hint="eastAsia" w:ascii="新宋体" w:hAnsi="新宋体" w:eastAsia="新宋体"/>
          <w:color w:val="auto"/>
          <w:sz w:val="24"/>
          <w:highlight w:val="none"/>
        </w:rPr>
        <w:t>（二）对通过符合性审查有效的投标人的商务技术响应文件进行技术评分（详见三、评分细则）。</w:t>
      </w:r>
    </w:p>
    <w:p w14:paraId="36CA6CD0">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rPr>
        <w:t>（三）上述投标人的评分结束后，</w:t>
      </w:r>
      <w:r>
        <w:rPr>
          <w:rFonts w:hint="eastAsia" w:hAnsi="宋体"/>
          <w:color w:val="000000"/>
          <w:sz w:val="24"/>
          <w:szCs w:val="24"/>
        </w:rPr>
        <w:t>评标小组</w:t>
      </w:r>
      <w:r>
        <w:rPr>
          <w:rFonts w:hint="eastAsia" w:ascii="新宋体" w:hAnsi="新宋体" w:eastAsia="新宋体"/>
          <w:color w:val="000000"/>
          <w:sz w:val="24"/>
        </w:rPr>
        <w:t>对上述投标人的报价文件进行评审；</w:t>
      </w:r>
      <w:r>
        <w:rPr>
          <w:rFonts w:hint="eastAsia" w:ascii="新宋体" w:hAnsi="新宋体" w:eastAsia="新宋体"/>
          <w:color w:val="000000"/>
          <w:sz w:val="24"/>
          <w:lang w:val="en-US" w:eastAsia="zh-CN"/>
        </w:rPr>
        <w:t>采购评审中出现下列情形之一的，</w:t>
      </w:r>
      <w:r>
        <w:rPr>
          <w:rFonts w:hint="eastAsia" w:hAnsi="宋体"/>
          <w:color w:val="000000"/>
          <w:sz w:val="24"/>
          <w:szCs w:val="24"/>
        </w:rPr>
        <w:t>评标小组</w:t>
      </w:r>
      <w:r>
        <w:rPr>
          <w:rFonts w:hint="eastAsia" w:ascii="新宋体" w:hAnsi="新宋体" w:eastAsia="新宋体"/>
          <w:color w:val="000000"/>
          <w:sz w:val="24"/>
          <w:lang w:val="en-US" w:eastAsia="zh-CN"/>
        </w:rPr>
        <w:t>应当启动异常低价投标（响应）审查程序：</w:t>
      </w:r>
    </w:p>
    <w:p w14:paraId="51CA5BCB">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lang w:val="en-US" w:eastAsia="zh-CN"/>
        </w:rPr>
        <w:t>1.投标（响应）报价低于全部通过符合性审查供应商投标（响应）报价平均值50%的，即投标（响应）报价&lt;全部通过符合性审查供应商投标（响应）报价平均值×50%；</w:t>
      </w:r>
    </w:p>
    <w:p w14:paraId="5610DE03">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lang w:val="en-US" w:eastAsia="zh-CN"/>
        </w:rPr>
        <w:t>2.投标（响应）报价低于通过符合性审查的次低报价供应商投标（响应）报价50%的，即投标（响应）报价&lt;通过符合性审查的次低报价供应商投标（响应）报价×50%；</w:t>
      </w:r>
    </w:p>
    <w:p w14:paraId="66D70641">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lang w:val="en-US" w:eastAsia="zh-CN"/>
        </w:rPr>
        <w:t>3.投标（响应）报价低于采购项目最高限价45%的，即投标（响应）报价&lt;采购项目最高限价×45%；</w:t>
      </w:r>
    </w:p>
    <w:p w14:paraId="05A47CB0">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lang w:val="en-US" w:eastAsia="zh-CN"/>
        </w:rPr>
        <w:t>4.</w:t>
      </w:r>
      <w:r>
        <w:rPr>
          <w:rFonts w:hint="eastAsia" w:hAnsi="宋体"/>
          <w:color w:val="000000"/>
          <w:sz w:val="24"/>
          <w:szCs w:val="24"/>
        </w:rPr>
        <w:t>评标小组</w:t>
      </w:r>
      <w:r>
        <w:rPr>
          <w:rFonts w:hint="eastAsia" w:ascii="新宋体" w:hAnsi="新宋体" w:eastAsia="新宋体"/>
          <w:color w:val="000000"/>
          <w:sz w:val="24"/>
          <w:lang w:val="en-US" w:eastAsia="zh-CN"/>
        </w:rPr>
        <w:t>基于专业判断，认为供应商报价过低，有可能影响产品质量或者不能诚信履约的其他情形。</w:t>
      </w:r>
    </w:p>
    <w:p w14:paraId="09F19987">
      <w:pPr>
        <w:pStyle w:val="35"/>
        <w:widowControl w:val="0"/>
        <w:spacing w:line="440" w:lineRule="exact"/>
        <w:ind w:firstLine="480" w:firstLineChars="200"/>
        <w:rPr>
          <w:rFonts w:hint="eastAsia" w:ascii="新宋体" w:hAnsi="新宋体" w:eastAsia="新宋体"/>
          <w:color w:val="000000"/>
          <w:sz w:val="24"/>
        </w:rPr>
      </w:pPr>
      <w:r>
        <w:rPr>
          <w:rFonts w:hint="eastAsia" w:ascii="新宋体" w:hAnsi="新宋体" w:eastAsia="新宋体"/>
          <w:color w:val="000000"/>
          <w:sz w:val="24"/>
          <w:lang w:val="en-US" w:eastAsia="zh-CN"/>
        </w:rPr>
        <w:t>相关法律法规对供应商报价有规定的，从其规定。</w:t>
      </w:r>
    </w:p>
    <w:p w14:paraId="00C095D1">
      <w:pPr>
        <w:pStyle w:val="35"/>
        <w:widowControl w:val="0"/>
        <w:spacing w:line="440" w:lineRule="exact"/>
        <w:ind w:firstLine="480" w:firstLineChars="200"/>
        <w:rPr>
          <w:rFonts w:hint="eastAsia" w:ascii="新宋体" w:hAnsi="新宋体" w:eastAsia="新宋体" w:cs="Courier New"/>
          <w:color w:val="000000"/>
          <w:sz w:val="24"/>
        </w:rPr>
      </w:pPr>
      <w:r>
        <w:rPr>
          <w:rFonts w:hint="eastAsia" w:hAnsi="宋体"/>
          <w:color w:val="000000"/>
          <w:sz w:val="24"/>
          <w:szCs w:val="24"/>
        </w:rPr>
        <w:t>评标小组</w:t>
      </w:r>
      <w:r>
        <w:rPr>
          <w:rFonts w:hint="eastAsia" w:ascii="新宋体" w:hAnsi="新宋体" w:eastAsia="新宋体"/>
          <w:color w:val="000000"/>
          <w:sz w:val="24"/>
          <w:lang w:val="en-US" w:eastAsia="zh-CN"/>
        </w:rPr>
        <w:t>启动异常低价投标（响应）审查后，属于前述第1项至第4项情形的，应当要求相关供应商</w:t>
      </w:r>
      <w:r>
        <w:rPr>
          <w:rFonts w:hint="eastAsia" w:ascii="新宋体" w:hAnsi="新宋体" w:eastAsia="新宋体"/>
          <w:color w:val="000000"/>
          <w:sz w:val="24"/>
        </w:rPr>
        <w:t>通过“政采云”</w:t>
      </w:r>
      <w:r>
        <w:rPr>
          <w:rFonts w:hint="eastAsia" w:ascii="新宋体" w:hAnsi="新宋体" w:eastAsia="新宋体"/>
          <w:color w:val="000000"/>
          <w:sz w:val="24"/>
          <w:lang w:val="en-US" w:eastAsia="zh-CN"/>
        </w:rPr>
        <w:t>在规定的时间内（一般</w:t>
      </w:r>
      <w:r>
        <w:rPr>
          <w:rFonts w:hint="eastAsia" w:ascii="新宋体" w:hAnsi="新宋体" w:eastAsia="新宋体"/>
          <w:b w:val="0"/>
          <w:bCs w:val="0"/>
          <w:color w:val="000000"/>
          <w:sz w:val="24"/>
          <w:lang w:val="en-US" w:eastAsia="zh-CN"/>
        </w:rPr>
        <w:t>不少于30分钟</w:t>
      </w:r>
      <w:r>
        <w:rPr>
          <w:rFonts w:hint="eastAsia" w:ascii="新宋体" w:hAnsi="新宋体" w:eastAsia="新宋体"/>
          <w:color w:val="000000"/>
          <w:sz w:val="24"/>
          <w:lang w:val="en-US" w:eastAsia="zh-CN"/>
        </w:rPr>
        <w:t>）对投标（响应）价格作出解释，提供项目具体成本测算等与报价合理性相关的书面说明及必要的证明材料并</w:t>
      </w:r>
      <w:r>
        <w:rPr>
          <w:rFonts w:hint="eastAsia" w:ascii="新宋体" w:hAnsi="新宋体" w:eastAsia="新宋体"/>
          <w:color w:val="000000"/>
          <w:sz w:val="24"/>
        </w:rPr>
        <w:t>加盖投标人CA签章</w:t>
      </w:r>
      <w:r>
        <w:rPr>
          <w:rFonts w:hint="eastAsia" w:ascii="新宋体" w:hAnsi="新宋体" w:eastAsia="新宋体"/>
          <w:color w:val="000000"/>
          <w:sz w:val="24"/>
          <w:lang w:val="en-US" w:eastAsia="zh-CN"/>
        </w:rPr>
        <w:t>，包括但不限于原材料成本、人工成本、制造费用等，其中，属于第3项情形，供应商已随投标（响应）文件一并提交相关说明及必要的证明材料的，在评审时可不再重复提交。</w:t>
      </w:r>
    </w:p>
    <w:p w14:paraId="2B75AC32">
      <w:pPr>
        <w:pStyle w:val="35"/>
        <w:widowControl w:val="0"/>
        <w:spacing w:line="440" w:lineRule="exact"/>
        <w:ind w:firstLine="480" w:firstLineChars="200"/>
        <w:rPr>
          <w:rFonts w:hint="eastAsia" w:ascii="新宋体" w:hAnsi="新宋体" w:eastAsia="新宋体"/>
          <w:color w:val="000000"/>
          <w:sz w:val="24"/>
        </w:rPr>
      </w:pPr>
      <w:r>
        <w:rPr>
          <w:rFonts w:hint="eastAsia" w:hAnsi="宋体"/>
          <w:color w:val="000000"/>
          <w:sz w:val="24"/>
          <w:szCs w:val="24"/>
        </w:rPr>
        <w:t>评标小组</w:t>
      </w:r>
      <w:r>
        <w:rPr>
          <w:rFonts w:hint="eastAsia" w:ascii="新宋体" w:hAnsi="新宋体" w:eastAsia="新宋体"/>
          <w:color w:val="000000"/>
          <w:sz w:val="24"/>
          <w:lang w:val="en-US" w:eastAsia="zh-CN"/>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hAnsi="宋体"/>
          <w:color w:val="000000"/>
          <w:sz w:val="24"/>
          <w:szCs w:val="24"/>
        </w:rPr>
        <w:t>评标小组</w:t>
      </w:r>
      <w:r>
        <w:rPr>
          <w:rFonts w:hint="eastAsia" w:ascii="新宋体" w:hAnsi="新宋体" w:eastAsia="新宋体"/>
          <w:color w:val="000000"/>
          <w:sz w:val="24"/>
          <w:lang w:val="en-US" w:eastAsia="zh-CN"/>
        </w:rPr>
        <w:t>应当将其作为无效投标（响应）处理。</w:t>
      </w:r>
    </w:p>
    <w:p w14:paraId="64F0ACDC">
      <w:pPr>
        <w:pStyle w:val="35"/>
        <w:spacing w:line="440" w:lineRule="exact"/>
        <w:ind w:firstLine="480" w:firstLineChars="200"/>
        <w:rPr>
          <w:rFonts w:hint="eastAsia" w:ascii="宋体" w:hAnsi="宋体" w:eastAsia="宋体" w:cs="宋体"/>
          <w:i w:val="0"/>
          <w:iCs w:val="0"/>
          <w:caps w:val="0"/>
          <w:color w:val="0000C7"/>
          <w:spacing w:val="0"/>
          <w:sz w:val="24"/>
          <w:szCs w:val="24"/>
          <w:shd w:val="clear" w:color="auto" w:fill="FFFFFF"/>
        </w:rPr>
      </w:pPr>
      <w:r>
        <w:rPr>
          <w:rFonts w:hint="eastAsia" w:hAnsi="宋体"/>
          <w:color w:val="000000"/>
          <w:sz w:val="24"/>
          <w:szCs w:val="24"/>
        </w:rPr>
        <w:t>评标小组</w:t>
      </w:r>
      <w:r>
        <w:rPr>
          <w:rFonts w:hint="eastAsia" w:ascii="宋体" w:hAnsi="宋体" w:eastAsia="宋体" w:cs="宋体"/>
          <w:i w:val="0"/>
          <w:iCs w:val="0"/>
          <w:caps w:val="0"/>
          <w:color w:val="000000"/>
          <w:spacing w:val="0"/>
          <w:sz w:val="24"/>
          <w:szCs w:val="24"/>
          <w:shd w:val="clear" w:color="auto" w:fill="FFFFFF"/>
        </w:rPr>
        <w:t>借助互联网等渠道查询相关信息的，应当严格遵守评审工作纪律，不得实施影响评审公正的行为。</w:t>
      </w:r>
    </w:p>
    <w:p w14:paraId="32F9B645">
      <w:pPr>
        <w:pStyle w:val="35"/>
        <w:spacing w:line="44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（四）对通过报价评审有效的投标人</w:t>
      </w:r>
      <w:r>
        <w:rPr>
          <w:rFonts w:hint="eastAsia" w:ascii="新宋体" w:hAnsi="新宋体" w:eastAsia="新宋体"/>
          <w:color w:val="auto"/>
          <w:sz w:val="24"/>
          <w:highlight w:val="none"/>
          <w:lang w:eastAsia="zh-CN"/>
        </w:rPr>
        <w:t>，</w:t>
      </w:r>
      <w:r>
        <w:rPr>
          <w:rFonts w:hint="eastAsia" w:ascii="新宋体" w:hAnsi="新宋体" w:eastAsia="新宋体"/>
          <w:color w:val="auto"/>
          <w:sz w:val="24"/>
          <w:highlight w:val="none"/>
        </w:rPr>
        <w:t>由“政采云”计算出其报价分及总得分，并由评标委员会进行确认。</w:t>
      </w:r>
    </w:p>
    <w:p w14:paraId="66E5FC45">
      <w:pPr>
        <w:pStyle w:val="35"/>
        <w:spacing w:line="44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（五）确定中标</w:t>
      </w:r>
      <w:r>
        <w:rPr>
          <w:rFonts w:hint="eastAsia" w:ascii="新宋体" w:hAnsi="新宋体" w:eastAsia="新宋体"/>
          <w:color w:val="auto"/>
          <w:kern w:val="0"/>
          <w:sz w:val="24"/>
          <w:highlight w:val="none"/>
        </w:rPr>
        <w:t>候选</w:t>
      </w:r>
      <w:r>
        <w:rPr>
          <w:rFonts w:hint="eastAsia" w:ascii="新宋体" w:hAnsi="新宋体" w:eastAsia="新宋体"/>
          <w:color w:val="auto"/>
          <w:sz w:val="24"/>
          <w:highlight w:val="none"/>
        </w:rPr>
        <w:t>人</w:t>
      </w:r>
    </w:p>
    <w:p w14:paraId="03533173">
      <w:pPr>
        <w:spacing w:line="440" w:lineRule="exact"/>
        <w:ind w:firstLine="480" w:firstLineChars="200"/>
        <w:rPr>
          <w:rFonts w:hint="eastAsia" w:ascii="新宋体" w:hAnsi="新宋体" w:eastAsia="新宋体"/>
          <w:color w:val="auto"/>
          <w:kern w:val="0"/>
          <w:sz w:val="24"/>
          <w:highlight w:val="none"/>
        </w:rPr>
      </w:pPr>
      <w:r>
        <w:rPr>
          <w:rFonts w:hint="eastAsia" w:ascii="新宋体" w:hAnsi="新宋体" w:eastAsia="新宋体"/>
          <w:color w:val="auto"/>
          <w:kern w:val="0"/>
          <w:sz w:val="24"/>
          <w:highlight w:val="none"/>
        </w:rPr>
        <w:t>1.首先，评标委员会按综合得分从高到低顺序进行排列；得分相同的，按投标报价由低到高顺序排列；得分且投标报价相同的，按商务技术分从高到低顺序排列；商务技术分也相同的，投标报价相同的由采购人代表采用公共资源交易中心抽取程序随机确定。</w:t>
      </w:r>
    </w:p>
    <w:p w14:paraId="2C2DEC28">
      <w:pPr>
        <w:spacing w:line="440" w:lineRule="exact"/>
        <w:ind w:firstLine="480" w:firstLineChars="200"/>
        <w:rPr>
          <w:rFonts w:hint="eastAsia" w:ascii="新宋体" w:hAnsi="新宋体" w:eastAsia="新宋体"/>
          <w:color w:val="auto"/>
          <w:kern w:val="0"/>
          <w:sz w:val="24"/>
          <w:highlight w:val="none"/>
        </w:rPr>
      </w:pPr>
      <w:r>
        <w:rPr>
          <w:rFonts w:hint="eastAsia" w:ascii="新宋体" w:hAnsi="新宋体" w:eastAsia="新宋体"/>
          <w:color w:val="auto"/>
          <w:kern w:val="0"/>
          <w:sz w:val="24"/>
          <w:highlight w:val="none"/>
        </w:rPr>
        <w:t>2.其次，评标委员会直接确定排名第一的投标人为中标候选人。</w:t>
      </w:r>
    </w:p>
    <w:p w14:paraId="1221C94D">
      <w:pPr>
        <w:spacing w:line="44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（六）完成评标报告</w:t>
      </w:r>
    </w:p>
    <w:p w14:paraId="6AF65D39">
      <w:pPr>
        <w:spacing w:line="400" w:lineRule="exact"/>
        <w:ind w:firstLine="480" w:firstLineChars="200"/>
        <w:rPr>
          <w:rFonts w:hint="eastAsia" w:ascii="新宋体" w:hAnsi="新宋体" w:eastAsia="新宋体"/>
          <w:sz w:val="24"/>
        </w:rPr>
      </w:pPr>
      <w:r>
        <w:rPr>
          <w:rFonts w:hint="eastAsia" w:ascii="新宋体" w:hAnsi="新宋体" w:eastAsia="新宋体"/>
          <w:color w:val="auto"/>
          <w:kern w:val="0"/>
          <w:sz w:val="24"/>
          <w:highlight w:val="none"/>
        </w:rPr>
        <w:t>评标委员会根据评审相关情况</w:t>
      </w:r>
      <w:r>
        <w:rPr>
          <w:rFonts w:hint="eastAsia" w:ascii="新宋体" w:hAnsi="新宋体" w:eastAsia="新宋体"/>
          <w:color w:val="auto"/>
          <w:kern w:val="0"/>
          <w:sz w:val="24"/>
          <w:highlight w:val="none"/>
          <w:lang w:eastAsia="zh-CN"/>
        </w:rPr>
        <w:t>做出</w:t>
      </w:r>
      <w:r>
        <w:rPr>
          <w:rFonts w:hint="eastAsia" w:ascii="新宋体" w:hAnsi="新宋体" w:eastAsia="新宋体"/>
          <w:color w:val="auto"/>
          <w:kern w:val="0"/>
          <w:sz w:val="24"/>
          <w:highlight w:val="none"/>
        </w:rPr>
        <w:t>评标报告</w:t>
      </w:r>
      <w:r>
        <w:rPr>
          <w:rFonts w:hint="eastAsia" w:ascii="新宋体" w:hAnsi="新宋体" w:eastAsia="新宋体"/>
          <w:color w:val="auto"/>
          <w:sz w:val="24"/>
          <w:highlight w:val="none"/>
        </w:rPr>
        <w:t>。</w:t>
      </w:r>
    </w:p>
    <w:p w14:paraId="230FDF52">
      <w:pPr>
        <w:spacing w:line="400" w:lineRule="exact"/>
        <w:rPr>
          <w:rFonts w:hint="eastAsia" w:ascii="新宋体" w:hAnsi="新宋体" w:eastAsia="新宋体"/>
          <w:b/>
          <w:sz w:val="24"/>
        </w:rPr>
      </w:pPr>
      <w:r>
        <w:rPr>
          <w:rFonts w:hint="eastAsia" w:ascii="新宋体" w:hAnsi="新宋体" w:eastAsia="新宋体"/>
          <w:b/>
          <w:sz w:val="24"/>
        </w:rPr>
        <w:t>二、确定的中标人放弃中标等情况的处理</w:t>
      </w:r>
    </w:p>
    <w:bookmarkEnd w:id="88"/>
    <w:bookmarkEnd w:id="89"/>
    <w:bookmarkEnd w:id="90"/>
    <w:bookmarkEnd w:id="91"/>
    <w:bookmarkEnd w:id="92"/>
    <w:bookmarkEnd w:id="93"/>
    <w:p w14:paraId="31EBFA39">
      <w:pPr>
        <w:spacing w:line="400" w:lineRule="exact"/>
        <w:ind w:firstLine="480" w:firstLineChars="200"/>
        <w:rPr>
          <w:rFonts w:hint="eastAsia" w:ascii="新宋体" w:hAnsi="新宋体" w:eastAsia="新宋体"/>
          <w:b/>
          <w:kern w:val="0"/>
          <w:sz w:val="24"/>
        </w:rPr>
      </w:pPr>
      <w:r>
        <w:rPr>
          <w:rFonts w:hint="eastAsia" w:ascii="新宋体" w:hAnsi="新宋体" w:eastAsia="新宋体"/>
          <w:kern w:val="0"/>
          <w:sz w:val="24"/>
        </w:rPr>
        <w:t>当确定的中标人放弃中标，因不可抗力提出不能履行合同，或者质疑投诉成立，取消中标人资格的，都不再确定其余投标人作为中标人</w:t>
      </w:r>
      <w:r>
        <w:rPr>
          <w:rFonts w:hint="eastAsia" w:ascii="新宋体" w:hAnsi="新宋体" w:eastAsia="新宋体"/>
          <w:b/>
          <w:kern w:val="0"/>
          <w:sz w:val="24"/>
        </w:rPr>
        <w:t>。</w:t>
      </w:r>
    </w:p>
    <w:p w14:paraId="6007FC76">
      <w:pPr>
        <w:widowControl w:val="0"/>
        <w:numPr>
          <w:ilvl w:val="0"/>
          <w:numId w:val="4"/>
        </w:numPr>
        <w:spacing w:line="400" w:lineRule="exact"/>
        <w:rPr>
          <w:rFonts w:hint="default" w:ascii="Times New Roman" w:hAnsi="Times New Roman" w:eastAsia="宋体" w:cs="Times New Roman"/>
          <w:b/>
          <w:highlight w:val="none"/>
        </w:rPr>
      </w:pPr>
      <w:r>
        <w:rPr>
          <w:rFonts w:hint="default" w:ascii="Times New Roman" w:hAnsi="Times New Roman" w:eastAsia="宋体" w:cs="Times New Roman"/>
          <w:b/>
          <w:highlight w:val="none"/>
        </w:rPr>
        <w:t>评分细则</w:t>
      </w:r>
    </w:p>
    <w:tbl>
      <w:tblPr>
        <w:tblStyle w:val="63"/>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63"/>
        <w:gridCol w:w="590"/>
        <w:gridCol w:w="6214"/>
        <w:gridCol w:w="979"/>
      </w:tblGrid>
      <w:tr w14:paraId="484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49" w:type="dxa"/>
            <w:noWrap/>
            <w:vAlign w:val="top"/>
          </w:tcPr>
          <w:p w14:paraId="5B26F799">
            <w:pPr>
              <w:spacing w:line="320" w:lineRule="exact"/>
              <w:rPr>
                <w:rFonts w:ascii="宋体" w:hAnsi="宋体" w:cs="宋体"/>
                <w:b/>
                <w:sz w:val="24"/>
              </w:rPr>
            </w:pPr>
            <w:r>
              <w:rPr>
                <w:rFonts w:hint="eastAsia" w:ascii="宋体" w:hAnsi="宋体" w:cs="宋体"/>
                <w:b/>
                <w:sz w:val="24"/>
              </w:rPr>
              <w:t>序号</w:t>
            </w:r>
          </w:p>
        </w:tc>
        <w:tc>
          <w:tcPr>
            <w:tcW w:w="1263" w:type="dxa"/>
            <w:noWrap/>
            <w:vAlign w:val="top"/>
          </w:tcPr>
          <w:p w14:paraId="3CC406FF">
            <w:pPr>
              <w:spacing w:line="320" w:lineRule="exact"/>
              <w:rPr>
                <w:rFonts w:ascii="宋体" w:hAnsi="宋体" w:cs="宋体"/>
                <w:b/>
                <w:sz w:val="24"/>
              </w:rPr>
            </w:pPr>
            <w:r>
              <w:rPr>
                <w:rFonts w:hint="eastAsia" w:ascii="宋体" w:hAnsi="宋体" w:cs="宋体"/>
                <w:b/>
                <w:sz w:val="24"/>
              </w:rPr>
              <w:t>评分内容</w:t>
            </w:r>
          </w:p>
        </w:tc>
        <w:tc>
          <w:tcPr>
            <w:tcW w:w="590" w:type="dxa"/>
            <w:noWrap/>
            <w:vAlign w:val="top"/>
          </w:tcPr>
          <w:p w14:paraId="7C530598">
            <w:pPr>
              <w:spacing w:line="320" w:lineRule="exact"/>
              <w:rPr>
                <w:rFonts w:ascii="宋体" w:hAnsi="宋体" w:cs="宋体"/>
                <w:b/>
                <w:sz w:val="24"/>
              </w:rPr>
            </w:pPr>
          </w:p>
        </w:tc>
        <w:tc>
          <w:tcPr>
            <w:tcW w:w="6214" w:type="dxa"/>
            <w:noWrap/>
            <w:vAlign w:val="top"/>
          </w:tcPr>
          <w:p w14:paraId="6BE3FFC8">
            <w:pPr>
              <w:spacing w:line="320" w:lineRule="exact"/>
              <w:ind w:firstLine="482" w:firstLineChars="200"/>
              <w:rPr>
                <w:rFonts w:ascii="宋体" w:hAnsi="宋体" w:cs="宋体"/>
                <w:b/>
                <w:sz w:val="24"/>
              </w:rPr>
            </w:pPr>
            <w:r>
              <w:rPr>
                <w:rFonts w:hint="eastAsia" w:ascii="宋体" w:hAnsi="宋体" w:cs="宋体"/>
                <w:b/>
                <w:sz w:val="24"/>
              </w:rPr>
              <w:t>评分细则</w:t>
            </w:r>
          </w:p>
        </w:tc>
        <w:tc>
          <w:tcPr>
            <w:tcW w:w="979" w:type="dxa"/>
            <w:noWrap/>
            <w:vAlign w:val="center"/>
          </w:tcPr>
          <w:p w14:paraId="3B747A26">
            <w:pPr>
              <w:spacing w:line="320" w:lineRule="exact"/>
              <w:jc w:val="center"/>
              <w:rPr>
                <w:rFonts w:ascii="宋体" w:hAnsi="宋体" w:cs="宋体"/>
                <w:b/>
                <w:sz w:val="24"/>
              </w:rPr>
            </w:pPr>
            <w:r>
              <w:rPr>
                <w:rFonts w:hint="eastAsia" w:ascii="宋体" w:hAnsi="宋体" w:cs="宋体"/>
                <w:b/>
                <w:sz w:val="24"/>
              </w:rPr>
              <w:t>备注</w:t>
            </w:r>
          </w:p>
        </w:tc>
      </w:tr>
      <w:tr w14:paraId="6ADA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749" w:type="dxa"/>
            <w:noWrap/>
            <w:vAlign w:val="center"/>
          </w:tcPr>
          <w:p w14:paraId="03F2F21B">
            <w:pPr>
              <w:spacing w:line="320" w:lineRule="exact"/>
              <w:jc w:val="center"/>
              <w:rPr>
                <w:rFonts w:ascii="宋体" w:hAnsi="宋体" w:cs="宋体"/>
                <w:sz w:val="24"/>
              </w:rPr>
            </w:pPr>
            <w:r>
              <w:rPr>
                <w:rFonts w:hint="eastAsia" w:ascii="宋体" w:hAnsi="宋体" w:cs="宋体"/>
                <w:sz w:val="24"/>
              </w:rPr>
              <w:t>一</w:t>
            </w:r>
          </w:p>
        </w:tc>
        <w:tc>
          <w:tcPr>
            <w:tcW w:w="1263" w:type="dxa"/>
            <w:noWrap/>
            <w:vAlign w:val="center"/>
          </w:tcPr>
          <w:p w14:paraId="1920210F">
            <w:pPr>
              <w:spacing w:line="320" w:lineRule="exact"/>
              <w:jc w:val="center"/>
              <w:rPr>
                <w:rFonts w:ascii="宋体" w:hAnsi="宋体" w:cs="宋体"/>
                <w:sz w:val="24"/>
              </w:rPr>
            </w:pPr>
            <w:r>
              <w:rPr>
                <w:rFonts w:hint="eastAsia" w:ascii="宋体" w:hAnsi="宋体" w:cs="宋体"/>
                <w:sz w:val="24"/>
              </w:rPr>
              <w:t>技术分</w:t>
            </w:r>
          </w:p>
        </w:tc>
        <w:tc>
          <w:tcPr>
            <w:tcW w:w="590" w:type="dxa"/>
            <w:noWrap/>
            <w:vAlign w:val="center"/>
          </w:tcPr>
          <w:p w14:paraId="403DEFFB">
            <w:pPr>
              <w:spacing w:line="320" w:lineRule="exact"/>
              <w:jc w:val="center"/>
              <w:rPr>
                <w:rFonts w:hint="default" w:ascii="宋体" w:hAnsi="宋体" w:eastAsia="宋体" w:cs="宋体"/>
                <w:sz w:val="24"/>
                <w:highlight w:val="red"/>
                <w:lang w:val="en-US" w:eastAsia="zh-CN"/>
              </w:rPr>
            </w:pPr>
            <w:r>
              <w:rPr>
                <w:rFonts w:hint="eastAsia" w:ascii="宋体" w:hAnsi="宋体" w:cs="宋体"/>
                <w:sz w:val="24"/>
                <w:lang w:val="en-US" w:eastAsia="zh-CN"/>
              </w:rPr>
              <w:t>70</w:t>
            </w:r>
          </w:p>
        </w:tc>
        <w:tc>
          <w:tcPr>
            <w:tcW w:w="6214" w:type="dxa"/>
            <w:noWrap/>
            <w:vAlign w:val="top"/>
          </w:tcPr>
          <w:p w14:paraId="71605D3F">
            <w:pPr>
              <w:spacing w:line="320" w:lineRule="exact"/>
              <w:rPr>
                <w:rFonts w:ascii="宋体" w:hAnsi="宋体" w:cs="宋体"/>
                <w:sz w:val="24"/>
              </w:rPr>
            </w:pPr>
            <w:r>
              <w:rPr>
                <w:rFonts w:hint="eastAsia" w:ascii="宋体" w:hAnsi="宋体"/>
                <w:sz w:val="24"/>
              </w:rPr>
              <w:t>评标委员会根据评分细则，对各投标人的技术标进行书面审核和评论后，由各成员独立给分，打分时保留小数1位，每人一份评分表，并签名。在统计得分时，如果发现某一单项评分超过评分细则规定的分值范围，则该张评分表无效。投标人技术分的最终得分为评标委员会组成员的有效评分的算术平均值。计算结果保留小数2位(第三位四舍五入)。扫描件均需加盖投标人电子签章。</w:t>
            </w:r>
          </w:p>
        </w:tc>
        <w:tc>
          <w:tcPr>
            <w:tcW w:w="979" w:type="dxa"/>
            <w:noWrap/>
            <w:vAlign w:val="center"/>
          </w:tcPr>
          <w:p w14:paraId="0073DE9F">
            <w:pPr>
              <w:spacing w:line="320" w:lineRule="exact"/>
              <w:rPr>
                <w:rFonts w:ascii="宋体" w:hAnsi="宋体" w:cs="宋体"/>
                <w:sz w:val="24"/>
              </w:rPr>
            </w:pPr>
          </w:p>
        </w:tc>
      </w:tr>
      <w:tr w14:paraId="0DAFB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noWrap/>
            <w:vAlign w:val="center"/>
          </w:tcPr>
          <w:p w14:paraId="37A282B1">
            <w:pPr>
              <w:pStyle w:val="35"/>
              <w:jc w:val="center"/>
              <w:rPr>
                <w:rFonts w:hAnsi="宋体"/>
                <w:sz w:val="24"/>
                <w:szCs w:val="24"/>
              </w:rPr>
            </w:pPr>
            <w:r>
              <w:rPr>
                <w:rFonts w:hint="eastAsia" w:hAnsi="宋体"/>
                <w:sz w:val="24"/>
                <w:szCs w:val="24"/>
              </w:rPr>
              <w:t>1</w:t>
            </w:r>
          </w:p>
        </w:tc>
        <w:tc>
          <w:tcPr>
            <w:tcW w:w="1263" w:type="dxa"/>
            <w:noWrap/>
            <w:vAlign w:val="center"/>
          </w:tcPr>
          <w:p w14:paraId="62CB0307">
            <w:pPr>
              <w:spacing w:line="400" w:lineRule="exact"/>
              <w:jc w:val="center"/>
              <w:rPr>
                <w:rFonts w:hint="eastAsia" w:ascii="宋体" w:hAnsi="宋体" w:eastAsia="宋体" w:cs="宋体"/>
                <w:sz w:val="24"/>
                <w:lang w:eastAsia="zh-CN"/>
              </w:rPr>
            </w:pPr>
            <w:r>
              <w:rPr>
                <w:rFonts w:hint="eastAsia" w:ascii="宋体" w:hAnsi="宋体" w:cs="宋体"/>
                <w:sz w:val="24"/>
              </w:rPr>
              <w:t>业绩</w:t>
            </w:r>
            <w:r>
              <w:rPr>
                <w:rFonts w:hint="eastAsia" w:ascii="宋体" w:hAnsi="宋体" w:cs="宋体"/>
                <w:sz w:val="24"/>
                <w:lang w:eastAsia="zh-CN"/>
              </w:rPr>
              <w:t>（</w:t>
            </w:r>
            <w:r>
              <w:rPr>
                <w:rFonts w:hint="eastAsia" w:ascii="宋体" w:hAnsi="宋体" w:cs="宋体"/>
                <w:sz w:val="24"/>
                <w:lang w:val="en-US" w:eastAsia="zh-CN"/>
              </w:rPr>
              <w:t>3分</w:t>
            </w:r>
            <w:r>
              <w:rPr>
                <w:rFonts w:hint="eastAsia" w:ascii="宋体" w:hAnsi="宋体" w:cs="宋体"/>
                <w:sz w:val="24"/>
                <w:lang w:eastAsia="zh-CN"/>
              </w:rPr>
              <w:t>）</w:t>
            </w:r>
          </w:p>
        </w:tc>
        <w:tc>
          <w:tcPr>
            <w:tcW w:w="590" w:type="dxa"/>
            <w:noWrap/>
            <w:vAlign w:val="center"/>
          </w:tcPr>
          <w:p w14:paraId="0A53A65B">
            <w:pPr>
              <w:pStyle w:val="35"/>
              <w:jc w:val="center"/>
              <w:rPr>
                <w:rFonts w:hAnsi="宋体"/>
                <w:sz w:val="24"/>
                <w:szCs w:val="24"/>
              </w:rPr>
            </w:pPr>
            <w:r>
              <w:rPr>
                <w:rFonts w:hint="eastAsia" w:hAnsi="宋体"/>
                <w:color w:val="000000"/>
                <w:sz w:val="24"/>
                <w:szCs w:val="24"/>
              </w:rPr>
              <w:t>0-</w:t>
            </w:r>
            <w:r>
              <w:rPr>
                <w:rFonts w:hint="eastAsia" w:hAnsi="宋体"/>
                <w:color w:val="000000"/>
                <w:sz w:val="24"/>
                <w:szCs w:val="24"/>
                <w:lang w:val="en-US" w:eastAsia="zh-CN"/>
              </w:rPr>
              <w:t>3</w:t>
            </w:r>
            <w:r>
              <w:rPr>
                <w:rFonts w:hAnsi="宋体"/>
                <w:sz w:val="24"/>
                <w:szCs w:val="24"/>
              </w:rPr>
              <w:t xml:space="preserve"> </w:t>
            </w:r>
          </w:p>
        </w:tc>
        <w:tc>
          <w:tcPr>
            <w:tcW w:w="6214" w:type="dxa"/>
            <w:noWrap/>
            <w:vAlign w:val="center"/>
          </w:tcPr>
          <w:p w14:paraId="68D1578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cs="新宋体"/>
                <w:sz w:val="24"/>
              </w:rPr>
              <w:t>根据投标人提供的自202</w:t>
            </w:r>
            <w:r>
              <w:rPr>
                <w:rFonts w:hint="eastAsia" w:ascii="宋体" w:hAnsi="宋体" w:cs="新宋体"/>
                <w:sz w:val="24"/>
                <w:lang w:val="en-US" w:eastAsia="zh-CN"/>
              </w:rPr>
              <w:t>3</w:t>
            </w:r>
            <w:r>
              <w:rPr>
                <w:rFonts w:hint="eastAsia" w:ascii="宋体" w:hAnsi="宋体" w:cs="新宋体"/>
                <w:sz w:val="24"/>
              </w:rPr>
              <w:t>年1月1日以来（以合同签订时间为准），同类项目的业绩，每提供1个得1分，最高3分。未提供或提供的内容不符合要求的不得分。（须提供合同、中标通知书扫描件加盖投标单位电子签章）</w:t>
            </w:r>
          </w:p>
        </w:tc>
        <w:tc>
          <w:tcPr>
            <w:tcW w:w="979" w:type="dxa"/>
            <w:noWrap/>
            <w:vAlign w:val="center"/>
          </w:tcPr>
          <w:p w14:paraId="18403A52">
            <w:pPr>
              <w:rPr>
                <w:rFonts w:ascii="宋体" w:hAnsi="宋体" w:cs="宋体"/>
                <w:sz w:val="24"/>
              </w:rPr>
            </w:pPr>
            <w:r>
              <w:rPr>
                <w:rFonts w:hint="eastAsia" w:ascii="宋体" w:hAnsi="宋体" w:cs="宋体"/>
                <w:sz w:val="24"/>
              </w:rPr>
              <w:t>客观分</w:t>
            </w:r>
          </w:p>
        </w:tc>
      </w:tr>
      <w:tr w14:paraId="0F8B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restart"/>
            <w:noWrap/>
            <w:vAlign w:val="center"/>
          </w:tcPr>
          <w:p w14:paraId="19DA13C1">
            <w:pPr>
              <w:jc w:val="center"/>
              <w:rPr>
                <w:rFonts w:hint="eastAsia" w:ascii="宋体" w:hAnsi="宋体" w:eastAsia="宋体"/>
                <w:bCs/>
                <w:sz w:val="24"/>
                <w:lang w:val="en-US" w:eastAsia="zh-CN"/>
              </w:rPr>
            </w:pPr>
            <w:r>
              <w:rPr>
                <w:rFonts w:hint="eastAsia" w:ascii="宋体" w:hAnsi="宋体"/>
                <w:bCs/>
                <w:sz w:val="24"/>
                <w:lang w:val="en-US" w:eastAsia="zh-CN"/>
              </w:rPr>
              <w:t>2</w:t>
            </w:r>
          </w:p>
        </w:tc>
        <w:tc>
          <w:tcPr>
            <w:tcW w:w="1263" w:type="dxa"/>
            <w:vMerge w:val="restart"/>
            <w:noWrap/>
            <w:vAlign w:val="center"/>
          </w:tcPr>
          <w:p w14:paraId="20E876CF">
            <w:pPr>
              <w:jc w:val="center"/>
              <w:rPr>
                <w:rFonts w:hint="eastAsia" w:ascii="宋体" w:hAnsi="宋体" w:eastAsia="宋体" w:cs="宋体"/>
                <w:sz w:val="24"/>
                <w:lang w:eastAsia="zh-CN"/>
              </w:rPr>
            </w:pPr>
            <w:r>
              <w:rPr>
                <w:rFonts w:hint="eastAsia" w:ascii="宋体" w:hAnsi="宋体" w:cs="宋体"/>
                <w:sz w:val="24"/>
              </w:rPr>
              <w:t>项目</w:t>
            </w:r>
            <w:r>
              <w:rPr>
                <w:rFonts w:hint="eastAsia" w:ascii="宋体" w:hAnsi="宋体" w:cs="宋体"/>
                <w:sz w:val="24"/>
                <w:lang w:val="en-US" w:eastAsia="zh-CN"/>
              </w:rPr>
              <w:t>人员</w:t>
            </w:r>
            <w:r>
              <w:rPr>
                <w:rFonts w:hint="eastAsia" w:ascii="宋体" w:hAnsi="宋体" w:cs="宋体"/>
                <w:sz w:val="24"/>
              </w:rPr>
              <w:t>投入</w:t>
            </w:r>
            <w:r>
              <w:rPr>
                <w:rFonts w:hint="eastAsia" w:ascii="宋体" w:hAnsi="宋体" w:cs="宋体"/>
                <w:sz w:val="24"/>
                <w:lang w:eastAsia="zh-CN"/>
              </w:rPr>
              <w:t>（</w:t>
            </w:r>
            <w:r>
              <w:rPr>
                <w:rFonts w:hint="eastAsia" w:ascii="宋体" w:hAnsi="宋体" w:cs="宋体"/>
                <w:sz w:val="24"/>
                <w:lang w:val="en-US" w:eastAsia="zh-CN"/>
              </w:rPr>
              <w:t>16分</w:t>
            </w:r>
            <w:r>
              <w:rPr>
                <w:rFonts w:hint="eastAsia" w:ascii="宋体" w:hAnsi="宋体" w:cs="宋体"/>
                <w:sz w:val="24"/>
                <w:lang w:eastAsia="zh-CN"/>
              </w:rPr>
              <w:t>）</w:t>
            </w:r>
          </w:p>
        </w:tc>
        <w:tc>
          <w:tcPr>
            <w:tcW w:w="590" w:type="dxa"/>
            <w:noWrap/>
            <w:vAlign w:val="center"/>
          </w:tcPr>
          <w:p w14:paraId="4450DAF4">
            <w:pPr>
              <w:pStyle w:val="35"/>
              <w:jc w:val="center"/>
              <w:rPr>
                <w:rFonts w:hint="default" w:hAnsi="宋体" w:eastAsia="宋体"/>
                <w:sz w:val="24"/>
                <w:szCs w:val="24"/>
                <w:lang w:val="en-US" w:eastAsia="zh-CN"/>
              </w:rPr>
            </w:pPr>
            <w:r>
              <w:rPr>
                <w:rFonts w:hint="eastAsia" w:hAnsi="宋体"/>
                <w:sz w:val="24"/>
                <w:szCs w:val="24"/>
                <w:lang w:val="en-US" w:eastAsia="zh-CN"/>
              </w:rPr>
              <w:t>0-2</w:t>
            </w:r>
          </w:p>
        </w:tc>
        <w:tc>
          <w:tcPr>
            <w:tcW w:w="6214" w:type="dxa"/>
            <w:noWrap/>
            <w:vAlign w:val="center"/>
          </w:tcPr>
          <w:p w14:paraId="342B5FD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物业经理，具有物业经理证书或经理上岗证书或物业管理师资格证书的，得2分（须在投标文件中提供证书扫描件、202</w:t>
            </w:r>
            <w:r>
              <w:rPr>
                <w:rFonts w:hint="eastAsia" w:ascii="宋体" w:hAnsi="宋体" w:cs="新宋体"/>
                <w:sz w:val="24"/>
                <w:lang w:val="en-US" w:eastAsia="zh-CN"/>
              </w:rPr>
              <w:t>6</w:t>
            </w:r>
            <w:r>
              <w:rPr>
                <w:rFonts w:hint="eastAsia" w:ascii="宋体" w:hAnsi="宋体" w:cs="新宋体"/>
                <w:sz w:val="24"/>
              </w:rPr>
              <w:t>年</w:t>
            </w:r>
            <w:r>
              <w:rPr>
                <w:rFonts w:hint="eastAsia" w:ascii="宋体" w:hAnsi="宋体" w:cs="新宋体"/>
                <w:sz w:val="24"/>
                <w:lang w:val="en-US" w:eastAsia="zh-CN"/>
              </w:rPr>
              <w:t>1</w:t>
            </w:r>
            <w:r>
              <w:rPr>
                <w:rFonts w:hint="eastAsia" w:ascii="宋体" w:hAnsi="宋体" w:cs="新宋体"/>
                <w:sz w:val="24"/>
              </w:rPr>
              <w:t>月以来</w:t>
            </w:r>
            <w:r>
              <w:rPr>
                <w:rFonts w:hint="eastAsia" w:ascii="宋体" w:hAnsi="宋体" w:cs="新宋体"/>
                <w:sz w:val="24"/>
                <w:lang w:eastAsia="zh-CN"/>
              </w:rPr>
              <w:t>至投标截止日任意一个</w:t>
            </w:r>
            <w:r>
              <w:rPr>
                <w:rFonts w:hint="eastAsia" w:ascii="宋体" w:hAnsi="宋体" w:cs="新宋体"/>
                <w:sz w:val="24"/>
              </w:rPr>
              <w:t>月在投标单位缴纳的社保清单。）</w:t>
            </w:r>
          </w:p>
        </w:tc>
        <w:tc>
          <w:tcPr>
            <w:tcW w:w="979" w:type="dxa"/>
            <w:noWrap/>
            <w:vAlign w:val="center"/>
          </w:tcPr>
          <w:p w14:paraId="31EE3FDB">
            <w:pPr>
              <w:jc w:val="center"/>
              <w:rPr>
                <w:rFonts w:hint="eastAsia" w:ascii="宋体" w:hAnsi="宋体" w:cs="宋体"/>
                <w:sz w:val="24"/>
              </w:rPr>
            </w:pPr>
            <w:r>
              <w:rPr>
                <w:rFonts w:hint="eastAsia" w:ascii="宋体" w:hAnsi="宋体" w:cs="宋体"/>
                <w:sz w:val="24"/>
                <w:lang w:val="en-US" w:eastAsia="zh-CN"/>
              </w:rPr>
              <w:t>客观分</w:t>
            </w:r>
          </w:p>
        </w:tc>
      </w:tr>
      <w:tr w14:paraId="4D5A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22CA22C6">
            <w:pPr>
              <w:jc w:val="center"/>
              <w:rPr>
                <w:rFonts w:hint="eastAsia" w:ascii="宋体" w:hAnsi="宋体"/>
                <w:bCs/>
                <w:sz w:val="24"/>
              </w:rPr>
            </w:pPr>
          </w:p>
        </w:tc>
        <w:tc>
          <w:tcPr>
            <w:tcW w:w="1263" w:type="dxa"/>
            <w:vMerge w:val="continue"/>
            <w:noWrap/>
            <w:vAlign w:val="center"/>
          </w:tcPr>
          <w:p w14:paraId="0F1E6E54">
            <w:pPr>
              <w:jc w:val="center"/>
              <w:rPr>
                <w:rFonts w:hint="eastAsia" w:ascii="宋体" w:hAnsi="宋体" w:cs="宋体"/>
                <w:sz w:val="24"/>
              </w:rPr>
            </w:pPr>
          </w:p>
        </w:tc>
        <w:tc>
          <w:tcPr>
            <w:tcW w:w="590" w:type="dxa"/>
            <w:noWrap/>
            <w:vAlign w:val="center"/>
          </w:tcPr>
          <w:p w14:paraId="141B91FC">
            <w:pPr>
              <w:pStyle w:val="35"/>
              <w:jc w:val="center"/>
              <w:rPr>
                <w:rFonts w:hint="default" w:hAnsi="宋体" w:eastAsia="宋体"/>
                <w:sz w:val="24"/>
                <w:szCs w:val="24"/>
                <w:lang w:val="en-US" w:eastAsia="zh-CN"/>
              </w:rPr>
            </w:pPr>
            <w:r>
              <w:rPr>
                <w:rFonts w:hint="eastAsia" w:hAnsi="宋体"/>
                <w:sz w:val="24"/>
                <w:szCs w:val="24"/>
                <w:lang w:val="en-US" w:eastAsia="zh-CN"/>
              </w:rPr>
              <w:t>0-2</w:t>
            </w:r>
          </w:p>
        </w:tc>
        <w:tc>
          <w:tcPr>
            <w:tcW w:w="6214" w:type="dxa"/>
            <w:noWrap/>
            <w:vAlign w:val="center"/>
          </w:tcPr>
          <w:p w14:paraId="4E3385C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物业经理具有大学本科（含）以上学历的得2分，大专学历的得1分，本小项最高得2.0分；</w:t>
            </w:r>
          </w:p>
        </w:tc>
        <w:tc>
          <w:tcPr>
            <w:tcW w:w="979" w:type="dxa"/>
            <w:noWrap/>
            <w:vAlign w:val="center"/>
          </w:tcPr>
          <w:p w14:paraId="26F5997D">
            <w:pPr>
              <w:jc w:val="center"/>
              <w:rPr>
                <w:rFonts w:hint="eastAsia" w:ascii="宋体" w:hAnsi="宋体" w:eastAsia="宋体" w:cs="宋体"/>
                <w:sz w:val="24"/>
                <w:lang w:val="en-US" w:eastAsia="zh-CN"/>
              </w:rPr>
            </w:pPr>
            <w:r>
              <w:rPr>
                <w:rFonts w:hint="eastAsia" w:ascii="宋体" w:hAnsi="宋体" w:cs="宋体"/>
                <w:sz w:val="24"/>
                <w:lang w:val="en-US" w:eastAsia="zh-CN"/>
              </w:rPr>
              <w:t>客观分</w:t>
            </w:r>
          </w:p>
        </w:tc>
      </w:tr>
      <w:tr w14:paraId="5CCE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7654C390">
            <w:pPr>
              <w:jc w:val="center"/>
              <w:rPr>
                <w:rFonts w:hint="eastAsia" w:ascii="宋体" w:hAnsi="宋体"/>
                <w:bCs/>
                <w:sz w:val="24"/>
              </w:rPr>
            </w:pPr>
          </w:p>
        </w:tc>
        <w:tc>
          <w:tcPr>
            <w:tcW w:w="1263" w:type="dxa"/>
            <w:vMerge w:val="continue"/>
            <w:noWrap/>
            <w:vAlign w:val="center"/>
          </w:tcPr>
          <w:p w14:paraId="0477C33E">
            <w:pPr>
              <w:jc w:val="center"/>
              <w:rPr>
                <w:rFonts w:hint="eastAsia" w:ascii="宋体" w:hAnsi="宋体" w:cs="宋体"/>
                <w:sz w:val="24"/>
              </w:rPr>
            </w:pPr>
          </w:p>
        </w:tc>
        <w:tc>
          <w:tcPr>
            <w:tcW w:w="590" w:type="dxa"/>
            <w:noWrap/>
            <w:vAlign w:val="center"/>
          </w:tcPr>
          <w:p w14:paraId="5D9C6541">
            <w:pPr>
              <w:rPr>
                <w:rFonts w:hint="eastAsia" w:hAnsi="宋体"/>
                <w:sz w:val="24"/>
                <w:szCs w:val="24"/>
                <w:lang w:val="en-US" w:eastAsia="zh-CN"/>
              </w:rPr>
            </w:pPr>
            <w:r>
              <w:rPr>
                <w:rFonts w:hint="eastAsia" w:ascii="宋体" w:hAnsi="宋体" w:cs="新宋体"/>
                <w:sz w:val="24"/>
              </w:rPr>
              <w:t>0-4</w:t>
            </w:r>
          </w:p>
        </w:tc>
        <w:tc>
          <w:tcPr>
            <w:tcW w:w="6214" w:type="dxa"/>
            <w:noWrap/>
            <w:vAlign w:val="center"/>
          </w:tcPr>
          <w:p w14:paraId="1EFDEE9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投标人对经理及其他人员的日常工作考核方案</w:t>
            </w:r>
            <w:r>
              <w:rPr>
                <w:rFonts w:hint="eastAsia" w:ascii="宋体" w:hAnsi="宋体" w:cs="新宋体"/>
                <w:sz w:val="24"/>
                <w:lang w:eastAsia="zh-CN"/>
              </w:rPr>
              <w:t>，</w:t>
            </w:r>
            <w:r>
              <w:rPr>
                <w:rFonts w:hint="eastAsia" w:ascii="宋体" w:hAnsi="宋体"/>
                <w:sz w:val="24"/>
              </w:rPr>
              <w:t>未提供相关内容的得0分。</w:t>
            </w:r>
            <w:r>
              <w:rPr>
                <w:rFonts w:hint="eastAsia" w:ascii="宋体" w:hAnsi="宋体" w:cs="新宋体"/>
                <w:sz w:val="24"/>
              </w:rPr>
              <w:t>：</w:t>
            </w:r>
          </w:p>
          <w:p w14:paraId="73305C1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1.对经理的日常工作考核进行评分（</w:t>
            </w:r>
            <w:r>
              <w:rPr>
                <w:rFonts w:hint="eastAsia" w:ascii="宋体" w:hAnsi="宋体" w:cs="新宋体"/>
                <w:sz w:val="24"/>
                <w:lang w:eastAsia="zh-CN"/>
              </w:rPr>
              <w:t>2分，1.5分，1分，0.5分，0分</w:t>
            </w:r>
            <w:r>
              <w:rPr>
                <w:rFonts w:hint="eastAsia" w:ascii="宋体" w:hAnsi="宋体" w:cs="新宋体"/>
                <w:sz w:val="24"/>
              </w:rPr>
              <w:t>）</w:t>
            </w:r>
          </w:p>
          <w:p w14:paraId="03DDCC5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2.对其他人员的日常工作考核进行评分（</w:t>
            </w:r>
            <w:r>
              <w:rPr>
                <w:rFonts w:hint="eastAsia" w:ascii="宋体" w:hAnsi="宋体" w:cs="新宋体"/>
                <w:sz w:val="24"/>
                <w:lang w:eastAsia="zh-CN"/>
              </w:rPr>
              <w:t>2分，1.5分，1分，0.5分，0分</w:t>
            </w:r>
            <w:r>
              <w:rPr>
                <w:rFonts w:hint="eastAsia" w:ascii="宋体" w:hAnsi="宋体" w:cs="新宋体"/>
                <w:sz w:val="24"/>
              </w:rPr>
              <w:t>）</w:t>
            </w:r>
          </w:p>
        </w:tc>
        <w:tc>
          <w:tcPr>
            <w:tcW w:w="979" w:type="dxa"/>
            <w:noWrap/>
            <w:vAlign w:val="center"/>
          </w:tcPr>
          <w:p w14:paraId="25C81759">
            <w:pPr>
              <w:rPr>
                <w:rFonts w:hint="eastAsia" w:ascii="宋体" w:hAnsi="宋体" w:cs="宋体"/>
                <w:sz w:val="24"/>
                <w:lang w:val="en-US" w:eastAsia="zh-CN"/>
              </w:rPr>
            </w:pPr>
            <w:r>
              <w:rPr>
                <w:rFonts w:hint="eastAsia" w:ascii="宋体" w:hAnsi="宋体" w:cs="新宋体"/>
                <w:sz w:val="24"/>
              </w:rPr>
              <w:t>主观分</w:t>
            </w:r>
          </w:p>
        </w:tc>
      </w:tr>
      <w:tr w14:paraId="0828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34A09666">
            <w:pPr>
              <w:jc w:val="center"/>
              <w:rPr>
                <w:rFonts w:hint="eastAsia" w:ascii="宋体" w:hAnsi="宋体"/>
                <w:bCs/>
                <w:sz w:val="24"/>
              </w:rPr>
            </w:pPr>
          </w:p>
        </w:tc>
        <w:tc>
          <w:tcPr>
            <w:tcW w:w="1263" w:type="dxa"/>
            <w:vMerge w:val="continue"/>
            <w:noWrap/>
            <w:vAlign w:val="center"/>
          </w:tcPr>
          <w:p w14:paraId="5FE45F39">
            <w:pPr>
              <w:jc w:val="center"/>
              <w:rPr>
                <w:rFonts w:hint="eastAsia" w:ascii="宋体" w:hAnsi="宋体" w:cs="宋体"/>
                <w:sz w:val="24"/>
              </w:rPr>
            </w:pPr>
          </w:p>
        </w:tc>
        <w:tc>
          <w:tcPr>
            <w:tcW w:w="590" w:type="dxa"/>
            <w:noWrap/>
            <w:vAlign w:val="center"/>
          </w:tcPr>
          <w:p w14:paraId="0E97DC74">
            <w:pPr>
              <w:rPr>
                <w:rFonts w:hint="eastAsia" w:ascii="宋体" w:hAnsi="宋体" w:cs="新宋体"/>
                <w:sz w:val="24"/>
              </w:rPr>
            </w:pPr>
            <w:r>
              <w:rPr>
                <w:rFonts w:hint="eastAsia" w:ascii="宋体" w:hAnsi="宋体" w:cs="新宋体"/>
                <w:sz w:val="24"/>
              </w:rPr>
              <w:t>0-4</w:t>
            </w:r>
          </w:p>
        </w:tc>
        <w:tc>
          <w:tcPr>
            <w:tcW w:w="6214" w:type="dxa"/>
            <w:noWrap/>
            <w:vAlign w:val="center"/>
          </w:tcPr>
          <w:p w14:paraId="3CF40E5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投标人对服务人员的奖励激励机制方案</w:t>
            </w:r>
            <w:r>
              <w:rPr>
                <w:rFonts w:hint="eastAsia" w:ascii="宋体" w:hAnsi="宋体" w:cs="新宋体"/>
                <w:sz w:val="24"/>
                <w:lang w:eastAsia="zh-CN"/>
              </w:rPr>
              <w:t>，</w:t>
            </w:r>
            <w:r>
              <w:rPr>
                <w:rFonts w:hint="eastAsia" w:ascii="宋体" w:hAnsi="宋体"/>
                <w:sz w:val="24"/>
              </w:rPr>
              <w:t>未提供相关内容的得0分。</w:t>
            </w:r>
            <w:r>
              <w:rPr>
                <w:rFonts w:hint="eastAsia" w:ascii="宋体" w:hAnsi="宋体" w:cs="新宋体"/>
                <w:sz w:val="24"/>
              </w:rPr>
              <w:t>：</w:t>
            </w:r>
          </w:p>
          <w:p w14:paraId="0877B5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1.经理奖励激励机制方案合理性进行评分（</w:t>
            </w:r>
            <w:r>
              <w:rPr>
                <w:rFonts w:hint="eastAsia" w:ascii="宋体" w:hAnsi="宋体" w:cs="新宋体"/>
                <w:sz w:val="24"/>
                <w:lang w:eastAsia="zh-CN"/>
              </w:rPr>
              <w:t>2分，1.5分，1分，0.5分，0分</w:t>
            </w:r>
            <w:r>
              <w:rPr>
                <w:rFonts w:hint="eastAsia" w:ascii="宋体" w:hAnsi="宋体" w:cs="新宋体"/>
                <w:sz w:val="24"/>
              </w:rPr>
              <w:t>）</w:t>
            </w:r>
          </w:p>
          <w:p w14:paraId="4E18DE0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2.普通人员奖励激励机制方案合理性进行评分（</w:t>
            </w:r>
            <w:r>
              <w:rPr>
                <w:rFonts w:hint="eastAsia" w:ascii="宋体" w:hAnsi="宋体" w:cs="新宋体"/>
                <w:sz w:val="24"/>
                <w:lang w:eastAsia="zh-CN"/>
              </w:rPr>
              <w:t>2分，1.5分，1分，0.5分，0分</w:t>
            </w:r>
            <w:r>
              <w:rPr>
                <w:rFonts w:hint="eastAsia" w:ascii="宋体" w:hAnsi="宋体" w:cs="新宋体"/>
                <w:sz w:val="24"/>
              </w:rPr>
              <w:t>）</w:t>
            </w:r>
          </w:p>
        </w:tc>
        <w:tc>
          <w:tcPr>
            <w:tcW w:w="979" w:type="dxa"/>
            <w:noWrap/>
            <w:vAlign w:val="center"/>
          </w:tcPr>
          <w:p w14:paraId="29EBC608">
            <w:pPr>
              <w:rPr>
                <w:rFonts w:hint="eastAsia" w:ascii="宋体" w:hAnsi="宋体" w:cs="新宋体"/>
                <w:sz w:val="24"/>
              </w:rPr>
            </w:pPr>
            <w:r>
              <w:rPr>
                <w:rFonts w:hint="eastAsia" w:ascii="宋体" w:hAnsi="宋体" w:cs="新宋体"/>
                <w:sz w:val="24"/>
              </w:rPr>
              <w:t>主观分</w:t>
            </w:r>
          </w:p>
        </w:tc>
      </w:tr>
      <w:tr w14:paraId="7671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2AD6AEC5">
            <w:pPr>
              <w:jc w:val="center"/>
              <w:rPr>
                <w:rFonts w:hint="eastAsia" w:ascii="宋体" w:hAnsi="宋体"/>
                <w:bCs/>
                <w:sz w:val="24"/>
              </w:rPr>
            </w:pPr>
          </w:p>
        </w:tc>
        <w:tc>
          <w:tcPr>
            <w:tcW w:w="1263" w:type="dxa"/>
            <w:vMerge w:val="continue"/>
            <w:noWrap/>
            <w:vAlign w:val="center"/>
          </w:tcPr>
          <w:p w14:paraId="626FD257">
            <w:pPr>
              <w:jc w:val="center"/>
              <w:rPr>
                <w:rFonts w:hint="eastAsia" w:ascii="宋体" w:hAnsi="宋体" w:cs="宋体"/>
                <w:sz w:val="24"/>
              </w:rPr>
            </w:pPr>
          </w:p>
        </w:tc>
        <w:tc>
          <w:tcPr>
            <w:tcW w:w="590" w:type="dxa"/>
            <w:noWrap/>
            <w:vAlign w:val="center"/>
          </w:tcPr>
          <w:p w14:paraId="52CBAD70">
            <w:pPr>
              <w:rPr>
                <w:rFonts w:hint="eastAsia" w:ascii="宋体" w:hAnsi="宋体" w:cs="新宋体"/>
                <w:sz w:val="24"/>
              </w:rPr>
            </w:pPr>
            <w:r>
              <w:rPr>
                <w:rFonts w:hint="eastAsia" w:ascii="宋体" w:hAnsi="宋体" w:cs="新宋体"/>
                <w:sz w:val="24"/>
              </w:rPr>
              <w:t>0-4</w:t>
            </w:r>
          </w:p>
        </w:tc>
        <w:tc>
          <w:tcPr>
            <w:tcW w:w="6214" w:type="dxa"/>
            <w:noWrap/>
            <w:vAlign w:val="center"/>
          </w:tcPr>
          <w:p w14:paraId="583AAA9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投标人对本项目人员的保障措施方案</w:t>
            </w:r>
            <w:r>
              <w:rPr>
                <w:rFonts w:hint="eastAsia" w:ascii="宋体" w:hAnsi="宋体" w:cs="新宋体"/>
                <w:sz w:val="24"/>
                <w:lang w:eastAsia="zh-CN"/>
              </w:rPr>
              <w:t>，</w:t>
            </w:r>
            <w:r>
              <w:rPr>
                <w:rFonts w:hint="eastAsia" w:ascii="宋体" w:hAnsi="宋体"/>
                <w:sz w:val="24"/>
              </w:rPr>
              <w:t>未提供相关内容的得0分。</w:t>
            </w:r>
            <w:r>
              <w:rPr>
                <w:rFonts w:hint="eastAsia" w:ascii="宋体" w:hAnsi="宋体" w:cs="新宋体"/>
                <w:sz w:val="24"/>
              </w:rPr>
              <w:t>：</w:t>
            </w:r>
          </w:p>
          <w:p w14:paraId="60DF092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1.对项目人员的基本福利进行评分（</w:t>
            </w:r>
            <w:r>
              <w:rPr>
                <w:rFonts w:hint="eastAsia" w:ascii="宋体" w:hAnsi="宋体" w:cs="新宋体"/>
                <w:sz w:val="24"/>
                <w:lang w:eastAsia="zh-CN"/>
              </w:rPr>
              <w:t>2分，1.5分，1分，0.5分，0分</w:t>
            </w:r>
            <w:r>
              <w:rPr>
                <w:rFonts w:hint="eastAsia" w:ascii="宋体" w:hAnsi="宋体" w:cs="新宋体"/>
                <w:sz w:val="24"/>
              </w:rPr>
              <w:t>）</w:t>
            </w:r>
          </w:p>
          <w:p w14:paraId="2F2F013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新宋体"/>
                <w:sz w:val="24"/>
              </w:rPr>
            </w:pPr>
            <w:r>
              <w:rPr>
                <w:rFonts w:hint="eastAsia" w:ascii="宋体" w:hAnsi="宋体" w:cs="新宋体"/>
                <w:sz w:val="24"/>
              </w:rPr>
              <w:t>2.对项目人员的职业安全进行评分（</w:t>
            </w:r>
            <w:r>
              <w:rPr>
                <w:rFonts w:hint="eastAsia" w:ascii="宋体" w:hAnsi="宋体" w:cs="新宋体"/>
                <w:sz w:val="24"/>
                <w:lang w:eastAsia="zh-CN"/>
              </w:rPr>
              <w:t>2分，1.5分，1分，0.5分，0分</w:t>
            </w:r>
            <w:r>
              <w:rPr>
                <w:rFonts w:hint="eastAsia" w:ascii="宋体" w:hAnsi="宋体" w:cs="新宋体"/>
                <w:sz w:val="24"/>
              </w:rPr>
              <w:t>）</w:t>
            </w:r>
          </w:p>
        </w:tc>
        <w:tc>
          <w:tcPr>
            <w:tcW w:w="979" w:type="dxa"/>
            <w:noWrap/>
            <w:vAlign w:val="center"/>
          </w:tcPr>
          <w:p w14:paraId="52A71A23">
            <w:pPr>
              <w:rPr>
                <w:rFonts w:hint="eastAsia" w:ascii="宋体" w:hAnsi="宋体" w:cs="新宋体"/>
                <w:sz w:val="24"/>
              </w:rPr>
            </w:pPr>
            <w:r>
              <w:rPr>
                <w:rFonts w:hint="eastAsia" w:ascii="宋体" w:hAnsi="宋体" w:cs="新宋体"/>
                <w:sz w:val="24"/>
              </w:rPr>
              <w:t>主观分</w:t>
            </w:r>
          </w:p>
        </w:tc>
      </w:tr>
      <w:tr w14:paraId="2A57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restart"/>
            <w:noWrap/>
            <w:vAlign w:val="center"/>
          </w:tcPr>
          <w:p w14:paraId="4DE2539D">
            <w:pPr>
              <w:jc w:val="center"/>
              <w:rPr>
                <w:rFonts w:ascii="宋体" w:hAnsi="宋体"/>
                <w:bCs/>
                <w:sz w:val="24"/>
              </w:rPr>
            </w:pPr>
            <w:r>
              <w:rPr>
                <w:rFonts w:hint="eastAsia" w:ascii="宋体" w:hAnsi="宋体"/>
                <w:bCs/>
                <w:sz w:val="24"/>
              </w:rPr>
              <w:t>3</w:t>
            </w:r>
          </w:p>
        </w:tc>
        <w:tc>
          <w:tcPr>
            <w:tcW w:w="1263" w:type="dxa"/>
            <w:vMerge w:val="restart"/>
            <w:noWrap/>
            <w:vAlign w:val="center"/>
          </w:tcPr>
          <w:p w14:paraId="3E4BE433">
            <w:pPr>
              <w:jc w:val="center"/>
              <w:rPr>
                <w:rFonts w:hint="eastAsia" w:ascii="宋体" w:hAnsi="宋体" w:eastAsia="宋体" w:cs="新宋体"/>
                <w:sz w:val="24"/>
                <w:lang w:eastAsia="zh-CN"/>
              </w:rPr>
            </w:pPr>
            <w:r>
              <w:rPr>
                <w:rFonts w:hint="eastAsia" w:ascii="宋体" w:hAnsi="宋体" w:cs="宋体"/>
                <w:sz w:val="24"/>
              </w:rPr>
              <w:t>项目实施方案</w:t>
            </w:r>
            <w:r>
              <w:rPr>
                <w:rFonts w:hint="eastAsia" w:ascii="宋体" w:hAnsi="宋体" w:cs="宋体"/>
                <w:sz w:val="24"/>
                <w:lang w:eastAsia="zh-CN"/>
              </w:rPr>
              <w:t>（</w:t>
            </w:r>
            <w:r>
              <w:rPr>
                <w:rFonts w:hint="eastAsia" w:ascii="宋体" w:hAnsi="宋体" w:cs="宋体"/>
                <w:sz w:val="24"/>
                <w:lang w:val="en-US" w:eastAsia="zh-CN"/>
              </w:rPr>
              <w:t>19分</w:t>
            </w:r>
            <w:r>
              <w:rPr>
                <w:rFonts w:hint="eastAsia" w:ascii="宋体" w:hAnsi="宋体" w:cs="宋体"/>
                <w:sz w:val="24"/>
                <w:lang w:eastAsia="zh-CN"/>
              </w:rPr>
              <w:t>）</w:t>
            </w:r>
          </w:p>
        </w:tc>
        <w:tc>
          <w:tcPr>
            <w:tcW w:w="590" w:type="dxa"/>
            <w:noWrap/>
            <w:vAlign w:val="center"/>
          </w:tcPr>
          <w:p w14:paraId="5960CCDA">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04169CC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sz w:val="24"/>
                <w:lang w:val="en-US" w:eastAsia="zh-CN"/>
              </w:rPr>
              <w:t>投标人按照采购人的要求提供详实的保洁实施方案，</w:t>
            </w:r>
            <w:r>
              <w:rPr>
                <w:rFonts w:hint="eastAsia" w:ascii="宋体" w:hAnsi="宋体"/>
                <w:sz w:val="24"/>
              </w:rPr>
              <w:t>进行</w:t>
            </w:r>
            <w:r>
              <w:rPr>
                <w:rFonts w:hint="eastAsia" w:ascii="宋体" w:hAnsi="宋体"/>
                <w:sz w:val="24"/>
                <w:lang w:val="en-US" w:eastAsia="zh-CN"/>
              </w:rPr>
              <w:t>评分</w:t>
            </w:r>
            <w:r>
              <w:rPr>
                <w:rFonts w:hint="eastAsia" w:ascii="宋体" w:hAnsi="宋体"/>
                <w:sz w:val="24"/>
              </w:rPr>
              <w:t>（</w:t>
            </w:r>
            <w:r>
              <w:rPr>
                <w:rFonts w:hint="eastAsia" w:ascii="宋体" w:hAnsi="宋体"/>
                <w:sz w:val="24"/>
                <w:lang w:eastAsia="zh-CN"/>
              </w:rPr>
              <w:t>2分，1.5分，1分，0.5分，0分</w:t>
            </w:r>
            <w:r>
              <w:rPr>
                <w:rFonts w:hint="eastAsia" w:ascii="宋体" w:hAnsi="宋体"/>
                <w:sz w:val="24"/>
              </w:rPr>
              <w:t>）</w:t>
            </w:r>
            <w:r>
              <w:rPr>
                <w:rFonts w:hint="eastAsia" w:ascii="宋体" w:hAnsi="宋体"/>
                <w:sz w:val="24"/>
                <w:lang w:eastAsia="zh-CN"/>
              </w:rPr>
              <w:t>。</w:t>
            </w:r>
            <w:r>
              <w:rPr>
                <w:rFonts w:hint="eastAsia" w:ascii="宋体" w:hAnsi="宋体"/>
                <w:sz w:val="24"/>
              </w:rPr>
              <w:t>未提供相关内容的得0分。</w:t>
            </w:r>
          </w:p>
        </w:tc>
        <w:tc>
          <w:tcPr>
            <w:tcW w:w="979" w:type="dxa"/>
            <w:noWrap/>
            <w:vAlign w:val="center"/>
          </w:tcPr>
          <w:p w14:paraId="2FEABFFA">
            <w:pPr>
              <w:jc w:val="center"/>
              <w:rPr>
                <w:rFonts w:ascii="宋体" w:hAnsi="宋体" w:cs="宋体"/>
                <w:sz w:val="24"/>
              </w:rPr>
            </w:pPr>
            <w:r>
              <w:rPr>
                <w:rFonts w:hint="eastAsia" w:ascii="宋体" w:hAnsi="宋体" w:cs="宋体"/>
                <w:sz w:val="24"/>
              </w:rPr>
              <w:t>主观分</w:t>
            </w:r>
          </w:p>
        </w:tc>
      </w:tr>
      <w:tr w14:paraId="5371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21913C3C">
            <w:pPr>
              <w:jc w:val="center"/>
              <w:rPr>
                <w:rFonts w:hint="eastAsia" w:ascii="宋体" w:hAnsi="宋体"/>
                <w:bCs/>
                <w:sz w:val="24"/>
              </w:rPr>
            </w:pPr>
          </w:p>
        </w:tc>
        <w:tc>
          <w:tcPr>
            <w:tcW w:w="1263" w:type="dxa"/>
            <w:vMerge w:val="continue"/>
            <w:noWrap/>
            <w:vAlign w:val="center"/>
          </w:tcPr>
          <w:p w14:paraId="704684B4">
            <w:pPr>
              <w:jc w:val="center"/>
              <w:rPr>
                <w:rFonts w:hint="eastAsia" w:ascii="宋体" w:hAnsi="宋体" w:cs="宋体"/>
                <w:sz w:val="24"/>
              </w:rPr>
            </w:pPr>
          </w:p>
        </w:tc>
        <w:tc>
          <w:tcPr>
            <w:tcW w:w="590" w:type="dxa"/>
            <w:noWrap/>
            <w:vAlign w:val="center"/>
          </w:tcPr>
          <w:p w14:paraId="4506E730">
            <w:pPr>
              <w:pStyle w:val="35"/>
              <w:jc w:val="center"/>
              <w:rPr>
                <w:rFonts w:hint="default" w:hAnsi="宋体" w:eastAsia="宋体"/>
                <w:sz w:val="24"/>
                <w:szCs w:val="24"/>
                <w:lang w:val="en-US" w:eastAsia="zh-CN"/>
              </w:rPr>
            </w:pPr>
            <w:r>
              <w:rPr>
                <w:rFonts w:hint="eastAsia" w:hAnsi="宋体"/>
                <w:sz w:val="24"/>
                <w:szCs w:val="24"/>
                <w:lang w:val="en-US" w:eastAsia="zh-CN"/>
              </w:rPr>
              <w:t>0-2</w:t>
            </w:r>
          </w:p>
        </w:tc>
        <w:tc>
          <w:tcPr>
            <w:tcW w:w="6214" w:type="dxa"/>
            <w:noWrap/>
            <w:vAlign w:val="center"/>
          </w:tcPr>
          <w:p w14:paraId="17CC8A9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eastAsia="宋体" w:cs="Times New Roman"/>
                <w:sz w:val="24"/>
                <w:szCs w:val="24"/>
                <w:lang w:val="en-US" w:eastAsia="zh-CN"/>
              </w:rPr>
              <w:t>投标人针对本项目服务类别中各项措施、相关管理制度的健全性及管理制度的制定情况进行评分</w:t>
            </w:r>
            <w:r>
              <w:rPr>
                <w:rFonts w:hint="eastAsia" w:ascii="宋体" w:hAnsi="宋体"/>
                <w:sz w:val="24"/>
              </w:rPr>
              <w:t>（</w:t>
            </w:r>
            <w:r>
              <w:rPr>
                <w:rFonts w:hint="eastAsia" w:ascii="宋体" w:hAnsi="宋体"/>
                <w:sz w:val="24"/>
                <w:lang w:eastAsia="zh-CN"/>
              </w:rPr>
              <w:t>2分，1.5分，1分，0.5分，0分</w:t>
            </w:r>
            <w:r>
              <w:rPr>
                <w:rFonts w:hint="eastAsia" w:ascii="宋体" w:hAnsi="宋体"/>
                <w:sz w:val="24"/>
              </w:rPr>
              <w:t>）</w:t>
            </w:r>
            <w:r>
              <w:rPr>
                <w:rFonts w:hint="eastAsia" w:ascii="宋体" w:hAnsi="宋体"/>
                <w:sz w:val="24"/>
                <w:lang w:eastAsia="zh-CN"/>
              </w:rPr>
              <w:t>。</w:t>
            </w:r>
            <w:r>
              <w:rPr>
                <w:rFonts w:hint="eastAsia" w:ascii="宋体" w:hAnsi="宋体"/>
                <w:sz w:val="24"/>
              </w:rPr>
              <w:t>未提供相关内容的得0分。</w:t>
            </w:r>
          </w:p>
        </w:tc>
        <w:tc>
          <w:tcPr>
            <w:tcW w:w="979" w:type="dxa"/>
            <w:noWrap/>
            <w:vAlign w:val="center"/>
          </w:tcPr>
          <w:p w14:paraId="4552E66A">
            <w:pPr>
              <w:jc w:val="center"/>
              <w:rPr>
                <w:rFonts w:hint="eastAsia" w:ascii="宋体" w:hAnsi="宋体" w:cs="宋体"/>
                <w:sz w:val="24"/>
              </w:rPr>
            </w:pPr>
            <w:r>
              <w:rPr>
                <w:rFonts w:hint="eastAsia" w:ascii="宋体" w:hAnsi="宋体" w:cs="宋体"/>
                <w:sz w:val="24"/>
              </w:rPr>
              <w:t>主观分</w:t>
            </w:r>
          </w:p>
        </w:tc>
      </w:tr>
      <w:tr w14:paraId="0394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6FEBC513">
            <w:pPr>
              <w:jc w:val="center"/>
              <w:rPr>
                <w:rFonts w:ascii="宋体" w:hAnsi="宋体"/>
                <w:bCs/>
                <w:sz w:val="24"/>
              </w:rPr>
            </w:pPr>
          </w:p>
        </w:tc>
        <w:tc>
          <w:tcPr>
            <w:tcW w:w="1263" w:type="dxa"/>
            <w:vMerge w:val="continue"/>
            <w:noWrap/>
            <w:vAlign w:val="center"/>
          </w:tcPr>
          <w:p w14:paraId="3BA47AFE">
            <w:pPr>
              <w:jc w:val="center"/>
              <w:rPr>
                <w:rFonts w:ascii="宋体" w:hAnsi="宋体" w:cs="新宋体"/>
                <w:sz w:val="24"/>
              </w:rPr>
            </w:pPr>
          </w:p>
        </w:tc>
        <w:tc>
          <w:tcPr>
            <w:tcW w:w="590" w:type="dxa"/>
            <w:noWrap/>
            <w:vAlign w:val="center"/>
          </w:tcPr>
          <w:p w14:paraId="48887E2B">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7715976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cs="新宋体"/>
                <w:sz w:val="24"/>
              </w:rPr>
              <w:t>投标人按照采购人的要求提供详实的机电维护实施方案，进行评分</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0E5F01E9">
            <w:pPr>
              <w:jc w:val="center"/>
              <w:rPr>
                <w:rFonts w:ascii="宋体" w:hAnsi="宋体" w:cs="宋体"/>
                <w:sz w:val="24"/>
              </w:rPr>
            </w:pPr>
            <w:r>
              <w:rPr>
                <w:rFonts w:hint="eastAsia" w:ascii="宋体" w:hAnsi="宋体" w:cs="宋体"/>
                <w:sz w:val="24"/>
              </w:rPr>
              <w:t>主观分</w:t>
            </w:r>
          </w:p>
        </w:tc>
      </w:tr>
      <w:tr w14:paraId="700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vMerge w:val="continue"/>
            <w:noWrap/>
            <w:vAlign w:val="center"/>
          </w:tcPr>
          <w:p w14:paraId="6F854748">
            <w:pPr>
              <w:jc w:val="center"/>
              <w:rPr>
                <w:rFonts w:ascii="宋体" w:hAnsi="宋体"/>
                <w:bCs/>
                <w:sz w:val="24"/>
              </w:rPr>
            </w:pPr>
          </w:p>
        </w:tc>
        <w:tc>
          <w:tcPr>
            <w:tcW w:w="1263" w:type="dxa"/>
            <w:vMerge w:val="continue"/>
            <w:noWrap/>
            <w:vAlign w:val="center"/>
          </w:tcPr>
          <w:p w14:paraId="7C1071F5">
            <w:pPr>
              <w:jc w:val="center"/>
              <w:rPr>
                <w:rFonts w:ascii="宋体" w:hAnsi="宋体" w:cs="新宋体"/>
                <w:sz w:val="24"/>
              </w:rPr>
            </w:pPr>
          </w:p>
        </w:tc>
        <w:tc>
          <w:tcPr>
            <w:tcW w:w="590" w:type="dxa"/>
            <w:noWrap/>
            <w:vAlign w:val="center"/>
          </w:tcPr>
          <w:p w14:paraId="61263C06">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72E10DF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cs="新宋体"/>
                <w:sz w:val="24"/>
              </w:rPr>
              <w:t>投标人按照采购人的要求提供详实的保安服务实施方案，进行评分</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6A254997">
            <w:pPr>
              <w:jc w:val="center"/>
              <w:rPr>
                <w:rFonts w:ascii="宋体" w:hAnsi="宋体" w:cs="宋体"/>
                <w:sz w:val="24"/>
              </w:rPr>
            </w:pPr>
            <w:r>
              <w:rPr>
                <w:rFonts w:hint="eastAsia" w:ascii="宋体" w:hAnsi="宋体" w:cs="宋体"/>
                <w:sz w:val="24"/>
              </w:rPr>
              <w:t>主观分</w:t>
            </w:r>
          </w:p>
        </w:tc>
      </w:tr>
      <w:tr w14:paraId="4953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49" w:type="dxa"/>
            <w:vMerge w:val="continue"/>
            <w:noWrap/>
            <w:vAlign w:val="center"/>
          </w:tcPr>
          <w:p w14:paraId="044E1A51">
            <w:pPr>
              <w:jc w:val="center"/>
              <w:rPr>
                <w:rFonts w:ascii="宋体" w:hAnsi="宋体"/>
                <w:bCs/>
                <w:sz w:val="24"/>
              </w:rPr>
            </w:pPr>
          </w:p>
        </w:tc>
        <w:tc>
          <w:tcPr>
            <w:tcW w:w="1263" w:type="dxa"/>
            <w:vMerge w:val="continue"/>
            <w:noWrap/>
            <w:vAlign w:val="center"/>
          </w:tcPr>
          <w:p w14:paraId="51CABB93">
            <w:pPr>
              <w:jc w:val="center"/>
              <w:rPr>
                <w:rFonts w:ascii="宋体" w:hAnsi="宋体" w:cs="新宋体"/>
                <w:sz w:val="24"/>
              </w:rPr>
            </w:pPr>
          </w:p>
        </w:tc>
        <w:tc>
          <w:tcPr>
            <w:tcW w:w="590" w:type="dxa"/>
            <w:noWrap/>
            <w:vAlign w:val="center"/>
          </w:tcPr>
          <w:p w14:paraId="46A44F97">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6B45D0A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cs="新宋体"/>
                <w:sz w:val="24"/>
              </w:rPr>
              <w:t>投标人按照采购人的要求提供详实的停车场管理实施方案，进行评分</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3A683ACE">
            <w:pPr>
              <w:jc w:val="center"/>
              <w:rPr>
                <w:rFonts w:ascii="宋体" w:hAnsi="宋体" w:cs="宋体"/>
                <w:sz w:val="24"/>
              </w:rPr>
            </w:pPr>
            <w:r>
              <w:rPr>
                <w:rFonts w:hint="eastAsia" w:ascii="宋体" w:hAnsi="宋体" w:cs="宋体"/>
                <w:sz w:val="24"/>
              </w:rPr>
              <w:t>主观分</w:t>
            </w:r>
          </w:p>
        </w:tc>
      </w:tr>
      <w:tr w14:paraId="27F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9" w:type="dxa"/>
            <w:vMerge w:val="continue"/>
            <w:noWrap/>
            <w:vAlign w:val="center"/>
          </w:tcPr>
          <w:p w14:paraId="4443918F">
            <w:pPr>
              <w:rPr>
                <w:rFonts w:ascii="宋体" w:hAnsi="宋体"/>
                <w:bCs/>
                <w:sz w:val="24"/>
              </w:rPr>
            </w:pPr>
          </w:p>
        </w:tc>
        <w:tc>
          <w:tcPr>
            <w:tcW w:w="1263" w:type="dxa"/>
            <w:vMerge w:val="continue"/>
            <w:noWrap/>
            <w:vAlign w:val="center"/>
          </w:tcPr>
          <w:p w14:paraId="24BE16F9">
            <w:pPr>
              <w:jc w:val="center"/>
              <w:rPr>
                <w:rFonts w:ascii="宋体" w:hAnsi="宋体" w:cs="新宋体"/>
                <w:sz w:val="24"/>
              </w:rPr>
            </w:pPr>
          </w:p>
        </w:tc>
        <w:tc>
          <w:tcPr>
            <w:tcW w:w="590" w:type="dxa"/>
            <w:noWrap/>
            <w:vAlign w:val="center"/>
          </w:tcPr>
          <w:p w14:paraId="13561A3B">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3</w:t>
            </w:r>
          </w:p>
        </w:tc>
        <w:tc>
          <w:tcPr>
            <w:tcW w:w="6214" w:type="dxa"/>
            <w:noWrap/>
            <w:vAlign w:val="center"/>
          </w:tcPr>
          <w:p w14:paraId="30C39D2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sz w:val="24"/>
              </w:rPr>
              <w:t>投标人按照采购人的要求提供详实的物业管理区域日常安全生产检查方案（负责防盗、防火报警监控控设备运行管理；日常实名制登记检查、危化品抽查、禁烟巡查、三合一检查、用电安全检查、大功率用电器检查、消防栓、灭火器检查等）的完整、合理性进行评分（</w:t>
            </w:r>
            <w:r>
              <w:rPr>
                <w:rFonts w:hint="eastAsia" w:ascii="宋体" w:hAnsi="宋体"/>
                <w:sz w:val="24"/>
                <w:lang w:val="en-US" w:eastAsia="zh-CN"/>
              </w:rPr>
              <w:t>0</w:t>
            </w:r>
            <w:r>
              <w:rPr>
                <w:rFonts w:hint="eastAsia" w:ascii="宋体" w:hAnsi="宋体"/>
                <w:sz w:val="24"/>
              </w:rPr>
              <w:t>-</w:t>
            </w:r>
            <w:r>
              <w:rPr>
                <w:rFonts w:hint="eastAsia" w:ascii="宋体" w:hAnsi="宋体"/>
                <w:sz w:val="24"/>
                <w:lang w:val="en-US" w:eastAsia="zh-CN"/>
              </w:rPr>
              <w:t>3分</w:t>
            </w:r>
            <w:r>
              <w:rPr>
                <w:rFonts w:hint="eastAsia" w:ascii="宋体" w:hAnsi="宋体"/>
                <w:sz w:val="24"/>
              </w:rPr>
              <w:t>）。未提供相关内容的得0分。</w:t>
            </w:r>
          </w:p>
          <w:p w14:paraId="5F135A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完整性</w:t>
            </w:r>
            <w:r>
              <w:rPr>
                <w:rFonts w:hint="eastAsia" w:ascii="宋体" w:hAnsi="宋体" w:cs="宋体"/>
                <w:sz w:val="24"/>
              </w:rPr>
              <w:t>（</w:t>
            </w:r>
            <w:r>
              <w:rPr>
                <w:rFonts w:hint="eastAsia" w:ascii="宋体" w:hAnsi="宋体" w:cs="宋体"/>
                <w:sz w:val="24"/>
                <w:lang w:eastAsia="zh-CN"/>
              </w:rPr>
              <w:t>2分，1.5分，1分，0.5分，0分</w:t>
            </w:r>
            <w:r>
              <w:rPr>
                <w:rFonts w:hint="eastAsia" w:ascii="宋体" w:hAnsi="宋体" w:cs="宋体"/>
                <w:sz w:val="24"/>
              </w:rPr>
              <w:t>）</w:t>
            </w:r>
          </w:p>
          <w:p w14:paraId="3451852A">
            <w:pPr>
              <w:keepNext w:val="0"/>
              <w:keepLines w:val="0"/>
              <w:pageBreakBefore w:val="0"/>
              <w:widowControl w:val="0"/>
              <w:kinsoku/>
              <w:wordWrap/>
              <w:overflowPunct/>
              <w:topLinePunct w:val="0"/>
              <w:autoSpaceDE/>
              <w:autoSpaceDN/>
              <w:bidi w:val="0"/>
              <w:adjustRightInd/>
              <w:spacing w:line="400" w:lineRule="exact"/>
              <w:textAlignment w:val="auto"/>
            </w:pPr>
            <w:r>
              <w:rPr>
                <w:rFonts w:hint="eastAsia" w:ascii="宋体" w:hAnsi="宋体" w:cs="宋体"/>
                <w:sz w:val="24"/>
              </w:rPr>
              <w:t>2.</w:t>
            </w:r>
            <w:r>
              <w:rPr>
                <w:rFonts w:hint="eastAsia" w:ascii="宋体" w:hAnsi="宋体" w:cs="宋体"/>
                <w:sz w:val="24"/>
                <w:lang w:eastAsia="zh-CN"/>
              </w:rPr>
              <w:t>合理性</w:t>
            </w:r>
            <w:r>
              <w:rPr>
                <w:rFonts w:hint="eastAsia" w:ascii="宋体" w:hAnsi="宋体" w:cs="宋体"/>
                <w:sz w:val="24"/>
              </w:rPr>
              <w:t>（</w:t>
            </w:r>
            <w:r>
              <w:rPr>
                <w:rFonts w:hint="eastAsia" w:ascii="宋体" w:hAnsi="宋体" w:cs="宋体"/>
                <w:sz w:val="24"/>
                <w:lang w:val="en-US" w:eastAsia="zh-CN"/>
              </w:rPr>
              <w:t>1分，0.5分，0分</w:t>
            </w:r>
            <w:r>
              <w:rPr>
                <w:rFonts w:hint="eastAsia" w:ascii="宋体" w:hAnsi="宋体" w:cs="宋体"/>
                <w:sz w:val="24"/>
              </w:rPr>
              <w:t>）</w:t>
            </w:r>
          </w:p>
        </w:tc>
        <w:tc>
          <w:tcPr>
            <w:tcW w:w="979" w:type="dxa"/>
            <w:noWrap/>
            <w:vAlign w:val="center"/>
          </w:tcPr>
          <w:p w14:paraId="051C7BDF">
            <w:pPr>
              <w:jc w:val="center"/>
              <w:rPr>
                <w:rFonts w:ascii="宋体" w:hAnsi="宋体" w:cs="宋体"/>
                <w:sz w:val="24"/>
              </w:rPr>
            </w:pPr>
            <w:r>
              <w:rPr>
                <w:rFonts w:hint="eastAsia" w:ascii="宋体" w:hAnsi="宋体" w:cs="宋体"/>
                <w:sz w:val="24"/>
              </w:rPr>
              <w:t>主观分</w:t>
            </w:r>
          </w:p>
        </w:tc>
      </w:tr>
      <w:tr w14:paraId="06E75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9" w:type="dxa"/>
            <w:vMerge w:val="continue"/>
            <w:noWrap/>
            <w:vAlign w:val="center"/>
          </w:tcPr>
          <w:p w14:paraId="38AEC7B7">
            <w:pPr>
              <w:rPr>
                <w:rFonts w:ascii="宋体" w:hAnsi="宋体"/>
                <w:bCs/>
                <w:sz w:val="24"/>
              </w:rPr>
            </w:pPr>
          </w:p>
        </w:tc>
        <w:tc>
          <w:tcPr>
            <w:tcW w:w="1263" w:type="dxa"/>
            <w:vMerge w:val="continue"/>
            <w:noWrap/>
            <w:vAlign w:val="center"/>
          </w:tcPr>
          <w:p w14:paraId="67D56825">
            <w:pPr>
              <w:jc w:val="center"/>
              <w:rPr>
                <w:rFonts w:ascii="宋体" w:hAnsi="宋体" w:cs="新宋体"/>
                <w:sz w:val="24"/>
              </w:rPr>
            </w:pPr>
          </w:p>
        </w:tc>
        <w:tc>
          <w:tcPr>
            <w:tcW w:w="590" w:type="dxa"/>
            <w:noWrap/>
            <w:vAlign w:val="center"/>
          </w:tcPr>
          <w:p w14:paraId="18FC8452">
            <w:pPr>
              <w:pStyle w:val="35"/>
              <w:jc w:val="center"/>
              <w:rPr>
                <w:rFonts w:hint="default" w:hAnsi="宋体" w:eastAsia="宋体"/>
                <w:sz w:val="24"/>
                <w:szCs w:val="24"/>
                <w:lang w:val="en-US" w:eastAsia="zh-CN"/>
              </w:rPr>
            </w:pPr>
            <w:r>
              <w:rPr>
                <w:rFonts w:hint="eastAsia" w:hAnsi="宋体"/>
                <w:sz w:val="24"/>
                <w:szCs w:val="24"/>
                <w:lang w:val="en-US" w:eastAsia="zh-CN"/>
              </w:rPr>
              <w:t>0-2</w:t>
            </w:r>
          </w:p>
        </w:tc>
        <w:tc>
          <w:tcPr>
            <w:tcW w:w="6214" w:type="dxa"/>
            <w:noWrap/>
            <w:vAlign w:val="center"/>
          </w:tcPr>
          <w:p w14:paraId="31C343C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eastAsia="宋体" w:cs="Times New Roman"/>
                <w:sz w:val="24"/>
                <w:szCs w:val="24"/>
                <w:lang w:val="en-US" w:eastAsia="zh-CN"/>
              </w:rPr>
              <w:t>投标人按照采购人的要求，</w:t>
            </w:r>
            <w:r>
              <w:rPr>
                <w:rFonts w:hint="eastAsia" w:ascii="宋体" w:hAnsi="宋体" w:eastAsia="宋体" w:cs="Times New Roman"/>
                <w:sz w:val="24"/>
                <w:szCs w:val="24"/>
              </w:rPr>
              <w:t>对人员招聘的措施等，进行评分（</w:t>
            </w:r>
            <w:r>
              <w:rPr>
                <w:rFonts w:hint="eastAsia" w:ascii="宋体" w:hAnsi="宋体" w:eastAsia="宋体" w:cs="Times New Roman"/>
                <w:sz w:val="24"/>
                <w:szCs w:val="24"/>
                <w:lang w:val="en-US" w:eastAsia="zh-CN"/>
              </w:rPr>
              <w:t>2分，1.5分，1分，0.5分，0分</w:t>
            </w:r>
            <w:r>
              <w:rPr>
                <w:rFonts w:hint="eastAsia" w:ascii="宋体" w:hAnsi="宋体" w:eastAsia="宋体" w:cs="Times New Roman"/>
                <w:sz w:val="24"/>
                <w:szCs w:val="24"/>
              </w:rPr>
              <w:t>），未提供相关内容的得0分。</w:t>
            </w:r>
          </w:p>
        </w:tc>
        <w:tc>
          <w:tcPr>
            <w:tcW w:w="979" w:type="dxa"/>
            <w:noWrap/>
            <w:vAlign w:val="center"/>
          </w:tcPr>
          <w:p w14:paraId="33FB9AD8">
            <w:pPr>
              <w:jc w:val="center"/>
              <w:rPr>
                <w:rFonts w:hint="eastAsia" w:ascii="宋体" w:hAnsi="宋体" w:eastAsia="宋体" w:cs="宋体"/>
                <w:sz w:val="24"/>
                <w:lang w:val="en-US" w:eastAsia="zh-CN"/>
              </w:rPr>
            </w:pPr>
            <w:r>
              <w:rPr>
                <w:rFonts w:hint="eastAsia" w:ascii="宋体" w:hAnsi="宋体" w:cs="宋体"/>
                <w:sz w:val="24"/>
                <w:lang w:val="en-US" w:eastAsia="zh-CN"/>
              </w:rPr>
              <w:t>主观分</w:t>
            </w:r>
          </w:p>
        </w:tc>
      </w:tr>
      <w:tr w14:paraId="025D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9" w:type="dxa"/>
            <w:vMerge w:val="continue"/>
            <w:noWrap/>
            <w:vAlign w:val="center"/>
          </w:tcPr>
          <w:p w14:paraId="0402CF9C">
            <w:pPr>
              <w:rPr>
                <w:rFonts w:ascii="宋体" w:hAnsi="宋体"/>
                <w:bCs/>
                <w:sz w:val="24"/>
              </w:rPr>
            </w:pPr>
          </w:p>
        </w:tc>
        <w:tc>
          <w:tcPr>
            <w:tcW w:w="1263" w:type="dxa"/>
            <w:vMerge w:val="continue"/>
            <w:noWrap/>
            <w:vAlign w:val="center"/>
          </w:tcPr>
          <w:p w14:paraId="5FEDC4DD">
            <w:pPr>
              <w:jc w:val="center"/>
              <w:rPr>
                <w:rFonts w:ascii="宋体" w:hAnsi="宋体" w:cs="新宋体"/>
                <w:sz w:val="24"/>
              </w:rPr>
            </w:pPr>
          </w:p>
        </w:tc>
        <w:tc>
          <w:tcPr>
            <w:tcW w:w="590" w:type="dxa"/>
            <w:noWrap/>
            <w:vAlign w:val="center"/>
          </w:tcPr>
          <w:p w14:paraId="52769A17">
            <w:pPr>
              <w:pStyle w:val="35"/>
              <w:jc w:val="center"/>
              <w:rPr>
                <w:rFonts w:hint="default" w:hAnsi="宋体"/>
                <w:sz w:val="24"/>
                <w:szCs w:val="24"/>
                <w:lang w:val="en-US" w:eastAsia="zh-CN"/>
              </w:rPr>
            </w:pPr>
            <w:r>
              <w:rPr>
                <w:rFonts w:hint="eastAsia" w:hAnsi="宋体"/>
                <w:sz w:val="24"/>
                <w:szCs w:val="24"/>
                <w:lang w:val="en-US" w:eastAsia="zh-CN"/>
              </w:rPr>
              <w:t>0-2</w:t>
            </w:r>
          </w:p>
        </w:tc>
        <w:tc>
          <w:tcPr>
            <w:tcW w:w="6214" w:type="dxa"/>
            <w:noWrap/>
            <w:vAlign w:val="center"/>
          </w:tcPr>
          <w:p w14:paraId="2467DF4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根据投标人的新老物业交接方案，方案是否可行、可靠，进行评分（2分，1.5分，1分，0.5分，0分），未提供相关内容的得0分。</w:t>
            </w:r>
          </w:p>
        </w:tc>
        <w:tc>
          <w:tcPr>
            <w:tcW w:w="979" w:type="dxa"/>
            <w:noWrap/>
            <w:vAlign w:val="center"/>
          </w:tcPr>
          <w:p w14:paraId="44AE7501">
            <w:pPr>
              <w:jc w:val="center"/>
              <w:rPr>
                <w:rFonts w:hint="eastAsia" w:ascii="宋体" w:hAnsi="宋体" w:cs="宋体"/>
                <w:sz w:val="24"/>
                <w:lang w:val="en-US" w:eastAsia="zh-CN"/>
              </w:rPr>
            </w:pPr>
            <w:r>
              <w:rPr>
                <w:rFonts w:hint="eastAsia" w:ascii="宋体" w:hAnsi="宋体" w:cs="宋体"/>
                <w:sz w:val="24"/>
                <w:lang w:val="en-US" w:eastAsia="zh-CN"/>
              </w:rPr>
              <w:t>主观分</w:t>
            </w:r>
          </w:p>
        </w:tc>
      </w:tr>
      <w:tr w14:paraId="77BD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9" w:type="dxa"/>
            <w:vMerge w:val="continue"/>
            <w:noWrap/>
            <w:vAlign w:val="center"/>
          </w:tcPr>
          <w:p w14:paraId="2218B0DA">
            <w:pPr>
              <w:rPr>
                <w:rFonts w:ascii="宋体" w:hAnsi="宋体"/>
                <w:bCs/>
                <w:sz w:val="24"/>
              </w:rPr>
            </w:pPr>
          </w:p>
        </w:tc>
        <w:tc>
          <w:tcPr>
            <w:tcW w:w="1263" w:type="dxa"/>
            <w:vMerge w:val="continue"/>
            <w:noWrap/>
            <w:vAlign w:val="center"/>
          </w:tcPr>
          <w:p w14:paraId="43A9EDD5">
            <w:pPr>
              <w:jc w:val="center"/>
              <w:rPr>
                <w:rFonts w:ascii="宋体" w:hAnsi="宋体" w:cs="新宋体"/>
                <w:sz w:val="24"/>
              </w:rPr>
            </w:pPr>
          </w:p>
        </w:tc>
        <w:tc>
          <w:tcPr>
            <w:tcW w:w="590" w:type="dxa"/>
            <w:noWrap/>
            <w:vAlign w:val="center"/>
          </w:tcPr>
          <w:p w14:paraId="5771E411">
            <w:pPr>
              <w:pStyle w:val="35"/>
              <w:jc w:val="center"/>
              <w:rPr>
                <w:rFonts w:hint="default" w:hAnsi="宋体"/>
                <w:sz w:val="24"/>
                <w:szCs w:val="24"/>
                <w:lang w:val="en-US" w:eastAsia="zh-CN"/>
              </w:rPr>
            </w:pPr>
            <w:r>
              <w:rPr>
                <w:rFonts w:hint="eastAsia" w:hAnsi="宋体"/>
                <w:sz w:val="24"/>
                <w:szCs w:val="24"/>
                <w:lang w:val="en-US" w:eastAsia="zh-CN"/>
              </w:rPr>
              <w:t>0-2</w:t>
            </w:r>
          </w:p>
        </w:tc>
        <w:tc>
          <w:tcPr>
            <w:tcW w:w="6214" w:type="dxa"/>
            <w:noWrap/>
            <w:vAlign w:val="center"/>
          </w:tcPr>
          <w:p w14:paraId="74D7424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投标人按照采购人的要求，</w:t>
            </w:r>
            <w:r>
              <w:rPr>
                <w:rFonts w:hint="eastAsia" w:ascii="宋体" w:hAnsi="宋体" w:eastAsia="宋体" w:cs="Times New Roman"/>
                <w:sz w:val="24"/>
                <w:szCs w:val="24"/>
              </w:rPr>
              <w:t>对</w:t>
            </w:r>
            <w:r>
              <w:rPr>
                <w:rFonts w:hint="eastAsia" w:ascii="宋体" w:hAnsi="宋体" w:eastAsia="宋体" w:cs="Times New Roman"/>
                <w:sz w:val="24"/>
                <w:szCs w:val="24"/>
                <w:lang w:val="en-US" w:eastAsia="zh-CN"/>
              </w:rPr>
              <w:t>突发检查的实施方案（如文明卫生城市检查</w:t>
            </w:r>
            <w:r>
              <w:rPr>
                <w:rFonts w:hint="eastAsia" w:ascii="宋体" w:hAnsi="宋体" w:eastAsia="宋体" w:cs="Times New Roman"/>
                <w:sz w:val="24"/>
                <w:szCs w:val="24"/>
              </w:rPr>
              <w:t>等</w:t>
            </w:r>
            <w:r>
              <w:rPr>
                <w:rFonts w:hint="eastAsia" w:ascii="宋体" w:hAnsi="宋体" w:eastAsia="宋体" w:cs="Times New Roman"/>
                <w:sz w:val="24"/>
                <w:szCs w:val="24"/>
                <w:lang w:val="en-US" w:eastAsia="zh-CN"/>
              </w:rPr>
              <w:t>）</w:t>
            </w:r>
            <w:r>
              <w:rPr>
                <w:rFonts w:hint="eastAsia" w:ascii="宋体" w:hAnsi="宋体" w:eastAsia="宋体" w:cs="Times New Roman"/>
                <w:sz w:val="24"/>
                <w:szCs w:val="24"/>
              </w:rPr>
              <w:t>，进行评分（</w:t>
            </w:r>
            <w:r>
              <w:rPr>
                <w:rFonts w:hint="eastAsia" w:ascii="宋体" w:hAnsi="宋体" w:eastAsia="宋体" w:cs="Times New Roman"/>
                <w:sz w:val="24"/>
                <w:szCs w:val="24"/>
                <w:lang w:val="en-US" w:eastAsia="zh-CN"/>
              </w:rPr>
              <w:t>2分，1.5分，1分，0.5分，0分</w:t>
            </w:r>
            <w:r>
              <w:rPr>
                <w:rFonts w:hint="eastAsia" w:ascii="宋体" w:hAnsi="宋体" w:eastAsia="宋体" w:cs="Times New Roman"/>
                <w:sz w:val="24"/>
                <w:szCs w:val="24"/>
              </w:rPr>
              <w:t>），未提供相关内容的得0分。</w:t>
            </w:r>
          </w:p>
        </w:tc>
        <w:tc>
          <w:tcPr>
            <w:tcW w:w="979" w:type="dxa"/>
            <w:noWrap/>
            <w:vAlign w:val="center"/>
          </w:tcPr>
          <w:p w14:paraId="4CD91E4E">
            <w:pPr>
              <w:jc w:val="center"/>
              <w:rPr>
                <w:rFonts w:hint="default" w:ascii="宋体" w:hAnsi="宋体" w:cs="宋体"/>
                <w:sz w:val="24"/>
                <w:lang w:val="en-US" w:eastAsia="zh-CN"/>
              </w:rPr>
            </w:pPr>
            <w:r>
              <w:rPr>
                <w:rFonts w:hint="eastAsia" w:ascii="宋体" w:hAnsi="宋体" w:cs="宋体"/>
                <w:sz w:val="24"/>
                <w:lang w:val="en-US" w:eastAsia="zh-CN"/>
              </w:rPr>
              <w:t>主观分</w:t>
            </w:r>
          </w:p>
        </w:tc>
      </w:tr>
      <w:tr w14:paraId="0E5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749" w:type="dxa"/>
            <w:noWrap/>
            <w:vAlign w:val="center"/>
          </w:tcPr>
          <w:p w14:paraId="487F8A10">
            <w:pPr>
              <w:pStyle w:val="35"/>
              <w:jc w:val="center"/>
              <w:rPr>
                <w:rFonts w:hAnsi="宋体"/>
                <w:sz w:val="24"/>
                <w:szCs w:val="24"/>
              </w:rPr>
            </w:pPr>
            <w:r>
              <w:rPr>
                <w:rFonts w:hint="eastAsia" w:hAnsi="宋体"/>
                <w:sz w:val="24"/>
                <w:szCs w:val="24"/>
              </w:rPr>
              <w:t>4</w:t>
            </w:r>
          </w:p>
        </w:tc>
        <w:tc>
          <w:tcPr>
            <w:tcW w:w="1263" w:type="dxa"/>
            <w:noWrap/>
            <w:vAlign w:val="center"/>
          </w:tcPr>
          <w:p w14:paraId="7BB0D9C1">
            <w:pPr>
              <w:jc w:val="center"/>
              <w:rPr>
                <w:rFonts w:hint="eastAsia" w:ascii="宋体" w:hAnsi="宋体" w:eastAsia="宋体" w:cs="宋体"/>
                <w:sz w:val="24"/>
                <w:lang w:eastAsia="zh-CN"/>
              </w:rPr>
            </w:pPr>
            <w:r>
              <w:rPr>
                <w:rFonts w:ascii="宋体" w:hAnsi="宋体" w:cs="新宋体"/>
                <w:sz w:val="24"/>
              </w:rPr>
              <w:t>项目总体实施承诺</w:t>
            </w:r>
            <w:r>
              <w:rPr>
                <w:rFonts w:hint="eastAsia" w:ascii="宋体" w:hAnsi="宋体" w:cs="新宋体"/>
                <w:sz w:val="24"/>
                <w:lang w:eastAsia="zh-CN"/>
              </w:rPr>
              <w:t>（</w:t>
            </w:r>
            <w:r>
              <w:rPr>
                <w:rFonts w:hint="eastAsia" w:ascii="宋体" w:hAnsi="宋体" w:cs="新宋体"/>
                <w:sz w:val="24"/>
                <w:lang w:val="en-US" w:eastAsia="zh-CN"/>
              </w:rPr>
              <w:t>2分</w:t>
            </w:r>
            <w:r>
              <w:rPr>
                <w:rFonts w:hint="eastAsia" w:ascii="宋体" w:hAnsi="宋体" w:cs="新宋体"/>
                <w:sz w:val="24"/>
                <w:lang w:eastAsia="zh-CN"/>
              </w:rPr>
              <w:t>）</w:t>
            </w:r>
          </w:p>
        </w:tc>
        <w:tc>
          <w:tcPr>
            <w:tcW w:w="590" w:type="dxa"/>
            <w:noWrap/>
            <w:vAlign w:val="center"/>
          </w:tcPr>
          <w:p w14:paraId="254826AF">
            <w:pPr>
              <w:pStyle w:val="35"/>
              <w:jc w:val="center"/>
              <w:rPr>
                <w:rFonts w:hint="eastAsia" w:hAnsi="宋体" w:eastAsia="宋体"/>
                <w:sz w:val="24"/>
                <w:szCs w:val="24"/>
                <w:lang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41EF29C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新宋体"/>
                <w:sz w:val="24"/>
              </w:rPr>
            </w:pPr>
            <w:r>
              <w:rPr>
                <w:rFonts w:hint="eastAsia" w:ascii="宋体" w:hAnsi="宋体"/>
                <w:sz w:val="24"/>
              </w:rPr>
              <w:t>根据投标人项目总体除人员和</w:t>
            </w:r>
            <w:r>
              <w:rPr>
                <w:rFonts w:hint="eastAsia" w:ascii="宋体" w:hAnsi="宋体" w:cs="宋体"/>
                <w:sz w:val="24"/>
              </w:rPr>
              <w:t>项目实施方案</w:t>
            </w:r>
            <w:r>
              <w:rPr>
                <w:rFonts w:hint="eastAsia" w:ascii="宋体" w:hAnsi="宋体"/>
                <w:sz w:val="24"/>
              </w:rPr>
              <w:t>外的其他实施承诺情况（如配备的机械，工具，应急预案等），进行评分</w:t>
            </w:r>
            <w:r>
              <w:rPr>
                <w:rFonts w:hint="eastAsia" w:ascii="宋体" w:hAnsi="宋体" w:cs="宋体"/>
                <w:sz w:val="24"/>
              </w:rPr>
              <w:t>。</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2190C4B4">
            <w:pPr>
              <w:jc w:val="center"/>
              <w:rPr>
                <w:rFonts w:ascii="宋体" w:hAnsi="宋体" w:cs="宋体"/>
                <w:sz w:val="24"/>
              </w:rPr>
            </w:pPr>
            <w:r>
              <w:rPr>
                <w:rFonts w:hint="eastAsia" w:ascii="宋体" w:hAnsi="宋体" w:cs="宋体"/>
                <w:sz w:val="24"/>
              </w:rPr>
              <w:t>主观分</w:t>
            </w:r>
          </w:p>
        </w:tc>
      </w:tr>
      <w:tr w14:paraId="516C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restart"/>
            <w:noWrap/>
            <w:vAlign w:val="center"/>
          </w:tcPr>
          <w:p w14:paraId="4FA29310">
            <w:pPr>
              <w:pStyle w:val="35"/>
              <w:jc w:val="center"/>
              <w:rPr>
                <w:rFonts w:hint="eastAsia" w:hAnsi="宋体" w:eastAsia="宋体"/>
                <w:sz w:val="24"/>
                <w:szCs w:val="24"/>
                <w:lang w:val="en-US" w:eastAsia="zh-CN"/>
              </w:rPr>
            </w:pPr>
            <w:r>
              <w:rPr>
                <w:rFonts w:hint="eastAsia" w:hAnsi="宋体"/>
                <w:sz w:val="24"/>
                <w:szCs w:val="24"/>
                <w:lang w:val="en-US" w:eastAsia="zh-CN"/>
              </w:rPr>
              <w:t>5</w:t>
            </w:r>
          </w:p>
        </w:tc>
        <w:tc>
          <w:tcPr>
            <w:tcW w:w="1263" w:type="dxa"/>
            <w:vMerge w:val="restart"/>
            <w:noWrap/>
            <w:vAlign w:val="center"/>
          </w:tcPr>
          <w:p w14:paraId="7197F69F">
            <w:pPr>
              <w:jc w:val="center"/>
              <w:rPr>
                <w:rFonts w:hint="eastAsia" w:ascii="宋体" w:hAnsi="宋体" w:eastAsia="宋体" w:cs="新宋体"/>
                <w:sz w:val="24"/>
                <w:lang w:eastAsia="zh-CN"/>
              </w:rPr>
            </w:pPr>
            <w:r>
              <w:rPr>
                <w:rFonts w:hint="eastAsia" w:ascii="宋体" w:hAnsi="宋体" w:cs="新宋体"/>
                <w:sz w:val="24"/>
              </w:rPr>
              <w:t>日常作业程序及应急处置方案设想</w:t>
            </w:r>
            <w:r>
              <w:rPr>
                <w:rFonts w:hint="eastAsia" w:ascii="宋体" w:hAnsi="宋体" w:cs="新宋体"/>
                <w:sz w:val="24"/>
                <w:lang w:eastAsia="zh-CN"/>
              </w:rPr>
              <w:t>（</w:t>
            </w:r>
            <w:r>
              <w:rPr>
                <w:rFonts w:hint="eastAsia" w:ascii="宋体" w:hAnsi="宋体" w:cs="新宋体"/>
                <w:sz w:val="24"/>
                <w:lang w:val="en-US" w:eastAsia="zh-CN"/>
              </w:rPr>
              <w:t>12分</w:t>
            </w:r>
            <w:r>
              <w:rPr>
                <w:rFonts w:hint="eastAsia" w:ascii="宋体" w:hAnsi="宋体" w:cs="新宋体"/>
                <w:sz w:val="24"/>
                <w:lang w:eastAsia="zh-CN"/>
              </w:rPr>
              <w:t>）</w:t>
            </w:r>
          </w:p>
        </w:tc>
        <w:tc>
          <w:tcPr>
            <w:tcW w:w="590" w:type="dxa"/>
            <w:noWrap/>
            <w:vAlign w:val="center"/>
          </w:tcPr>
          <w:p w14:paraId="7C59C2AB">
            <w:pPr>
              <w:pStyle w:val="35"/>
              <w:jc w:val="center"/>
              <w:rPr>
                <w:rFonts w:hint="eastAsia" w:hAnsi="宋体"/>
                <w:sz w:val="24"/>
                <w:szCs w:val="24"/>
              </w:rPr>
            </w:pPr>
            <w:r>
              <w:rPr>
                <w:rFonts w:hint="eastAsia" w:hAnsi="宋体"/>
                <w:sz w:val="24"/>
                <w:szCs w:val="24"/>
              </w:rPr>
              <w:t>0-4</w:t>
            </w:r>
          </w:p>
        </w:tc>
        <w:tc>
          <w:tcPr>
            <w:tcW w:w="6214" w:type="dxa"/>
            <w:noWrap/>
            <w:vAlign w:val="center"/>
          </w:tcPr>
          <w:p w14:paraId="576102B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根据投标人的日常工作程序、工作内容（维护服务范围内公共秩序、消防安全、常态化巡逻等各项活动，调解纠纷，疏导人流等）全面性进行评分。</w:t>
            </w:r>
            <w:r>
              <w:rPr>
                <w:rFonts w:hint="eastAsia" w:ascii="宋体" w:hAnsi="宋体"/>
                <w:sz w:val="24"/>
              </w:rPr>
              <w:t>未提供相关内容的得0分。</w:t>
            </w:r>
          </w:p>
          <w:p w14:paraId="410D412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1.工作程序（</w:t>
            </w:r>
            <w:r>
              <w:rPr>
                <w:rFonts w:hint="eastAsia" w:ascii="宋体" w:hAnsi="宋体" w:cs="宋体"/>
                <w:sz w:val="24"/>
                <w:lang w:eastAsia="zh-CN"/>
              </w:rPr>
              <w:t>2分，1.5分，1分，0.5分，0分</w:t>
            </w:r>
            <w:r>
              <w:rPr>
                <w:rFonts w:hint="eastAsia" w:ascii="宋体" w:hAnsi="宋体" w:cs="宋体"/>
                <w:sz w:val="24"/>
              </w:rPr>
              <w:t>）</w:t>
            </w:r>
          </w:p>
          <w:p w14:paraId="5745EDD4">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rPr>
            </w:pPr>
            <w:r>
              <w:rPr>
                <w:rFonts w:hint="eastAsia" w:ascii="宋体" w:hAnsi="宋体" w:cs="宋体"/>
                <w:sz w:val="24"/>
              </w:rPr>
              <w:t>2.工作内容（</w:t>
            </w:r>
            <w:r>
              <w:rPr>
                <w:rFonts w:hint="eastAsia" w:ascii="宋体" w:hAnsi="宋体" w:cs="宋体"/>
                <w:sz w:val="24"/>
                <w:lang w:eastAsia="zh-CN"/>
              </w:rPr>
              <w:t>2分，1.5分，1分，0.5分，0分</w:t>
            </w:r>
            <w:r>
              <w:rPr>
                <w:rFonts w:hint="eastAsia" w:ascii="宋体" w:hAnsi="宋体" w:cs="宋体"/>
                <w:sz w:val="24"/>
              </w:rPr>
              <w:t>）</w:t>
            </w:r>
          </w:p>
        </w:tc>
        <w:tc>
          <w:tcPr>
            <w:tcW w:w="979" w:type="dxa"/>
            <w:noWrap/>
            <w:vAlign w:val="center"/>
          </w:tcPr>
          <w:p w14:paraId="72B6AC12">
            <w:pPr>
              <w:jc w:val="center"/>
              <w:rPr>
                <w:rFonts w:hint="eastAsia" w:ascii="宋体" w:hAnsi="宋体" w:eastAsia="宋体" w:cs="宋体"/>
                <w:sz w:val="24"/>
                <w:lang w:val="en-US" w:eastAsia="zh-CN"/>
              </w:rPr>
            </w:pPr>
            <w:r>
              <w:rPr>
                <w:rFonts w:hint="eastAsia" w:ascii="宋体" w:hAnsi="宋体" w:cs="宋体"/>
                <w:sz w:val="24"/>
                <w:lang w:val="en-US" w:eastAsia="zh-CN"/>
              </w:rPr>
              <w:t>主观分</w:t>
            </w:r>
          </w:p>
        </w:tc>
      </w:tr>
      <w:tr w14:paraId="2B62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4A68A9DD">
            <w:pPr>
              <w:pStyle w:val="35"/>
              <w:jc w:val="center"/>
              <w:rPr>
                <w:rFonts w:hint="eastAsia" w:hAnsi="宋体"/>
                <w:sz w:val="24"/>
                <w:szCs w:val="24"/>
              </w:rPr>
            </w:pPr>
          </w:p>
        </w:tc>
        <w:tc>
          <w:tcPr>
            <w:tcW w:w="1263" w:type="dxa"/>
            <w:vMerge w:val="continue"/>
            <w:noWrap/>
            <w:vAlign w:val="center"/>
          </w:tcPr>
          <w:p w14:paraId="2E4CC4F7">
            <w:pPr>
              <w:jc w:val="center"/>
              <w:rPr>
                <w:rFonts w:hint="eastAsia" w:ascii="宋体" w:hAnsi="宋体" w:cs="新宋体"/>
                <w:sz w:val="24"/>
              </w:rPr>
            </w:pPr>
          </w:p>
        </w:tc>
        <w:tc>
          <w:tcPr>
            <w:tcW w:w="590" w:type="dxa"/>
            <w:noWrap/>
            <w:vAlign w:val="center"/>
          </w:tcPr>
          <w:p w14:paraId="3D1558E1">
            <w:pPr>
              <w:pStyle w:val="35"/>
              <w:jc w:val="center"/>
              <w:rPr>
                <w:rFonts w:hint="default" w:hAnsi="宋体" w:eastAsia="宋体"/>
                <w:sz w:val="24"/>
                <w:szCs w:val="24"/>
                <w:lang w:val="en-US" w:eastAsia="zh-CN"/>
              </w:rPr>
            </w:pPr>
            <w:r>
              <w:rPr>
                <w:rFonts w:hint="eastAsia" w:hAnsi="宋体"/>
                <w:sz w:val="24"/>
                <w:szCs w:val="24"/>
                <w:lang w:val="en-US" w:eastAsia="zh-CN"/>
              </w:rPr>
              <w:t>0-8</w:t>
            </w:r>
          </w:p>
        </w:tc>
        <w:tc>
          <w:tcPr>
            <w:tcW w:w="6214" w:type="dxa"/>
            <w:noWrap/>
            <w:vAlign w:val="center"/>
          </w:tcPr>
          <w:p w14:paraId="3BEA066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投标人的应急处置方案（具备应急预案、案件防控、打击犯罪、反扒防抢、自然灾害、突发事件处置、交接方案）是否合理、是否全面进行评分、响应时间是否及时进行评分）及专业技术支持力度等进行评分。</w:t>
            </w:r>
            <w:r>
              <w:rPr>
                <w:rFonts w:hint="eastAsia" w:ascii="宋体" w:hAnsi="宋体"/>
                <w:sz w:val="24"/>
              </w:rPr>
              <w:t>未提供相关内容的得0分。</w:t>
            </w:r>
          </w:p>
          <w:p w14:paraId="0EBBF63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1.应急处置方案是否合理（</w:t>
            </w:r>
            <w:r>
              <w:rPr>
                <w:rFonts w:hint="eastAsia" w:ascii="宋体" w:hAnsi="宋体" w:cs="宋体"/>
                <w:sz w:val="24"/>
                <w:lang w:eastAsia="zh-CN"/>
              </w:rPr>
              <w:t>2分，1.5分，1分，0.5分，0分</w:t>
            </w:r>
            <w:r>
              <w:rPr>
                <w:rFonts w:hint="eastAsia" w:ascii="宋体" w:hAnsi="宋体" w:cs="宋体"/>
                <w:sz w:val="24"/>
              </w:rPr>
              <w:t>）</w:t>
            </w:r>
          </w:p>
          <w:p w14:paraId="7B44018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shd w:val="clear" w:color="auto" w:fill="000000"/>
              </w:rPr>
            </w:pPr>
            <w:r>
              <w:rPr>
                <w:rFonts w:hint="eastAsia" w:ascii="宋体" w:hAnsi="宋体" w:cs="宋体"/>
                <w:sz w:val="24"/>
              </w:rPr>
              <w:t>2.应急处置方案是否全面（</w:t>
            </w:r>
            <w:r>
              <w:rPr>
                <w:rFonts w:hint="eastAsia" w:ascii="宋体" w:hAnsi="宋体" w:cs="宋体"/>
                <w:sz w:val="24"/>
                <w:lang w:eastAsia="zh-CN"/>
              </w:rPr>
              <w:t>2分，1.5分，1分，0.5分，0分</w:t>
            </w:r>
            <w:r>
              <w:rPr>
                <w:rFonts w:hint="eastAsia" w:ascii="宋体" w:hAnsi="宋体" w:cs="宋体"/>
                <w:sz w:val="24"/>
              </w:rPr>
              <w:t>）</w:t>
            </w:r>
          </w:p>
          <w:p w14:paraId="5CF45D4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cs="宋体"/>
                <w:sz w:val="24"/>
              </w:rPr>
              <w:t>3.响应时间是否及时（</w:t>
            </w:r>
            <w:r>
              <w:rPr>
                <w:rFonts w:hint="eastAsia" w:ascii="宋体" w:hAnsi="宋体" w:cs="宋体"/>
                <w:sz w:val="24"/>
                <w:lang w:eastAsia="zh-CN"/>
              </w:rPr>
              <w:t>2分，1.5分，1分，0.5分，0分</w:t>
            </w:r>
            <w:r>
              <w:rPr>
                <w:rFonts w:hint="eastAsia" w:ascii="宋体" w:hAnsi="宋体" w:cs="宋体"/>
                <w:sz w:val="24"/>
              </w:rPr>
              <w:t>）</w:t>
            </w:r>
          </w:p>
          <w:p w14:paraId="6E2F151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sz w:val="24"/>
              </w:rPr>
            </w:pPr>
            <w:r>
              <w:rPr>
                <w:rFonts w:hint="eastAsia" w:ascii="宋体" w:hAnsi="宋体" w:cs="宋体"/>
                <w:sz w:val="24"/>
              </w:rPr>
              <w:t>4.专业技术支持力度.（</w:t>
            </w:r>
            <w:r>
              <w:rPr>
                <w:rFonts w:hint="eastAsia" w:ascii="宋体" w:hAnsi="宋体" w:cs="宋体"/>
                <w:sz w:val="24"/>
                <w:lang w:eastAsia="zh-CN"/>
              </w:rPr>
              <w:t>2分，1.5分，1分，0.5分，0分</w:t>
            </w:r>
            <w:r>
              <w:rPr>
                <w:rFonts w:hint="eastAsia" w:ascii="宋体" w:hAnsi="宋体" w:cs="宋体"/>
                <w:sz w:val="24"/>
              </w:rPr>
              <w:t>）</w:t>
            </w:r>
          </w:p>
        </w:tc>
        <w:tc>
          <w:tcPr>
            <w:tcW w:w="979" w:type="dxa"/>
            <w:noWrap/>
            <w:vAlign w:val="center"/>
          </w:tcPr>
          <w:p w14:paraId="6E7514E1">
            <w:pPr>
              <w:jc w:val="center"/>
              <w:rPr>
                <w:rFonts w:hint="eastAsia" w:ascii="宋体" w:hAnsi="宋体" w:eastAsia="宋体" w:cs="宋体"/>
                <w:kern w:val="0"/>
                <w:sz w:val="24"/>
                <w:szCs w:val="20"/>
                <w:lang w:val="en-US" w:eastAsia="zh-CN" w:bidi="ar-SA"/>
              </w:rPr>
            </w:pPr>
            <w:r>
              <w:rPr>
                <w:rFonts w:hint="eastAsia" w:ascii="宋体" w:hAnsi="宋体" w:cs="宋体"/>
                <w:sz w:val="24"/>
                <w:lang w:val="en-US" w:eastAsia="zh-CN"/>
              </w:rPr>
              <w:t>主观分</w:t>
            </w:r>
          </w:p>
        </w:tc>
      </w:tr>
      <w:tr w14:paraId="757B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restart"/>
            <w:noWrap/>
            <w:vAlign w:val="center"/>
          </w:tcPr>
          <w:p w14:paraId="5E00B9A2">
            <w:pPr>
              <w:pStyle w:val="35"/>
              <w:jc w:val="center"/>
              <w:rPr>
                <w:rFonts w:hint="eastAsia" w:hAnsi="宋体" w:eastAsia="宋体"/>
                <w:sz w:val="24"/>
                <w:szCs w:val="24"/>
                <w:lang w:val="en-US" w:eastAsia="zh-CN"/>
              </w:rPr>
            </w:pPr>
            <w:r>
              <w:rPr>
                <w:rFonts w:hint="eastAsia" w:hAnsi="宋体"/>
                <w:sz w:val="24"/>
                <w:szCs w:val="24"/>
                <w:lang w:val="en-US" w:eastAsia="zh-CN"/>
              </w:rPr>
              <w:t>6</w:t>
            </w:r>
          </w:p>
        </w:tc>
        <w:tc>
          <w:tcPr>
            <w:tcW w:w="1263" w:type="dxa"/>
            <w:vMerge w:val="restart"/>
            <w:noWrap/>
            <w:vAlign w:val="center"/>
          </w:tcPr>
          <w:p w14:paraId="4D274775">
            <w:pPr>
              <w:jc w:val="center"/>
              <w:rPr>
                <w:rFonts w:hint="eastAsia" w:ascii="宋体" w:hAnsi="宋体" w:eastAsia="宋体" w:cs="新宋体"/>
                <w:sz w:val="24"/>
                <w:lang w:eastAsia="zh-CN"/>
              </w:rPr>
            </w:pPr>
            <w:r>
              <w:rPr>
                <w:rFonts w:hint="eastAsia" w:ascii="宋体" w:hAnsi="宋体" w:cs="新宋体"/>
                <w:sz w:val="24"/>
              </w:rPr>
              <w:t>各项保障物业服务质量的管理方案</w:t>
            </w:r>
            <w:r>
              <w:rPr>
                <w:rFonts w:hint="eastAsia" w:ascii="宋体" w:hAnsi="宋体" w:cs="新宋体"/>
                <w:sz w:val="24"/>
                <w:lang w:eastAsia="zh-CN"/>
              </w:rPr>
              <w:t>（</w:t>
            </w:r>
            <w:r>
              <w:rPr>
                <w:rFonts w:hint="eastAsia" w:ascii="宋体" w:hAnsi="宋体" w:cs="新宋体"/>
                <w:sz w:val="24"/>
                <w:lang w:val="en-US" w:eastAsia="zh-CN"/>
              </w:rPr>
              <w:t>12分</w:t>
            </w:r>
            <w:r>
              <w:rPr>
                <w:rFonts w:hint="eastAsia" w:ascii="宋体" w:hAnsi="宋体" w:cs="新宋体"/>
                <w:sz w:val="24"/>
                <w:lang w:eastAsia="zh-CN"/>
              </w:rPr>
              <w:t>）</w:t>
            </w:r>
          </w:p>
        </w:tc>
        <w:tc>
          <w:tcPr>
            <w:tcW w:w="590" w:type="dxa"/>
            <w:noWrap/>
            <w:vAlign w:val="center"/>
          </w:tcPr>
          <w:p w14:paraId="637FB46A">
            <w:pPr>
              <w:pStyle w:val="35"/>
              <w:jc w:val="center"/>
              <w:rPr>
                <w:rFonts w:hint="eastAsia" w:hAnsi="宋体"/>
                <w:sz w:val="24"/>
                <w:szCs w:val="24"/>
                <w:lang w:val="en-US"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2F5D78D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sz w:val="24"/>
              </w:rPr>
              <w:t>投标人提供的确保物业素质形象和保安文明执勤业务水平的管理及培训方案，根据方案的完整性及合理性进行评分。未提供相关内容的得0分。（</w:t>
            </w:r>
            <w:r>
              <w:rPr>
                <w:rFonts w:hint="eastAsia" w:ascii="宋体" w:hAnsi="宋体"/>
                <w:sz w:val="24"/>
                <w:lang w:eastAsia="zh-CN"/>
              </w:rPr>
              <w:t>2分，1.5分，1分，0.5分，0分</w:t>
            </w:r>
            <w:r>
              <w:rPr>
                <w:rFonts w:hint="eastAsia" w:ascii="宋体" w:hAnsi="宋体"/>
                <w:sz w:val="24"/>
              </w:rPr>
              <w:t>）</w:t>
            </w:r>
          </w:p>
        </w:tc>
        <w:tc>
          <w:tcPr>
            <w:tcW w:w="979" w:type="dxa"/>
            <w:noWrap/>
            <w:vAlign w:val="center"/>
          </w:tcPr>
          <w:p w14:paraId="4E3A29A8">
            <w:pPr>
              <w:jc w:val="center"/>
              <w:rPr>
                <w:rFonts w:hint="eastAsia" w:ascii="宋体" w:hAnsi="宋体" w:cs="宋体"/>
                <w:sz w:val="24"/>
                <w:lang w:val="en-US" w:eastAsia="zh-CN"/>
              </w:rPr>
            </w:pPr>
            <w:r>
              <w:rPr>
                <w:rFonts w:hint="eastAsia" w:ascii="宋体" w:hAnsi="宋体" w:cs="宋体"/>
                <w:sz w:val="24"/>
              </w:rPr>
              <w:t>主观分</w:t>
            </w:r>
          </w:p>
        </w:tc>
      </w:tr>
      <w:tr w14:paraId="6108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3B46BA6F">
            <w:pPr>
              <w:pStyle w:val="35"/>
              <w:jc w:val="center"/>
              <w:rPr>
                <w:rFonts w:hint="eastAsia" w:hAnsi="宋体"/>
                <w:sz w:val="24"/>
                <w:szCs w:val="24"/>
              </w:rPr>
            </w:pPr>
          </w:p>
        </w:tc>
        <w:tc>
          <w:tcPr>
            <w:tcW w:w="1263" w:type="dxa"/>
            <w:vMerge w:val="continue"/>
            <w:noWrap/>
            <w:vAlign w:val="center"/>
          </w:tcPr>
          <w:p w14:paraId="43401CA9">
            <w:pPr>
              <w:jc w:val="center"/>
              <w:rPr>
                <w:rFonts w:hint="eastAsia" w:ascii="宋体" w:hAnsi="宋体" w:cs="新宋体"/>
                <w:sz w:val="24"/>
              </w:rPr>
            </w:pPr>
          </w:p>
        </w:tc>
        <w:tc>
          <w:tcPr>
            <w:tcW w:w="590" w:type="dxa"/>
            <w:noWrap/>
            <w:vAlign w:val="center"/>
          </w:tcPr>
          <w:p w14:paraId="5F000C83">
            <w:pPr>
              <w:pStyle w:val="35"/>
              <w:jc w:val="center"/>
              <w:rPr>
                <w:rFonts w:hint="eastAsia" w:hAnsi="宋体"/>
                <w:sz w:val="24"/>
                <w:szCs w:val="24"/>
                <w:lang w:val="en-US"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23D7B5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sz w:val="24"/>
              </w:rPr>
              <w:t>投标人提供的确保物业素质形象和</w:t>
            </w:r>
            <w:r>
              <w:rPr>
                <w:rFonts w:hint="eastAsia" w:ascii="宋体" w:hAnsi="宋体"/>
                <w:sz w:val="24"/>
                <w:lang w:val="en-US" w:eastAsia="zh-CN"/>
              </w:rPr>
              <w:t>保洁清洁</w:t>
            </w:r>
            <w:r>
              <w:rPr>
                <w:rFonts w:hint="eastAsia" w:ascii="宋体" w:hAnsi="宋体"/>
                <w:sz w:val="24"/>
              </w:rPr>
              <w:t>业务水平的管理及培训方案，根据方案的完整性及合理性进行评分。未提供相关内容的得0分。（</w:t>
            </w:r>
            <w:r>
              <w:rPr>
                <w:rFonts w:hint="eastAsia" w:ascii="宋体" w:hAnsi="宋体"/>
                <w:sz w:val="24"/>
                <w:lang w:eastAsia="zh-CN"/>
              </w:rPr>
              <w:t>2分，1.5分，1分，0.5分，0分</w:t>
            </w:r>
            <w:r>
              <w:rPr>
                <w:rFonts w:hint="eastAsia" w:ascii="宋体" w:hAnsi="宋体"/>
                <w:sz w:val="24"/>
              </w:rPr>
              <w:t>）</w:t>
            </w:r>
          </w:p>
        </w:tc>
        <w:tc>
          <w:tcPr>
            <w:tcW w:w="979" w:type="dxa"/>
            <w:noWrap/>
            <w:vAlign w:val="center"/>
          </w:tcPr>
          <w:p w14:paraId="797F5055">
            <w:pPr>
              <w:jc w:val="center"/>
              <w:rPr>
                <w:rFonts w:hint="eastAsia" w:ascii="宋体" w:hAnsi="宋体" w:cs="宋体"/>
                <w:sz w:val="24"/>
                <w:lang w:val="en-US" w:eastAsia="zh-CN"/>
              </w:rPr>
            </w:pPr>
            <w:r>
              <w:rPr>
                <w:rFonts w:hint="eastAsia" w:ascii="宋体" w:hAnsi="宋体" w:cs="宋体"/>
                <w:sz w:val="24"/>
              </w:rPr>
              <w:t>主观分</w:t>
            </w:r>
          </w:p>
        </w:tc>
      </w:tr>
      <w:tr w14:paraId="5B1C3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6B0D1336">
            <w:pPr>
              <w:pStyle w:val="35"/>
              <w:jc w:val="center"/>
              <w:rPr>
                <w:rFonts w:hint="eastAsia" w:hAnsi="宋体"/>
                <w:sz w:val="24"/>
                <w:szCs w:val="24"/>
              </w:rPr>
            </w:pPr>
          </w:p>
        </w:tc>
        <w:tc>
          <w:tcPr>
            <w:tcW w:w="1263" w:type="dxa"/>
            <w:vMerge w:val="continue"/>
            <w:noWrap/>
            <w:vAlign w:val="center"/>
          </w:tcPr>
          <w:p w14:paraId="5EA1E600">
            <w:pPr>
              <w:jc w:val="center"/>
              <w:rPr>
                <w:rFonts w:hint="eastAsia" w:ascii="宋体" w:hAnsi="宋体" w:cs="新宋体"/>
                <w:sz w:val="24"/>
              </w:rPr>
            </w:pPr>
          </w:p>
        </w:tc>
        <w:tc>
          <w:tcPr>
            <w:tcW w:w="590" w:type="dxa"/>
            <w:noWrap/>
            <w:vAlign w:val="center"/>
          </w:tcPr>
          <w:p w14:paraId="63E95BD3">
            <w:pPr>
              <w:pStyle w:val="35"/>
              <w:jc w:val="center"/>
              <w:rPr>
                <w:rFonts w:hint="default" w:hAnsi="宋体" w:eastAsia="宋体"/>
                <w:sz w:val="24"/>
                <w:szCs w:val="24"/>
                <w:lang w:val="en-US" w:eastAsia="zh-CN"/>
              </w:rPr>
            </w:pPr>
            <w:r>
              <w:rPr>
                <w:rFonts w:hint="eastAsia" w:hAnsi="宋体"/>
                <w:sz w:val="24"/>
                <w:szCs w:val="24"/>
                <w:lang w:val="en-US" w:eastAsia="zh-CN"/>
              </w:rPr>
              <w:t>0-2</w:t>
            </w:r>
          </w:p>
        </w:tc>
        <w:tc>
          <w:tcPr>
            <w:tcW w:w="6214" w:type="dxa"/>
            <w:noWrap/>
            <w:vAlign w:val="center"/>
          </w:tcPr>
          <w:p w14:paraId="699A644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sz w:val="24"/>
              </w:rPr>
              <w:t>投标人提供的未能达标时或因投标人物业工作过失造成采购人负面影响的补救措施方案，根据方案的完整性及合理性进行评分。未提供相关内容的得0分。（</w:t>
            </w:r>
            <w:r>
              <w:rPr>
                <w:rFonts w:hint="eastAsia" w:ascii="宋体" w:hAnsi="宋体"/>
                <w:sz w:val="24"/>
                <w:lang w:eastAsia="zh-CN"/>
              </w:rPr>
              <w:t>2分，1.5分，1分，0.5分，0分</w:t>
            </w:r>
            <w:r>
              <w:rPr>
                <w:rFonts w:hint="eastAsia" w:ascii="宋体" w:hAnsi="宋体"/>
                <w:sz w:val="24"/>
              </w:rPr>
              <w:t>）</w:t>
            </w:r>
          </w:p>
        </w:tc>
        <w:tc>
          <w:tcPr>
            <w:tcW w:w="979" w:type="dxa"/>
            <w:noWrap/>
            <w:vAlign w:val="center"/>
          </w:tcPr>
          <w:p w14:paraId="1E0A4E31">
            <w:pPr>
              <w:rPr>
                <w:rFonts w:hint="eastAsia" w:ascii="宋体" w:hAnsi="宋体" w:cs="宋体"/>
                <w:sz w:val="24"/>
              </w:rPr>
            </w:pPr>
            <w:r>
              <w:rPr>
                <w:rFonts w:hint="eastAsia" w:ascii="宋体" w:hAnsi="宋体"/>
                <w:sz w:val="24"/>
              </w:rPr>
              <w:t>主观分</w:t>
            </w:r>
          </w:p>
        </w:tc>
      </w:tr>
      <w:tr w14:paraId="57F6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698EBDFE">
            <w:pPr>
              <w:pStyle w:val="35"/>
              <w:jc w:val="center"/>
              <w:rPr>
                <w:rFonts w:hint="eastAsia" w:hAnsi="宋体"/>
                <w:sz w:val="24"/>
                <w:szCs w:val="24"/>
              </w:rPr>
            </w:pPr>
          </w:p>
        </w:tc>
        <w:tc>
          <w:tcPr>
            <w:tcW w:w="1263" w:type="dxa"/>
            <w:vMerge w:val="continue"/>
            <w:noWrap/>
            <w:vAlign w:val="center"/>
          </w:tcPr>
          <w:p w14:paraId="213867CD">
            <w:pPr>
              <w:jc w:val="center"/>
              <w:rPr>
                <w:rFonts w:hint="eastAsia" w:ascii="宋体" w:hAnsi="宋体" w:cs="新宋体"/>
                <w:sz w:val="24"/>
              </w:rPr>
            </w:pPr>
          </w:p>
        </w:tc>
        <w:tc>
          <w:tcPr>
            <w:tcW w:w="590" w:type="dxa"/>
            <w:noWrap/>
            <w:vAlign w:val="center"/>
          </w:tcPr>
          <w:p w14:paraId="00D12961">
            <w:pPr>
              <w:pStyle w:val="35"/>
              <w:jc w:val="center"/>
              <w:rPr>
                <w:rFonts w:hint="default" w:hAnsi="宋体"/>
                <w:sz w:val="24"/>
                <w:szCs w:val="24"/>
                <w:lang w:val="en-US" w:eastAsia="zh-CN"/>
              </w:rPr>
            </w:pPr>
            <w:r>
              <w:rPr>
                <w:rFonts w:hint="eastAsia" w:hAnsi="宋体"/>
                <w:sz w:val="24"/>
                <w:szCs w:val="24"/>
                <w:lang w:val="en-US" w:eastAsia="zh-CN"/>
              </w:rPr>
              <w:t>0-2</w:t>
            </w:r>
          </w:p>
        </w:tc>
        <w:tc>
          <w:tcPr>
            <w:tcW w:w="6214" w:type="dxa"/>
            <w:noWrap/>
            <w:vAlign w:val="center"/>
          </w:tcPr>
          <w:p w14:paraId="7313630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sz w:val="24"/>
              </w:rPr>
              <w:t>根据工作交接班制度的合理性、严谨性进行评分。未提供相关内容的得0分。（</w:t>
            </w:r>
            <w:r>
              <w:rPr>
                <w:rFonts w:hint="eastAsia" w:ascii="宋体" w:hAnsi="宋体"/>
                <w:sz w:val="24"/>
                <w:lang w:eastAsia="zh-CN"/>
              </w:rPr>
              <w:t>2分，1.5分，1分，0.5分，0分</w:t>
            </w:r>
            <w:r>
              <w:rPr>
                <w:rFonts w:hint="eastAsia" w:ascii="宋体" w:hAnsi="宋体"/>
                <w:sz w:val="24"/>
              </w:rPr>
              <w:t>）</w:t>
            </w:r>
          </w:p>
        </w:tc>
        <w:tc>
          <w:tcPr>
            <w:tcW w:w="979" w:type="dxa"/>
            <w:noWrap/>
            <w:vAlign w:val="center"/>
          </w:tcPr>
          <w:p w14:paraId="4626923B">
            <w:pPr>
              <w:rPr>
                <w:rFonts w:hint="eastAsia" w:ascii="宋体" w:hAnsi="宋体"/>
                <w:sz w:val="24"/>
              </w:rPr>
            </w:pPr>
            <w:r>
              <w:rPr>
                <w:rFonts w:hint="eastAsia" w:ascii="宋体" w:hAnsi="宋体"/>
                <w:sz w:val="24"/>
              </w:rPr>
              <w:t>主观分</w:t>
            </w:r>
          </w:p>
        </w:tc>
      </w:tr>
      <w:tr w14:paraId="688E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0DD9F858">
            <w:pPr>
              <w:pStyle w:val="35"/>
              <w:jc w:val="center"/>
              <w:rPr>
                <w:rFonts w:hint="eastAsia" w:hAnsi="宋体"/>
                <w:sz w:val="24"/>
                <w:szCs w:val="24"/>
              </w:rPr>
            </w:pPr>
          </w:p>
        </w:tc>
        <w:tc>
          <w:tcPr>
            <w:tcW w:w="1263" w:type="dxa"/>
            <w:vMerge w:val="continue"/>
            <w:noWrap/>
            <w:vAlign w:val="center"/>
          </w:tcPr>
          <w:p w14:paraId="29F52A02">
            <w:pPr>
              <w:jc w:val="center"/>
              <w:rPr>
                <w:rFonts w:hint="eastAsia" w:ascii="宋体" w:hAnsi="宋体" w:cs="新宋体"/>
                <w:sz w:val="24"/>
              </w:rPr>
            </w:pPr>
          </w:p>
        </w:tc>
        <w:tc>
          <w:tcPr>
            <w:tcW w:w="590" w:type="dxa"/>
            <w:noWrap/>
            <w:vAlign w:val="center"/>
          </w:tcPr>
          <w:p w14:paraId="6FB3BD72">
            <w:pPr>
              <w:pStyle w:val="35"/>
              <w:jc w:val="center"/>
              <w:rPr>
                <w:rFonts w:hint="eastAsia" w:hAnsi="宋体"/>
                <w:sz w:val="24"/>
                <w:szCs w:val="24"/>
                <w:lang w:val="en-US" w:eastAsia="zh-CN"/>
              </w:rPr>
            </w:pPr>
            <w:r>
              <w:rPr>
                <w:rFonts w:hint="eastAsia" w:hAnsi="宋体"/>
                <w:sz w:val="24"/>
                <w:szCs w:val="24"/>
                <w:lang w:val="en-US" w:eastAsia="zh-CN"/>
              </w:rPr>
              <w:t>0-4</w:t>
            </w:r>
          </w:p>
        </w:tc>
        <w:tc>
          <w:tcPr>
            <w:tcW w:w="6214" w:type="dxa"/>
            <w:noWrap/>
            <w:vAlign w:val="center"/>
          </w:tcPr>
          <w:p w14:paraId="49CF797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sz w:val="24"/>
              </w:rPr>
              <w:t>根据投标人拟提供的设备工具、耗材是否适应本项目的需求进行评分</w:t>
            </w:r>
            <w:r>
              <w:rPr>
                <w:rFonts w:hint="eastAsia" w:ascii="宋体" w:hAnsi="宋体"/>
                <w:sz w:val="24"/>
                <w:lang w:eastAsia="zh-CN"/>
              </w:rPr>
              <w:t>，</w:t>
            </w:r>
            <w:r>
              <w:rPr>
                <w:rFonts w:hint="eastAsia" w:ascii="宋体" w:hAnsi="宋体"/>
                <w:sz w:val="24"/>
              </w:rPr>
              <w:t>未提供相关内容的得0分：</w:t>
            </w:r>
          </w:p>
          <w:p w14:paraId="30C8DCE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sz w:val="24"/>
              </w:rPr>
              <w:t>1.设备工具（</w:t>
            </w:r>
            <w:r>
              <w:rPr>
                <w:rFonts w:hint="eastAsia" w:ascii="宋体" w:hAnsi="宋体"/>
                <w:sz w:val="24"/>
                <w:lang w:eastAsia="zh-CN"/>
              </w:rPr>
              <w:t>2分，1.5分，1分，0.5分，0分</w:t>
            </w:r>
            <w:r>
              <w:rPr>
                <w:rFonts w:hint="eastAsia" w:ascii="宋体" w:hAnsi="宋体"/>
                <w:sz w:val="24"/>
              </w:rPr>
              <w:t>）</w:t>
            </w:r>
          </w:p>
          <w:p w14:paraId="1586B19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hint="eastAsia" w:ascii="宋体" w:hAnsi="宋体"/>
                <w:sz w:val="24"/>
              </w:rPr>
              <w:t>2.耗材（</w:t>
            </w:r>
            <w:r>
              <w:rPr>
                <w:rFonts w:hint="eastAsia" w:ascii="宋体" w:hAnsi="宋体"/>
                <w:sz w:val="24"/>
                <w:lang w:eastAsia="zh-CN"/>
              </w:rPr>
              <w:t>2分，1.5分，1分，0.5分，0分</w:t>
            </w:r>
            <w:r>
              <w:rPr>
                <w:rFonts w:hint="eastAsia" w:ascii="宋体" w:hAnsi="宋体"/>
                <w:sz w:val="24"/>
              </w:rPr>
              <w:t>）</w:t>
            </w:r>
          </w:p>
        </w:tc>
        <w:tc>
          <w:tcPr>
            <w:tcW w:w="979" w:type="dxa"/>
            <w:noWrap/>
            <w:vAlign w:val="center"/>
          </w:tcPr>
          <w:p w14:paraId="7BF1F7F5">
            <w:pPr>
              <w:jc w:val="center"/>
              <w:rPr>
                <w:rFonts w:hint="eastAsia" w:ascii="宋体" w:hAnsi="宋体" w:cs="宋体"/>
                <w:sz w:val="24"/>
                <w:lang w:val="en-US" w:eastAsia="zh-CN"/>
              </w:rPr>
            </w:pPr>
            <w:r>
              <w:rPr>
                <w:rFonts w:hint="eastAsia" w:ascii="宋体" w:hAnsi="宋体" w:cs="宋体"/>
                <w:sz w:val="24"/>
              </w:rPr>
              <w:t>主观分</w:t>
            </w:r>
          </w:p>
        </w:tc>
      </w:tr>
      <w:tr w14:paraId="60B8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restart"/>
            <w:noWrap/>
            <w:vAlign w:val="center"/>
          </w:tcPr>
          <w:p w14:paraId="1D8041DD">
            <w:pPr>
              <w:pStyle w:val="35"/>
              <w:jc w:val="center"/>
              <w:rPr>
                <w:rFonts w:hint="eastAsia" w:hAnsi="宋体" w:eastAsia="宋体"/>
                <w:sz w:val="24"/>
                <w:szCs w:val="24"/>
                <w:lang w:eastAsia="zh-CN"/>
              </w:rPr>
            </w:pPr>
            <w:r>
              <w:rPr>
                <w:rFonts w:hint="eastAsia" w:hAnsi="宋体"/>
                <w:sz w:val="24"/>
                <w:szCs w:val="24"/>
                <w:lang w:val="en-US" w:eastAsia="zh-CN"/>
              </w:rPr>
              <w:t>7</w:t>
            </w:r>
          </w:p>
        </w:tc>
        <w:tc>
          <w:tcPr>
            <w:tcW w:w="1263" w:type="dxa"/>
            <w:vMerge w:val="restart"/>
            <w:noWrap/>
            <w:vAlign w:val="center"/>
          </w:tcPr>
          <w:p w14:paraId="3C143438">
            <w:pPr>
              <w:jc w:val="center"/>
              <w:rPr>
                <w:rFonts w:hint="eastAsia" w:ascii="宋体" w:hAnsi="宋体" w:cs="新宋体"/>
                <w:sz w:val="24"/>
              </w:rPr>
            </w:pPr>
            <w:r>
              <w:rPr>
                <w:rFonts w:ascii="宋体" w:hAnsi="宋体" w:cs="新宋体"/>
                <w:sz w:val="24"/>
              </w:rPr>
              <w:t>合理化建议</w:t>
            </w:r>
            <w:r>
              <w:rPr>
                <w:rFonts w:hint="eastAsia" w:ascii="宋体" w:hAnsi="宋体" w:cs="新宋体"/>
                <w:sz w:val="24"/>
                <w:lang w:eastAsia="zh-CN"/>
              </w:rPr>
              <w:t>（</w:t>
            </w:r>
            <w:r>
              <w:rPr>
                <w:rFonts w:hint="eastAsia" w:ascii="宋体" w:hAnsi="宋体" w:cs="新宋体"/>
                <w:sz w:val="24"/>
                <w:lang w:val="en-US" w:eastAsia="zh-CN"/>
              </w:rPr>
              <w:t>4分</w:t>
            </w:r>
            <w:r>
              <w:rPr>
                <w:rFonts w:hint="eastAsia" w:ascii="宋体" w:hAnsi="宋体" w:cs="新宋体"/>
                <w:sz w:val="24"/>
                <w:lang w:eastAsia="zh-CN"/>
              </w:rPr>
              <w:t>）</w:t>
            </w:r>
          </w:p>
        </w:tc>
        <w:tc>
          <w:tcPr>
            <w:tcW w:w="590" w:type="dxa"/>
            <w:noWrap/>
            <w:vAlign w:val="center"/>
          </w:tcPr>
          <w:p w14:paraId="0C5F7AFA">
            <w:pPr>
              <w:pStyle w:val="35"/>
              <w:jc w:val="center"/>
              <w:rPr>
                <w:rFonts w:hint="eastAsia" w:hAnsi="宋体"/>
                <w:sz w:val="24"/>
                <w:szCs w:val="24"/>
                <w:lang w:val="en-US" w:eastAsia="zh-CN"/>
              </w:rPr>
            </w:pPr>
            <w:r>
              <w:rPr>
                <w:rFonts w:hint="eastAsia" w:hAnsi="宋体"/>
                <w:sz w:val="24"/>
                <w:szCs w:val="24"/>
              </w:rPr>
              <w:t>0-</w:t>
            </w:r>
            <w:r>
              <w:rPr>
                <w:rFonts w:hint="eastAsia" w:hAnsi="宋体"/>
                <w:sz w:val="24"/>
                <w:szCs w:val="24"/>
                <w:lang w:val="en-US" w:eastAsia="zh-CN"/>
              </w:rPr>
              <w:t>2</w:t>
            </w:r>
          </w:p>
        </w:tc>
        <w:tc>
          <w:tcPr>
            <w:tcW w:w="6214" w:type="dxa"/>
            <w:noWrap/>
            <w:vAlign w:val="center"/>
          </w:tcPr>
          <w:p w14:paraId="6EC2CFF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ascii="宋体" w:hAnsi="宋体" w:cs="宋体"/>
                <w:sz w:val="24"/>
              </w:rPr>
              <w:t>根据投标人经验，从成本控制</w:t>
            </w:r>
            <w:r>
              <w:rPr>
                <w:rFonts w:hint="eastAsia" w:ascii="宋体" w:hAnsi="宋体" w:cs="宋体"/>
                <w:sz w:val="24"/>
              </w:rPr>
              <w:t>、人员管理</w:t>
            </w:r>
            <w:r>
              <w:rPr>
                <w:rFonts w:ascii="宋体" w:hAnsi="宋体" w:cs="宋体"/>
                <w:sz w:val="24"/>
              </w:rPr>
              <w:t>等方面提出针对类似项目物业服务管理的合理化建议</w:t>
            </w:r>
            <w:r>
              <w:rPr>
                <w:rFonts w:hint="eastAsia" w:ascii="宋体" w:hAnsi="宋体"/>
                <w:sz w:val="24"/>
              </w:rPr>
              <w:t>，进行评分</w:t>
            </w:r>
            <w:r>
              <w:rPr>
                <w:rFonts w:hint="eastAsia" w:ascii="宋体" w:hAnsi="宋体" w:cs="宋体"/>
                <w:sz w:val="24"/>
              </w:rPr>
              <w:t>。</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2FB7A71D">
            <w:pPr>
              <w:jc w:val="center"/>
              <w:rPr>
                <w:rFonts w:hint="eastAsia" w:ascii="宋体" w:hAnsi="宋体" w:cs="宋体"/>
                <w:sz w:val="24"/>
                <w:lang w:val="en-US" w:eastAsia="zh-CN"/>
              </w:rPr>
            </w:pPr>
            <w:r>
              <w:rPr>
                <w:rFonts w:hint="eastAsia" w:ascii="宋体" w:hAnsi="宋体" w:cs="宋体"/>
                <w:sz w:val="24"/>
              </w:rPr>
              <w:t>主观分</w:t>
            </w:r>
          </w:p>
        </w:tc>
      </w:tr>
      <w:tr w14:paraId="010E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vMerge w:val="continue"/>
            <w:noWrap/>
            <w:vAlign w:val="center"/>
          </w:tcPr>
          <w:p w14:paraId="5D66CBF1">
            <w:pPr>
              <w:rPr>
                <w:rFonts w:hint="eastAsia" w:hAnsi="宋体"/>
                <w:sz w:val="24"/>
                <w:szCs w:val="24"/>
              </w:rPr>
            </w:pPr>
          </w:p>
        </w:tc>
        <w:tc>
          <w:tcPr>
            <w:tcW w:w="1263" w:type="dxa"/>
            <w:vMerge w:val="continue"/>
            <w:noWrap/>
            <w:vAlign w:val="center"/>
          </w:tcPr>
          <w:p w14:paraId="451FF879">
            <w:pPr>
              <w:jc w:val="center"/>
              <w:rPr>
                <w:rFonts w:hint="eastAsia" w:ascii="宋体" w:hAnsi="宋体" w:cs="新宋体"/>
                <w:sz w:val="24"/>
              </w:rPr>
            </w:pPr>
          </w:p>
        </w:tc>
        <w:tc>
          <w:tcPr>
            <w:tcW w:w="590" w:type="dxa"/>
            <w:noWrap/>
            <w:vAlign w:val="center"/>
          </w:tcPr>
          <w:p w14:paraId="0CFC8961">
            <w:pPr>
              <w:pStyle w:val="35"/>
              <w:jc w:val="center"/>
              <w:rPr>
                <w:rFonts w:hint="eastAsia" w:hAnsi="宋体"/>
                <w:sz w:val="24"/>
                <w:szCs w:val="24"/>
                <w:lang w:val="en-US" w:eastAsia="zh-CN"/>
              </w:rPr>
            </w:pPr>
            <w:r>
              <w:rPr>
                <w:rFonts w:hint="eastAsia" w:hAnsi="宋体" w:cs="新宋体"/>
                <w:sz w:val="24"/>
                <w:szCs w:val="24"/>
              </w:rPr>
              <w:t>0-</w:t>
            </w:r>
            <w:r>
              <w:rPr>
                <w:rFonts w:hint="eastAsia" w:hAnsi="宋体" w:cs="新宋体"/>
                <w:sz w:val="24"/>
                <w:szCs w:val="24"/>
                <w:lang w:val="en-US" w:eastAsia="zh-CN"/>
              </w:rPr>
              <w:t>2</w:t>
            </w:r>
          </w:p>
        </w:tc>
        <w:tc>
          <w:tcPr>
            <w:tcW w:w="6214" w:type="dxa"/>
            <w:noWrap/>
            <w:vAlign w:val="center"/>
          </w:tcPr>
          <w:p w14:paraId="287AF71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sz w:val="24"/>
              </w:rPr>
            </w:pPr>
            <w:r>
              <w:rPr>
                <w:rFonts w:ascii="宋体" w:hAnsi="宋体" w:cs="宋体"/>
                <w:sz w:val="24"/>
              </w:rPr>
              <w:t>根据投标人经验，从安保措施</w:t>
            </w:r>
            <w:r>
              <w:rPr>
                <w:rFonts w:hint="eastAsia" w:ascii="宋体" w:hAnsi="宋体" w:cs="宋体"/>
                <w:sz w:val="24"/>
              </w:rPr>
              <w:t>、安全生产</w:t>
            </w:r>
            <w:r>
              <w:rPr>
                <w:rFonts w:ascii="宋体" w:hAnsi="宋体" w:cs="宋体"/>
                <w:sz w:val="24"/>
              </w:rPr>
              <w:t>等方面提出针对类似项目物业服务管理的合理化建议</w:t>
            </w:r>
            <w:r>
              <w:rPr>
                <w:rFonts w:hint="eastAsia" w:ascii="宋体" w:hAnsi="宋体"/>
                <w:sz w:val="24"/>
              </w:rPr>
              <w:t>，进行评分</w:t>
            </w:r>
            <w:r>
              <w:rPr>
                <w:rFonts w:hint="eastAsia" w:ascii="宋体" w:hAnsi="宋体" w:cs="宋体"/>
                <w:sz w:val="24"/>
              </w:rPr>
              <w:t>。</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33331D29">
            <w:pPr>
              <w:jc w:val="center"/>
              <w:rPr>
                <w:rFonts w:hint="eastAsia" w:ascii="宋体" w:hAnsi="宋体" w:cs="宋体"/>
                <w:sz w:val="24"/>
                <w:lang w:val="en-US" w:eastAsia="zh-CN"/>
              </w:rPr>
            </w:pPr>
            <w:r>
              <w:rPr>
                <w:rFonts w:hint="eastAsia" w:ascii="宋体" w:hAnsi="宋体" w:cs="宋体"/>
                <w:sz w:val="24"/>
              </w:rPr>
              <w:t>主观分</w:t>
            </w:r>
          </w:p>
        </w:tc>
      </w:tr>
      <w:tr w14:paraId="2626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noWrap/>
            <w:vAlign w:val="center"/>
          </w:tcPr>
          <w:p w14:paraId="5362BEC0">
            <w:pPr>
              <w:pStyle w:val="35"/>
              <w:jc w:val="center"/>
              <w:rPr>
                <w:rFonts w:hint="eastAsia" w:hAnsi="宋体" w:eastAsia="宋体"/>
                <w:sz w:val="24"/>
                <w:szCs w:val="24"/>
                <w:lang w:val="en-US" w:eastAsia="zh-CN"/>
              </w:rPr>
            </w:pPr>
            <w:r>
              <w:rPr>
                <w:rFonts w:hint="eastAsia" w:hAnsi="宋体"/>
                <w:sz w:val="24"/>
                <w:szCs w:val="24"/>
                <w:lang w:val="en-US" w:eastAsia="zh-CN"/>
              </w:rPr>
              <w:t>8</w:t>
            </w:r>
          </w:p>
        </w:tc>
        <w:tc>
          <w:tcPr>
            <w:tcW w:w="1263" w:type="dxa"/>
            <w:noWrap/>
            <w:vAlign w:val="center"/>
          </w:tcPr>
          <w:p w14:paraId="4937B35F">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2分</w:t>
            </w:r>
            <w:r>
              <w:rPr>
                <w:rFonts w:hint="eastAsia" w:ascii="宋体" w:hAnsi="宋体" w:eastAsia="宋体" w:cs="宋体"/>
                <w:color w:val="auto"/>
                <w:sz w:val="24"/>
                <w:highlight w:val="none"/>
                <w:lang w:eastAsia="zh-CN"/>
              </w:rPr>
              <w:t>）</w:t>
            </w:r>
          </w:p>
        </w:tc>
        <w:tc>
          <w:tcPr>
            <w:tcW w:w="590" w:type="dxa"/>
            <w:noWrap/>
            <w:vAlign w:val="center"/>
          </w:tcPr>
          <w:p w14:paraId="3AA6D325">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0</w:t>
            </w:r>
            <w:r>
              <w:rPr>
                <w:rFonts w:hint="eastAsia" w:ascii="宋体" w:hAnsi="宋体" w:eastAsia="宋体" w:cs="宋体"/>
                <w:sz w:val="24"/>
                <w:lang w:eastAsia="zh-CN"/>
              </w:rPr>
              <w:t>-</w:t>
            </w:r>
            <w:r>
              <w:rPr>
                <w:rFonts w:hint="eastAsia" w:ascii="宋体" w:hAnsi="宋体" w:eastAsia="宋体" w:cs="宋体"/>
                <w:color w:val="auto"/>
                <w:sz w:val="24"/>
                <w:highlight w:val="none"/>
                <w:lang w:val="en-US" w:eastAsia="zh-CN"/>
              </w:rPr>
              <w:t>2</w:t>
            </w:r>
          </w:p>
        </w:tc>
        <w:tc>
          <w:tcPr>
            <w:tcW w:w="6214" w:type="dxa"/>
            <w:noWrap/>
            <w:vAlign w:val="center"/>
          </w:tcPr>
          <w:p w14:paraId="5C60EBA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项目理解、管理服务理念、组织架构及管理制度情况，进行评分。</w:t>
            </w:r>
            <w:r>
              <w:rPr>
                <w:rFonts w:hint="eastAsia" w:ascii="宋体" w:hAnsi="宋体"/>
                <w:sz w:val="24"/>
              </w:rPr>
              <w:t>（</w:t>
            </w:r>
            <w:r>
              <w:rPr>
                <w:rFonts w:hint="eastAsia" w:ascii="宋体" w:hAnsi="宋体"/>
                <w:sz w:val="24"/>
                <w:lang w:val="en-US" w:eastAsia="zh-CN"/>
              </w:rPr>
              <w:t>2分，1.5分，1分，0.5分，0分</w:t>
            </w:r>
            <w:r>
              <w:rPr>
                <w:rFonts w:hint="eastAsia" w:ascii="宋体" w:hAnsi="宋体"/>
                <w:sz w:val="24"/>
              </w:rPr>
              <w:t>）。未提供相关内容的得0分。</w:t>
            </w:r>
          </w:p>
        </w:tc>
        <w:tc>
          <w:tcPr>
            <w:tcW w:w="979" w:type="dxa"/>
            <w:noWrap/>
            <w:vAlign w:val="center"/>
          </w:tcPr>
          <w:p w14:paraId="71B65C20">
            <w:pPr>
              <w:jc w:val="center"/>
              <w:rPr>
                <w:rFonts w:hint="eastAsia" w:ascii="宋体" w:hAnsi="宋体" w:cs="宋体"/>
                <w:sz w:val="24"/>
              </w:rPr>
            </w:pPr>
            <w:r>
              <w:rPr>
                <w:rFonts w:hint="eastAsia" w:ascii="宋体" w:hAnsi="宋体" w:cs="宋体"/>
                <w:sz w:val="24"/>
              </w:rPr>
              <w:t>主观分</w:t>
            </w:r>
          </w:p>
        </w:tc>
      </w:tr>
      <w:tr w14:paraId="49C9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noWrap/>
            <w:vAlign w:val="center"/>
          </w:tcPr>
          <w:p w14:paraId="4506F078">
            <w:pPr>
              <w:spacing w:line="320" w:lineRule="exact"/>
              <w:jc w:val="center"/>
              <w:rPr>
                <w:rFonts w:ascii="宋体" w:hAnsi="宋体" w:cs="宋体"/>
                <w:sz w:val="24"/>
              </w:rPr>
            </w:pPr>
            <w:r>
              <w:rPr>
                <w:rFonts w:hint="eastAsia" w:ascii="宋体" w:hAnsi="宋体" w:cs="宋体"/>
                <w:sz w:val="24"/>
              </w:rPr>
              <w:t>二</w:t>
            </w:r>
          </w:p>
        </w:tc>
        <w:tc>
          <w:tcPr>
            <w:tcW w:w="1263" w:type="dxa"/>
            <w:noWrap/>
            <w:vAlign w:val="center"/>
          </w:tcPr>
          <w:p w14:paraId="299D577F">
            <w:pPr>
              <w:spacing w:line="320" w:lineRule="exact"/>
              <w:jc w:val="center"/>
              <w:rPr>
                <w:rFonts w:ascii="宋体" w:hAnsi="宋体" w:cs="宋体"/>
                <w:sz w:val="24"/>
              </w:rPr>
            </w:pPr>
            <w:r>
              <w:rPr>
                <w:rFonts w:hint="eastAsia" w:ascii="宋体" w:hAnsi="宋体" w:cs="宋体"/>
                <w:sz w:val="24"/>
              </w:rPr>
              <w:t>商务分</w:t>
            </w:r>
          </w:p>
        </w:tc>
        <w:tc>
          <w:tcPr>
            <w:tcW w:w="590" w:type="dxa"/>
            <w:noWrap/>
            <w:vAlign w:val="center"/>
          </w:tcPr>
          <w:p w14:paraId="60CB874D">
            <w:pPr>
              <w:spacing w:line="320" w:lineRule="exact"/>
              <w:jc w:val="center"/>
              <w:rPr>
                <w:rFonts w:ascii="宋体" w:hAnsi="宋体" w:cs="宋体"/>
                <w:sz w:val="24"/>
              </w:rPr>
            </w:pPr>
            <w:r>
              <w:rPr>
                <w:rFonts w:hint="eastAsia" w:ascii="宋体" w:hAnsi="宋体" w:cs="宋体"/>
                <w:sz w:val="24"/>
                <w:lang w:val="en-US" w:eastAsia="zh-CN"/>
              </w:rPr>
              <w:t>3</w:t>
            </w:r>
            <w:r>
              <w:rPr>
                <w:rFonts w:hint="eastAsia" w:ascii="宋体" w:hAnsi="宋体" w:cs="宋体"/>
                <w:sz w:val="24"/>
              </w:rPr>
              <w:t>0</w:t>
            </w:r>
          </w:p>
        </w:tc>
        <w:tc>
          <w:tcPr>
            <w:tcW w:w="6214" w:type="dxa"/>
            <w:noWrap/>
            <w:vAlign w:val="top"/>
          </w:tcPr>
          <w:p w14:paraId="7D8BF8D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4"/>
              </w:rPr>
            </w:pPr>
            <w:r>
              <w:rPr>
                <w:rFonts w:hint="eastAsia" w:ascii="宋体" w:hAnsi="宋体"/>
                <w:sz w:val="24"/>
              </w:rPr>
              <w:t>1、以符合招标文件要求且投标价格最低的投标报价为评标基准价，其商务报价得分为满分。</w:t>
            </w:r>
          </w:p>
          <w:p w14:paraId="51520D3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sz w:val="24"/>
              </w:rPr>
            </w:pPr>
            <w:r>
              <w:rPr>
                <w:rFonts w:hint="eastAsia" w:ascii="宋体" w:hAnsi="宋体"/>
                <w:sz w:val="24"/>
              </w:rPr>
              <w:t>2、其他投标人的商务报价分统一按照下列公式计算：</w:t>
            </w:r>
          </w:p>
          <w:p w14:paraId="6121BCE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rPr>
            </w:pPr>
            <w:r>
              <w:rPr>
                <w:rFonts w:hint="eastAsia" w:ascii="宋体" w:hAnsi="宋体"/>
                <w:sz w:val="24"/>
              </w:rPr>
              <w:t>商务报价分＝（评标基准价／投标报价）×</w:t>
            </w:r>
            <w:r>
              <w:rPr>
                <w:rFonts w:hint="eastAsia" w:ascii="宋体" w:hAnsi="宋体"/>
                <w:sz w:val="24"/>
                <w:lang w:val="en-US" w:eastAsia="zh-CN"/>
              </w:rPr>
              <w:t>30</w:t>
            </w:r>
            <w:r>
              <w:rPr>
                <w:rFonts w:hint="eastAsia" w:ascii="宋体" w:hAnsi="宋体"/>
                <w:sz w:val="24"/>
              </w:rPr>
              <w:t>，计算结果保留2位小数（第三位小数四舍五入）。</w:t>
            </w:r>
          </w:p>
        </w:tc>
        <w:tc>
          <w:tcPr>
            <w:tcW w:w="979" w:type="dxa"/>
            <w:noWrap/>
            <w:vAlign w:val="top"/>
          </w:tcPr>
          <w:p w14:paraId="4CD6ABDD">
            <w:pPr>
              <w:rPr>
                <w:rFonts w:ascii="宋体" w:hAnsi="宋体"/>
                <w:sz w:val="24"/>
              </w:rPr>
            </w:pPr>
          </w:p>
        </w:tc>
      </w:tr>
      <w:tr w14:paraId="5DCF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49" w:type="dxa"/>
            <w:noWrap/>
            <w:vAlign w:val="center"/>
          </w:tcPr>
          <w:p w14:paraId="1BE9283D">
            <w:pPr>
              <w:spacing w:line="320" w:lineRule="exact"/>
              <w:ind w:firstLine="120" w:firstLineChars="50"/>
              <w:jc w:val="center"/>
              <w:rPr>
                <w:rFonts w:ascii="宋体" w:hAnsi="宋体" w:cs="宋体"/>
                <w:sz w:val="24"/>
              </w:rPr>
            </w:pPr>
            <w:r>
              <w:rPr>
                <w:rFonts w:hint="eastAsia" w:ascii="宋体" w:hAnsi="宋体" w:cs="宋体"/>
                <w:sz w:val="24"/>
              </w:rPr>
              <w:t>三</w:t>
            </w:r>
          </w:p>
        </w:tc>
        <w:tc>
          <w:tcPr>
            <w:tcW w:w="1263" w:type="dxa"/>
            <w:noWrap/>
            <w:vAlign w:val="center"/>
          </w:tcPr>
          <w:p w14:paraId="7E6CDA53">
            <w:pPr>
              <w:spacing w:line="320" w:lineRule="exact"/>
              <w:jc w:val="center"/>
              <w:rPr>
                <w:rFonts w:ascii="宋体" w:hAnsi="宋体" w:cs="宋体"/>
                <w:sz w:val="24"/>
              </w:rPr>
            </w:pPr>
            <w:r>
              <w:rPr>
                <w:rFonts w:hint="eastAsia" w:ascii="宋体" w:hAnsi="宋体" w:cs="宋体"/>
                <w:sz w:val="24"/>
              </w:rPr>
              <w:t>综合得分</w:t>
            </w:r>
          </w:p>
        </w:tc>
        <w:tc>
          <w:tcPr>
            <w:tcW w:w="590" w:type="dxa"/>
            <w:noWrap/>
            <w:vAlign w:val="center"/>
          </w:tcPr>
          <w:p w14:paraId="5D53BBAC">
            <w:pPr>
              <w:spacing w:line="320" w:lineRule="exact"/>
              <w:jc w:val="center"/>
              <w:rPr>
                <w:rFonts w:ascii="宋体" w:hAnsi="宋体" w:cs="宋体"/>
                <w:sz w:val="24"/>
              </w:rPr>
            </w:pPr>
            <w:r>
              <w:rPr>
                <w:rFonts w:hint="eastAsia" w:ascii="宋体" w:hAnsi="宋体" w:cs="宋体"/>
                <w:sz w:val="24"/>
              </w:rPr>
              <w:t>100</w:t>
            </w:r>
          </w:p>
        </w:tc>
        <w:tc>
          <w:tcPr>
            <w:tcW w:w="6214" w:type="dxa"/>
            <w:noWrap/>
            <w:vAlign w:val="center"/>
          </w:tcPr>
          <w:p w14:paraId="479DF625">
            <w:pPr>
              <w:spacing w:line="320" w:lineRule="exact"/>
              <w:rPr>
                <w:rFonts w:ascii="宋体" w:hAnsi="宋体" w:cs="宋体"/>
                <w:sz w:val="24"/>
              </w:rPr>
            </w:pPr>
            <w:r>
              <w:rPr>
                <w:rFonts w:hint="eastAsia" w:ascii="宋体" w:hAnsi="宋体" w:cs="宋体"/>
                <w:sz w:val="24"/>
              </w:rPr>
              <w:t>投标人综合得分=技术分+商务报价分</w:t>
            </w:r>
          </w:p>
        </w:tc>
        <w:tc>
          <w:tcPr>
            <w:tcW w:w="979" w:type="dxa"/>
            <w:noWrap/>
            <w:vAlign w:val="top"/>
          </w:tcPr>
          <w:p w14:paraId="2B034FE4">
            <w:pPr>
              <w:rPr>
                <w:rFonts w:ascii="宋体" w:hAnsi="宋体"/>
                <w:sz w:val="24"/>
              </w:rPr>
            </w:pPr>
          </w:p>
        </w:tc>
      </w:tr>
    </w:tbl>
    <w:p w14:paraId="5B8A50B9">
      <w:pPr>
        <w:bidi w:val="0"/>
        <w:jc w:val="left"/>
        <w:rPr>
          <w:rFonts w:hint="eastAsia" w:ascii="新宋体" w:hAnsi="新宋体" w:eastAsia="新宋体"/>
          <w:color w:val="auto"/>
          <w:sz w:val="21"/>
          <w:szCs w:val="21"/>
          <w:highlight w:val="none"/>
        </w:rPr>
      </w:pPr>
      <w:r>
        <w:rPr>
          <w:rFonts w:hint="eastAsia" w:ascii="新宋体" w:hAnsi="新宋体" w:eastAsia="新宋体" w:cs="Times New Roman"/>
          <w:b w:val="0"/>
          <w:bCs w:val="0"/>
          <w:color w:val="auto"/>
          <w:kern w:val="0"/>
          <w:sz w:val="21"/>
          <w:szCs w:val="21"/>
          <w:highlight w:val="none"/>
          <w:shd w:val="clear" w:color="auto" w:fill="auto"/>
          <w:lang w:val="en-US" w:eastAsia="zh-CN" w:bidi="ar-SA"/>
        </w:rPr>
        <w:t>以上评分内容仅限对未打“★”条款进行评分</w:t>
      </w:r>
      <w:r>
        <w:rPr>
          <w:rFonts w:hint="eastAsia" w:ascii="新宋体" w:hAnsi="新宋体" w:eastAsia="新宋体"/>
          <w:color w:val="auto"/>
          <w:sz w:val="21"/>
          <w:szCs w:val="21"/>
          <w:highlight w:val="none"/>
        </w:rPr>
        <w:t>。</w:t>
      </w:r>
    </w:p>
    <w:bookmarkEnd w:id="80"/>
    <w:bookmarkEnd w:id="81"/>
    <w:bookmarkEnd w:id="82"/>
    <w:p w14:paraId="1770C246">
      <w:pPr>
        <w:bidi w:val="0"/>
        <w:jc w:val="left"/>
        <w:rPr>
          <w:rFonts w:hint="eastAsia" w:ascii="新宋体" w:hAnsi="新宋体" w:eastAsia="新宋体"/>
          <w:sz w:val="36"/>
          <w:szCs w:val="36"/>
        </w:rPr>
      </w:pPr>
    </w:p>
    <w:p w14:paraId="7E91004B">
      <w:pPr>
        <w:bidi w:val="0"/>
        <w:jc w:val="left"/>
        <w:rPr>
          <w:rFonts w:hint="eastAsia" w:ascii="新宋体" w:hAnsi="新宋体" w:eastAsia="新宋体"/>
          <w:sz w:val="36"/>
          <w:szCs w:val="36"/>
        </w:rPr>
      </w:pPr>
    </w:p>
    <w:p w14:paraId="0E1DF8B6">
      <w:pPr>
        <w:bidi w:val="0"/>
        <w:jc w:val="left"/>
        <w:rPr>
          <w:rFonts w:hint="eastAsia" w:ascii="新宋体" w:hAnsi="新宋体" w:eastAsia="新宋体"/>
          <w:sz w:val="36"/>
          <w:szCs w:val="36"/>
        </w:rPr>
      </w:pPr>
    </w:p>
    <w:p w14:paraId="551384F4">
      <w:pPr>
        <w:pStyle w:val="8"/>
        <w:rPr>
          <w:rFonts w:hint="eastAsia"/>
        </w:rPr>
      </w:pPr>
    </w:p>
    <w:p w14:paraId="69F95510">
      <w:pPr>
        <w:pStyle w:val="5"/>
        <w:numPr>
          <w:ilvl w:val="0"/>
          <w:numId w:val="0"/>
        </w:numPr>
        <w:spacing w:before="0" w:after="0" w:line="520" w:lineRule="exact"/>
        <w:jc w:val="center"/>
        <w:rPr>
          <w:rFonts w:hint="eastAsia" w:ascii="新宋体" w:hAnsi="新宋体" w:eastAsia="新宋体"/>
          <w:color w:val="auto"/>
          <w:sz w:val="36"/>
          <w:szCs w:val="36"/>
          <w:highlight w:val="none"/>
        </w:rPr>
      </w:pPr>
      <w:bookmarkStart w:id="94" w:name="OLE_LINK181"/>
      <w:bookmarkStart w:id="95" w:name="_Toc24078"/>
      <w:bookmarkStart w:id="96" w:name="_Toc31551"/>
      <w:bookmarkStart w:id="97" w:name="_Toc13880"/>
      <w:r>
        <w:rPr>
          <w:rFonts w:hint="eastAsia" w:ascii="新宋体" w:hAnsi="新宋体" w:eastAsia="新宋体"/>
          <w:color w:val="auto"/>
          <w:sz w:val="36"/>
          <w:highlight w:val="none"/>
        </w:rPr>
        <w:t xml:space="preserve">第七章 </w:t>
      </w:r>
      <w:r>
        <w:rPr>
          <w:rFonts w:hint="eastAsia" w:ascii="新宋体" w:hAnsi="新宋体" w:eastAsia="新宋体"/>
          <w:color w:val="auto"/>
          <w:sz w:val="36"/>
          <w:szCs w:val="36"/>
          <w:highlight w:val="none"/>
        </w:rPr>
        <w:t>合同主要条款</w:t>
      </w:r>
      <w:bookmarkEnd w:id="94"/>
      <w:bookmarkEnd w:id="95"/>
      <w:bookmarkEnd w:id="96"/>
      <w:bookmarkEnd w:id="97"/>
    </w:p>
    <w:p w14:paraId="5864D200">
      <w:pPr>
        <w:widowControl w:val="0"/>
        <w:spacing w:line="580" w:lineRule="exact"/>
        <w:ind w:firstLine="4802"/>
        <w:jc w:val="right"/>
        <w:rPr>
          <w:rFonts w:hint="default" w:eastAsia="楷体_GB2312"/>
          <w:lang w:val="en-US" w:eastAsia="zh-CN"/>
        </w:rPr>
      </w:pPr>
      <w:r>
        <w:rPr>
          <w:rFonts w:hint="eastAsia" w:ascii="楷体_GB2312" w:hAnsi="Calibri" w:eastAsia="楷体_GB2312"/>
          <w:color w:val="auto"/>
          <w:kern w:val="2"/>
          <w:sz w:val="32"/>
          <w:szCs w:val="32"/>
          <w:highlight w:val="none"/>
          <w:u w:val="none" w:color="000000"/>
          <w:lang w:val="zh-TW" w:eastAsia="zh-TW"/>
        </w:rPr>
        <w:t>合同编号：</w:t>
      </w:r>
      <w:r>
        <w:rPr>
          <w:rFonts w:eastAsia="楷体_GB2312"/>
          <w:color w:val="auto"/>
          <w:kern w:val="2"/>
          <w:sz w:val="32"/>
          <w:szCs w:val="32"/>
          <w:highlight w:val="none"/>
          <w:u w:val="none" w:color="000000"/>
        </w:rPr>
        <w:t>JGS</w:t>
      </w:r>
      <w:r>
        <w:rPr>
          <w:rFonts w:hint="default" w:ascii="Times New Roman" w:hAnsi="Times New Roman" w:eastAsia="楷体_GB2312" w:cs="Times New Roman"/>
          <w:color w:val="auto"/>
          <w:kern w:val="2"/>
          <w:sz w:val="32"/>
          <w:szCs w:val="32"/>
          <w:highlight w:val="none"/>
          <w:u w:val="none" w:color="000000"/>
        </w:rPr>
        <w:t>W202</w:t>
      </w:r>
      <w:r>
        <w:rPr>
          <w:rFonts w:hint="eastAsia" w:eastAsia="楷体_GB2312" w:cs="Times New Roman"/>
          <w:color w:val="auto"/>
          <w:kern w:val="2"/>
          <w:sz w:val="32"/>
          <w:szCs w:val="32"/>
          <w:highlight w:val="none"/>
          <w:u w:val="none" w:color="000000"/>
          <w:lang w:val="en-US" w:eastAsia="zh-CN"/>
        </w:rPr>
        <w:t>6***</w:t>
      </w:r>
    </w:p>
    <w:p w14:paraId="58E60486">
      <w:pPr>
        <w:jc w:val="center"/>
        <w:rPr>
          <w:rFonts w:ascii="微软雅黑" w:hAnsi="微软雅黑" w:eastAsia="微软雅黑" w:cs="微软雅黑"/>
          <w:sz w:val="32"/>
          <w:szCs w:val="40"/>
        </w:rPr>
      </w:pPr>
    </w:p>
    <w:p w14:paraId="3BC1E98F">
      <w:pPr>
        <w:pStyle w:val="2"/>
      </w:pPr>
    </w:p>
    <w:p w14:paraId="76C7F541">
      <w:pPr>
        <w:jc w:val="center"/>
        <w:rPr>
          <w:rFonts w:ascii="微软雅黑" w:hAnsi="微软雅黑" w:eastAsia="微软雅黑" w:cs="微软雅黑"/>
          <w:sz w:val="32"/>
          <w:szCs w:val="40"/>
        </w:rPr>
      </w:pPr>
    </w:p>
    <w:p w14:paraId="30CB9D03">
      <w:pPr>
        <w:jc w:val="center"/>
        <w:rPr>
          <w:rFonts w:ascii="微软雅黑" w:hAnsi="微软雅黑" w:eastAsia="微软雅黑" w:cs="微软雅黑"/>
          <w:sz w:val="32"/>
          <w:szCs w:val="40"/>
        </w:rPr>
      </w:pPr>
    </w:p>
    <w:p w14:paraId="039BA810">
      <w:pPr>
        <w:spacing w:line="1000" w:lineRule="exact"/>
        <w:jc w:val="center"/>
        <w:rPr>
          <w:rFonts w:hint="eastAsia" w:ascii="方正小标宋简体" w:hAnsi="方正小标宋简体" w:eastAsia="方正小标宋简体" w:cs="方正小标宋简体"/>
          <w:spacing w:val="20"/>
          <w:sz w:val="52"/>
          <w:szCs w:val="52"/>
        </w:rPr>
      </w:pPr>
      <w:r>
        <w:rPr>
          <w:rFonts w:hint="eastAsia" w:ascii="方正小标宋简体" w:hAnsi="方正小标宋简体" w:eastAsia="方正小标宋简体" w:cs="方正小标宋简体"/>
          <w:spacing w:val="20"/>
          <w:sz w:val="52"/>
          <w:szCs w:val="52"/>
        </w:rPr>
        <w:t>行政五号楼物业管理服务合同</w:t>
      </w:r>
    </w:p>
    <w:p w14:paraId="751B3F7B">
      <w:pPr>
        <w:spacing w:line="760" w:lineRule="exact"/>
        <w:jc w:val="center"/>
        <w:rPr>
          <w:rFonts w:ascii="微软雅黑" w:hAnsi="微软雅黑" w:eastAsia="微软雅黑" w:cs="微软雅黑"/>
          <w:sz w:val="32"/>
          <w:szCs w:val="40"/>
        </w:rPr>
      </w:pPr>
    </w:p>
    <w:p w14:paraId="0AD9845D">
      <w:pPr>
        <w:jc w:val="center"/>
        <w:rPr>
          <w:rFonts w:ascii="微软雅黑" w:hAnsi="微软雅黑" w:eastAsia="微软雅黑" w:cs="微软雅黑"/>
          <w:sz w:val="32"/>
          <w:szCs w:val="40"/>
        </w:rPr>
      </w:pPr>
    </w:p>
    <w:p w14:paraId="6861138E">
      <w:pPr>
        <w:jc w:val="center"/>
        <w:rPr>
          <w:rFonts w:ascii="微软雅黑" w:hAnsi="微软雅黑" w:eastAsia="微软雅黑" w:cs="微软雅黑"/>
          <w:sz w:val="32"/>
          <w:szCs w:val="40"/>
        </w:rPr>
      </w:pPr>
    </w:p>
    <w:p w14:paraId="39674A79">
      <w:pPr>
        <w:jc w:val="center"/>
        <w:rPr>
          <w:rFonts w:ascii="微软雅黑" w:hAnsi="微软雅黑" w:eastAsia="微软雅黑" w:cs="微软雅黑"/>
          <w:sz w:val="32"/>
          <w:szCs w:val="40"/>
        </w:rPr>
      </w:pPr>
    </w:p>
    <w:p w14:paraId="42B6F36A">
      <w:pPr>
        <w:jc w:val="center"/>
        <w:rPr>
          <w:rFonts w:ascii="微软雅黑" w:hAnsi="微软雅黑" w:eastAsia="微软雅黑" w:cs="微软雅黑"/>
          <w:sz w:val="32"/>
          <w:szCs w:val="40"/>
        </w:rPr>
      </w:pPr>
    </w:p>
    <w:p w14:paraId="2B2590AB">
      <w:pPr>
        <w:jc w:val="center"/>
        <w:rPr>
          <w:rFonts w:ascii="微软雅黑" w:hAnsi="微软雅黑" w:eastAsia="微软雅黑" w:cs="微软雅黑"/>
          <w:sz w:val="32"/>
          <w:szCs w:val="40"/>
        </w:rPr>
      </w:pPr>
    </w:p>
    <w:p w14:paraId="67CFED71">
      <w:pPr>
        <w:overflowPunct w:val="0"/>
        <w:spacing w:line="59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甲方：</w:t>
      </w:r>
      <w:r>
        <w:rPr>
          <w:rFonts w:hint="default" w:ascii="Times New Roman" w:hAnsi="Times New Roman" w:eastAsia="仿宋_GB2312" w:cs="Times New Roman"/>
          <w:spacing w:val="-6"/>
          <w:sz w:val="32"/>
          <w:szCs w:val="32"/>
          <w:u w:val="none" w:color="000000"/>
          <w:lang w:val="zh-TW" w:eastAsia="zh-TW"/>
        </w:rPr>
        <w:t>义乌市机关</w:t>
      </w:r>
      <w:r>
        <w:rPr>
          <w:rFonts w:hint="default" w:ascii="Times New Roman" w:hAnsi="Times New Roman" w:eastAsia="仿宋_GB2312" w:cs="Times New Roman"/>
          <w:spacing w:val="-6"/>
          <w:sz w:val="32"/>
          <w:szCs w:val="32"/>
          <w:u w:val="none" w:color="000000"/>
        </w:rPr>
        <w:t>后勤服务中心</w:t>
      </w:r>
    </w:p>
    <w:p w14:paraId="7977D5F1">
      <w:pPr>
        <w:overflowPunct w:val="0"/>
        <w:spacing w:line="590" w:lineRule="exact"/>
        <w:ind w:firstLine="619" w:firstLineChars="200"/>
        <w:rPr>
          <w:rFonts w:hint="default" w:ascii="Times New Roman" w:hAnsi="Times New Roman" w:eastAsia="仿宋_GB2312" w:cs="Times New Roman"/>
          <w:spacing w:val="-6"/>
          <w:sz w:val="32"/>
          <w:szCs w:val="32"/>
          <w:u w:val="none" w:color="000000"/>
          <w:lang w:val="zh-TW"/>
        </w:rPr>
      </w:pPr>
      <w:r>
        <w:rPr>
          <w:rFonts w:hint="default" w:ascii="Times New Roman" w:hAnsi="Times New Roman" w:eastAsia="仿宋_GB2312" w:cs="Times New Roman"/>
          <w:b/>
          <w:spacing w:val="-6"/>
          <w:sz w:val="32"/>
          <w:szCs w:val="32"/>
        </w:rPr>
        <w:t>乙方：</w:t>
      </w:r>
    </w:p>
    <w:p w14:paraId="788E80D0">
      <w:pPr>
        <w:overflowPunct w:val="0"/>
        <w:spacing w:line="590" w:lineRule="exact"/>
        <w:ind w:firstLine="616" w:firstLineChars="200"/>
        <w:rPr>
          <w:rFonts w:hint="default" w:ascii="Times New Roman" w:hAnsi="Times New Roman" w:eastAsia="仿宋_GB2312" w:cs="Times New Roman"/>
          <w:spacing w:val="-6"/>
          <w:sz w:val="32"/>
          <w:szCs w:val="32"/>
          <w:u w:val="none" w:color="000000"/>
          <w:lang w:val="zh-TW"/>
        </w:rPr>
      </w:pPr>
    </w:p>
    <w:p w14:paraId="3B26B98A">
      <w:pPr>
        <w:overflowPunct w:val="0"/>
        <w:spacing w:line="590" w:lineRule="exact"/>
        <w:ind w:firstLine="616" w:firstLineChars="200"/>
        <w:rPr>
          <w:rFonts w:hint="default" w:ascii="Times New Roman" w:hAnsi="Times New Roman" w:eastAsia="仿宋_GB2312" w:cs="Times New Roman"/>
          <w:spacing w:val="-6"/>
          <w:sz w:val="32"/>
          <w:szCs w:val="32"/>
          <w:u w:val="none" w:color="000000"/>
          <w:lang w:val="zh-TW"/>
        </w:rPr>
      </w:pPr>
    </w:p>
    <w:p w14:paraId="14DCCF6F">
      <w:pPr>
        <w:overflowPunct w:val="0"/>
        <w:spacing w:line="590" w:lineRule="exact"/>
        <w:ind w:firstLine="616" w:firstLineChars="200"/>
        <w:rPr>
          <w:rFonts w:hint="default" w:ascii="Times New Roman" w:hAnsi="Times New Roman" w:eastAsia="仿宋_GB2312" w:cs="Times New Roman"/>
          <w:spacing w:val="-6"/>
          <w:sz w:val="32"/>
          <w:szCs w:val="32"/>
          <w:u w:val="none" w:color="000000"/>
          <w:lang w:val="zh-TW"/>
        </w:rPr>
      </w:pPr>
    </w:p>
    <w:p w14:paraId="46512407">
      <w:pPr>
        <w:spacing w:line="590" w:lineRule="exact"/>
        <w:ind w:firstLine="619" w:firstLineChars="200"/>
        <w:rPr>
          <w:rFonts w:hint="default" w:ascii="Times New Roman" w:hAnsi="Times New Roman" w:eastAsia="仿宋_GB2312" w:cs="Times New Roman"/>
          <w:b/>
          <w:spacing w:val="-6"/>
          <w:sz w:val="32"/>
          <w:szCs w:val="32"/>
        </w:rPr>
      </w:pPr>
    </w:p>
    <w:p w14:paraId="688FB150">
      <w:pPr>
        <w:spacing w:line="590" w:lineRule="exact"/>
        <w:ind w:firstLine="619"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b/>
          <w:spacing w:val="-6"/>
          <w:sz w:val="32"/>
          <w:szCs w:val="32"/>
        </w:rPr>
        <w:t>签订地点</w:t>
      </w:r>
      <w:r>
        <w:rPr>
          <w:rFonts w:hint="default" w:ascii="Times New Roman" w:hAnsi="Times New Roman" w:eastAsia="仿宋_GB2312" w:cs="Times New Roman"/>
          <w:spacing w:val="-6"/>
          <w:sz w:val="32"/>
          <w:szCs w:val="32"/>
          <w:lang w:val="zh-CN"/>
        </w:rPr>
        <w:t>：</w:t>
      </w:r>
      <w:r>
        <w:rPr>
          <w:rFonts w:hint="default" w:ascii="Times New Roman" w:hAnsi="Times New Roman" w:eastAsia="仿宋_GB2312" w:cs="Times New Roman"/>
          <w:spacing w:val="-6"/>
          <w:sz w:val="32"/>
          <w:szCs w:val="32"/>
          <w:u w:val="none" w:color="000000"/>
          <w:lang w:val="zh-TW" w:eastAsia="zh-TW"/>
        </w:rPr>
        <w:t>浙江省义乌市</w:t>
      </w:r>
    </w:p>
    <w:p w14:paraId="461D68F5">
      <w:pPr>
        <w:spacing w:line="590" w:lineRule="exact"/>
        <w:ind w:firstLine="619" w:firstLineChars="200"/>
        <w:rPr>
          <w:rFonts w:hint="default" w:ascii="Times New Roman" w:hAnsi="Times New Roman" w:eastAsia="仿宋_GB2312" w:cs="Times New Roman"/>
          <w:spacing w:val="-6"/>
          <w:sz w:val="32"/>
          <w:szCs w:val="32"/>
          <w:u w:val="none" w:color="000000"/>
          <w:lang w:val="zh-TW" w:eastAsia="zh-TW"/>
        </w:rPr>
      </w:pPr>
      <w:r>
        <w:rPr>
          <w:rFonts w:hint="default" w:ascii="Times New Roman" w:hAnsi="Times New Roman" w:eastAsia="仿宋_GB2312" w:cs="Times New Roman"/>
          <w:b/>
          <w:spacing w:val="-6"/>
          <w:sz w:val="32"/>
          <w:szCs w:val="32"/>
        </w:rPr>
        <w:t>签订时间</w:t>
      </w:r>
      <w:r>
        <w:rPr>
          <w:rFonts w:hint="default" w:ascii="Times New Roman" w:hAnsi="Times New Roman" w:eastAsia="仿宋_GB2312" w:cs="Times New Roman"/>
          <w:spacing w:val="-6"/>
          <w:sz w:val="32"/>
          <w:szCs w:val="32"/>
          <w:lang w:val="zh-CN"/>
        </w:rPr>
        <w:t>：</w:t>
      </w:r>
      <w:r>
        <w:rPr>
          <w:rFonts w:hint="default" w:ascii="Times New Roman" w:hAnsi="Times New Roman" w:eastAsia="仿宋_GB2312" w:cs="Times New Roman"/>
          <w:spacing w:val="-6"/>
          <w:sz w:val="32"/>
          <w:szCs w:val="32"/>
          <w:u w:val="none" w:color="000000"/>
        </w:rPr>
        <w:t>202</w:t>
      </w:r>
      <w:r>
        <w:rPr>
          <w:rFonts w:hint="eastAsia" w:eastAsia="仿宋_GB2312" w:cs="Times New Roman"/>
          <w:spacing w:val="-6"/>
          <w:sz w:val="32"/>
          <w:szCs w:val="32"/>
          <w:u w:val="none" w:color="000000"/>
          <w:lang w:val="en-US" w:eastAsia="zh-CN"/>
        </w:rPr>
        <w:t>6</w:t>
      </w:r>
      <w:r>
        <w:rPr>
          <w:rFonts w:hint="default" w:ascii="Times New Roman" w:hAnsi="Times New Roman" w:eastAsia="仿宋_GB2312" w:cs="Times New Roman"/>
          <w:spacing w:val="-6"/>
          <w:sz w:val="32"/>
          <w:szCs w:val="32"/>
          <w:u w:val="none" w:color="000000"/>
          <w:lang w:val="zh-TW" w:eastAsia="zh-TW"/>
        </w:rPr>
        <w:t>年</w:t>
      </w:r>
      <w:r>
        <w:rPr>
          <w:rFonts w:hint="default" w:ascii="Times New Roman" w:hAnsi="Times New Roman" w:eastAsia="仿宋_GB2312" w:cs="Times New Roman"/>
          <w:spacing w:val="-6"/>
          <w:sz w:val="32"/>
          <w:szCs w:val="32"/>
          <w:u w:val="none" w:color="000000"/>
        </w:rPr>
        <w:t xml:space="preserve">  </w:t>
      </w:r>
      <w:r>
        <w:rPr>
          <w:rFonts w:hint="default" w:ascii="Times New Roman" w:hAnsi="Times New Roman" w:eastAsia="仿宋_GB2312" w:cs="Times New Roman"/>
          <w:spacing w:val="-6"/>
          <w:sz w:val="32"/>
          <w:szCs w:val="32"/>
          <w:u w:val="none" w:color="000000"/>
          <w:lang w:val="zh-TW" w:eastAsia="zh-TW"/>
        </w:rPr>
        <w:t>月</w:t>
      </w:r>
      <w:r>
        <w:rPr>
          <w:rFonts w:hint="default" w:ascii="Times New Roman" w:hAnsi="Times New Roman" w:eastAsia="仿宋_GB2312" w:cs="Times New Roman"/>
          <w:spacing w:val="-6"/>
          <w:sz w:val="32"/>
          <w:szCs w:val="32"/>
          <w:u w:val="none" w:color="000000"/>
        </w:rPr>
        <w:t xml:space="preserve">   </w:t>
      </w:r>
      <w:r>
        <w:rPr>
          <w:rFonts w:hint="default" w:ascii="Times New Roman" w:hAnsi="Times New Roman" w:eastAsia="仿宋_GB2312" w:cs="Times New Roman"/>
          <w:spacing w:val="-6"/>
          <w:sz w:val="32"/>
          <w:szCs w:val="32"/>
          <w:u w:val="none" w:color="000000"/>
          <w:lang w:val="zh-TW" w:eastAsia="zh-TW"/>
        </w:rPr>
        <w:t>日</w:t>
      </w:r>
    </w:p>
    <w:p w14:paraId="640D7410">
      <w:pPr>
        <w:spacing w:line="380" w:lineRule="exact"/>
        <w:ind w:firstLine="616" w:firstLineChars="200"/>
        <w:rPr>
          <w:rFonts w:hint="eastAsia" w:ascii="新宋体" w:hAnsi="新宋体" w:eastAsia="新宋体"/>
          <w:sz w:val="24"/>
          <w:u w:val="single"/>
        </w:rPr>
      </w:pPr>
      <w:r>
        <w:rPr>
          <w:rFonts w:hint="eastAsia" w:ascii="宋体" w:hAnsi="宋体" w:cs="宋体"/>
          <w:spacing w:val="-6"/>
          <w:sz w:val="32"/>
          <w:szCs w:val="32"/>
          <w:u w:val="none" w:color="000000"/>
          <w:lang w:val="zh-TW" w:eastAsia="zh-TW"/>
        </w:rPr>
        <w:br w:type="page"/>
      </w:r>
    </w:p>
    <w:p w14:paraId="41FDC507">
      <w:pPr>
        <w:pStyle w:val="35"/>
        <w:keepNext w:val="0"/>
        <w:keepLines w:val="0"/>
        <w:pageBreakBefore w:val="0"/>
        <w:widowControl w:val="0"/>
        <w:kinsoku/>
        <w:wordWrap/>
        <w:overflowPunct/>
        <w:topLinePunct w:val="0"/>
        <w:autoSpaceDE/>
        <w:autoSpaceDN/>
        <w:bidi w:val="0"/>
        <w:adjustRightInd/>
        <w:snapToGrid/>
        <w:spacing w:line="590" w:lineRule="exact"/>
        <w:ind w:firstLine="575" w:firstLineChars="187"/>
        <w:jc w:val="both"/>
        <w:textAlignment w:val="auto"/>
        <w:rPr>
          <w:rFonts w:hint="eastAsia"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sz w:val="32"/>
          <w:szCs w:val="32"/>
        </w:rPr>
        <w:t>甲乙双方根据202</w:t>
      </w:r>
      <w:r>
        <w:rPr>
          <w:rFonts w:hint="eastAsia" w:eastAsia="仿宋_GB2312" w:cs="Times New Roman"/>
          <w:spacing w:val="-6"/>
          <w:sz w:val="32"/>
          <w:szCs w:val="32"/>
          <w:lang w:val="en-US" w:eastAsia="zh-CN"/>
        </w:rPr>
        <w:t>6</w:t>
      </w:r>
      <w:r>
        <w:rPr>
          <w:rFonts w:hint="default" w:ascii="Times New Roman" w:hAnsi="Times New Roman" w:eastAsia="仿宋_GB2312" w:cs="Times New Roman"/>
          <w:spacing w:val="-6"/>
          <w:sz w:val="32"/>
          <w:szCs w:val="32"/>
        </w:rPr>
        <w:t>年</w:t>
      </w: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月</w:t>
      </w: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日义乌市机关后勤服务中心行政五号楼物业管理项目（采购编号：YWCG</w:t>
      </w:r>
      <w:r>
        <w:rPr>
          <w:rFonts w:hint="eastAsia"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TP）</w:t>
      </w:r>
      <w:r>
        <w:rPr>
          <w:rFonts w:hint="eastAsia" w:ascii="Times New Roman" w:hAnsi="Times New Roman" w:eastAsia="仿宋_GB2312" w:cs="Times New Roman"/>
          <w:spacing w:val="-6"/>
          <w:kern w:val="2"/>
          <w:sz w:val="32"/>
          <w:szCs w:val="32"/>
          <w:lang w:val="en-US" w:eastAsia="zh-CN" w:bidi="ar-SA"/>
        </w:rPr>
        <w:t>招标结果和招标文件的要求，并依照《中华人民共和国民法典》</w:t>
      </w:r>
      <w:r>
        <w:rPr>
          <w:rFonts w:hint="eastAsia" w:ascii="Times New Roman" w:hAnsi="Times New Roman" w:eastAsia="仿宋_GB2312" w:cs="Times New Roman"/>
          <w:spacing w:val="-6"/>
          <w:kern w:val="2"/>
          <w:sz w:val="32"/>
          <w:szCs w:val="32"/>
          <w:lang w:val="zh-CN" w:eastAsia="zh-CN" w:bidi="ar-SA"/>
        </w:rPr>
        <w:t>《中华人民共和国政府采购法》</w:t>
      </w:r>
      <w:r>
        <w:rPr>
          <w:rFonts w:hint="eastAsia" w:ascii="Times New Roman" w:hAnsi="Times New Roman" w:eastAsia="仿宋_GB2312" w:cs="Times New Roman"/>
          <w:spacing w:val="-6"/>
          <w:kern w:val="2"/>
          <w:sz w:val="32"/>
          <w:szCs w:val="32"/>
          <w:lang w:val="en-US" w:eastAsia="zh-CN" w:bidi="ar-SA"/>
        </w:rPr>
        <w:t>等有关法律、行政法规之规定，</w:t>
      </w:r>
      <w:r>
        <w:rPr>
          <w:rFonts w:hint="eastAsia" w:ascii="Times New Roman" w:hAnsi="Times New Roman" w:eastAsia="仿宋_GB2312" w:cs="Times New Roman"/>
          <w:spacing w:val="-6"/>
          <w:kern w:val="2"/>
          <w:sz w:val="32"/>
          <w:szCs w:val="32"/>
          <w:lang w:val="zh-CN" w:eastAsia="zh-CN" w:bidi="ar-SA"/>
        </w:rPr>
        <w:t>按照平等、自愿、公平、诚实信用的原则</w:t>
      </w:r>
      <w:r>
        <w:rPr>
          <w:rFonts w:hint="eastAsia" w:ascii="Times New Roman" w:hAnsi="Times New Roman" w:eastAsia="仿宋_GB2312" w:cs="Times New Roman"/>
          <w:spacing w:val="-6"/>
          <w:kern w:val="2"/>
          <w:sz w:val="32"/>
          <w:szCs w:val="32"/>
          <w:lang w:val="en-US" w:eastAsia="zh-CN" w:bidi="ar-SA"/>
        </w:rPr>
        <w:t>，经双方协商一致，</w:t>
      </w:r>
      <w:r>
        <w:rPr>
          <w:rFonts w:hint="eastAsia" w:ascii="Times New Roman" w:hAnsi="Times New Roman" w:eastAsia="仿宋_GB2312" w:cs="Times New Roman"/>
          <w:spacing w:val="-6"/>
          <w:kern w:val="2"/>
          <w:sz w:val="32"/>
          <w:szCs w:val="32"/>
          <w:lang w:val="zh-CN" w:eastAsia="zh-CN" w:bidi="ar-SA"/>
        </w:rPr>
        <w:t>约定以下合同</w:t>
      </w:r>
      <w:r>
        <w:rPr>
          <w:rFonts w:hint="eastAsia" w:ascii="Times New Roman" w:hAnsi="Times New Roman" w:eastAsia="仿宋_GB2312" w:cs="Times New Roman"/>
          <w:spacing w:val="-6"/>
          <w:kern w:val="2"/>
          <w:sz w:val="32"/>
          <w:szCs w:val="32"/>
          <w:lang w:val="en-US" w:eastAsia="zh-CN" w:bidi="ar-SA"/>
        </w:rPr>
        <w:t>条款，以兹共同遵守、全面履行。</w:t>
      </w:r>
    </w:p>
    <w:p w14:paraId="7DF71859">
      <w:pPr>
        <w:keepNext w:val="0"/>
        <w:keepLines w:val="0"/>
        <w:pageBreakBefore w:val="0"/>
        <w:widowControl w:val="0"/>
        <w:kinsoku/>
        <w:wordWrap/>
        <w:overflowPunct/>
        <w:topLinePunct w:val="0"/>
        <w:autoSpaceDE/>
        <w:autoSpaceDN/>
        <w:bidi w:val="0"/>
        <w:adjustRightInd/>
        <w:snapToGrid/>
        <w:spacing w:line="52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一、合同文件组成</w:t>
      </w:r>
    </w:p>
    <w:p w14:paraId="4EE87357">
      <w:pPr>
        <w:keepNext w:val="0"/>
        <w:keepLines w:val="0"/>
        <w:pageBreakBefore w:val="0"/>
        <w:widowControl w:val="0"/>
        <w:kinsoku/>
        <w:wordWrap/>
        <w:overflowPunct/>
        <w:topLinePunct w:val="0"/>
        <w:autoSpaceDE/>
        <w:autoSpaceDN/>
        <w:bidi w:val="0"/>
        <w:adjustRightInd/>
        <w:snapToGrid/>
        <w:spacing w:line="52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招标文件及其补充文件、询标承诺、询疑答复、谈判响应文件、双方来函。合同文件组成的所有内容是构成合同不可分割的部分，与合同具有同等法律效力。本合同（□是 □否）为可融资合同。</w:t>
      </w:r>
    </w:p>
    <w:p w14:paraId="0D409C21">
      <w:pPr>
        <w:keepNext w:val="0"/>
        <w:keepLines w:val="0"/>
        <w:pageBreakBefore w:val="0"/>
        <w:widowControl w:val="0"/>
        <w:kinsoku/>
        <w:wordWrap/>
        <w:overflowPunct/>
        <w:topLinePunct w:val="0"/>
        <w:autoSpaceDE/>
        <w:autoSpaceDN/>
        <w:bidi w:val="0"/>
        <w:adjustRightInd/>
        <w:snapToGrid/>
        <w:spacing w:line="52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二、合同金额</w:t>
      </w:r>
    </w:p>
    <w:p w14:paraId="6D34C49E">
      <w:pPr>
        <w:keepNext w:val="0"/>
        <w:keepLines w:val="0"/>
        <w:pageBreakBefore w:val="0"/>
        <w:widowControl w:val="0"/>
        <w:kinsoku/>
        <w:wordWrap/>
        <w:overflowPunct/>
        <w:topLinePunct w:val="0"/>
        <w:autoSpaceDE/>
        <w:autoSpaceDN/>
        <w:bidi w:val="0"/>
        <w:adjustRightInd/>
        <w:snapToGrid/>
        <w:spacing w:line="520" w:lineRule="exact"/>
        <w:ind w:firstLine="616" w:firstLineChars="200"/>
        <w:jc w:val="both"/>
        <w:textAlignment w:val="auto"/>
        <w:rPr>
          <w:rFonts w:hint="default" w:ascii="Times New Roman" w:hAnsi="Times New Roman" w:eastAsia="仿宋_GB2312" w:cs="Times New Roman"/>
          <w:b/>
          <w:spacing w:val="-6"/>
          <w:sz w:val="32"/>
          <w:szCs w:val="32"/>
        </w:rPr>
      </w:pPr>
      <w:r>
        <w:rPr>
          <w:rFonts w:hint="default" w:ascii="Times New Roman" w:hAnsi="Times New Roman" w:eastAsia="仿宋_GB2312" w:cs="Times New Roman"/>
          <w:spacing w:val="-6"/>
          <w:sz w:val="32"/>
          <w:szCs w:val="32"/>
        </w:rPr>
        <w:t>合同总价中须包括所有标书中约定的服务内容及合同中明示或暗示的所有一般风险、责任和义务等一切应由甲方支付的费用，投标报价以人民币为结算货币，投标报价须</w:t>
      </w:r>
      <w:r>
        <w:rPr>
          <w:rFonts w:hint="default" w:ascii="Times New Roman" w:hAnsi="Times New Roman" w:eastAsia="仿宋_GB2312" w:cs="Times New Roman"/>
          <w:b/>
          <w:spacing w:val="-6"/>
          <w:sz w:val="32"/>
          <w:szCs w:val="32"/>
        </w:rPr>
        <w:t>包括人员工资，按规定缴纳的各类保险，加班费，管理费用，税费，固定资产折旧费，企业提取费用，所有材料及易耗品（包括卫生纸、擦手纸、洗手液、塑料袋、除臭香球、除臭剂等耗材）费用，工具，福利费，培训费，物业办公费用，房租费，服装费，夜餐费，伙食费，过节费，奖励费，劳保费，体检费，外墙清洗费、弱电及供水、供电等设备设施的日常维护(不含消防、空调日常维护、保养产生费用)，浙江省义乌市最低基本工资的增资因素，其它合同中明示或暗示的所有一般风险、责任和义务等所有费用。如有漏项，视同已包含在其总报价中，合同单价及总价不予调整。</w:t>
      </w:r>
    </w:p>
    <w:p w14:paraId="22FB1C84">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right"/>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单位：元</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157"/>
        <w:gridCol w:w="2345"/>
        <w:gridCol w:w="884"/>
        <w:gridCol w:w="2660"/>
      </w:tblGrid>
      <w:tr w14:paraId="3BB3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noWrap w:val="0"/>
            <w:vAlign w:val="center"/>
          </w:tcPr>
          <w:p w14:paraId="63C8A3E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序号</w:t>
            </w:r>
          </w:p>
        </w:tc>
        <w:tc>
          <w:tcPr>
            <w:tcW w:w="2157" w:type="dxa"/>
            <w:noWrap w:val="0"/>
            <w:vAlign w:val="center"/>
          </w:tcPr>
          <w:p w14:paraId="3F0CF6E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服务名称</w:t>
            </w:r>
          </w:p>
        </w:tc>
        <w:tc>
          <w:tcPr>
            <w:tcW w:w="2345" w:type="dxa"/>
            <w:noWrap w:val="0"/>
            <w:vAlign w:val="center"/>
          </w:tcPr>
          <w:p w14:paraId="1E27360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物业管理</w:t>
            </w:r>
          </w:p>
          <w:p w14:paraId="7C1DE71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每年费用</w:t>
            </w:r>
          </w:p>
        </w:tc>
        <w:tc>
          <w:tcPr>
            <w:tcW w:w="884" w:type="dxa"/>
            <w:noWrap w:val="0"/>
            <w:vAlign w:val="center"/>
          </w:tcPr>
          <w:p w14:paraId="2AAA753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年数</w:t>
            </w:r>
          </w:p>
        </w:tc>
        <w:tc>
          <w:tcPr>
            <w:tcW w:w="2660" w:type="dxa"/>
            <w:noWrap w:val="0"/>
            <w:vAlign w:val="center"/>
          </w:tcPr>
          <w:p w14:paraId="49DDD07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物业管理总费用(元)</w:t>
            </w:r>
          </w:p>
        </w:tc>
      </w:tr>
      <w:tr w14:paraId="3D9C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993" w:type="dxa"/>
            <w:noWrap w:val="0"/>
            <w:vAlign w:val="center"/>
          </w:tcPr>
          <w:p w14:paraId="2F0CA52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1</w:t>
            </w:r>
          </w:p>
        </w:tc>
        <w:tc>
          <w:tcPr>
            <w:tcW w:w="2157" w:type="dxa"/>
            <w:noWrap w:val="0"/>
            <w:vAlign w:val="center"/>
          </w:tcPr>
          <w:p w14:paraId="5DBFD94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行政五号楼物业管理服务项目</w:t>
            </w:r>
          </w:p>
        </w:tc>
        <w:tc>
          <w:tcPr>
            <w:tcW w:w="2345" w:type="dxa"/>
            <w:noWrap w:val="0"/>
            <w:vAlign w:val="center"/>
          </w:tcPr>
          <w:p w14:paraId="20AA3B8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lang w:val="en-US" w:eastAsia="zh-CN"/>
              </w:rPr>
            </w:pPr>
            <w:r>
              <w:rPr>
                <w:rFonts w:hint="eastAsia" w:eastAsia="仿宋_GB2312" w:cs="Times New Roman"/>
                <w:spacing w:val="-6"/>
                <w:sz w:val="28"/>
                <w:szCs w:val="28"/>
                <w:lang w:val="en-US" w:eastAsia="zh-CN"/>
              </w:rPr>
              <w:t xml:space="preserve"> </w:t>
            </w:r>
          </w:p>
        </w:tc>
        <w:tc>
          <w:tcPr>
            <w:tcW w:w="884" w:type="dxa"/>
            <w:noWrap w:val="0"/>
            <w:vAlign w:val="center"/>
          </w:tcPr>
          <w:p w14:paraId="02E470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eastAsia="仿宋_GB2312" w:cs="Times New Roman"/>
                <w:spacing w:val="-6"/>
                <w:sz w:val="28"/>
                <w:szCs w:val="28"/>
                <w:lang w:val="en-US" w:eastAsia="zh-CN"/>
              </w:rPr>
              <w:t>1</w:t>
            </w:r>
          </w:p>
        </w:tc>
        <w:tc>
          <w:tcPr>
            <w:tcW w:w="2660" w:type="dxa"/>
            <w:noWrap w:val="0"/>
            <w:vAlign w:val="center"/>
          </w:tcPr>
          <w:p w14:paraId="1A4B550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lang w:val="en-US" w:eastAsia="zh-CN"/>
              </w:rPr>
            </w:pPr>
          </w:p>
        </w:tc>
      </w:tr>
      <w:tr w14:paraId="1A73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atLeast"/>
          <w:jc w:val="center"/>
        </w:trPr>
        <w:tc>
          <w:tcPr>
            <w:tcW w:w="993" w:type="dxa"/>
            <w:noWrap w:val="0"/>
            <w:vAlign w:val="center"/>
          </w:tcPr>
          <w:p w14:paraId="76DE4A2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合计</w:t>
            </w:r>
          </w:p>
        </w:tc>
        <w:tc>
          <w:tcPr>
            <w:tcW w:w="8046" w:type="dxa"/>
            <w:gridSpan w:val="4"/>
            <w:noWrap w:val="0"/>
            <w:vAlign w:val="center"/>
          </w:tcPr>
          <w:p w14:paraId="0BBEC3C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大写：</w:t>
            </w:r>
            <w:r>
              <w:rPr>
                <w:rFonts w:hint="eastAsia"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元整</w:t>
            </w:r>
          </w:p>
          <w:p w14:paraId="6319257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小写：￥</w:t>
            </w:r>
            <w:r>
              <w:rPr>
                <w:rFonts w:hint="eastAsia" w:eastAsia="仿宋_GB2312" w:cs="Times New Roman"/>
                <w:spacing w:val="-6"/>
                <w:sz w:val="28"/>
                <w:szCs w:val="28"/>
                <w:lang w:val="en-US" w:eastAsia="zh-CN"/>
              </w:rPr>
              <w:t xml:space="preserve">    </w:t>
            </w:r>
            <w:r>
              <w:rPr>
                <w:rFonts w:hint="default" w:ascii="Times New Roman" w:hAnsi="Times New Roman" w:eastAsia="仿宋_GB2312" w:cs="Times New Roman"/>
                <w:spacing w:val="-6"/>
                <w:sz w:val="28"/>
                <w:szCs w:val="28"/>
              </w:rPr>
              <w:t>元</w:t>
            </w:r>
          </w:p>
        </w:tc>
      </w:tr>
    </w:tbl>
    <w:p w14:paraId="16D592DF">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三、服务期限</w:t>
      </w:r>
    </w:p>
    <w:p w14:paraId="77FD409F">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本合同服务期限：1年；自</w:t>
      </w:r>
      <w:r>
        <w:rPr>
          <w:rFonts w:hint="eastAsia" w:ascii="Times New Roman" w:hAnsi="Times New Roman" w:eastAsia="仿宋_GB2312" w:cs="Times New Roman"/>
          <w:spacing w:val="-6"/>
          <w:sz w:val="32"/>
          <w:szCs w:val="32"/>
          <w:u w:val="single"/>
          <w:lang w:val="en-US" w:eastAsia="zh-CN"/>
        </w:rPr>
        <w:t>202</w:t>
      </w:r>
      <w:r>
        <w:rPr>
          <w:rFonts w:hint="eastAsia" w:eastAsia="仿宋_GB2312" w:cs="Times New Roman"/>
          <w:spacing w:val="-6"/>
          <w:sz w:val="32"/>
          <w:szCs w:val="32"/>
          <w:u w:val="single"/>
          <w:lang w:val="en-US" w:eastAsia="zh-CN"/>
        </w:rPr>
        <w:t>6</w:t>
      </w:r>
      <w:r>
        <w:rPr>
          <w:rFonts w:hint="default"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u w:val="single"/>
          <w:lang w:val="en-US" w:eastAsia="zh-CN"/>
        </w:rPr>
        <w:t>6</w:t>
      </w:r>
      <w:r>
        <w:rPr>
          <w:rFonts w:hint="default" w:ascii="Times New Roman" w:hAnsi="Times New Roman" w:eastAsia="仿宋_GB2312" w:cs="Times New Roman"/>
          <w:spacing w:val="-6"/>
          <w:sz w:val="32"/>
          <w:szCs w:val="32"/>
        </w:rPr>
        <w:t>月</w:t>
      </w:r>
      <w:r>
        <w:rPr>
          <w:rFonts w:hint="eastAsia" w:eastAsia="仿宋_GB2312" w:cs="Times New Roman"/>
          <w:spacing w:val="-6"/>
          <w:sz w:val="32"/>
          <w:szCs w:val="32"/>
          <w:u w:val="single"/>
          <w:lang w:val="en-US" w:eastAsia="zh-CN"/>
        </w:rPr>
        <w:t>22</w:t>
      </w:r>
      <w:r>
        <w:rPr>
          <w:rFonts w:hint="default" w:ascii="Times New Roman" w:hAnsi="Times New Roman" w:eastAsia="仿宋_GB2312" w:cs="Times New Roman"/>
          <w:spacing w:val="-6"/>
          <w:sz w:val="32"/>
          <w:szCs w:val="32"/>
        </w:rPr>
        <w:t>日（服务人员、物力资源全部到位之日起开始计算）起至</w:t>
      </w:r>
      <w:r>
        <w:rPr>
          <w:rFonts w:hint="eastAsia" w:ascii="Times New Roman" w:hAnsi="Times New Roman" w:eastAsia="仿宋_GB2312" w:cs="Times New Roman"/>
          <w:spacing w:val="-6"/>
          <w:sz w:val="32"/>
          <w:szCs w:val="32"/>
          <w:u w:val="single"/>
          <w:lang w:val="en-US" w:eastAsia="zh-CN"/>
        </w:rPr>
        <w:t>202</w:t>
      </w:r>
      <w:r>
        <w:rPr>
          <w:rFonts w:hint="eastAsia" w:eastAsia="仿宋_GB2312" w:cs="Times New Roman"/>
          <w:spacing w:val="-6"/>
          <w:sz w:val="32"/>
          <w:szCs w:val="32"/>
          <w:u w:val="single"/>
          <w:lang w:val="en-US" w:eastAsia="zh-CN"/>
        </w:rPr>
        <w:t>7</w:t>
      </w:r>
      <w:r>
        <w:rPr>
          <w:rFonts w:hint="default"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u w:val="single"/>
          <w:lang w:val="en-US" w:eastAsia="zh-CN"/>
        </w:rPr>
        <w:t>6</w:t>
      </w:r>
      <w:r>
        <w:rPr>
          <w:rFonts w:hint="default" w:ascii="Times New Roman" w:hAnsi="Times New Roman" w:eastAsia="仿宋_GB2312" w:cs="Times New Roman"/>
          <w:spacing w:val="-6"/>
          <w:sz w:val="32"/>
          <w:szCs w:val="32"/>
        </w:rPr>
        <w:t>月</w:t>
      </w:r>
      <w:r>
        <w:rPr>
          <w:rFonts w:hint="eastAsia" w:eastAsia="仿宋_GB2312" w:cs="Times New Roman"/>
          <w:spacing w:val="-6"/>
          <w:sz w:val="32"/>
          <w:szCs w:val="32"/>
          <w:u w:val="single"/>
          <w:lang w:val="en-US" w:eastAsia="zh-CN"/>
        </w:rPr>
        <w:t>21</w:t>
      </w:r>
      <w:r>
        <w:rPr>
          <w:rFonts w:hint="default" w:ascii="Times New Roman" w:hAnsi="Times New Roman" w:eastAsia="仿宋_GB2312" w:cs="Times New Roman"/>
          <w:spacing w:val="-6"/>
          <w:sz w:val="32"/>
          <w:szCs w:val="32"/>
        </w:rPr>
        <w:t>日止。乙方未按本合同约定履约，甲方有权解除本合同，并追究乙方违约责任。</w:t>
      </w:r>
    </w:p>
    <w:p w14:paraId="371140A7">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本合同服务期满后，乙方在十二个月的考核成绩平均分达到85分及以上，经甲乙双方协商一致后，可续签合同。如续签，则最多续签2次且每次续签合同期限为1年，全部合同累计时间最长3年。同时新一期的承包合同服务要求与上一期相同，且一年的承包总价不高于上一年的承包总价，费用结算方式与上一期合同一致。</w:t>
      </w:r>
    </w:p>
    <w:p w14:paraId="62BDDD32">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四、付款方式</w:t>
      </w:r>
    </w:p>
    <w:p w14:paraId="0BFBDABF">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sz w:val="32"/>
          <w:szCs w:val="32"/>
        </w:rPr>
        <w:t>1.</w:t>
      </w:r>
      <w:r>
        <w:rPr>
          <w:rFonts w:hint="eastAsia" w:ascii="Times New Roman" w:hAnsi="Times New Roman" w:eastAsia="仿宋_GB2312" w:cs="Times New Roman"/>
          <w:spacing w:val="-6"/>
          <w:kern w:val="2"/>
          <w:sz w:val="32"/>
          <w:szCs w:val="32"/>
          <w:lang w:val="en-US" w:eastAsia="zh-CN" w:bidi="ar-SA"/>
        </w:rPr>
        <w:t>在合同生效以及具备实施条件后7日内，甲方向乙方支付合同总价的40%作为预付款，剩余款项自项目履约开始在考核合格后由甲方于每月20日支付前根据考核情况和实际到岗人数按照剩余合同款平均数（计数12个月）支付上月费用，在签订合同时，乙方明确标书无需预付款或者主动要求降低预付款比例的，甲方可不支付或减少预付款支付比例。</w:t>
      </w:r>
    </w:p>
    <w:p w14:paraId="0836248C">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2.结算款项时，乙方凭发票、备案后的合同向甲方申请支付。</w:t>
      </w:r>
    </w:p>
    <w:p w14:paraId="1B9D1199">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五、甲乙双方的责任</w:t>
      </w:r>
    </w:p>
    <w:p w14:paraId="6F69AF01">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（一）甲方职责</w:t>
      </w:r>
    </w:p>
    <w:p w14:paraId="1ECBF3AE">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1.甲方依据合同对乙方的工作定期、不定期监督检查，对未履约或履约不完整的部分，以整改通知单形式及时通知乙方，同时跟踪落实情况。</w:t>
      </w:r>
    </w:p>
    <w:p w14:paraId="4C043A07">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2.在服务区域内提供适当房屋供乙方现场办公，上下班更换衣服和存放清洁机器、工具和材料等。</w:t>
      </w:r>
    </w:p>
    <w:p w14:paraId="62AF9DE1">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3.提供水电给乙方使用。</w:t>
      </w:r>
    </w:p>
    <w:p w14:paraId="582876AE">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4.辖区的水电费用、消防系统和电梯的专业维护费用等由甲方另外支付，不含在物业管理服务费用内。</w:t>
      </w:r>
    </w:p>
    <w:p w14:paraId="13EB4D46">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5.甲方向乙方承诺按照合同约定的期限和方式支付合同价款。</w:t>
      </w:r>
    </w:p>
    <w:p w14:paraId="78130DF3">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（二）乙方职责</w:t>
      </w:r>
    </w:p>
    <w:p w14:paraId="0826FC49">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1.严格依照本合同规定的具体标准，保证物业管理的服务质量，不断提高服务水平。</w:t>
      </w:r>
    </w:p>
    <w:p w14:paraId="63411045">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2.教育员工遵守甲方的各项管理制度，接受监督，爱护各种设施，注意节约用水用电。</w:t>
      </w:r>
    </w:p>
    <w:p w14:paraId="2809C8A3">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3.乙方必须按有关规定足额交纳员工社会保险金，并足额支付员工超时及节假日加班费用。</w:t>
      </w:r>
    </w:p>
    <w:p w14:paraId="4E6698BE">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4.乙方直接聘用所有参与行政五号楼物业管理服务的全部员工，总共50人，其中包括水电工6人，保洁22人（含物业经理1人），保安22人（含消控人员6人）。工程人员作好大楼相关保障；保洁工作日全员上班，节假期日安排人员值班；消控室365×24安排值守。</w:t>
      </w:r>
    </w:p>
    <w:p w14:paraId="3813DE5F">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5.凡甲方检查中发现乙方员工人数不足的，每少一人次扣1分，并由乙方承担违约金1000元（员工请病假、事假的,请办理相关手续后报甲方备案），该违约金由甲方在应付款中预先扣除。</w:t>
      </w:r>
    </w:p>
    <w:p w14:paraId="50956B80">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6.乙方认可所有员工的资质和行为准则必须符合本合同及合同附件考核细则和甲方有关规章制度的规定执行，项目经理等岗位人员必须按照有关规定持证上岗。</w:t>
      </w:r>
    </w:p>
    <w:p w14:paraId="0A426321">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7.乙方应全面落实人员登记制度，加强员工管理，保证甲方的安全、有序。</w:t>
      </w:r>
    </w:p>
    <w:p w14:paraId="0BE8A167">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8.严格遵守甲方的各项规章制度，对乙方违规违纪人员，乙方应按照甲方的要求及时采取更换、辞退、解聘等措施。</w:t>
      </w:r>
    </w:p>
    <w:p w14:paraId="447124CA">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9.乙方应建立健全实用内部监督考核机制，定期内部考核，层层落实，确保各物业服务项目符合标准，如因监督管理不善，导致物业不符合标准的，甲方将对其进行考核，乙方不得将考核扣分简单地分解给员工，以免引起一些不良的后果。</w:t>
      </w:r>
    </w:p>
    <w:p w14:paraId="5EA66DBC">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10.乙方新进员工必须接受教育培训，培训合格后方可上岗。</w:t>
      </w:r>
    </w:p>
    <w:p w14:paraId="0A940069">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11.乙方应加强员工队伍建设，统一着装，佩证上岗，树立良好的形象。</w:t>
      </w:r>
    </w:p>
    <w:p w14:paraId="7DABE57C">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12.乙方员工发生的工伤、意外事故、劳资纠纷等一切后果及费用由乙方全权负责，与甲方无关。</w:t>
      </w:r>
    </w:p>
    <w:p w14:paraId="4BA7B760">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13.工具材料、易耗品由乙方提供，并负责管理和使用，费用由乙方自行承担。</w:t>
      </w:r>
    </w:p>
    <w:p w14:paraId="33274DB1">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14.</w:t>
      </w:r>
      <w:r>
        <w:rPr>
          <w:rFonts w:hint="default" w:ascii="Times New Roman" w:hAnsi="Times New Roman" w:eastAsia="仿宋_GB2312" w:cs="Times New Roman"/>
          <w:spacing w:val="-14"/>
          <w:sz w:val="32"/>
          <w:szCs w:val="32"/>
        </w:rPr>
        <w:t>乙方物业工作时间安排应符合政府机关实际情况和规定时间。</w:t>
      </w:r>
    </w:p>
    <w:p w14:paraId="10CCA9B6">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15.由于乙方原因造成消防、电气、漏水等事故，由乙方承担相应法律与经济责任。</w:t>
      </w:r>
    </w:p>
    <w:p w14:paraId="475BF8E0">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16.乙方员工应节约用水、用电，杜绝浪费。</w:t>
      </w:r>
    </w:p>
    <w:p w14:paraId="1C0A5DFF">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17.乙方有义务配合甲方做好创建、文明卫生宣传等工作。</w:t>
      </w:r>
    </w:p>
    <w:p w14:paraId="2552C28C">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18.乙方员工拾捡的所有废品，须统一管理，不得乱堆乱放，造成安全事故一切后果由乙方承担。</w:t>
      </w:r>
    </w:p>
    <w:p w14:paraId="33BE6C14">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19.因地面清洁不及时或湿滑等原因导致人员摔伤，车辆管理不善导致碰撞的，后果由乙方承担。</w:t>
      </w:r>
    </w:p>
    <w:p w14:paraId="05E090B3">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六、违约赔偿</w:t>
      </w:r>
    </w:p>
    <w:p w14:paraId="3E0CC728">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1.甲方无故</w:t>
      </w:r>
      <w:r>
        <w:rPr>
          <w:rFonts w:hint="eastAsia" w:ascii="Times New Roman" w:hAnsi="Times New Roman" w:eastAsia="仿宋_GB2312" w:cs="Times New Roman"/>
          <w:spacing w:val="-6"/>
          <w:sz w:val="32"/>
          <w:szCs w:val="32"/>
          <w:lang w:eastAsia="zh-CN"/>
        </w:rPr>
        <w:t>不</w:t>
      </w:r>
      <w:r>
        <w:rPr>
          <w:rFonts w:hint="default" w:ascii="Times New Roman" w:hAnsi="Times New Roman" w:eastAsia="仿宋_GB2312" w:cs="Times New Roman"/>
          <w:spacing w:val="-6"/>
          <w:sz w:val="32"/>
          <w:szCs w:val="32"/>
        </w:rPr>
        <w:t>办理款项支付手续的,甲方应按逾期付款总额每日万分之五向乙方支付违约金。</w:t>
      </w:r>
    </w:p>
    <w:p w14:paraId="4393F29A">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2.乙方未能按约提供服务的，每日向甲方支付合同</w:t>
      </w:r>
      <w:r>
        <w:rPr>
          <w:rFonts w:hint="eastAsia" w:ascii="Times New Roman" w:hAnsi="Times New Roman" w:eastAsia="仿宋_GB2312" w:cs="Times New Roman"/>
          <w:spacing w:val="-6"/>
          <w:sz w:val="32"/>
          <w:szCs w:val="32"/>
          <w:lang w:eastAsia="zh-CN"/>
        </w:rPr>
        <w:t>总金额</w:t>
      </w:r>
      <w:r>
        <w:rPr>
          <w:rFonts w:hint="default" w:ascii="Times New Roman" w:hAnsi="Times New Roman" w:eastAsia="仿宋_GB2312" w:cs="Times New Roman"/>
          <w:spacing w:val="-6"/>
          <w:sz w:val="32"/>
          <w:szCs w:val="32"/>
        </w:rPr>
        <w:t>的千分之六作为违约金。乙方超过10个工作日仍不能按约提供服务的，甲方可解除本合同。乙方因未能如期提供服务或因其他违约行为导</w:t>
      </w:r>
      <w:r>
        <w:rPr>
          <w:rFonts w:hint="default" w:ascii="Times New Roman" w:hAnsi="Times New Roman" w:eastAsia="仿宋_GB2312" w:cs="Times New Roman"/>
          <w:spacing w:val="-8"/>
          <w:sz w:val="32"/>
          <w:szCs w:val="32"/>
        </w:rPr>
        <w:t>致甲方解除合同的，乙方应向甲方支付合同总金额5%的违约金，如造成甲方损失超过违约金的，超出部分由乙方继续承担赔偿责任。</w:t>
      </w:r>
    </w:p>
    <w:p w14:paraId="0CA7E493">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3.如果乙方提供的服务项目的质量未达到本合同规定标准的，则甲方有权要求乙方限期改正，乙方需向甲方偿付合同款项的30%的违约金。如造成甲方损失超过违约金的，超出部分由乙方继续承担赔偿责任。</w:t>
      </w:r>
    </w:p>
    <w:p w14:paraId="04F0DBFA">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七、技术资料</w:t>
      </w:r>
    </w:p>
    <w:p w14:paraId="76DD4658">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pacing w:val="-14"/>
          <w:sz w:val="32"/>
          <w:szCs w:val="32"/>
        </w:rPr>
        <w:t>乙方应按招标文件规定的时间向甲方提供服务的有关技术资料。</w:t>
      </w:r>
    </w:p>
    <w:p w14:paraId="680EE118">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34440729">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八、转包或分包</w:t>
      </w:r>
    </w:p>
    <w:p w14:paraId="46C34A46">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1.本合同范围的服务，应由乙方直接供应，不得转让他人供应；</w:t>
      </w:r>
    </w:p>
    <w:p w14:paraId="1E883698">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2.乙方不得将本合同范围的服务全部或部分分包给他人供应；</w:t>
      </w:r>
    </w:p>
    <w:p w14:paraId="2001C655">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3.如有转让和分包行为，甲方解除合同并追究乙方的违约责任。</w:t>
      </w:r>
    </w:p>
    <w:p w14:paraId="71C865F6">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九、不可抗力事件处理</w:t>
      </w:r>
    </w:p>
    <w:p w14:paraId="1013C298">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1.不可抗力事件发生后，应立即通知对方，并寄送有关权威机构出具的证明。</w:t>
      </w:r>
    </w:p>
    <w:p w14:paraId="18EE7DD4">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w:t>
      </w:r>
      <w:r>
        <w:rPr>
          <w:rFonts w:hint="default" w:ascii="Times New Roman" w:hAnsi="Times New Roman" w:eastAsia="仿宋_GB2312" w:cs="Times New Roman"/>
          <w:spacing w:val="-10"/>
          <w:sz w:val="32"/>
          <w:szCs w:val="32"/>
        </w:rPr>
        <w:t>在合同有效期内，任何一方因不可抗力事件导致不能履行合同，应通过友好协商的方式处理合同后续是否履行、如何履行的问题。</w:t>
      </w:r>
    </w:p>
    <w:p w14:paraId="5AFE3813">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黑体" w:hAnsi="黑体" w:eastAsia="黑体" w:cs="黑体"/>
          <w:spacing w:val="-6"/>
          <w:sz w:val="32"/>
          <w:szCs w:val="32"/>
        </w:rPr>
      </w:pPr>
      <w:r>
        <w:rPr>
          <w:rFonts w:hint="default" w:ascii="黑体" w:hAnsi="黑体" w:eastAsia="黑体" w:cs="黑体"/>
          <w:spacing w:val="-6"/>
          <w:sz w:val="32"/>
          <w:szCs w:val="32"/>
        </w:rPr>
        <w:t>十、诉讼</w:t>
      </w:r>
    </w:p>
    <w:p w14:paraId="2760C7B4">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本合同履行地为义乌市，本合同履行过程中发生争议的诉讼，可协商解决，协商不成的，向合同履行地法院提起诉讼。</w:t>
      </w:r>
    </w:p>
    <w:p w14:paraId="232E3A27">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eastAsia" w:ascii="黑体" w:hAnsi="黑体" w:eastAsia="黑体" w:cs="黑体"/>
          <w:spacing w:val="-6"/>
          <w:sz w:val="32"/>
          <w:szCs w:val="32"/>
        </w:rPr>
      </w:pPr>
      <w:r>
        <w:rPr>
          <w:rFonts w:hint="eastAsia" w:ascii="黑体" w:hAnsi="黑体" w:eastAsia="黑体" w:cs="黑体"/>
          <w:spacing w:val="-6"/>
          <w:sz w:val="32"/>
          <w:szCs w:val="32"/>
        </w:rPr>
        <w:t>十一、合同生效及其它</w:t>
      </w:r>
    </w:p>
    <w:p w14:paraId="71D793A6">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12"/>
          <w:sz w:val="32"/>
          <w:szCs w:val="32"/>
        </w:rPr>
      </w:pPr>
      <w:r>
        <w:rPr>
          <w:rFonts w:hint="default" w:ascii="Times New Roman" w:hAnsi="Times New Roman" w:eastAsia="仿宋_GB2312" w:cs="Times New Roman"/>
          <w:spacing w:val="-6"/>
          <w:sz w:val="32"/>
          <w:szCs w:val="32"/>
        </w:rPr>
        <w:t>1.</w:t>
      </w:r>
      <w:r>
        <w:rPr>
          <w:rFonts w:hint="default" w:ascii="Times New Roman" w:hAnsi="Times New Roman" w:eastAsia="仿宋_GB2312" w:cs="Times New Roman"/>
          <w:spacing w:val="-14"/>
          <w:sz w:val="32"/>
          <w:szCs w:val="32"/>
        </w:rPr>
        <w:t>合同经双方法定代表人或授权代表签字并加盖单位公章后生效</w:t>
      </w:r>
      <w:r>
        <w:rPr>
          <w:rFonts w:hint="default" w:ascii="Times New Roman" w:hAnsi="Times New Roman" w:eastAsia="仿宋_GB2312" w:cs="Times New Roman"/>
          <w:spacing w:val="-12"/>
          <w:sz w:val="32"/>
          <w:szCs w:val="32"/>
        </w:rPr>
        <w:t>。</w:t>
      </w:r>
    </w:p>
    <w:p w14:paraId="299B7D15">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2.本合同一式四份，甲乙双方各执一份，义乌市财政局和义乌市政府采购中心各执一份，均具同等效力。</w:t>
      </w:r>
    </w:p>
    <w:p w14:paraId="59FF2FC2">
      <w:pPr>
        <w:keepNext w:val="0"/>
        <w:keepLines w:val="0"/>
        <w:pageBreakBefore w:val="0"/>
        <w:widowControl w:val="0"/>
        <w:kinsoku/>
        <w:wordWrap/>
        <w:overflowPunct/>
        <w:topLinePunct w:val="0"/>
        <w:autoSpaceDE/>
        <w:autoSpaceDN/>
        <w:bidi w:val="0"/>
        <w:adjustRightInd/>
        <w:snapToGrid/>
        <w:spacing w:line="590" w:lineRule="exact"/>
        <w:ind w:firstLine="616" w:firstLineChars="20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3.本合同未尽事宜，双方可以增加条款或补充协议的形式加以补充,但增加或补充协议的条款不得对招标文件作实质性修改。补充协议与本合同具有相同的法律效力。</w:t>
      </w:r>
    </w:p>
    <w:tbl>
      <w:tblPr>
        <w:tblStyle w:val="63"/>
        <w:tblW w:w="9408" w:type="dxa"/>
        <w:jc w:val="center"/>
        <w:tblLayout w:type="fixed"/>
        <w:tblCellMar>
          <w:top w:w="80" w:type="dxa"/>
          <w:left w:w="80" w:type="dxa"/>
          <w:bottom w:w="80" w:type="dxa"/>
          <w:right w:w="80" w:type="dxa"/>
        </w:tblCellMar>
      </w:tblPr>
      <w:tblGrid>
        <w:gridCol w:w="753"/>
        <w:gridCol w:w="1532"/>
        <w:gridCol w:w="2297"/>
        <w:gridCol w:w="2413"/>
        <w:gridCol w:w="2413"/>
      </w:tblGrid>
      <w:tr w14:paraId="282A6A2E">
        <w:tblPrEx>
          <w:tblCellMar>
            <w:top w:w="80" w:type="dxa"/>
            <w:left w:w="80" w:type="dxa"/>
            <w:bottom w:w="80" w:type="dxa"/>
            <w:right w:w="80" w:type="dxa"/>
          </w:tblCellMar>
        </w:tblPrEx>
        <w:trPr>
          <w:trHeight w:val="550" w:hRule="atLeast"/>
          <w:jc w:val="center"/>
        </w:trPr>
        <w:tc>
          <w:tcPr>
            <w:tcW w:w="753" w:type="dxa"/>
            <w:vMerge w:val="restart"/>
            <w:tcBorders>
              <w:top w:val="single" w:color="000001" w:sz="12" w:space="0"/>
              <w:left w:val="single" w:color="000001" w:sz="12" w:space="0"/>
              <w:right w:val="single" w:color="000001" w:sz="4" w:space="0"/>
            </w:tcBorders>
            <w:noWrap w:val="0"/>
            <w:vAlign w:val="center"/>
          </w:tcPr>
          <w:p w14:paraId="30C515D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甲</w:t>
            </w:r>
          </w:p>
          <w:p w14:paraId="7307A02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方</w:t>
            </w:r>
          </w:p>
        </w:tc>
        <w:tc>
          <w:tcPr>
            <w:tcW w:w="1532" w:type="dxa"/>
            <w:tcBorders>
              <w:top w:val="single" w:color="000001" w:sz="12" w:space="0"/>
              <w:left w:val="single" w:color="000001" w:sz="4" w:space="0"/>
              <w:bottom w:val="single" w:color="000001" w:sz="4" w:space="0"/>
              <w:right w:val="single" w:color="000001" w:sz="4" w:space="0"/>
            </w:tcBorders>
            <w:noWrap w:val="0"/>
            <w:vAlign w:val="center"/>
          </w:tcPr>
          <w:p w14:paraId="6E2C4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甲方</w:t>
            </w:r>
          </w:p>
        </w:tc>
        <w:tc>
          <w:tcPr>
            <w:tcW w:w="7123" w:type="dxa"/>
            <w:gridSpan w:val="3"/>
            <w:tcBorders>
              <w:top w:val="single" w:color="000001" w:sz="12" w:space="0"/>
              <w:left w:val="single" w:color="000001" w:sz="4" w:space="0"/>
              <w:bottom w:val="single" w:color="000001" w:sz="4" w:space="0"/>
              <w:right w:val="single" w:color="000001" w:sz="12" w:space="0"/>
            </w:tcBorders>
            <w:noWrap w:val="0"/>
            <w:vAlign w:val="center"/>
          </w:tcPr>
          <w:p w14:paraId="5366438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义乌市</w:t>
            </w:r>
            <w:r>
              <w:rPr>
                <w:rFonts w:hint="default" w:ascii="Times New Roman" w:hAnsi="Times New Roman" w:eastAsia="仿宋_GB2312" w:cs="Times New Roman"/>
                <w:spacing w:val="-6"/>
                <w:sz w:val="28"/>
                <w:szCs w:val="28"/>
                <w:lang w:val="zh-TW"/>
              </w:rPr>
              <w:t>机关</w:t>
            </w:r>
            <w:r>
              <w:rPr>
                <w:rFonts w:hint="default" w:ascii="Times New Roman" w:hAnsi="Times New Roman" w:eastAsia="仿宋_GB2312" w:cs="Times New Roman"/>
                <w:spacing w:val="-6"/>
                <w:sz w:val="28"/>
                <w:szCs w:val="28"/>
              </w:rPr>
              <w:t>后勤服务中心</w:t>
            </w:r>
            <w:r>
              <w:rPr>
                <w:rFonts w:hint="default" w:ascii="Times New Roman" w:hAnsi="Times New Roman" w:eastAsia="仿宋_GB2312" w:cs="Times New Roman"/>
                <w:spacing w:val="-6"/>
                <w:sz w:val="28"/>
                <w:szCs w:val="28"/>
                <w:lang w:val="zh-TW" w:eastAsia="zh-TW"/>
              </w:rPr>
              <w:t xml:space="preserve">   </w:t>
            </w:r>
            <w:r>
              <w:rPr>
                <w:rFonts w:hint="default" w:ascii="Times New Roman" w:hAnsi="Times New Roman" w:eastAsia="仿宋_GB2312" w:cs="Times New Roman"/>
                <w:spacing w:val="-6"/>
                <w:sz w:val="28"/>
                <w:szCs w:val="28"/>
              </w:rPr>
              <w:t>(</w:t>
            </w:r>
            <w:r>
              <w:rPr>
                <w:rFonts w:hint="default" w:ascii="Times New Roman" w:hAnsi="Times New Roman" w:eastAsia="仿宋_GB2312" w:cs="Times New Roman"/>
                <w:spacing w:val="-6"/>
                <w:sz w:val="28"/>
                <w:szCs w:val="28"/>
                <w:lang w:val="zh-TW" w:eastAsia="zh-TW"/>
              </w:rPr>
              <w:t>盖章</w:t>
            </w:r>
            <w:r>
              <w:rPr>
                <w:rFonts w:hint="default" w:ascii="Times New Roman" w:hAnsi="Times New Roman" w:eastAsia="仿宋_GB2312" w:cs="Times New Roman"/>
                <w:spacing w:val="-6"/>
                <w:sz w:val="28"/>
                <w:szCs w:val="28"/>
              </w:rPr>
              <w:t>)</w:t>
            </w:r>
          </w:p>
        </w:tc>
      </w:tr>
      <w:tr w14:paraId="2E808B3E">
        <w:tblPrEx>
          <w:tblCellMar>
            <w:top w:w="80" w:type="dxa"/>
            <w:left w:w="80" w:type="dxa"/>
            <w:bottom w:w="80" w:type="dxa"/>
            <w:right w:w="80" w:type="dxa"/>
          </w:tblCellMar>
        </w:tblPrEx>
        <w:trPr>
          <w:trHeight w:val="726" w:hRule="atLeast"/>
          <w:jc w:val="center"/>
        </w:trPr>
        <w:tc>
          <w:tcPr>
            <w:tcW w:w="753" w:type="dxa"/>
            <w:vMerge w:val="continue"/>
            <w:tcBorders>
              <w:left w:val="single" w:color="000001" w:sz="12" w:space="0"/>
              <w:right w:val="single" w:color="000001" w:sz="4" w:space="0"/>
            </w:tcBorders>
            <w:noWrap w:val="0"/>
            <w:vAlign w:val="center"/>
          </w:tcPr>
          <w:p w14:paraId="6DDE5133">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31278D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法定代表人</w:t>
            </w:r>
          </w:p>
        </w:tc>
        <w:tc>
          <w:tcPr>
            <w:tcW w:w="2297" w:type="dxa"/>
            <w:tcBorders>
              <w:top w:val="single" w:color="000001" w:sz="4" w:space="0"/>
              <w:left w:val="single" w:color="000001" w:sz="4" w:space="0"/>
              <w:bottom w:val="single" w:color="000001" w:sz="4" w:space="0"/>
              <w:right w:val="single" w:color="000001" w:sz="4" w:space="0"/>
            </w:tcBorders>
            <w:noWrap w:val="0"/>
            <w:vAlign w:val="center"/>
          </w:tcPr>
          <w:p w14:paraId="347B8A8F">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lang w:val="zh-TW" w:eastAsia="zh-TW"/>
              </w:rPr>
            </w:pPr>
          </w:p>
          <w:p w14:paraId="65D52E86">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(签章)</w:t>
            </w:r>
          </w:p>
        </w:tc>
        <w:tc>
          <w:tcPr>
            <w:tcW w:w="2413" w:type="dxa"/>
            <w:tcBorders>
              <w:top w:val="single" w:color="000001" w:sz="4" w:space="0"/>
              <w:left w:val="single" w:color="000001" w:sz="4" w:space="0"/>
              <w:bottom w:val="single" w:color="000001" w:sz="4" w:space="0"/>
              <w:right w:val="single" w:color="000001" w:sz="4" w:space="0"/>
            </w:tcBorders>
            <w:noWrap w:val="0"/>
            <w:vAlign w:val="center"/>
          </w:tcPr>
          <w:p w14:paraId="6C5A64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授权代表</w:t>
            </w:r>
          </w:p>
        </w:tc>
        <w:tc>
          <w:tcPr>
            <w:tcW w:w="2413" w:type="dxa"/>
            <w:tcBorders>
              <w:top w:val="single" w:color="000001" w:sz="4" w:space="0"/>
              <w:left w:val="single" w:color="000001" w:sz="4" w:space="0"/>
              <w:bottom w:val="single" w:color="000001" w:sz="4" w:space="0"/>
              <w:right w:val="single" w:color="000001" w:sz="12" w:space="0"/>
            </w:tcBorders>
            <w:noWrap w:val="0"/>
            <w:vAlign w:val="center"/>
          </w:tcPr>
          <w:p w14:paraId="1F6CC5DA">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lang w:val="zh-TW" w:eastAsia="zh-TW"/>
              </w:rPr>
            </w:pPr>
          </w:p>
          <w:p w14:paraId="756B7D33">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(签章)</w:t>
            </w:r>
          </w:p>
        </w:tc>
      </w:tr>
      <w:tr w14:paraId="5AB96D2B">
        <w:tblPrEx>
          <w:tblCellMar>
            <w:top w:w="80" w:type="dxa"/>
            <w:left w:w="80" w:type="dxa"/>
            <w:bottom w:w="80" w:type="dxa"/>
            <w:right w:w="80" w:type="dxa"/>
          </w:tblCellMar>
        </w:tblPrEx>
        <w:trPr>
          <w:trHeight w:val="726" w:hRule="atLeast"/>
          <w:jc w:val="center"/>
        </w:trPr>
        <w:tc>
          <w:tcPr>
            <w:tcW w:w="753" w:type="dxa"/>
            <w:vMerge w:val="continue"/>
            <w:tcBorders>
              <w:left w:val="single" w:color="000001" w:sz="12" w:space="0"/>
              <w:right w:val="single" w:color="000001" w:sz="4" w:space="0"/>
            </w:tcBorders>
            <w:noWrap w:val="0"/>
            <w:vAlign w:val="center"/>
          </w:tcPr>
          <w:p w14:paraId="711AA449">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0A32E5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lang w:val="zh-TW" w:eastAsia="zh-TW"/>
              </w:rPr>
            </w:pPr>
            <w:r>
              <w:rPr>
                <w:rFonts w:hint="default" w:ascii="Times New Roman" w:hAnsi="Times New Roman" w:eastAsia="仿宋_GB2312" w:cs="Times New Roman"/>
                <w:spacing w:val="-6"/>
                <w:sz w:val="28"/>
                <w:szCs w:val="28"/>
              </w:rPr>
              <w:t>科室负责人</w:t>
            </w:r>
          </w:p>
        </w:tc>
        <w:tc>
          <w:tcPr>
            <w:tcW w:w="2297" w:type="dxa"/>
            <w:tcBorders>
              <w:top w:val="single" w:color="000001" w:sz="4" w:space="0"/>
              <w:left w:val="single" w:color="000001" w:sz="4" w:space="0"/>
              <w:bottom w:val="single" w:color="000001" w:sz="4" w:space="0"/>
              <w:right w:val="single" w:color="000001" w:sz="4" w:space="0"/>
            </w:tcBorders>
            <w:noWrap w:val="0"/>
            <w:vAlign w:val="center"/>
          </w:tcPr>
          <w:p w14:paraId="334F49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28"/>
                <w:szCs w:val="28"/>
                <w:lang w:val="en-US" w:eastAsia="zh-CN"/>
              </w:rPr>
            </w:pPr>
          </w:p>
        </w:tc>
        <w:tc>
          <w:tcPr>
            <w:tcW w:w="2413" w:type="dxa"/>
            <w:tcBorders>
              <w:top w:val="single" w:color="000001" w:sz="4" w:space="0"/>
              <w:left w:val="single" w:color="000001" w:sz="4" w:space="0"/>
              <w:bottom w:val="single" w:color="000001" w:sz="4" w:space="0"/>
              <w:right w:val="single" w:color="000001" w:sz="4" w:space="0"/>
            </w:tcBorders>
            <w:noWrap w:val="0"/>
            <w:vAlign w:val="center"/>
          </w:tcPr>
          <w:p w14:paraId="62C122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pacing w:val="-6"/>
                <w:sz w:val="28"/>
                <w:szCs w:val="28"/>
                <w:lang w:val="en-US" w:eastAsia="zh-CN"/>
              </w:rPr>
            </w:pPr>
            <w:r>
              <w:rPr>
                <w:rFonts w:hint="eastAsia" w:eastAsia="仿宋_GB2312" w:cs="Times New Roman"/>
                <w:spacing w:val="-6"/>
                <w:sz w:val="28"/>
                <w:szCs w:val="28"/>
                <w:lang w:val="en-US" w:eastAsia="zh-CN"/>
              </w:rPr>
              <w:t>经办人</w:t>
            </w:r>
          </w:p>
        </w:tc>
        <w:tc>
          <w:tcPr>
            <w:tcW w:w="2413" w:type="dxa"/>
            <w:tcBorders>
              <w:top w:val="single" w:color="000001" w:sz="4" w:space="0"/>
              <w:left w:val="single" w:color="000001" w:sz="4" w:space="0"/>
              <w:bottom w:val="single" w:color="000001" w:sz="4" w:space="0"/>
              <w:right w:val="single" w:color="000001" w:sz="12" w:space="0"/>
            </w:tcBorders>
            <w:noWrap w:val="0"/>
            <w:vAlign w:val="center"/>
          </w:tcPr>
          <w:p w14:paraId="4C730A51">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r>
      <w:tr w14:paraId="6EE2FC3E">
        <w:tblPrEx>
          <w:tblCellMar>
            <w:top w:w="80" w:type="dxa"/>
            <w:left w:w="80" w:type="dxa"/>
            <w:bottom w:w="80" w:type="dxa"/>
            <w:right w:w="80" w:type="dxa"/>
          </w:tblCellMar>
        </w:tblPrEx>
        <w:trPr>
          <w:trHeight w:val="90" w:hRule="atLeast"/>
          <w:jc w:val="center"/>
        </w:trPr>
        <w:tc>
          <w:tcPr>
            <w:tcW w:w="753" w:type="dxa"/>
            <w:vMerge w:val="continue"/>
            <w:tcBorders>
              <w:left w:val="single" w:color="000001" w:sz="12" w:space="0"/>
              <w:right w:val="single" w:color="000001" w:sz="4" w:space="0"/>
            </w:tcBorders>
            <w:noWrap w:val="0"/>
            <w:vAlign w:val="center"/>
          </w:tcPr>
          <w:p w14:paraId="57DE5B21">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60C68F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通讯地址</w:t>
            </w:r>
          </w:p>
        </w:tc>
        <w:tc>
          <w:tcPr>
            <w:tcW w:w="7123" w:type="dxa"/>
            <w:gridSpan w:val="3"/>
            <w:tcBorders>
              <w:top w:val="single" w:color="000001" w:sz="4" w:space="0"/>
              <w:left w:val="single" w:color="000001" w:sz="4" w:space="0"/>
              <w:bottom w:val="single" w:color="000001" w:sz="4" w:space="0"/>
              <w:right w:val="single" w:color="000001" w:sz="12" w:space="0"/>
            </w:tcBorders>
            <w:noWrap w:val="0"/>
            <w:vAlign w:val="center"/>
          </w:tcPr>
          <w:p w14:paraId="353B478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义乌市</w:t>
            </w:r>
            <w:r>
              <w:rPr>
                <w:rFonts w:hint="default" w:ascii="Times New Roman" w:hAnsi="Times New Roman" w:eastAsia="仿宋_GB2312" w:cs="Times New Roman"/>
                <w:spacing w:val="-6"/>
                <w:sz w:val="28"/>
                <w:szCs w:val="28"/>
                <w:lang w:val="zh-TW"/>
              </w:rPr>
              <w:t>县前街</w:t>
            </w:r>
            <w:r>
              <w:rPr>
                <w:rFonts w:hint="default" w:ascii="Times New Roman" w:hAnsi="Times New Roman" w:eastAsia="仿宋_GB2312" w:cs="Times New Roman"/>
                <w:spacing w:val="-6"/>
                <w:sz w:val="28"/>
                <w:szCs w:val="28"/>
              </w:rPr>
              <w:t>21号</w:t>
            </w:r>
          </w:p>
        </w:tc>
      </w:tr>
      <w:tr w14:paraId="093D1848">
        <w:tblPrEx>
          <w:tblCellMar>
            <w:top w:w="80" w:type="dxa"/>
            <w:left w:w="80" w:type="dxa"/>
            <w:bottom w:w="80" w:type="dxa"/>
            <w:right w:w="80" w:type="dxa"/>
          </w:tblCellMar>
        </w:tblPrEx>
        <w:trPr>
          <w:trHeight w:val="595" w:hRule="atLeast"/>
          <w:jc w:val="center"/>
        </w:trPr>
        <w:tc>
          <w:tcPr>
            <w:tcW w:w="753" w:type="dxa"/>
            <w:vMerge w:val="continue"/>
            <w:tcBorders>
              <w:left w:val="single" w:color="000001" w:sz="12" w:space="0"/>
              <w:bottom w:val="single" w:color="000001" w:sz="4" w:space="0"/>
              <w:right w:val="single" w:color="000001" w:sz="4" w:space="0"/>
            </w:tcBorders>
            <w:noWrap w:val="0"/>
            <w:vAlign w:val="center"/>
          </w:tcPr>
          <w:p w14:paraId="236DF2FE">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240F75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电话</w:t>
            </w:r>
          </w:p>
        </w:tc>
        <w:tc>
          <w:tcPr>
            <w:tcW w:w="2297" w:type="dxa"/>
            <w:tcBorders>
              <w:top w:val="single" w:color="000001" w:sz="4" w:space="0"/>
              <w:left w:val="single" w:color="000001" w:sz="4" w:space="0"/>
              <w:bottom w:val="single" w:color="000001" w:sz="4" w:space="0"/>
              <w:right w:val="single" w:color="000001" w:sz="4" w:space="0"/>
            </w:tcBorders>
            <w:noWrap w:val="0"/>
            <w:vAlign w:val="center"/>
          </w:tcPr>
          <w:p w14:paraId="0649C1CB">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2413" w:type="dxa"/>
            <w:tcBorders>
              <w:top w:val="single" w:color="000001" w:sz="4" w:space="0"/>
              <w:left w:val="single" w:color="000001" w:sz="4" w:space="0"/>
              <w:bottom w:val="single" w:color="000001" w:sz="4" w:space="0"/>
              <w:right w:val="single" w:color="000001" w:sz="4" w:space="0"/>
            </w:tcBorders>
            <w:noWrap w:val="0"/>
            <w:vAlign w:val="center"/>
          </w:tcPr>
          <w:p w14:paraId="70C7C77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邮编</w:t>
            </w:r>
          </w:p>
        </w:tc>
        <w:tc>
          <w:tcPr>
            <w:tcW w:w="2413" w:type="dxa"/>
            <w:tcBorders>
              <w:top w:val="single" w:color="000001" w:sz="4" w:space="0"/>
              <w:left w:val="single" w:color="000001" w:sz="4" w:space="0"/>
              <w:bottom w:val="single" w:color="000001" w:sz="4" w:space="0"/>
              <w:right w:val="single" w:color="000001" w:sz="12" w:space="0"/>
            </w:tcBorders>
            <w:noWrap w:val="0"/>
            <w:vAlign w:val="center"/>
          </w:tcPr>
          <w:p w14:paraId="305E6B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322000</w:t>
            </w:r>
          </w:p>
        </w:tc>
      </w:tr>
      <w:tr w14:paraId="01F9478E">
        <w:tblPrEx>
          <w:tblCellMar>
            <w:top w:w="80" w:type="dxa"/>
            <w:left w:w="80" w:type="dxa"/>
            <w:bottom w:w="80" w:type="dxa"/>
            <w:right w:w="80" w:type="dxa"/>
          </w:tblCellMar>
        </w:tblPrEx>
        <w:trPr>
          <w:trHeight w:val="530" w:hRule="atLeast"/>
          <w:jc w:val="center"/>
        </w:trPr>
        <w:tc>
          <w:tcPr>
            <w:tcW w:w="753" w:type="dxa"/>
            <w:vMerge w:val="restart"/>
            <w:tcBorders>
              <w:top w:val="single" w:color="000001" w:sz="4" w:space="0"/>
              <w:left w:val="single" w:color="000001" w:sz="12" w:space="0"/>
              <w:bottom w:val="single" w:color="000001" w:sz="4" w:space="0"/>
              <w:right w:val="single" w:color="000001" w:sz="4" w:space="0"/>
            </w:tcBorders>
            <w:noWrap w:val="0"/>
            <w:vAlign w:val="center"/>
          </w:tcPr>
          <w:p w14:paraId="50613C3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乙</w:t>
            </w:r>
          </w:p>
          <w:p w14:paraId="027A315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方</w:t>
            </w: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2B79D8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乙方</w:t>
            </w:r>
          </w:p>
        </w:tc>
        <w:tc>
          <w:tcPr>
            <w:tcW w:w="7123" w:type="dxa"/>
            <w:gridSpan w:val="3"/>
            <w:tcBorders>
              <w:top w:val="single" w:color="000001" w:sz="4" w:space="0"/>
              <w:left w:val="single" w:color="000001" w:sz="4" w:space="0"/>
              <w:bottom w:val="single" w:color="000001" w:sz="4" w:space="0"/>
              <w:right w:val="single" w:color="000001" w:sz="12" w:space="0"/>
            </w:tcBorders>
            <w:noWrap w:val="0"/>
            <w:vAlign w:val="center"/>
          </w:tcPr>
          <w:p w14:paraId="4147543E">
            <w:pPr>
              <w:keepNext w:val="0"/>
              <w:keepLines w:val="0"/>
              <w:pageBreakBefore w:val="0"/>
              <w:widowControl w:val="0"/>
              <w:kinsoku/>
              <w:wordWrap/>
              <w:overflowPunct/>
              <w:topLinePunct w:val="0"/>
              <w:autoSpaceDE/>
              <w:autoSpaceDN/>
              <w:bidi w:val="0"/>
              <w:adjustRightInd/>
              <w:snapToGrid/>
              <w:spacing w:line="400" w:lineRule="exact"/>
              <w:ind w:firstLine="3752" w:firstLineChars="1400"/>
              <w:jc w:val="both"/>
              <w:textAlignment w:val="auto"/>
              <w:rPr>
                <w:rFonts w:hint="default" w:ascii="Times New Roman" w:hAnsi="Times New Roman" w:eastAsia="仿宋_GB2312" w:cs="Times New Roman"/>
                <w:spacing w:val="-6"/>
                <w:sz w:val="28"/>
                <w:szCs w:val="28"/>
                <w:lang w:val="zh-TW" w:eastAsia="zh-TW"/>
              </w:rPr>
            </w:pPr>
            <w:r>
              <w:rPr>
                <w:rFonts w:hint="default" w:ascii="Times New Roman" w:hAnsi="Times New Roman" w:eastAsia="仿宋_GB2312" w:cs="Times New Roman"/>
                <w:spacing w:val="-6"/>
                <w:sz w:val="28"/>
                <w:szCs w:val="28"/>
                <w:lang w:val="zh-TW" w:eastAsia="zh-TW"/>
              </w:rPr>
              <w:t>(盖章)</w:t>
            </w:r>
          </w:p>
        </w:tc>
      </w:tr>
      <w:tr w14:paraId="1A80124C">
        <w:tblPrEx>
          <w:tblCellMar>
            <w:top w:w="80" w:type="dxa"/>
            <w:left w:w="80" w:type="dxa"/>
            <w:bottom w:w="80" w:type="dxa"/>
            <w:right w:w="80" w:type="dxa"/>
          </w:tblCellMar>
        </w:tblPrEx>
        <w:trPr>
          <w:trHeight w:val="784" w:hRule="atLeast"/>
          <w:jc w:val="center"/>
        </w:trPr>
        <w:tc>
          <w:tcPr>
            <w:tcW w:w="753" w:type="dxa"/>
            <w:vMerge w:val="continue"/>
            <w:tcBorders>
              <w:top w:val="single" w:color="000001" w:sz="4" w:space="0"/>
              <w:left w:val="single" w:color="000001" w:sz="12" w:space="0"/>
              <w:bottom w:val="single" w:color="000001" w:sz="4" w:space="0"/>
              <w:right w:val="single" w:color="000001" w:sz="4" w:space="0"/>
            </w:tcBorders>
            <w:noWrap w:val="0"/>
            <w:vAlign w:val="top"/>
          </w:tcPr>
          <w:p w14:paraId="5CC8AF14">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6A9CF9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法定代表人</w:t>
            </w:r>
          </w:p>
        </w:tc>
        <w:tc>
          <w:tcPr>
            <w:tcW w:w="2297" w:type="dxa"/>
            <w:tcBorders>
              <w:top w:val="single" w:color="000001" w:sz="4" w:space="0"/>
              <w:left w:val="single" w:color="000001" w:sz="4" w:space="0"/>
              <w:bottom w:val="single" w:color="000001" w:sz="4" w:space="0"/>
              <w:right w:val="single" w:color="000001" w:sz="4" w:space="0"/>
            </w:tcBorders>
            <w:noWrap w:val="0"/>
            <w:vAlign w:val="center"/>
          </w:tcPr>
          <w:p w14:paraId="5D50C977">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p w14:paraId="34A1581D">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w:t>
            </w:r>
            <w:r>
              <w:rPr>
                <w:rFonts w:hint="default" w:ascii="Times New Roman" w:hAnsi="Times New Roman" w:eastAsia="仿宋_GB2312" w:cs="Times New Roman"/>
                <w:spacing w:val="-6"/>
                <w:sz w:val="28"/>
                <w:szCs w:val="28"/>
                <w:lang w:val="zh-TW" w:eastAsia="zh-TW"/>
              </w:rPr>
              <w:t>签章</w:t>
            </w:r>
            <w:r>
              <w:rPr>
                <w:rFonts w:hint="default" w:ascii="Times New Roman" w:hAnsi="Times New Roman" w:eastAsia="仿宋_GB2312" w:cs="Times New Roman"/>
                <w:spacing w:val="-6"/>
                <w:sz w:val="28"/>
                <w:szCs w:val="28"/>
              </w:rPr>
              <w:t>)</w:t>
            </w:r>
          </w:p>
        </w:tc>
        <w:tc>
          <w:tcPr>
            <w:tcW w:w="2413" w:type="dxa"/>
            <w:tcBorders>
              <w:top w:val="single" w:color="000001" w:sz="4" w:space="0"/>
              <w:left w:val="single" w:color="000001" w:sz="4" w:space="0"/>
              <w:bottom w:val="single" w:color="000001" w:sz="4" w:space="0"/>
              <w:right w:val="single" w:color="000001" w:sz="4" w:space="0"/>
            </w:tcBorders>
            <w:noWrap w:val="0"/>
            <w:vAlign w:val="center"/>
          </w:tcPr>
          <w:p w14:paraId="05E657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授权代表</w:t>
            </w:r>
          </w:p>
        </w:tc>
        <w:tc>
          <w:tcPr>
            <w:tcW w:w="2413" w:type="dxa"/>
            <w:tcBorders>
              <w:top w:val="single" w:color="000001" w:sz="4" w:space="0"/>
              <w:left w:val="single" w:color="000001" w:sz="4" w:space="0"/>
              <w:bottom w:val="single" w:color="000001" w:sz="4" w:space="0"/>
              <w:right w:val="single" w:color="000001" w:sz="12" w:space="0"/>
            </w:tcBorders>
            <w:noWrap w:val="0"/>
            <w:vAlign w:val="center"/>
          </w:tcPr>
          <w:p w14:paraId="39734984">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lang w:val="zh-TW" w:eastAsia="zh-TW"/>
              </w:rPr>
            </w:pPr>
          </w:p>
          <w:p w14:paraId="2EFA9D07">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（签章）</w:t>
            </w:r>
          </w:p>
        </w:tc>
      </w:tr>
      <w:tr w14:paraId="7F78F80E">
        <w:tblPrEx>
          <w:tblCellMar>
            <w:top w:w="80" w:type="dxa"/>
            <w:left w:w="80" w:type="dxa"/>
            <w:bottom w:w="80" w:type="dxa"/>
            <w:right w:w="80" w:type="dxa"/>
          </w:tblCellMar>
        </w:tblPrEx>
        <w:trPr>
          <w:trHeight w:val="549" w:hRule="atLeast"/>
          <w:jc w:val="center"/>
        </w:trPr>
        <w:tc>
          <w:tcPr>
            <w:tcW w:w="753" w:type="dxa"/>
            <w:vMerge w:val="continue"/>
            <w:tcBorders>
              <w:top w:val="single" w:color="000001" w:sz="4" w:space="0"/>
              <w:left w:val="single" w:color="000001" w:sz="12" w:space="0"/>
              <w:bottom w:val="single" w:color="000001" w:sz="4" w:space="0"/>
              <w:right w:val="single" w:color="000001" w:sz="4" w:space="0"/>
            </w:tcBorders>
            <w:noWrap w:val="0"/>
            <w:vAlign w:val="top"/>
          </w:tcPr>
          <w:p w14:paraId="63C5BA76">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34944C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联系人</w:t>
            </w:r>
          </w:p>
        </w:tc>
        <w:tc>
          <w:tcPr>
            <w:tcW w:w="2297" w:type="dxa"/>
            <w:tcBorders>
              <w:top w:val="single" w:color="000001" w:sz="4" w:space="0"/>
              <w:left w:val="single" w:color="000001" w:sz="4" w:space="0"/>
              <w:bottom w:val="single" w:color="000001" w:sz="4" w:space="0"/>
              <w:right w:val="single" w:color="000001" w:sz="4" w:space="0"/>
            </w:tcBorders>
            <w:noWrap w:val="0"/>
            <w:vAlign w:val="center"/>
          </w:tcPr>
          <w:p w14:paraId="15F9796C">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c>
          <w:tcPr>
            <w:tcW w:w="2413" w:type="dxa"/>
            <w:tcBorders>
              <w:top w:val="single" w:color="000001" w:sz="4" w:space="0"/>
              <w:left w:val="single" w:color="000001" w:sz="4" w:space="0"/>
              <w:bottom w:val="single" w:color="000001" w:sz="4" w:space="0"/>
              <w:right w:val="single" w:color="000001" w:sz="4" w:space="0"/>
            </w:tcBorders>
            <w:noWrap w:val="0"/>
            <w:vAlign w:val="center"/>
          </w:tcPr>
          <w:p w14:paraId="3C8490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电话</w:t>
            </w:r>
          </w:p>
        </w:tc>
        <w:tc>
          <w:tcPr>
            <w:tcW w:w="2413" w:type="dxa"/>
            <w:tcBorders>
              <w:top w:val="single" w:color="000001" w:sz="4" w:space="0"/>
              <w:left w:val="single" w:color="000001" w:sz="4" w:space="0"/>
              <w:bottom w:val="single" w:color="000001" w:sz="4" w:space="0"/>
              <w:right w:val="single" w:color="000001" w:sz="12" w:space="0"/>
            </w:tcBorders>
            <w:noWrap w:val="0"/>
            <w:vAlign w:val="center"/>
          </w:tcPr>
          <w:p w14:paraId="4F9FA3C3">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center"/>
              <w:textAlignment w:val="auto"/>
              <w:rPr>
                <w:rFonts w:hint="default" w:ascii="Times New Roman" w:hAnsi="Times New Roman" w:eastAsia="仿宋_GB2312" w:cs="Times New Roman"/>
                <w:spacing w:val="-6"/>
                <w:sz w:val="28"/>
                <w:szCs w:val="28"/>
              </w:rPr>
            </w:pPr>
          </w:p>
        </w:tc>
      </w:tr>
      <w:tr w14:paraId="15837D03">
        <w:tblPrEx>
          <w:tblCellMar>
            <w:top w:w="80" w:type="dxa"/>
            <w:left w:w="80" w:type="dxa"/>
            <w:bottom w:w="80" w:type="dxa"/>
            <w:right w:w="80" w:type="dxa"/>
          </w:tblCellMar>
        </w:tblPrEx>
        <w:trPr>
          <w:trHeight w:val="619" w:hRule="atLeast"/>
          <w:jc w:val="center"/>
        </w:trPr>
        <w:tc>
          <w:tcPr>
            <w:tcW w:w="753" w:type="dxa"/>
            <w:vMerge w:val="continue"/>
            <w:tcBorders>
              <w:top w:val="single" w:color="000001" w:sz="4" w:space="0"/>
              <w:left w:val="single" w:color="000001" w:sz="12" w:space="0"/>
              <w:bottom w:val="single" w:color="000001" w:sz="4" w:space="0"/>
              <w:right w:val="single" w:color="000001" w:sz="4" w:space="0"/>
            </w:tcBorders>
            <w:noWrap w:val="0"/>
            <w:vAlign w:val="top"/>
          </w:tcPr>
          <w:p w14:paraId="33F57928">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4242C3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通讯地址</w:t>
            </w:r>
          </w:p>
        </w:tc>
        <w:tc>
          <w:tcPr>
            <w:tcW w:w="7123" w:type="dxa"/>
            <w:gridSpan w:val="3"/>
            <w:tcBorders>
              <w:top w:val="single" w:color="000001" w:sz="4" w:space="0"/>
              <w:left w:val="single" w:color="000001" w:sz="4" w:space="0"/>
              <w:bottom w:val="single" w:color="000001" w:sz="4" w:space="0"/>
              <w:right w:val="single" w:color="000001" w:sz="12" w:space="0"/>
            </w:tcBorders>
            <w:noWrap w:val="0"/>
            <w:vAlign w:val="center"/>
          </w:tcPr>
          <w:p w14:paraId="51D60A46">
            <w:pPr>
              <w:widowControl w:val="0"/>
              <w:spacing w:line="400" w:lineRule="exact"/>
              <w:jc w:val="both"/>
              <w:rPr>
                <w:rFonts w:hint="default" w:ascii="Times New Roman" w:hAnsi="Times New Roman" w:eastAsia="仿宋_GB2312" w:cs="Times New Roman"/>
                <w:color w:val="auto"/>
                <w:kern w:val="2"/>
                <w:sz w:val="28"/>
                <w:szCs w:val="28"/>
                <w:highlight w:val="none"/>
                <w:u w:val="none" w:color="000000"/>
                <w:lang w:val="en-US" w:eastAsia="zh-CN" w:bidi="ar-SA"/>
              </w:rPr>
            </w:pPr>
          </w:p>
        </w:tc>
      </w:tr>
      <w:tr w14:paraId="192779C9">
        <w:tblPrEx>
          <w:tblCellMar>
            <w:top w:w="80" w:type="dxa"/>
            <w:left w:w="80" w:type="dxa"/>
            <w:bottom w:w="80" w:type="dxa"/>
            <w:right w:w="80" w:type="dxa"/>
          </w:tblCellMar>
        </w:tblPrEx>
        <w:trPr>
          <w:trHeight w:val="566" w:hRule="atLeast"/>
          <w:jc w:val="center"/>
        </w:trPr>
        <w:tc>
          <w:tcPr>
            <w:tcW w:w="753" w:type="dxa"/>
            <w:vMerge w:val="continue"/>
            <w:tcBorders>
              <w:top w:val="single" w:color="000001" w:sz="4" w:space="0"/>
              <w:left w:val="single" w:color="000001" w:sz="12" w:space="0"/>
              <w:bottom w:val="single" w:color="000001" w:sz="4" w:space="0"/>
              <w:right w:val="single" w:color="000001" w:sz="4" w:space="0"/>
            </w:tcBorders>
            <w:noWrap w:val="0"/>
            <w:vAlign w:val="top"/>
          </w:tcPr>
          <w:p w14:paraId="4A7E2557">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4" w:space="0"/>
              <w:right w:val="single" w:color="000001" w:sz="4" w:space="0"/>
            </w:tcBorders>
            <w:noWrap w:val="0"/>
            <w:vAlign w:val="center"/>
          </w:tcPr>
          <w:p w14:paraId="6B699F3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lang w:val="zh-TW" w:eastAsia="zh-TW"/>
              </w:rPr>
              <w:t>开户银行</w:t>
            </w:r>
          </w:p>
        </w:tc>
        <w:tc>
          <w:tcPr>
            <w:tcW w:w="7123" w:type="dxa"/>
            <w:gridSpan w:val="3"/>
            <w:tcBorders>
              <w:top w:val="single" w:color="000001" w:sz="4" w:space="0"/>
              <w:left w:val="single" w:color="000001" w:sz="4" w:space="0"/>
              <w:bottom w:val="single" w:color="000001" w:sz="4" w:space="0"/>
              <w:right w:val="single" w:color="000001" w:sz="12" w:space="0"/>
            </w:tcBorders>
            <w:noWrap w:val="0"/>
            <w:vAlign w:val="center"/>
          </w:tcPr>
          <w:p w14:paraId="22985572">
            <w:pPr>
              <w:widowControl w:val="0"/>
              <w:spacing w:line="400" w:lineRule="exact"/>
              <w:jc w:val="both"/>
              <w:rPr>
                <w:rFonts w:hint="default" w:ascii="Times New Roman" w:hAnsi="Times New Roman" w:eastAsia="仿宋_GB2312" w:cs="Times New Roman"/>
                <w:color w:val="auto"/>
                <w:kern w:val="2"/>
                <w:sz w:val="28"/>
                <w:szCs w:val="28"/>
                <w:highlight w:val="none"/>
                <w:u w:val="none" w:color="000000"/>
                <w:lang w:val="en-US" w:eastAsia="zh-CN" w:bidi="ar-SA"/>
              </w:rPr>
            </w:pPr>
          </w:p>
        </w:tc>
      </w:tr>
      <w:tr w14:paraId="48932B2B">
        <w:tblPrEx>
          <w:tblCellMar>
            <w:top w:w="80" w:type="dxa"/>
            <w:left w:w="80" w:type="dxa"/>
            <w:bottom w:w="80" w:type="dxa"/>
            <w:right w:w="80" w:type="dxa"/>
          </w:tblCellMar>
        </w:tblPrEx>
        <w:trPr>
          <w:trHeight w:val="486" w:hRule="atLeast"/>
          <w:jc w:val="center"/>
        </w:trPr>
        <w:tc>
          <w:tcPr>
            <w:tcW w:w="753" w:type="dxa"/>
            <w:vMerge w:val="continue"/>
            <w:tcBorders>
              <w:top w:val="single" w:color="000001" w:sz="4" w:space="0"/>
              <w:left w:val="single" w:color="000001" w:sz="12" w:space="0"/>
              <w:bottom w:val="single" w:color="000001" w:sz="12" w:space="0"/>
              <w:right w:val="single" w:color="000001" w:sz="4" w:space="0"/>
            </w:tcBorders>
            <w:noWrap w:val="0"/>
            <w:vAlign w:val="top"/>
          </w:tcPr>
          <w:p w14:paraId="56BAB02A">
            <w:pPr>
              <w:keepNext w:val="0"/>
              <w:keepLines w:val="0"/>
              <w:pageBreakBefore w:val="0"/>
              <w:widowControl w:val="0"/>
              <w:kinsoku/>
              <w:wordWrap/>
              <w:overflowPunct/>
              <w:topLinePunct w:val="0"/>
              <w:autoSpaceDE/>
              <w:autoSpaceDN/>
              <w:bidi w:val="0"/>
              <w:adjustRightInd/>
              <w:snapToGrid/>
              <w:spacing w:line="400" w:lineRule="exact"/>
              <w:ind w:firstLine="536" w:firstLineChars="200"/>
              <w:jc w:val="both"/>
              <w:textAlignment w:val="auto"/>
              <w:rPr>
                <w:rFonts w:hint="default" w:ascii="Times New Roman" w:hAnsi="Times New Roman" w:eastAsia="仿宋_GB2312" w:cs="Times New Roman"/>
                <w:spacing w:val="-6"/>
                <w:sz w:val="28"/>
                <w:szCs w:val="28"/>
              </w:rPr>
            </w:pPr>
          </w:p>
        </w:tc>
        <w:tc>
          <w:tcPr>
            <w:tcW w:w="1532" w:type="dxa"/>
            <w:tcBorders>
              <w:top w:val="single" w:color="000001" w:sz="4" w:space="0"/>
              <w:left w:val="single" w:color="000001" w:sz="4" w:space="0"/>
              <w:bottom w:val="single" w:color="000001" w:sz="12" w:space="0"/>
              <w:right w:val="single" w:color="000001" w:sz="4" w:space="0"/>
            </w:tcBorders>
            <w:noWrap w:val="0"/>
            <w:vAlign w:val="center"/>
          </w:tcPr>
          <w:p w14:paraId="766F5F3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pacing w:val="-6"/>
                <w:sz w:val="28"/>
                <w:szCs w:val="28"/>
              </w:rPr>
            </w:pPr>
            <w:r>
              <w:rPr>
                <w:rFonts w:hint="default" w:ascii="Times New Roman" w:hAnsi="Times New Roman" w:eastAsia="仿宋_GB2312" w:cs="Times New Roman"/>
                <w:spacing w:val="-6"/>
                <w:sz w:val="28"/>
                <w:szCs w:val="28"/>
              </w:rPr>
              <w:t>账</w:t>
            </w:r>
            <w:r>
              <w:rPr>
                <w:rFonts w:hint="default" w:ascii="Times New Roman" w:hAnsi="Times New Roman" w:eastAsia="仿宋_GB2312" w:cs="Times New Roman"/>
                <w:spacing w:val="-6"/>
                <w:sz w:val="28"/>
                <w:szCs w:val="28"/>
                <w:lang w:val="zh-TW" w:eastAsia="zh-TW"/>
              </w:rPr>
              <w:t>号</w:t>
            </w:r>
          </w:p>
        </w:tc>
        <w:tc>
          <w:tcPr>
            <w:tcW w:w="7123" w:type="dxa"/>
            <w:gridSpan w:val="3"/>
            <w:tcBorders>
              <w:top w:val="single" w:color="000001" w:sz="4" w:space="0"/>
              <w:left w:val="single" w:color="000001" w:sz="4" w:space="0"/>
              <w:bottom w:val="single" w:color="000001" w:sz="12" w:space="0"/>
              <w:right w:val="single" w:color="000001" w:sz="12" w:space="0"/>
            </w:tcBorders>
            <w:noWrap w:val="0"/>
            <w:vAlign w:val="center"/>
          </w:tcPr>
          <w:p w14:paraId="03C8ED6A">
            <w:pPr>
              <w:widowControl w:val="0"/>
              <w:spacing w:line="400" w:lineRule="exact"/>
              <w:jc w:val="both"/>
              <w:rPr>
                <w:rFonts w:hint="default" w:ascii="Times New Roman" w:hAnsi="Times New Roman" w:eastAsia="仿宋_GB2312" w:cs="Times New Roman"/>
                <w:color w:val="auto"/>
                <w:kern w:val="2"/>
                <w:sz w:val="28"/>
                <w:szCs w:val="28"/>
                <w:highlight w:val="none"/>
                <w:u w:val="none" w:color="000000"/>
                <w:lang w:val="en-US" w:eastAsia="zh-CN" w:bidi="ar-SA"/>
              </w:rPr>
            </w:pPr>
          </w:p>
        </w:tc>
      </w:tr>
    </w:tbl>
    <w:p w14:paraId="4C9A1470">
      <w:pPr>
        <w:widowControl w:val="0"/>
        <w:spacing w:line="600" w:lineRule="exact"/>
        <w:jc w:val="both"/>
        <w:rPr>
          <w:rFonts w:hint="eastAsia" w:ascii="方正小标宋简体" w:hAnsi="Calibri" w:eastAsia="方正小标宋简体" w:cs="Times New Roman"/>
          <w:color w:val="auto"/>
          <w:kern w:val="1"/>
          <w:sz w:val="28"/>
          <w:szCs w:val="28"/>
          <w:highlight w:val="none"/>
          <w:lang w:val="en-US" w:eastAsia="zh-CN"/>
        </w:rPr>
      </w:pPr>
      <w:r>
        <w:rPr>
          <w:rFonts w:hint="default" w:ascii="Times New Roman" w:hAnsi="Times New Roman" w:eastAsia="仿宋_GB2312" w:cs="Times New Roman"/>
          <w:spacing w:val="-6"/>
          <w:sz w:val="32"/>
          <w:szCs w:val="32"/>
          <w:u w:val="single"/>
        </w:rPr>
        <w:br w:type="page"/>
      </w:r>
      <w:r>
        <w:rPr>
          <w:rFonts w:hint="eastAsia" w:ascii="黑体" w:hAnsi="黑体" w:eastAsia="黑体" w:cs="黑体"/>
          <w:color w:val="auto"/>
          <w:kern w:val="2"/>
          <w:sz w:val="28"/>
          <w:szCs w:val="28"/>
          <w:highlight w:val="none"/>
        </w:rPr>
        <w:t>附件</w:t>
      </w:r>
    </w:p>
    <w:p w14:paraId="68DA36A8">
      <w:pPr>
        <w:widowControl w:val="0"/>
        <w:spacing w:line="600" w:lineRule="exact"/>
        <w:jc w:val="center"/>
        <w:rPr>
          <w:rFonts w:hint="eastAsia" w:ascii="方正小标宋简体" w:hAnsi="Calibri" w:eastAsia="方正小标宋简体" w:cs="Times New Roman"/>
          <w:color w:val="auto"/>
          <w:kern w:val="1"/>
          <w:sz w:val="28"/>
          <w:szCs w:val="28"/>
          <w:highlight w:val="none"/>
          <w:lang w:val="en-US" w:eastAsia="zh-CN"/>
        </w:rPr>
      </w:pPr>
      <w:r>
        <w:rPr>
          <w:rFonts w:hint="eastAsia" w:ascii="方正小标宋简体" w:hAnsi="Calibri" w:eastAsia="方正小标宋简体" w:cs="Times New Roman"/>
          <w:color w:val="auto"/>
          <w:kern w:val="1"/>
          <w:sz w:val="28"/>
          <w:szCs w:val="28"/>
          <w:highlight w:val="none"/>
          <w:lang w:val="en-US" w:eastAsia="zh-CN"/>
        </w:rPr>
        <w:t>物业服务每月满意度考核测评表</w:t>
      </w:r>
    </w:p>
    <w:tbl>
      <w:tblPr>
        <w:tblStyle w:val="63"/>
        <w:tblW w:w="9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4183"/>
        <w:gridCol w:w="866"/>
        <w:gridCol w:w="3720"/>
      </w:tblGrid>
      <w:tr w14:paraId="0842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noWrap w:val="0"/>
            <w:vAlign w:val="center"/>
          </w:tcPr>
          <w:p w14:paraId="74FDED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lang w:val="en-US" w:eastAsia="zh-CN"/>
              </w:rPr>
              <w:t>序号</w:t>
            </w:r>
          </w:p>
        </w:tc>
        <w:tc>
          <w:tcPr>
            <w:tcW w:w="4183" w:type="dxa"/>
            <w:noWrap w:val="0"/>
            <w:vAlign w:val="center"/>
          </w:tcPr>
          <w:p w14:paraId="2B75226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lang w:val="en-US" w:eastAsia="zh-CN"/>
              </w:rPr>
              <w:t>标准内容</w:t>
            </w:r>
          </w:p>
        </w:tc>
        <w:tc>
          <w:tcPr>
            <w:tcW w:w="866" w:type="dxa"/>
            <w:noWrap w:val="0"/>
            <w:vAlign w:val="center"/>
          </w:tcPr>
          <w:p w14:paraId="0B9903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lang w:val="en-US" w:eastAsia="zh-CN"/>
              </w:rPr>
              <w:t>规定</w:t>
            </w:r>
          </w:p>
          <w:p w14:paraId="44BE40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lang w:val="en-US" w:eastAsia="zh-CN"/>
              </w:rPr>
              <w:t>分值</w:t>
            </w:r>
          </w:p>
        </w:tc>
        <w:tc>
          <w:tcPr>
            <w:tcW w:w="3720" w:type="dxa"/>
            <w:noWrap w:val="0"/>
            <w:vAlign w:val="center"/>
          </w:tcPr>
          <w:p w14:paraId="5BA49F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黑体" w:hAnsi="黑体" w:eastAsia="黑体" w:cs="黑体"/>
                <w:spacing w:val="-6"/>
                <w:sz w:val="28"/>
                <w:szCs w:val="28"/>
                <w:lang w:val="en-US" w:eastAsia="zh-CN"/>
              </w:rPr>
            </w:pPr>
            <w:r>
              <w:rPr>
                <w:rFonts w:hint="eastAsia" w:ascii="黑体" w:hAnsi="黑体" w:eastAsia="黑体" w:cs="黑体"/>
                <w:spacing w:val="-6"/>
                <w:sz w:val="28"/>
                <w:szCs w:val="28"/>
                <w:lang w:val="en-US" w:eastAsia="zh-CN"/>
              </w:rPr>
              <w:t>评分细则</w:t>
            </w:r>
          </w:p>
        </w:tc>
      </w:tr>
      <w:tr w14:paraId="34AD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9" w:type="dxa"/>
            <w:vMerge w:val="restart"/>
            <w:shd w:val="clear" w:color="auto" w:fill="auto"/>
            <w:noWrap w:val="0"/>
            <w:vAlign w:val="center"/>
          </w:tcPr>
          <w:p w14:paraId="71818AB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一</w:t>
            </w:r>
          </w:p>
        </w:tc>
        <w:tc>
          <w:tcPr>
            <w:tcW w:w="4183" w:type="dxa"/>
            <w:shd w:val="clear" w:color="auto" w:fill="FFFFFF"/>
            <w:noWrap w:val="0"/>
            <w:vAlign w:val="center"/>
          </w:tcPr>
          <w:p w14:paraId="3BCEB31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基础管理</w:t>
            </w:r>
          </w:p>
        </w:tc>
        <w:tc>
          <w:tcPr>
            <w:tcW w:w="866" w:type="dxa"/>
            <w:shd w:val="clear" w:color="auto" w:fill="FFFFFF"/>
            <w:noWrap w:val="0"/>
            <w:vAlign w:val="center"/>
          </w:tcPr>
          <w:p w14:paraId="4409018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18</w:t>
            </w:r>
          </w:p>
        </w:tc>
        <w:tc>
          <w:tcPr>
            <w:tcW w:w="3720" w:type="dxa"/>
            <w:shd w:val="clear" w:color="auto" w:fill="FFFFFF"/>
            <w:noWrap w:val="0"/>
            <w:vAlign w:val="center"/>
          </w:tcPr>
          <w:p w14:paraId="0F8AFA5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5F78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F27528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669BE4B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1.规定岗位持证上岗：员工着装规范，佩戴明显标志，使用标准服务用语、工作规范。</w:t>
            </w:r>
          </w:p>
        </w:tc>
        <w:tc>
          <w:tcPr>
            <w:tcW w:w="866" w:type="dxa"/>
            <w:shd w:val="clear" w:color="auto" w:fill="FFFFFF"/>
            <w:noWrap w:val="0"/>
            <w:vAlign w:val="center"/>
          </w:tcPr>
          <w:p w14:paraId="77D2FB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3A01373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专业技术人员每发现1人无上岗证书扣0.5分；着装及标志符合0.5分，不使用文明用语扣0.5分</w:t>
            </w:r>
          </w:p>
        </w:tc>
      </w:tr>
      <w:tr w14:paraId="499C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94ED49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61A5864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2.物业管理企业应用计算机、智能化设备等现代化管理手段，提高管理效率。</w:t>
            </w:r>
          </w:p>
        </w:tc>
        <w:tc>
          <w:tcPr>
            <w:tcW w:w="866" w:type="dxa"/>
            <w:shd w:val="clear" w:color="auto" w:fill="FFFFFF"/>
            <w:noWrap w:val="0"/>
            <w:vAlign w:val="center"/>
          </w:tcPr>
          <w:p w14:paraId="5C41A6B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1.5</w:t>
            </w:r>
          </w:p>
        </w:tc>
        <w:tc>
          <w:tcPr>
            <w:tcW w:w="3720" w:type="dxa"/>
            <w:shd w:val="clear" w:color="auto" w:fill="FFFFFF"/>
            <w:noWrap w:val="0"/>
            <w:vAlign w:val="center"/>
          </w:tcPr>
          <w:p w14:paraId="25B1FAE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符合1.5分，基本符合1分，不符合0分</w:t>
            </w:r>
          </w:p>
        </w:tc>
      </w:tr>
      <w:tr w14:paraId="4B32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3E768E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2740515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3.档案资料齐全，分类成册、管理完善，查阅方便。</w:t>
            </w:r>
          </w:p>
        </w:tc>
        <w:tc>
          <w:tcPr>
            <w:tcW w:w="866" w:type="dxa"/>
            <w:shd w:val="clear" w:color="auto" w:fill="FFFFFF"/>
            <w:noWrap w:val="0"/>
            <w:vAlign w:val="center"/>
          </w:tcPr>
          <w:p w14:paraId="43CFC9E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44CFE9C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包括所有档案，分类归档，统计成册。每发现一项不齐全或不完善扣1分</w:t>
            </w:r>
          </w:p>
        </w:tc>
      </w:tr>
      <w:tr w14:paraId="4495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FDCEBC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0FDC430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在日常管理中要建立交接班、维修保养、保洁、管理登记制度，设立服务电话，接受业主和使用人对行政物业管理服务报修、求助、建议、问询、质疑、投诉等各类信息的收集和反馈，并及时处理，有回访制度和记录。</w:t>
            </w:r>
          </w:p>
        </w:tc>
        <w:tc>
          <w:tcPr>
            <w:tcW w:w="866" w:type="dxa"/>
            <w:shd w:val="clear" w:color="auto" w:fill="FFFFFF"/>
            <w:noWrap w:val="0"/>
            <w:vAlign w:val="center"/>
          </w:tcPr>
          <w:p w14:paraId="7B98A1A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w:t>
            </w:r>
          </w:p>
        </w:tc>
        <w:tc>
          <w:tcPr>
            <w:tcW w:w="3720" w:type="dxa"/>
            <w:shd w:val="clear" w:color="auto" w:fill="FFFFFF"/>
            <w:noWrap w:val="0"/>
            <w:vAlign w:val="center"/>
          </w:tcPr>
          <w:p w14:paraId="78FE016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符合4分，没有值班制度扣1分，未设服务电话扣1分，发现一处处理不及时扣1分，没有回访记录每次扣1分</w:t>
            </w:r>
          </w:p>
        </w:tc>
      </w:tr>
      <w:tr w14:paraId="0897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C9AAD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71C96E7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5.有物业项目的整体管理方案及各部门岗位职责、工作标准、具体落实办法，定期向单位和工作人员发放物业管理服务工作征求意见单，对合理的建议及时整改，满意率达95％以上。</w:t>
            </w:r>
          </w:p>
        </w:tc>
        <w:tc>
          <w:tcPr>
            <w:tcW w:w="866" w:type="dxa"/>
            <w:shd w:val="clear" w:color="auto" w:fill="FFFFFF"/>
            <w:noWrap w:val="0"/>
            <w:vAlign w:val="center"/>
          </w:tcPr>
          <w:p w14:paraId="33209E4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w:t>
            </w:r>
          </w:p>
        </w:tc>
        <w:tc>
          <w:tcPr>
            <w:tcW w:w="3720" w:type="dxa"/>
            <w:shd w:val="clear" w:color="auto" w:fill="FFFFFF"/>
            <w:noWrap w:val="0"/>
            <w:vAlign w:val="center"/>
          </w:tcPr>
          <w:p w14:paraId="0716C0D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无制定管理方案扣2分，未向工作人员发放管理工作意见扣2分，发现问题未改进扣2分</w:t>
            </w:r>
          </w:p>
        </w:tc>
      </w:tr>
      <w:tr w14:paraId="203E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965A70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33FFFAF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6.建立物业服务投诉处理流程，并落实维修服务承诺制、零修急修及时率 100％，返修率不高于1％，并有回访记录。</w:t>
            </w:r>
          </w:p>
        </w:tc>
        <w:tc>
          <w:tcPr>
            <w:tcW w:w="866" w:type="dxa"/>
            <w:shd w:val="clear" w:color="auto" w:fill="FFFFFF"/>
            <w:noWrap w:val="0"/>
            <w:vAlign w:val="center"/>
          </w:tcPr>
          <w:p w14:paraId="0A62F8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2.5</w:t>
            </w:r>
          </w:p>
        </w:tc>
        <w:tc>
          <w:tcPr>
            <w:tcW w:w="3720" w:type="dxa"/>
            <w:shd w:val="clear" w:color="auto" w:fill="FFFFFF"/>
            <w:noWrap w:val="0"/>
            <w:vAlign w:val="center"/>
          </w:tcPr>
          <w:p w14:paraId="595345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未建立并落实1分，建立但未落实扣0.5分，未建立扣1分；及时率不符合扣1分，每降低1个百分点扣 0.3分；返修率不符合扣0.5分，回访记录不完整扣0.5分，</w:t>
            </w:r>
          </w:p>
        </w:tc>
      </w:tr>
      <w:tr w14:paraId="0CA9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79" w:type="dxa"/>
            <w:vMerge w:val="restart"/>
            <w:shd w:val="clear" w:color="auto" w:fill="auto"/>
            <w:noWrap w:val="0"/>
            <w:vAlign w:val="center"/>
          </w:tcPr>
          <w:p w14:paraId="02E1A6A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二</w:t>
            </w:r>
          </w:p>
        </w:tc>
        <w:tc>
          <w:tcPr>
            <w:tcW w:w="4183" w:type="dxa"/>
            <w:shd w:val="clear" w:color="auto" w:fill="FFFFFF"/>
            <w:noWrap w:val="0"/>
            <w:vAlign w:val="center"/>
          </w:tcPr>
          <w:p w14:paraId="5D60755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房屋管理与维修养护</w:t>
            </w:r>
          </w:p>
        </w:tc>
        <w:tc>
          <w:tcPr>
            <w:tcW w:w="866" w:type="dxa"/>
            <w:shd w:val="clear" w:color="auto" w:fill="FFFFFF"/>
            <w:noWrap w:val="0"/>
            <w:vAlign w:val="center"/>
          </w:tcPr>
          <w:p w14:paraId="69F83FD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5</w:t>
            </w:r>
          </w:p>
        </w:tc>
        <w:tc>
          <w:tcPr>
            <w:tcW w:w="3720" w:type="dxa"/>
            <w:shd w:val="clear" w:color="auto" w:fill="FFFFFF"/>
            <w:noWrap w:val="0"/>
            <w:vAlign w:val="center"/>
          </w:tcPr>
          <w:p w14:paraId="53E65ED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4BCA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3DD610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204387A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1.室外招牌按规定设置，保持整洁统一美观，无安全隐患或破损，无违反规划私搭乱建，无擅自改变房屋用途现象。</w:t>
            </w:r>
          </w:p>
        </w:tc>
        <w:tc>
          <w:tcPr>
            <w:tcW w:w="866" w:type="dxa"/>
            <w:shd w:val="clear" w:color="auto" w:fill="FFFFFF"/>
            <w:noWrap w:val="0"/>
            <w:vAlign w:val="center"/>
          </w:tcPr>
          <w:p w14:paraId="53A9AA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shd w:val="clear" w:color="auto" w:fill="FFFFFF"/>
            <w:noWrap w:val="0"/>
            <w:vAlign w:val="center"/>
          </w:tcPr>
          <w:p w14:paraId="41D37FD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符合1分，每发现一处私搭乱建或擅自改变房屋使用用途扣0.5分，按规定设置，但不整齐或有破损每处扣0.1分，有安全隐患每处扣0.5分</w:t>
            </w:r>
          </w:p>
        </w:tc>
      </w:tr>
      <w:tr w14:paraId="3562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7C2CCE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6B4C595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2.房屋完好、整洁，外墙是建材贴面的、无脱落；玻璃的，清洁明亮、无破损；是涂料的，无脱落、无污渍：无纸张乱贴、乱涂、乱画和乱悬挂现象。</w:t>
            </w:r>
          </w:p>
        </w:tc>
        <w:tc>
          <w:tcPr>
            <w:tcW w:w="866" w:type="dxa"/>
            <w:shd w:val="clear" w:color="auto" w:fill="FFFFFF"/>
            <w:noWrap w:val="0"/>
            <w:vAlign w:val="center"/>
          </w:tcPr>
          <w:p w14:paraId="55173D7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7242676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符合2分，房屋外墙是建材贴用的每发现一处脱落扣0.2分，是玻璃幕墙的每发现一处破损或不整洁的扣0.2分，是涂料的每发现一处褪色不一致扣0.2分；每发现一处纸张乱贴、乱涂、乱画和乱悬挂扣0.2分</w:t>
            </w:r>
          </w:p>
        </w:tc>
      </w:tr>
      <w:tr w14:paraId="2C1F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2C3226A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1222DB4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3.楼宇内楼梯、走道、扶手、天花板、吊顶等无破损；墙体整洁，无乱张贴；共用部位门窗、灯具、开关等功能良好；卫生间、水房等管理完好空调安装位置统一，支架无锈蚀，冷凝水集中收集。</w:t>
            </w:r>
          </w:p>
        </w:tc>
        <w:tc>
          <w:tcPr>
            <w:tcW w:w="866" w:type="dxa"/>
            <w:shd w:val="clear" w:color="auto" w:fill="FFFFFF"/>
            <w:noWrap w:val="0"/>
            <w:vAlign w:val="center"/>
          </w:tcPr>
          <w:p w14:paraId="00743E9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24FC197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符合2.0分，如发现一处不符合扣0.5分</w:t>
            </w:r>
          </w:p>
        </w:tc>
      </w:tr>
      <w:tr w14:paraId="37661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79" w:type="dxa"/>
            <w:vMerge w:val="restart"/>
            <w:shd w:val="clear" w:color="auto" w:fill="auto"/>
            <w:noWrap w:val="0"/>
            <w:vAlign w:val="center"/>
          </w:tcPr>
          <w:p w14:paraId="1383F59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三</w:t>
            </w:r>
          </w:p>
        </w:tc>
        <w:tc>
          <w:tcPr>
            <w:tcW w:w="4183" w:type="dxa"/>
            <w:shd w:val="clear" w:color="auto" w:fill="FFFFFF"/>
            <w:noWrap w:val="0"/>
            <w:vAlign w:val="center"/>
          </w:tcPr>
          <w:p w14:paraId="4560DD7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共用设施设备管理</w:t>
            </w:r>
          </w:p>
        </w:tc>
        <w:tc>
          <w:tcPr>
            <w:tcW w:w="866" w:type="dxa"/>
            <w:shd w:val="clear" w:color="auto" w:fill="FFFFFF"/>
            <w:noWrap w:val="0"/>
            <w:vAlign w:val="center"/>
          </w:tcPr>
          <w:p w14:paraId="1DC5D1E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26</w:t>
            </w:r>
          </w:p>
        </w:tc>
        <w:tc>
          <w:tcPr>
            <w:tcW w:w="3720" w:type="dxa"/>
            <w:shd w:val="clear" w:color="auto" w:fill="FFFFFF"/>
            <w:noWrap w:val="0"/>
            <w:vAlign w:val="center"/>
          </w:tcPr>
          <w:p w14:paraId="2CFB34F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03E6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9" w:type="dxa"/>
            <w:vMerge w:val="continue"/>
            <w:shd w:val="clear" w:color="auto" w:fill="auto"/>
            <w:noWrap w:val="0"/>
            <w:vAlign w:val="top"/>
          </w:tcPr>
          <w:p w14:paraId="17B84B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675E85A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（一）综合要求</w:t>
            </w:r>
          </w:p>
        </w:tc>
        <w:tc>
          <w:tcPr>
            <w:tcW w:w="866" w:type="dxa"/>
            <w:shd w:val="clear" w:color="auto" w:fill="FFFFFF"/>
            <w:noWrap w:val="0"/>
            <w:vAlign w:val="center"/>
          </w:tcPr>
          <w:p w14:paraId="7A731B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w:t>
            </w:r>
          </w:p>
        </w:tc>
        <w:tc>
          <w:tcPr>
            <w:tcW w:w="3720" w:type="dxa"/>
            <w:shd w:val="clear" w:color="auto" w:fill="FFFFFF"/>
            <w:noWrap w:val="0"/>
            <w:vAlign w:val="center"/>
          </w:tcPr>
          <w:p w14:paraId="2BC5B76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1299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02DC7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08272F5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1.设备及机房环境整洁、无杂物、灰尘、无鼠、虫害发生、机房环境符合设备要求。</w:t>
            </w:r>
          </w:p>
        </w:tc>
        <w:tc>
          <w:tcPr>
            <w:tcW w:w="866" w:type="dxa"/>
            <w:shd w:val="clear" w:color="auto" w:fill="FFFFFF"/>
            <w:noWrap w:val="0"/>
            <w:vAlign w:val="center"/>
          </w:tcPr>
          <w:p w14:paraId="046781A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shd w:val="clear" w:color="auto" w:fill="FFFFFF"/>
            <w:noWrap w:val="0"/>
            <w:vAlign w:val="center"/>
          </w:tcPr>
          <w:p w14:paraId="40C6B3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符合1.0分，每发现一处不符合扣0.2分</w:t>
            </w:r>
          </w:p>
        </w:tc>
      </w:tr>
      <w:tr w14:paraId="48C0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3117FCA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17AE41D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2.配足符合上岗持证要求的工程部人员，上岗作业严格执行操作规程。</w:t>
            </w:r>
          </w:p>
        </w:tc>
        <w:tc>
          <w:tcPr>
            <w:tcW w:w="866" w:type="dxa"/>
            <w:shd w:val="clear" w:color="auto" w:fill="FFFFFF"/>
            <w:noWrap w:val="0"/>
            <w:vAlign w:val="center"/>
          </w:tcPr>
          <w:p w14:paraId="4F14385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31C9079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符合2.0分，无证上岗发现一次扣1分，不按规定操作造成损失扣2分</w:t>
            </w:r>
          </w:p>
        </w:tc>
      </w:tr>
      <w:tr w14:paraId="0A24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7B9781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73AAECE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3.设备良好，运行正常，考核期内无重大管理责任事故。</w:t>
            </w:r>
          </w:p>
        </w:tc>
        <w:tc>
          <w:tcPr>
            <w:tcW w:w="866" w:type="dxa"/>
            <w:shd w:val="clear" w:color="auto" w:fill="FFFFFF"/>
            <w:noWrap w:val="0"/>
            <w:vAlign w:val="center"/>
          </w:tcPr>
          <w:p w14:paraId="60DBAE9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shd w:val="clear" w:color="auto" w:fill="FFFFFF"/>
            <w:noWrap w:val="0"/>
            <w:vAlign w:val="center"/>
          </w:tcPr>
          <w:p w14:paraId="3A11EEF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符合1分，考核期内发现一次扣1分</w:t>
            </w:r>
          </w:p>
        </w:tc>
      </w:tr>
      <w:tr w14:paraId="0C80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9" w:type="dxa"/>
            <w:vMerge w:val="continue"/>
            <w:shd w:val="clear" w:color="auto" w:fill="auto"/>
            <w:noWrap w:val="0"/>
            <w:vAlign w:val="top"/>
          </w:tcPr>
          <w:p w14:paraId="0DEF7DB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048418C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（二）供电系统</w:t>
            </w:r>
          </w:p>
        </w:tc>
        <w:tc>
          <w:tcPr>
            <w:tcW w:w="866" w:type="dxa"/>
            <w:shd w:val="clear" w:color="auto" w:fill="FFFFFF"/>
            <w:noWrap w:val="0"/>
            <w:vAlign w:val="center"/>
          </w:tcPr>
          <w:p w14:paraId="491D88A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w:t>
            </w:r>
          </w:p>
        </w:tc>
        <w:tc>
          <w:tcPr>
            <w:tcW w:w="3720" w:type="dxa"/>
            <w:shd w:val="clear" w:color="auto" w:fill="FFFFFF"/>
            <w:noWrap w:val="0"/>
            <w:vAlign w:val="center"/>
          </w:tcPr>
          <w:p w14:paraId="1667D8B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4154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6E9EE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568DCF8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保证正常供电。限电、停电按规定时间通知甲方，制订临时用电管理措施与停电应急处理措施，备用应急发电机可随时启用。</w:t>
            </w:r>
          </w:p>
        </w:tc>
        <w:tc>
          <w:tcPr>
            <w:tcW w:w="866" w:type="dxa"/>
            <w:shd w:val="clear" w:color="auto" w:fill="FFFFFF"/>
            <w:noWrap w:val="0"/>
            <w:vAlign w:val="center"/>
          </w:tcPr>
          <w:p w14:paraId="6865B48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w:t>
            </w:r>
          </w:p>
        </w:tc>
        <w:tc>
          <w:tcPr>
            <w:tcW w:w="3720" w:type="dxa"/>
            <w:shd w:val="clear" w:color="auto" w:fill="FFFFFF"/>
            <w:noWrap w:val="0"/>
            <w:vAlign w:val="center"/>
          </w:tcPr>
          <w:p w14:paraId="27F84C1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符合3.0分，临时用电措施或停电应急措施不符，各扣0.5分，发电机不能随时起用扣3分</w:t>
            </w:r>
          </w:p>
        </w:tc>
      </w:tr>
      <w:tr w14:paraId="7D90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79" w:type="dxa"/>
            <w:vMerge w:val="restart"/>
            <w:shd w:val="clear" w:color="auto" w:fill="auto"/>
            <w:noWrap w:val="0"/>
            <w:vAlign w:val="center"/>
          </w:tcPr>
          <w:p w14:paraId="02B3592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三</w:t>
            </w:r>
          </w:p>
        </w:tc>
        <w:tc>
          <w:tcPr>
            <w:tcW w:w="4183" w:type="dxa"/>
            <w:shd w:val="clear" w:color="auto" w:fill="FFFFFF"/>
            <w:noWrap w:val="0"/>
            <w:vAlign w:val="center"/>
          </w:tcPr>
          <w:p w14:paraId="6A26962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（三）弱电系统</w:t>
            </w:r>
          </w:p>
        </w:tc>
        <w:tc>
          <w:tcPr>
            <w:tcW w:w="866" w:type="dxa"/>
            <w:shd w:val="clear" w:color="auto" w:fill="FFFFFF"/>
            <w:noWrap w:val="0"/>
            <w:vAlign w:val="center"/>
          </w:tcPr>
          <w:p w14:paraId="5C8CB09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4CEC42F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7156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C062C0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4E6FCA6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巡查保证各弱电系统正常工作，监控系统等智能化设施设备运行正常，有记录并按规定期限保存。若出现系统故障及时上报通知甲方请系统维保单位在规定时间内到达现场维修。</w:t>
            </w:r>
          </w:p>
        </w:tc>
        <w:tc>
          <w:tcPr>
            <w:tcW w:w="866" w:type="dxa"/>
            <w:shd w:val="clear" w:color="auto" w:fill="FFFFFF"/>
            <w:noWrap w:val="0"/>
            <w:vAlign w:val="center"/>
          </w:tcPr>
          <w:p w14:paraId="60EB7BB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4A098DA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符合2.0分，无记录扣0.5分，未按规定定期保存扣0.5分，出现故障未能及时到达现场扣1分</w:t>
            </w:r>
          </w:p>
        </w:tc>
      </w:tr>
      <w:tr w14:paraId="0044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79" w:type="dxa"/>
            <w:vMerge w:val="continue"/>
            <w:shd w:val="clear" w:color="auto" w:fill="auto"/>
            <w:noWrap w:val="0"/>
            <w:vAlign w:val="top"/>
          </w:tcPr>
          <w:p w14:paraId="47BA525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46C4794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（四）电梯系统</w:t>
            </w:r>
          </w:p>
        </w:tc>
        <w:tc>
          <w:tcPr>
            <w:tcW w:w="866" w:type="dxa"/>
            <w:shd w:val="clear" w:color="auto" w:fill="FFFFFF"/>
            <w:noWrap w:val="0"/>
            <w:vAlign w:val="center"/>
          </w:tcPr>
          <w:p w14:paraId="3617250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9</w:t>
            </w:r>
          </w:p>
        </w:tc>
        <w:tc>
          <w:tcPr>
            <w:tcW w:w="3720" w:type="dxa"/>
            <w:shd w:val="clear" w:color="auto" w:fill="FFFFFF"/>
            <w:noWrap w:val="0"/>
            <w:vAlign w:val="center"/>
          </w:tcPr>
          <w:p w14:paraId="1D3EE21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7C0E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33E0466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2DFCAC5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1.巡查电梯准用证、年检合格证是否有掉落、到期的现象。</w:t>
            </w:r>
          </w:p>
        </w:tc>
        <w:tc>
          <w:tcPr>
            <w:tcW w:w="866" w:type="dxa"/>
            <w:shd w:val="clear" w:color="auto" w:fill="FFFFFF"/>
            <w:noWrap w:val="0"/>
            <w:vAlign w:val="center"/>
          </w:tcPr>
          <w:p w14:paraId="69CADF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46DEFA3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符合1.0分，每发现一处不符合扣0.5分</w:t>
            </w:r>
          </w:p>
        </w:tc>
      </w:tr>
      <w:tr w14:paraId="5123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07A656F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7D809DF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2.巡查电梯是否正常运行，安全设施是否齐全，通风、照明及附属设施是否完好；巡查电梯门、壁及天花是否有积尘、污迹、蜘蛛网、手印等情况，如有手印、污迹等情况，需用电梯专用清洗剂擦拭。</w:t>
            </w:r>
          </w:p>
        </w:tc>
        <w:tc>
          <w:tcPr>
            <w:tcW w:w="866" w:type="dxa"/>
            <w:shd w:val="clear" w:color="auto" w:fill="FFFFFF"/>
            <w:noWrap w:val="0"/>
            <w:vAlign w:val="center"/>
          </w:tcPr>
          <w:p w14:paraId="101B4CA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w:t>
            </w:r>
          </w:p>
        </w:tc>
        <w:tc>
          <w:tcPr>
            <w:tcW w:w="3720" w:type="dxa"/>
            <w:shd w:val="clear" w:color="auto" w:fill="FFFFFF"/>
            <w:noWrap w:val="0"/>
            <w:vAlign w:val="center"/>
          </w:tcPr>
          <w:p w14:paraId="0FB1546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符合2.0分，每发现一处不符合扣0.5分</w:t>
            </w:r>
          </w:p>
        </w:tc>
      </w:tr>
      <w:tr w14:paraId="4BDA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AF6FD0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5EDCD40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3.若运行出现故障，应有排除险情的应急处理措施，第一时间通知甲方请维保单位在规定时间内到达现场维修。</w:t>
            </w:r>
          </w:p>
        </w:tc>
        <w:tc>
          <w:tcPr>
            <w:tcW w:w="866" w:type="dxa"/>
            <w:shd w:val="clear" w:color="auto" w:fill="FFFFFF"/>
            <w:noWrap w:val="0"/>
            <w:vAlign w:val="center"/>
          </w:tcPr>
          <w:p w14:paraId="5D18DD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w:t>
            </w:r>
          </w:p>
        </w:tc>
        <w:tc>
          <w:tcPr>
            <w:tcW w:w="3720" w:type="dxa"/>
            <w:shd w:val="clear" w:color="auto" w:fill="FFFFFF"/>
            <w:noWrap w:val="0"/>
            <w:vAlign w:val="center"/>
          </w:tcPr>
          <w:p w14:paraId="0B6AA23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符合1.0分，未设有排除险情的应急措施扣1 分，未能到及时到达现场扣2分</w:t>
            </w:r>
          </w:p>
        </w:tc>
      </w:tr>
      <w:tr w14:paraId="7AC3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Merge w:val="continue"/>
            <w:shd w:val="clear" w:color="auto" w:fill="auto"/>
            <w:noWrap w:val="0"/>
            <w:vAlign w:val="top"/>
          </w:tcPr>
          <w:p w14:paraId="475D8C2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41DD66A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（五）给排水系统</w:t>
            </w:r>
          </w:p>
        </w:tc>
        <w:tc>
          <w:tcPr>
            <w:tcW w:w="866" w:type="dxa"/>
            <w:shd w:val="clear" w:color="auto" w:fill="FFFFFF"/>
            <w:noWrap w:val="0"/>
            <w:vAlign w:val="center"/>
          </w:tcPr>
          <w:p w14:paraId="2A26E6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w:t>
            </w:r>
          </w:p>
        </w:tc>
        <w:tc>
          <w:tcPr>
            <w:tcW w:w="3720" w:type="dxa"/>
            <w:shd w:val="clear" w:color="auto" w:fill="FFFFFF"/>
            <w:noWrap w:val="0"/>
            <w:vAlign w:val="center"/>
          </w:tcPr>
          <w:p w14:paraId="7C9B5C9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4A2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4451BF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27B7AE5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建立用水、供水管理制度、积极协助用户安排合理的用水和节水计划设备、阀门、管道工作正常、无跑冒滴漏；遇有事故，维修人员在规定时间内进行抢修，无大面积跑水、泛水、长时间停水现象；制定事故应急处理方案。</w:t>
            </w:r>
          </w:p>
        </w:tc>
        <w:tc>
          <w:tcPr>
            <w:tcW w:w="866" w:type="dxa"/>
            <w:shd w:val="clear" w:color="auto" w:fill="FFFFFF"/>
            <w:noWrap w:val="0"/>
            <w:vAlign w:val="center"/>
          </w:tcPr>
          <w:p w14:paraId="4A1F1E1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335F2FE6">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符合2分，每发现一处不符合扣0.2分，维修人员不能及时抢修造成影响扣0.5分</w:t>
            </w:r>
          </w:p>
        </w:tc>
      </w:tr>
      <w:tr w14:paraId="5E23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shd w:val="clear" w:color="auto" w:fill="auto"/>
            <w:noWrap w:val="0"/>
            <w:vAlign w:val="top"/>
          </w:tcPr>
          <w:p w14:paraId="30F78F5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682551A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2.按规定对二次供水蓄水池设施设备进行清洁、消毒；水池、水箱清洁卫生，无二次污染；高压水泵、水池、水箱有严格的管理措施，水池、水箱周围无污染隐患。</w:t>
            </w:r>
          </w:p>
        </w:tc>
        <w:tc>
          <w:tcPr>
            <w:tcW w:w="866" w:type="dxa"/>
            <w:shd w:val="clear" w:color="auto" w:fill="FFFFFF"/>
            <w:noWrap w:val="0"/>
            <w:vAlign w:val="center"/>
          </w:tcPr>
          <w:p w14:paraId="3BCDF33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69D7008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符合2分，每发现一项不符合扣0.5分没有管理措施扣0.5分，水箱周围每发现一处隐患扣0.2分</w:t>
            </w:r>
          </w:p>
        </w:tc>
      </w:tr>
      <w:tr w14:paraId="547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7D90E7F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509CC4D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3.排水系统通畅，汛期道路无积水，设备房无积水、浸泡发生。</w:t>
            </w:r>
          </w:p>
        </w:tc>
        <w:tc>
          <w:tcPr>
            <w:tcW w:w="866" w:type="dxa"/>
            <w:shd w:val="clear" w:color="auto" w:fill="FFFFFF"/>
            <w:noWrap w:val="0"/>
            <w:vAlign w:val="center"/>
          </w:tcPr>
          <w:p w14:paraId="23A191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3F9B8A7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符合2分，每发现一处不符合扣1分</w:t>
            </w:r>
          </w:p>
        </w:tc>
      </w:tr>
      <w:tr w14:paraId="2112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79" w:type="dxa"/>
            <w:vMerge w:val="continue"/>
            <w:shd w:val="clear" w:color="auto" w:fill="auto"/>
            <w:noWrap w:val="0"/>
            <w:vAlign w:val="top"/>
          </w:tcPr>
          <w:p w14:paraId="4C63542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299D746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（六）空调系统</w:t>
            </w:r>
          </w:p>
        </w:tc>
        <w:tc>
          <w:tcPr>
            <w:tcW w:w="866" w:type="dxa"/>
            <w:shd w:val="clear" w:color="auto" w:fill="FFFFFF"/>
            <w:noWrap w:val="0"/>
            <w:vAlign w:val="center"/>
          </w:tcPr>
          <w:p w14:paraId="000E3B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040A3C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53DD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5716BD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12B4031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巡查空调系统是否运行正常，噪音是否超标，有无严重滴漏水现象；若空调系统出现运行故障后，及时通知甲方请维保单位在规定时间内到达现场维修。</w:t>
            </w:r>
          </w:p>
        </w:tc>
        <w:tc>
          <w:tcPr>
            <w:tcW w:w="866" w:type="dxa"/>
            <w:shd w:val="clear" w:color="auto" w:fill="FFFFFF"/>
            <w:noWrap w:val="0"/>
            <w:vAlign w:val="center"/>
          </w:tcPr>
          <w:p w14:paraId="7FEB8EE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229ABDC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符合2.0分，空调不能正常运行扣0.2分，噪音超标扣0.2分，严重漏水口0.2分，运行故障后未能及时到达现场扣1分</w:t>
            </w:r>
          </w:p>
        </w:tc>
      </w:tr>
      <w:tr w14:paraId="4491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79" w:type="dxa"/>
            <w:vMerge w:val="restart"/>
            <w:shd w:val="clear" w:color="auto" w:fill="auto"/>
            <w:noWrap w:val="0"/>
            <w:vAlign w:val="center"/>
          </w:tcPr>
          <w:p w14:paraId="6F79BE5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四</w:t>
            </w:r>
          </w:p>
        </w:tc>
        <w:tc>
          <w:tcPr>
            <w:tcW w:w="4183" w:type="dxa"/>
            <w:shd w:val="clear" w:color="auto" w:fill="FFFFFF"/>
            <w:noWrap w:val="0"/>
            <w:vAlign w:val="center"/>
          </w:tcPr>
          <w:p w14:paraId="58261E7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共用设施管理</w:t>
            </w:r>
          </w:p>
        </w:tc>
        <w:tc>
          <w:tcPr>
            <w:tcW w:w="866" w:type="dxa"/>
            <w:shd w:val="clear" w:color="auto" w:fill="FFFFFF"/>
            <w:noWrap w:val="0"/>
            <w:vAlign w:val="center"/>
          </w:tcPr>
          <w:p w14:paraId="0C4F161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w:t>
            </w:r>
          </w:p>
        </w:tc>
        <w:tc>
          <w:tcPr>
            <w:tcW w:w="3720" w:type="dxa"/>
            <w:shd w:val="clear" w:color="auto" w:fill="FFFFFF"/>
            <w:noWrap w:val="0"/>
            <w:vAlign w:val="center"/>
          </w:tcPr>
          <w:p w14:paraId="0ED308B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0F763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79" w:type="dxa"/>
            <w:vMerge w:val="continue"/>
            <w:shd w:val="clear" w:color="auto" w:fill="auto"/>
            <w:noWrap w:val="0"/>
            <w:vAlign w:val="top"/>
          </w:tcPr>
          <w:p w14:paraId="1959F11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3FCDD21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1.共用配套设施完好，无随意改变用途，区域范围内的道路通畅，路面平坦。</w:t>
            </w:r>
          </w:p>
        </w:tc>
        <w:tc>
          <w:tcPr>
            <w:tcW w:w="866" w:type="dxa"/>
            <w:shd w:val="clear" w:color="auto" w:fill="FFFFFF"/>
            <w:noWrap w:val="0"/>
            <w:vAlign w:val="center"/>
          </w:tcPr>
          <w:p w14:paraId="2761A69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19BF712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符合1.0分，每发现一处不符合扣0.2分</w:t>
            </w:r>
          </w:p>
        </w:tc>
      </w:tr>
      <w:tr w14:paraId="701B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shd w:val="clear" w:color="auto" w:fill="auto"/>
            <w:noWrap w:val="0"/>
            <w:vAlign w:val="top"/>
          </w:tcPr>
          <w:p w14:paraId="47A835B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46A465E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2.道路、楼道、大堂等公共照明完好。</w:t>
            </w:r>
          </w:p>
        </w:tc>
        <w:tc>
          <w:tcPr>
            <w:tcW w:w="866" w:type="dxa"/>
            <w:shd w:val="clear" w:color="auto" w:fill="FFFFFF"/>
            <w:noWrap w:val="0"/>
            <w:vAlign w:val="center"/>
          </w:tcPr>
          <w:p w14:paraId="21BE822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shd w:val="clear" w:color="auto" w:fill="FFFFFF"/>
            <w:noWrap w:val="0"/>
            <w:vAlign w:val="center"/>
          </w:tcPr>
          <w:p w14:paraId="2B8CCD8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符合1.0分，每发现一处不亮扣0.5分</w:t>
            </w:r>
          </w:p>
        </w:tc>
      </w:tr>
      <w:tr w14:paraId="2E69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79" w:type="dxa"/>
            <w:vMerge w:val="restart"/>
            <w:shd w:val="clear" w:color="auto" w:fill="auto"/>
            <w:noWrap w:val="0"/>
            <w:vAlign w:val="center"/>
          </w:tcPr>
          <w:p w14:paraId="097FE28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五</w:t>
            </w:r>
          </w:p>
        </w:tc>
        <w:tc>
          <w:tcPr>
            <w:tcW w:w="4183" w:type="dxa"/>
            <w:shd w:val="clear" w:color="auto" w:fill="FFFFFF"/>
            <w:noWrap w:val="0"/>
            <w:vAlign w:val="center"/>
          </w:tcPr>
          <w:p w14:paraId="11FEE8F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环境卫生管理</w:t>
            </w:r>
          </w:p>
        </w:tc>
        <w:tc>
          <w:tcPr>
            <w:tcW w:w="866" w:type="dxa"/>
            <w:shd w:val="clear" w:color="auto" w:fill="FFFFFF"/>
            <w:noWrap w:val="0"/>
            <w:vAlign w:val="center"/>
          </w:tcPr>
          <w:p w14:paraId="3AD770B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32</w:t>
            </w:r>
          </w:p>
        </w:tc>
        <w:tc>
          <w:tcPr>
            <w:tcW w:w="3720" w:type="dxa"/>
            <w:shd w:val="clear" w:color="auto" w:fill="FFFFFF"/>
            <w:noWrap w:val="0"/>
            <w:vAlign w:val="center"/>
          </w:tcPr>
          <w:p w14:paraId="1DE843B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43E1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shd w:val="clear" w:color="auto" w:fill="auto"/>
            <w:noWrap w:val="0"/>
            <w:vAlign w:val="top"/>
          </w:tcPr>
          <w:p w14:paraId="6A3F76B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shd w:val="clear" w:color="auto" w:fill="FFFFFF"/>
            <w:noWrap w:val="0"/>
            <w:vAlign w:val="center"/>
          </w:tcPr>
          <w:p w14:paraId="5E1F5FD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1.楼梯、标识牌、电梯、内外停车、道路地面、通道、服务大厅、走廊地面、内庭、边缘区域的卫生管理。</w:t>
            </w:r>
          </w:p>
        </w:tc>
        <w:tc>
          <w:tcPr>
            <w:tcW w:w="866" w:type="dxa"/>
            <w:shd w:val="clear" w:color="auto" w:fill="FFFFFF"/>
            <w:noWrap w:val="0"/>
            <w:vAlign w:val="center"/>
          </w:tcPr>
          <w:p w14:paraId="0B2FE51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8</w:t>
            </w:r>
          </w:p>
        </w:tc>
        <w:tc>
          <w:tcPr>
            <w:tcW w:w="3720" w:type="dxa"/>
            <w:shd w:val="clear" w:color="auto" w:fill="FFFFFF"/>
            <w:noWrap w:val="0"/>
            <w:vAlign w:val="center"/>
          </w:tcPr>
          <w:p w14:paraId="6727D7D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无杂物、明显纸屑、污垢，无蛛丝，每个楼道烟头等脏物不超过2个；目测：无灰尘，无污迹，20平方米内不得超过2个杂物。符合5.0分，每发现一处不符合扣0.5分</w:t>
            </w:r>
          </w:p>
        </w:tc>
      </w:tr>
      <w:tr w14:paraId="7679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503C463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388753A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2.房屋立面、墙面、门、窗、玻璃、扶手、座椅、垃圾桶、消防箱、室内物品、楼道灯、开关面板的卫生管理。</w:t>
            </w:r>
          </w:p>
        </w:tc>
        <w:tc>
          <w:tcPr>
            <w:tcW w:w="866" w:type="dxa"/>
            <w:noWrap w:val="0"/>
            <w:vAlign w:val="center"/>
          </w:tcPr>
          <w:p w14:paraId="3E970AA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8</w:t>
            </w:r>
          </w:p>
        </w:tc>
        <w:tc>
          <w:tcPr>
            <w:tcW w:w="3720" w:type="dxa"/>
            <w:noWrap w:val="0"/>
            <w:vAlign w:val="center"/>
          </w:tcPr>
          <w:p w14:paraId="6EBDDA1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无乱张贴，无蜘蛛网，无痰迹，无积尘。目测：无灰尘，无蛛网、无明显污迹，纸巾测试30CM无黑灰。无过夜垃圾，无异味，桶身无污渍；桶内垃圾不得超过2/3，不过夜。符合5.0，每发现一处不符合扣0.5</w:t>
            </w:r>
          </w:p>
        </w:tc>
      </w:tr>
      <w:tr w14:paraId="6105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0369494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06B9E43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3.垃圾分类设施摆放位置规范，分类设施齐全，垃圾桶标签设置合理、规范，分类垃圾桶无破损，桶身清洁。</w:t>
            </w:r>
          </w:p>
        </w:tc>
        <w:tc>
          <w:tcPr>
            <w:tcW w:w="866" w:type="dxa"/>
            <w:noWrap w:val="0"/>
            <w:vAlign w:val="center"/>
          </w:tcPr>
          <w:p w14:paraId="151CD5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2.5</w:t>
            </w:r>
          </w:p>
        </w:tc>
        <w:tc>
          <w:tcPr>
            <w:tcW w:w="3720" w:type="dxa"/>
            <w:noWrap w:val="0"/>
            <w:vAlign w:val="center"/>
          </w:tcPr>
          <w:p w14:paraId="2753003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每发现一处不合格扣0.5分</w:t>
            </w:r>
          </w:p>
        </w:tc>
      </w:tr>
      <w:tr w14:paraId="543B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5AD97BA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1A0C0C4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4.卫生间做到按标准定人定点定时管理、巡查、监督。</w:t>
            </w:r>
          </w:p>
        </w:tc>
        <w:tc>
          <w:tcPr>
            <w:tcW w:w="866" w:type="dxa"/>
            <w:noWrap w:val="0"/>
            <w:vAlign w:val="center"/>
          </w:tcPr>
          <w:p w14:paraId="0D7AA87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w:t>
            </w:r>
          </w:p>
        </w:tc>
        <w:tc>
          <w:tcPr>
            <w:tcW w:w="3720" w:type="dxa"/>
            <w:noWrap w:val="0"/>
            <w:vAlign w:val="center"/>
          </w:tcPr>
          <w:p w14:paraId="54C046D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地面无积水、无污渍、无杂物、无异味，墙面瓷片、门、窗用纸巾擦拭无明显灰尘，便器无污渍；天花、灯具等目视无明显灰尘，玻璃、镜面无灰尘，无污渍。无异味、干净、清爽，每发现一处扣0.5分</w:t>
            </w:r>
          </w:p>
        </w:tc>
      </w:tr>
      <w:tr w14:paraId="3ADA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9" w:type="dxa"/>
            <w:vMerge w:val="continue"/>
            <w:noWrap w:val="0"/>
            <w:vAlign w:val="top"/>
          </w:tcPr>
          <w:p w14:paraId="1A2AF45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22BE557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5.定期检查报告蚊、蝇、白蚁虫害情况，并做到无孳生源。需留存相关记录。</w:t>
            </w:r>
          </w:p>
        </w:tc>
        <w:tc>
          <w:tcPr>
            <w:tcW w:w="866" w:type="dxa"/>
            <w:noWrap w:val="0"/>
            <w:vAlign w:val="center"/>
          </w:tcPr>
          <w:p w14:paraId="4723F7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2.5</w:t>
            </w:r>
          </w:p>
        </w:tc>
        <w:tc>
          <w:tcPr>
            <w:tcW w:w="3720" w:type="dxa"/>
            <w:noWrap w:val="0"/>
            <w:vAlign w:val="center"/>
          </w:tcPr>
          <w:p w14:paraId="07A5900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符合2.5分，遗漏定期检查扣0.5分，无台账记录扣2分</w:t>
            </w:r>
          </w:p>
        </w:tc>
      </w:tr>
      <w:tr w14:paraId="0174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79" w:type="dxa"/>
            <w:vMerge w:val="restart"/>
            <w:noWrap w:val="0"/>
            <w:vAlign w:val="center"/>
          </w:tcPr>
          <w:p w14:paraId="21FD265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五</w:t>
            </w:r>
          </w:p>
        </w:tc>
        <w:tc>
          <w:tcPr>
            <w:tcW w:w="4183" w:type="dxa"/>
            <w:tcBorders>
              <w:bottom w:val="single" w:color="auto" w:sz="4" w:space="0"/>
            </w:tcBorders>
            <w:noWrap w:val="0"/>
            <w:vAlign w:val="center"/>
          </w:tcPr>
          <w:p w14:paraId="5BD2161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6.清洁区域明确划分并落实责任人；清洁卫生实行责任制，有专职的清洁人员做到按制定标准全天候、全方位保洁。明确责任范围，实行标准化清洁保洁。</w:t>
            </w:r>
          </w:p>
        </w:tc>
        <w:tc>
          <w:tcPr>
            <w:tcW w:w="866" w:type="dxa"/>
            <w:tcBorders>
              <w:bottom w:val="single" w:color="auto" w:sz="4" w:space="0"/>
            </w:tcBorders>
            <w:noWrap w:val="0"/>
            <w:vAlign w:val="center"/>
          </w:tcPr>
          <w:p w14:paraId="5BDAC03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2.5</w:t>
            </w:r>
          </w:p>
        </w:tc>
        <w:tc>
          <w:tcPr>
            <w:tcW w:w="3720" w:type="dxa"/>
            <w:tcBorders>
              <w:bottom w:val="single" w:color="auto" w:sz="4" w:space="0"/>
            </w:tcBorders>
            <w:noWrap w:val="0"/>
            <w:vAlign w:val="center"/>
          </w:tcPr>
          <w:p w14:paraId="5888F88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未实行责任制的扣0.5，无专职清洁人员和责任范围的扣0.3，未实行标准化保洁的扣0.2</w:t>
            </w:r>
          </w:p>
        </w:tc>
      </w:tr>
      <w:tr w14:paraId="28BDE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0C6D53A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306D3CD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7.垃圾的收集、清运，做到垃圾日产日清，统一按规定堆放到指定地点。做好清运记录，形成台账，，定期进行卫生灭杀。</w:t>
            </w:r>
          </w:p>
        </w:tc>
        <w:tc>
          <w:tcPr>
            <w:tcW w:w="866" w:type="dxa"/>
            <w:noWrap w:val="0"/>
            <w:vAlign w:val="center"/>
          </w:tcPr>
          <w:p w14:paraId="4C50CB4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1.5</w:t>
            </w:r>
          </w:p>
        </w:tc>
        <w:tc>
          <w:tcPr>
            <w:tcW w:w="3720" w:type="dxa"/>
            <w:noWrap w:val="0"/>
            <w:vAlign w:val="center"/>
          </w:tcPr>
          <w:p w14:paraId="31B548E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每发现一处垃圾扣0.2，未达到垃圾日产日清的扣0.5，未定期进行卫生消毒灭杀扣0.5</w:t>
            </w:r>
          </w:p>
        </w:tc>
      </w:tr>
      <w:tr w14:paraId="0B11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5B1B1B3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3B70DDF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8.对有害垃圾管理严格按规定分装，不得与其他垃圾混杂。</w:t>
            </w:r>
          </w:p>
        </w:tc>
        <w:tc>
          <w:tcPr>
            <w:tcW w:w="866" w:type="dxa"/>
            <w:noWrap w:val="0"/>
            <w:vAlign w:val="center"/>
          </w:tcPr>
          <w:p w14:paraId="65B5CA6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6311668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符合1分，发现一次扣1分</w:t>
            </w:r>
          </w:p>
        </w:tc>
      </w:tr>
      <w:tr w14:paraId="701F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191322C5">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7553AEE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866" w:type="dxa"/>
            <w:noWrap w:val="0"/>
            <w:vAlign w:val="center"/>
          </w:tcPr>
          <w:p w14:paraId="3239D27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p>
        </w:tc>
        <w:tc>
          <w:tcPr>
            <w:tcW w:w="3720" w:type="dxa"/>
            <w:noWrap w:val="0"/>
            <w:vAlign w:val="center"/>
          </w:tcPr>
          <w:p w14:paraId="36FDC38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r>
      <w:tr w14:paraId="773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restart"/>
            <w:shd w:val="clear" w:color="auto" w:fill="auto"/>
            <w:noWrap w:val="0"/>
            <w:vAlign w:val="center"/>
          </w:tcPr>
          <w:p w14:paraId="044F4E1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六</w:t>
            </w:r>
          </w:p>
        </w:tc>
        <w:tc>
          <w:tcPr>
            <w:tcW w:w="4183" w:type="dxa"/>
            <w:shd w:val="clear" w:color="auto" w:fill="FFFFFF"/>
            <w:noWrap w:val="0"/>
            <w:vAlign w:val="center"/>
          </w:tcPr>
          <w:p w14:paraId="2A7A33D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shd w:val="clear" w:color="auto" w:fill="auto"/>
                <w:lang w:val="en-US" w:eastAsia="zh-CN"/>
              </w:rPr>
            </w:pPr>
            <w:r>
              <w:rPr>
                <w:rFonts w:hint="eastAsia" w:ascii="Times New Roman" w:hAnsi="Times New Roman" w:eastAsia="仿宋_GB2312" w:cs="Times New Roman"/>
                <w:spacing w:val="-6"/>
                <w:sz w:val="28"/>
                <w:szCs w:val="28"/>
                <w:shd w:val="clear" w:color="auto" w:fill="auto"/>
                <w:lang w:val="en-US" w:eastAsia="zh-CN"/>
              </w:rPr>
              <w:t>工作纪律</w:t>
            </w:r>
          </w:p>
        </w:tc>
        <w:tc>
          <w:tcPr>
            <w:tcW w:w="866" w:type="dxa"/>
            <w:shd w:val="clear" w:color="auto" w:fill="FFFFFF"/>
            <w:noWrap w:val="0"/>
            <w:vAlign w:val="center"/>
          </w:tcPr>
          <w:p w14:paraId="2F98EF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shd w:val="clear" w:color="auto" w:fill="auto"/>
                <w:lang w:val="en-US" w:eastAsia="zh-CN"/>
              </w:rPr>
            </w:pPr>
            <w:r>
              <w:rPr>
                <w:rFonts w:hint="eastAsia" w:ascii="Times New Roman" w:hAnsi="Times New Roman" w:eastAsia="仿宋_GB2312" w:cs="Times New Roman"/>
                <w:spacing w:val="-6"/>
                <w:sz w:val="28"/>
                <w:szCs w:val="28"/>
                <w:shd w:val="clear" w:color="auto" w:fill="auto"/>
                <w:lang w:val="en-US" w:eastAsia="zh-CN"/>
              </w:rPr>
              <w:t>9</w:t>
            </w:r>
          </w:p>
        </w:tc>
        <w:tc>
          <w:tcPr>
            <w:tcW w:w="3720" w:type="dxa"/>
            <w:shd w:val="clear" w:color="auto" w:fill="FFFFFF"/>
            <w:noWrap w:val="0"/>
            <w:vAlign w:val="center"/>
          </w:tcPr>
          <w:p w14:paraId="10BEF5D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shd w:val="clear" w:color="auto" w:fill="auto"/>
                <w:lang w:val="en-US" w:eastAsia="zh-CN"/>
              </w:rPr>
            </w:pPr>
          </w:p>
        </w:tc>
      </w:tr>
      <w:tr w14:paraId="2F1C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37DE4A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575F852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1.不服从甲方的监管，未按时完成合同内的工作任务并酿成后果。</w:t>
            </w:r>
          </w:p>
        </w:tc>
        <w:tc>
          <w:tcPr>
            <w:tcW w:w="866" w:type="dxa"/>
            <w:noWrap w:val="0"/>
            <w:vAlign w:val="center"/>
          </w:tcPr>
          <w:p w14:paraId="4648611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noWrap w:val="0"/>
            <w:vAlign w:val="center"/>
          </w:tcPr>
          <w:p w14:paraId="1697309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发现问题并改正未酿成后果扣1分，有以上现象扣3分</w:t>
            </w:r>
          </w:p>
        </w:tc>
      </w:tr>
      <w:tr w14:paraId="1A2B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53670D9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22D68DF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2.主管负责人督查不严，导致工作出现重大失误，使甲方形象受损或造成较大经济损失。</w:t>
            </w:r>
          </w:p>
        </w:tc>
        <w:tc>
          <w:tcPr>
            <w:tcW w:w="866" w:type="dxa"/>
            <w:noWrap w:val="0"/>
            <w:vAlign w:val="center"/>
          </w:tcPr>
          <w:p w14:paraId="4AA316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noWrap w:val="0"/>
            <w:vAlign w:val="center"/>
          </w:tcPr>
          <w:p w14:paraId="73EAFE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向工作人员提出管理意见并改正的扣除1分，不服从管理扣2分</w:t>
            </w:r>
          </w:p>
        </w:tc>
      </w:tr>
      <w:tr w14:paraId="5843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08617A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762E610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3.破坏团结、搬弄是非，工作推诿、拖拉。</w:t>
            </w:r>
          </w:p>
        </w:tc>
        <w:tc>
          <w:tcPr>
            <w:tcW w:w="866" w:type="dxa"/>
            <w:noWrap w:val="0"/>
            <w:vAlign w:val="center"/>
          </w:tcPr>
          <w:p w14:paraId="4EF6253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59CF1B50">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有以上现象未造成甲方损失并服从管理发现一次扣除0.5分，如对甲方造成损失扣1分</w:t>
            </w:r>
          </w:p>
        </w:tc>
      </w:tr>
      <w:tr w14:paraId="16E2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79B15C6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4028FCB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4.不得当班饮酒或酒后上班。遵守员工管理规范，无打架斗殴等不良情况。</w:t>
            </w:r>
          </w:p>
        </w:tc>
        <w:tc>
          <w:tcPr>
            <w:tcW w:w="866" w:type="dxa"/>
            <w:noWrap w:val="0"/>
            <w:vAlign w:val="center"/>
          </w:tcPr>
          <w:p w14:paraId="3795BDF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21FA756B">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上班饮酒或醉酒上班扣0.5分，打架斗殴扣0.5分</w:t>
            </w:r>
          </w:p>
        </w:tc>
      </w:tr>
      <w:tr w14:paraId="369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502E1C8F">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1CB44E7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5.当班期间不得串岗、脱岗、睡岗。</w:t>
            </w:r>
          </w:p>
        </w:tc>
        <w:tc>
          <w:tcPr>
            <w:tcW w:w="866" w:type="dxa"/>
            <w:noWrap w:val="0"/>
            <w:vAlign w:val="center"/>
          </w:tcPr>
          <w:p w14:paraId="2BB2876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375CF7E3">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发现一次扣1分</w:t>
            </w:r>
          </w:p>
        </w:tc>
      </w:tr>
      <w:tr w14:paraId="0AB4A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38530FE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7EA833A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6.工作区域内不得扎堆闲聊、上网游戏、看电影或在岗聊私人电话。按规定足额配备人员，排班合理。</w:t>
            </w:r>
          </w:p>
        </w:tc>
        <w:tc>
          <w:tcPr>
            <w:tcW w:w="866" w:type="dxa"/>
            <w:noWrap w:val="0"/>
            <w:vAlign w:val="center"/>
          </w:tcPr>
          <w:p w14:paraId="5E38FC9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6A99194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发现一次扣1分</w:t>
            </w:r>
          </w:p>
        </w:tc>
      </w:tr>
      <w:tr w14:paraId="4B19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79" w:type="dxa"/>
            <w:vMerge w:val="continue"/>
            <w:noWrap w:val="0"/>
            <w:vAlign w:val="top"/>
          </w:tcPr>
          <w:p w14:paraId="73C7FCF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380CA79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7.未经允许不得在工作期间利用甲方的资源接私活 。</w:t>
            </w:r>
          </w:p>
        </w:tc>
        <w:tc>
          <w:tcPr>
            <w:tcW w:w="866" w:type="dxa"/>
            <w:noWrap w:val="0"/>
            <w:vAlign w:val="center"/>
          </w:tcPr>
          <w:p w14:paraId="342E595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w:t>
            </w:r>
          </w:p>
        </w:tc>
        <w:tc>
          <w:tcPr>
            <w:tcW w:w="3720" w:type="dxa"/>
            <w:noWrap w:val="0"/>
            <w:vAlign w:val="center"/>
          </w:tcPr>
          <w:p w14:paraId="67E331F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发现一次扣1分</w:t>
            </w:r>
          </w:p>
        </w:tc>
      </w:tr>
      <w:tr w14:paraId="5B58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79" w:type="dxa"/>
            <w:vMerge w:val="restart"/>
            <w:shd w:val="clear" w:color="auto" w:fill="auto"/>
            <w:noWrap w:val="0"/>
            <w:vAlign w:val="center"/>
          </w:tcPr>
          <w:p w14:paraId="4DC9116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七</w:t>
            </w:r>
          </w:p>
        </w:tc>
        <w:tc>
          <w:tcPr>
            <w:tcW w:w="4183" w:type="dxa"/>
            <w:shd w:val="clear" w:color="auto" w:fill="FFFFFF"/>
            <w:noWrap w:val="0"/>
            <w:vAlign w:val="center"/>
          </w:tcPr>
          <w:p w14:paraId="114E5D3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shd w:val="clear" w:color="auto" w:fill="auto"/>
                <w:lang w:val="en-US" w:eastAsia="zh-CN"/>
              </w:rPr>
            </w:pPr>
            <w:r>
              <w:rPr>
                <w:rFonts w:hint="eastAsia" w:ascii="Times New Roman" w:hAnsi="Times New Roman" w:eastAsia="仿宋_GB2312" w:cs="Times New Roman"/>
                <w:spacing w:val="-6"/>
                <w:sz w:val="28"/>
                <w:szCs w:val="28"/>
                <w:shd w:val="clear" w:color="auto" w:fill="auto"/>
                <w:lang w:val="en-US" w:eastAsia="zh-CN"/>
              </w:rPr>
              <w:t>精神文明建设</w:t>
            </w:r>
          </w:p>
        </w:tc>
        <w:tc>
          <w:tcPr>
            <w:tcW w:w="866" w:type="dxa"/>
            <w:shd w:val="clear" w:color="auto" w:fill="FFFFFF"/>
            <w:noWrap w:val="0"/>
            <w:vAlign w:val="center"/>
          </w:tcPr>
          <w:p w14:paraId="65D813C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shd w:val="clear" w:color="auto" w:fill="auto"/>
                <w:lang w:val="en-US" w:eastAsia="zh-CN"/>
              </w:rPr>
            </w:pPr>
            <w:r>
              <w:rPr>
                <w:rFonts w:hint="eastAsia" w:ascii="Times New Roman" w:hAnsi="Times New Roman" w:eastAsia="仿宋_GB2312" w:cs="Times New Roman"/>
                <w:spacing w:val="-6"/>
                <w:sz w:val="28"/>
                <w:szCs w:val="28"/>
                <w:shd w:val="clear" w:color="auto" w:fill="auto"/>
                <w:lang w:val="en-US" w:eastAsia="zh-CN"/>
              </w:rPr>
              <w:t>6</w:t>
            </w:r>
          </w:p>
        </w:tc>
        <w:tc>
          <w:tcPr>
            <w:tcW w:w="3720" w:type="dxa"/>
            <w:shd w:val="clear" w:color="auto" w:fill="FFFFFF"/>
            <w:noWrap w:val="0"/>
            <w:vAlign w:val="center"/>
          </w:tcPr>
          <w:p w14:paraId="61000E7A">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shd w:val="clear" w:color="FFFFFF" w:fill="D9D9D9"/>
                <w:lang w:val="en-US" w:eastAsia="zh-CN"/>
              </w:rPr>
            </w:pPr>
          </w:p>
        </w:tc>
      </w:tr>
      <w:tr w14:paraId="265B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21A2A3FE">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08B24371">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1.全体员工和使用人能自觉维护公众利益，遵守各项管理规定。</w:t>
            </w:r>
          </w:p>
        </w:tc>
        <w:tc>
          <w:tcPr>
            <w:tcW w:w="866" w:type="dxa"/>
            <w:noWrap w:val="0"/>
            <w:vAlign w:val="center"/>
          </w:tcPr>
          <w:p w14:paraId="6334B61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noWrap w:val="0"/>
            <w:vAlign w:val="center"/>
          </w:tcPr>
          <w:p w14:paraId="52570B4D">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不遵守规章制度扣2分，发现问题服从管理改过自新扣1分</w:t>
            </w:r>
          </w:p>
        </w:tc>
      </w:tr>
      <w:tr w14:paraId="26D8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Merge w:val="continue"/>
            <w:noWrap w:val="0"/>
            <w:vAlign w:val="top"/>
          </w:tcPr>
          <w:p w14:paraId="5B5FEBF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0071E968">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2.设有学习宣传园地，宣传管理、卫生、治安、消防等方面的知识，开展积极健康向上的活动；设信息公告栏。</w:t>
            </w:r>
          </w:p>
        </w:tc>
        <w:tc>
          <w:tcPr>
            <w:tcW w:w="866" w:type="dxa"/>
            <w:noWrap w:val="0"/>
            <w:vAlign w:val="center"/>
          </w:tcPr>
          <w:p w14:paraId="7D80FB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noWrap w:val="0"/>
            <w:vAlign w:val="center"/>
          </w:tcPr>
          <w:p w14:paraId="3A1EA4B4">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未做记录扣1分</w:t>
            </w:r>
          </w:p>
        </w:tc>
      </w:tr>
      <w:tr w14:paraId="1CDC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79" w:type="dxa"/>
            <w:vMerge w:val="continue"/>
            <w:noWrap w:val="0"/>
            <w:vAlign w:val="top"/>
          </w:tcPr>
          <w:p w14:paraId="20A4F4C9">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p>
        </w:tc>
        <w:tc>
          <w:tcPr>
            <w:tcW w:w="4183" w:type="dxa"/>
            <w:noWrap w:val="0"/>
            <w:vAlign w:val="center"/>
          </w:tcPr>
          <w:p w14:paraId="15093B22">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3.区内未发现重大违纪违法案件。</w:t>
            </w:r>
          </w:p>
        </w:tc>
        <w:tc>
          <w:tcPr>
            <w:tcW w:w="866" w:type="dxa"/>
            <w:noWrap w:val="0"/>
            <w:vAlign w:val="center"/>
          </w:tcPr>
          <w:p w14:paraId="4C3929F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2</w:t>
            </w:r>
          </w:p>
        </w:tc>
        <w:tc>
          <w:tcPr>
            <w:tcW w:w="3720" w:type="dxa"/>
            <w:noWrap w:val="0"/>
            <w:vAlign w:val="center"/>
          </w:tcPr>
          <w:p w14:paraId="4F06CCCC">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Times New Roman" w:hAnsi="Times New Roman" w:eastAsia="仿宋_GB2312" w:cs="Times New Roman"/>
                <w:spacing w:val="-6"/>
                <w:sz w:val="28"/>
                <w:szCs w:val="28"/>
                <w:lang w:val="en-US" w:eastAsia="zh-CN"/>
              </w:rPr>
            </w:pPr>
            <w:r>
              <w:rPr>
                <w:rFonts w:hint="eastAsia" w:ascii="Times New Roman" w:hAnsi="Times New Roman" w:eastAsia="仿宋_GB2312" w:cs="Times New Roman"/>
                <w:spacing w:val="-6"/>
                <w:sz w:val="28"/>
                <w:szCs w:val="28"/>
                <w:lang w:val="en-US" w:eastAsia="zh-CN"/>
              </w:rPr>
              <w:t>发现一次扣2分，并加强管理</w:t>
            </w:r>
          </w:p>
        </w:tc>
      </w:tr>
    </w:tbl>
    <w:p w14:paraId="21A67369">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default" w:ascii="Times New Roman" w:hAnsi="Times New Roman" w:eastAsia="仿宋_GB2312" w:cs="Times New Roman"/>
          <w:spacing w:val="-6"/>
          <w:sz w:val="28"/>
          <w:szCs w:val="28"/>
          <w:u w:val="none"/>
        </w:rPr>
        <w:t>备注：</w:t>
      </w:r>
    </w:p>
    <w:p w14:paraId="77450318">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default" w:ascii="Times New Roman" w:hAnsi="Times New Roman" w:eastAsia="仿宋_GB2312" w:cs="Times New Roman"/>
          <w:spacing w:val="-6"/>
          <w:sz w:val="28"/>
          <w:szCs w:val="28"/>
          <w:u w:val="none"/>
        </w:rPr>
        <w:t>1</w:t>
      </w:r>
      <w:r>
        <w:rPr>
          <w:rFonts w:hint="eastAsia" w:ascii="Times New Roman" w:hAnsi="Times New Roman" w:eastAsia="仿宋_GB2312" w:cs="Times New Roman"/>
          <w:spacing w:val="-6"/>
          <w:sz w:val="28"/>
          <w:szCs w:val="28"/>
          <w:u w:val="none"/>
        </w:rPr>
        <w:t>.</w:t>
      </w:r>
      <w:r>
        <w:rPr>
          <w:rFonts w:hint="default" w:ascii="Times New Roman" w:hAnsi="Times New Roman" w:eastAsia="仿宋_GB2312" w:cs="Times New Roman"/>
          <w:spacing w:val="-6"/>
          <w:sz w:val="28"/>
          <w:szCs w:val="28"/>
          <w:u w:val="none"/>
        </w:rPr>
        <w:t>满意度考核测评流程：以科室为打分单位</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每个月对物业服务工作满意度进行考核测评</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再回收、汇总及统计。</w:t>
      </w:r>
    </w:p>
    <w:p w14:paraId="043A259F">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default" w:ascii="Times New Roman" w:hAnsi="Times New Roman" w:eastAsia="仿宋_GB2312" w:cs="Times New Roman"/>
          <w:spacing w:val="-6"/>
          <w:sz w:val="28"/>
          <w:szCs w:val="28"/>
          <w:u w:val="none"/>
        </w:rPr>
        <w:t>2</w:t>
      </w:r>
      <w:r>
        <w:rPr>
          <w:rFonts w:hint="eastAsia" w:ascii="Times New Roman" w:hAnsi="Times New Roman" w:eastAsia="仿宋_GB2312" w:cs="Times New Roman"/>
          <w:spacing w:val="-6"/>
          <w:sz w:val="28"/>
          <w:szCs w:val="28"/>
          <w:u w:val="none"/>
        </w:rPr>
        <w:t>.</w:t>
      </w:r>
      <w:r>
        <w:rPr>
          <w:rFonts w:hint="default" w:ascii="Times New Roman" w:hAnsi="Times New Roman" w:eastAsia="仿宋_GB2312" w:cs="Times New Roman"/>
          <w:spacing w:val="-6"/>
          <w:sz w:val="28"/>
          <w:szCs w:val="28"/>
          <w:u w:val="none"/>
        </w:rPr>
        <w:t>如物业公司在调换员工时</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由于员工不熟练造成政府机关较难开展工作或造成损失的，在100分制内，直接扣除20分。</w:t>
      </w:r>
    </w:p>
    <w:p w14:paraId="7BF0885E">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default" w:ascii="Times New Roman" w:hAnsi="Times New Roman" w:eastAsia="仿宋_GB2312" w:cs="Times New Roman"/>
          <w:spacing w:val="-6"/>
          <w:sz w:val="28"/>
          <w:szCs w:val="28"/>
          <w:u w:val="none"/>
        </w:rPr>
        <w:t>3</w:t>
      </w:r>
      <w:r>
        <w:rPr>
          <w:rFonts w:hint="eastAsia" w:ascii="Times New Roman" w:hAnsi="Times New Roman" w:eastAsia="仿宋_GB2312" w:cs="Times New Roman"/>
          <w:spacing w:val="-6"/>
          <w:sz w:val="28"/>
          <w:szCs w:val="28"/>
          <w:u w:val="none"/>
        </w:rPr>
        <w:t>.</w:t>
      </w:r>
      <w:r>
        <w:rPr>
          <w:rFonts w:hint="default" w:ascii="Times New Roman" w:hAnsi="Times New Roman" w:eastAsia="仿宋_GB2312" w:cs="Times New Roman"/>
          <w:spacing w:val="-6"/>
          <w:sz w:val="28"/>
          <w:szCs w:val="28"/>
          <w:u w:val="none"/>
        </w:rPr>
        <w:t>考核其他事项：</w:t>
      </w:r>
    </w:p>
    <w:p w14:paraId="3ABB21C4">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1</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由各科室考核本月物业服务人员缺岗天数。</w:t>
      </w:r>
    </w:p>
    <w:p w14:paraId="648A648B">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2</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乙方必须于每月10日前向甲方提供在职职工花名册和作业人员分布表，若不按时提供，每超出一天扣100元人民币。</w:t>
      </w:r>
    </w:p>
    <w:p w14:paraId="71633FB8">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3</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 xml:space="preserve">当月的奖罚在结算承包款时兑现。 </w:t>
      </w:r>
    </w:p>
    <w:p w14:paraId="55259A3E">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4</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仪表整洁，精神饱满，举止大方得</w:t>
      </w:r>
      <w:r>
        <w:rPr>
          <w:rFonts w:hint="eastAsia" w:ascii="Times New Roman" w:hAnsi="Times New Roman" w:eastAsia="仿宋_GB2312" w:cs="Times New Roman"/>
          <w:spacing w:val="-6"/>
          <w:sz w:val="28"/>
          <w:szCs w:val="28"/>
          <w:u w:val="none"/>
          <w:lang w:val="en-US" w:eastAsia="zh-CN"/>
        </w:rPr>
        <w:t>体</w:t>
      </w:r>
      <w:r>
        <w:rPr>
          <w:rFonts w:hint="default" w:ascii="Times New Roman" w:hAnsi="Times New Roman" w:eastAsia="仿宋_GB2312" w:cs="Times New Roman"/>
          <w:spacing w:val="-6"/>
          <w:sz w:val="28"/>
          <w:szCs w:val="28"/>
          <w:u w:val="none"/>
        </w:rPr>
        <w:t>。</w:t>
      </w:r>
    </w:p>
    <w:p w14:paraId="24C59CBB">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5</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不得随便翻动办公室物品、文件，办公用品应轻拿轻放。</w:t>
      </w:r>
    </w:p>
    <w:p w14:paraId="793DFAB5">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6</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不能用同一条毛巾既擦台面又擦门窗。</w:t>
      </w:r>
    </w:p>
    <w:p w14:paraId="2C507F59">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default"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7</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擦抹电脑、电器时须用干毛巾。</w:t>
      </w:r>
    </w:p>
    <w:p w14:paraId="35CBEA75">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eastAsia" w:ascii="Times New Roman" w:hAnsi="Times New Roman" w:eastAsia="仿宋_GB2312" w:cs="Times New Roman"/>
          <w:spacing w:val="-6"/>
          <w:sz w:val="28"/>
          <w:szCs w:val="28"/>
          <w:u w:val="none"/>
        </w:rPr>
      </w:pP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8</w:t>
      </w:r>
      <w:r>
        <w:rPr>
          <w:rFonts w:hint="eastAsia" w:ascii="Times New Roman" w:hAnsi="Times New Roman" w:eastAsia="仿宋_GB2312" w:cs="Times New Roman"/>
          <w:spacing w:val="-6"/>
          <w:sz w:val="28"/>
          <w:szCs w:val="28"/>
          <w:u w:val="none"/>
          <w:lang w:eastAsia="zh-CN"/>
        </w:rPr>
        <w:t>）</w:t>
      </w:r>
      <w:r>
        <w:rPr>
          <w:rFonts w:hint="default" w:ascii="Times New Roman" w:hAnsi="Times New Roman" w:eastAsia="仿宋_GB2312" w:cs="Times New Roman"/>
          <w:spacing w:val="-6"/>
          <w:sz w:val="28"/>
          <w:szCs w:val="28"/>
          <w:u w:val="none"/>
        </w:rPr>
        <w:t>工作人员上班期间不得串岗、离岗，服从大楼管理办及科室有关人员的临时工作安排。</w:t>
      </w:r>
    </w:p>
    <w:p w14:paraId="5F6AB895">
      <w:pPr>
        <w:keepNext w:val="0"/>
        <w:keepLines w:val="0"/>
        <w:pageBreakBefore w:val="0"/>
        <w:widowControl w:val="0"/>
        <w:kinsoku/>
        <w:wordWrap/>
        <w:overflowPunct/>
        <w:topLinePunct w:val="0"/>
        <w:autoSpaceDE/>
        <w:autoSpaceDN/>
        <w:bidi w:val="0"/>
        <w:adjustRightInd/>
        <w:snapToGrid/>
        <w:spacing w:line="590" w:lineRule="exact"/>
        <w:ind w:firstLine="536" w:firstLineChars="200"/>
        <w:jc w:val="both"/>
        <w:textAlignment w:val="auto"/>
        <w:rPr>
          <w:rFonts w:hint="eastAsia" w:ascii="Times New Roman" w:hAnsi="Times New Roman" w:eastAsia="仿宋_GB2312" w:cs="Times New Roman"/>
          <w:spacing w:val="-6"/>
          <w:sz w:val="28"/>
          <w:szCs w:val="28"/>
          <w:u w:val="none"/>
        </w:rPr>
      </w:pPr>
    </w:p>
    <w:p w14:paraId="1D366993"/>
    <w:p w14:paraId="641E88DD">
      <w:pPr>
        <w:pStyle w:val="35"/>
        <w:spacing w:line="440" w:lineRule="exact"/>
        <w:rPr>
          <w:rFonts w:hint="eastAsia" w:ascii="国标宋体" w:hAnsi="国标宋体" w:eastAsia="国标宋体" w:cs="国标宋体"/>
          <w:color w:val="auto"/>
          <w:sz w:val="24"/>
          <w:szCs w:val="24"/>
          <w:highlight w:val="none"/>
        </w:rPr>
      </w:pPr>
    </w:p>
    <w:p w14:paraId="374A2DF6">
      <w:pPr>
        <w:pStyle w:val="5"/>
        <w:numPr>
          <w:ilvl w:val="0"/>
          <w:numId w:val="0"/>
        </w:numPr>
        <w:spacing w:line="520" w:lineRule="exact"/>
        <w:jc w:val="both"/>
        <w:rPr>
          <w:rFonts w:hint="eastAsia" w:ascii="新宋体" w:hAnsi="新宋体" w:eastAsia="新宋体"/>
          <w:bCs w:val="0"/>
          <w:sz w:val="36"/>
          <w:szCs w:val="36"/>
        </w:rPr>
      </w:pPr>
      <w:r>
        <w:rPr>
          <w:rFonts w:hint="eastAsia" w:ascii="新宋体" w:hAnsi="新宋体" w:eastAsia="新宋体"/>
          <w:sz w:val="24"/>
        </w:rPr>
        <w:br w:type="page"/>
      </w:r>
      <w:bookmarkStart w:id="98" w:name="_Toc274303259"/>
      <w:bookmarkStart w:id="99" w:name="_Toc187829774"/>
      <w:bookmarkStart w:id="100" w:name="_Toc235778631"/>
      <w:bookmarkStart w:id="101" w:name="_Toc213038698"/>
      <w:bookmarkStart w:id="102" w:name="_Toc238878129"/>
      <w:r>
        <w:rPr>
          <w:rFonts w:hint="eastAsia" w:ascii="新宋体" w:hAnsi="新宋体" w:eastAsia="新宋体"/>
          <w:sz w:val="24"/>
          <w:lang w:val="en-US" w:eastAsia="zh-CN"/>
        </w:rPr>
        <w:t xml:space="preserve">                         </w:t>
      </w:r>
      <w:bookmarkStart w:id="103" w:name="_Toc9266"/>
      <w:r>
        <w:rPr>
          <w:rFonts w:hint="eastAsia" w:ascii="新宋体" w:hAnsi="新宋体" w:eastAsia="新宋体"/>
          <w:bCs w:val="0"/>
          <w:sz w:val="36"/>
          <w:szCs w:val="36"/>
        </w:rPr>
        <w:t>第八章</w:t>
      </w:r>
      <w:r>
        <w:rPr>
          <w:rFonts w:hint="eastAsia" w:ascii="新宋体" w:hAnsi="新宋体" w:eastAsia="新宋体"/>
          <w:sz w:val="36"/>
        </w:rPr>
        <w:t xml:space="preserve"> </w:t>
      </w:r>
      <w:r>
        <w:rPr>
          <w:rFonts w:hint="eastAsia" w:ascii="新宋体" w:hAnsi="新宋体" w:eastAsia="新宋体"/>
          <w:bCs w:val="0"/>
          <w:sz w:val="36"/>
          <w:szCs w:val="36"/>
        </w:rPr>
        <w:t>投标文件部分格式</w:t>
      </w:r>
      <w:bookmarkEnd w:id="98"/>
      <w:bookmarkEnd w:id="99"/>
      <w:bookmarkEnd w:id="100"/>
      <w:bookmarkEnd w:id="101"/>
      <w:bookmarkEnd w:id="102"/>
      <w:bookmarkEnd w:id="103"/>
    </w:p>
    <w:p w14:paraId="64904903">
      <w:pPr>
        <w:pStyle w:val="44"/>
        <w:spacing w:line="400" w:lineRule="exact"/>
        <w:rPr>
          <w:rFonts w:hint="eastAsia" w:ascii="新宋体" w:hAnsi="新宋体" w:eastAsia="新宋体"/>
          <w:color w:val="auto"/>
          <w:lang w:val="en-US" w:eastAsia="zh-CN"/>
        </w:rPr>
      </w:pPr>
      <w:r>
        <w:rPr>
          <w:rFonts w:hint="eastAsia" w:ascii="新宋体" w:hAnsi="新宋体" w:eastAsia="新宋体"/>
          <w:color w:val="auto"/>
          <w:lang w:val="en-US" w:eastAsia="zh-CN"/>
        </w:rPr>
        <w:t>一、资格响应文件部分格式：</w:t>
      </w:r>
    </w:p>
    <w:p w14:paraId="11977E96">
      <w:pPr>
        <w:spacing w:line="400" w:lineRule="exact"/>
        <w:ind w:firstLine="630" w:firstLineChars="300"/>
        <w:rPr>
          <w:rFonts w:hint="eastAsia" w:ascii="新宋体" w:hAnsi="新宋体" w:eastAsia="新宋体"/>
        </w:rPr>
      </w:pPr>
      <w:r>
        <w:rPr>
          <w:rFonts w:hint="eastAsia" w:ascii="新宋体" w:hAnsi="新宋体" w:eastAsia="新宋体"/>
        </w:rPr>
        <w:t>1.义乌市政府采购项目投标承诺书</w:t>
      </w:r>
    </w:p>
    <w:p w14:paraId="4D15A8D1">
      <w:pPr>
        <w:spacing w:line="400" w:lineRule="exact"/>
        <w:ind w:firstLine="630" w:firstLineChars="300"/>
        <w:rPr>
          <w:rFonts w:hint="eastAsia" w:ascii="新宋体" w:hAnsi="新宋体" w:eastAsia="新宋体"/>
        </w:rPr>
      </w:pPr>
      <w:r>
        <w:rPr>
          <w:rFonts w:hint="eastAsia" w:ascii="新宋体" w:hAnsi="新宋体" w:eastAsia="新宋体"/>
        </w:rPr>
        <w:t>2.中小企业声明函</w:t>
      </w:r>
    </w:p>
    <w:p w14:paraId="783ACA20">
      <w:pPr>
        <w:spacing w:line="400" w:lineRule="exact"/>
        <w:ind w:firstLine="630" w:firstLineChars="300"/>
        <w:rPr>
          <w:rFonts w:ascii="新宋体" w:hAnsi="新宋体" w:eastAsia="新宋体"/>
        </w:rPr>
      </w:pPr>
      <w:r>
        <w:rPr>
          <w:rFonts w:hint="eastAsia" w:ascii="新宋体" w:hAnsi="新宋体" w:eastAsia="新宋体"/>
        </w:rPr>
        <w:t>3.残疾人福利性单位声明函</w:t>
      </w:r>
    </w:p>
    <w:p w14:paraId="6B072388">
      <w:pPr>
        <w:spacing w:line="400" w:lineRule="exact"/>
        <w:rPr>
          <w:rFonts w:hint="eastAsia" w:ascii="新宋体" w:hAnsi="新宋体" w:eastAsia="新宋体"/>
        </w:rPr>
      </w:pPr>
    </w:p>
    <w:p w14:paraId="32C8B9B5">
      <w:pPr>
        <w:pStyle w:val="44"/>
        <w:spacing w:line="400" w:lineRule="exact"/>
        <w:rPr>
          <w:rFonts w:hint="eastAsia" w:ascii="新宋体" w:hAnsi="新宋体" w:eastAsia="新宋体"/>
          <w:color w:val="auto"/>
          <w:lang w:val="en-US" w:eastAsia="zh-CN"/>
        </w:rPr>
      </w:pPr>
      <w:r>
        <w:rPr>
          <w:rFonts w:hint="eastAsia" w:ascii="新宋体" w:hAnsi="新宋体" w:eastAsia="新宋体"/>
          <w:color w:val="auto"/>
          <w:lang w:val="en-US" w:eastAsia="zh-CN"/>
        </w:rPr>
        <w:t>二、商务技术响应文件部分格式：</w:t>
      </w:r>
    </w:p>
    <w:p w14:paraId="4847F388">
      <w:pPr>
        <w:spacing w:line="400" w:lineRule="exact"/>
        <w:ind w:firstLine="630" w:firstLineChars="300"/>
        <w:rPr>
          <w:rFonts w:hint="eastAsia" w:ascii="新宋体" w:hAnsi="新宋体" w:eastAsia="新宋体"/>
        </w:rPr>
      </w:pPr>
      <w:r>
        <w:rPr>
          <w:rFonts w:hint="eastAsia" w:ascii="新宋体" w:hAnsi="新宋体" w:eastAsia="新宋体"/>
        </w:rPr>
        <w:t>4.服务质量保证承诺书</w:t>
      </w:r>
    </w:p>
    <w:p w14:paraId="78DDD63A">
      <w:pPr>
        <w:spacing w:line="400" w:lineRule="exact"/>
        <w:ind w:firstLine="630" w:firstLineChars="300"/>
        <w:rPr>
          <w:rFonts w:hint="eastAsia" w:ascii="新宋体" w:hAnsi="新宋体" w:eastAsia="新宋体" w:cs="Times New Roman"/>
          <w:lang w:val="en-US" w:eastAsia="zh-CN"/>
        </w:rPr>
      </w:pPr>
      <w:r>
        <w:rPr>
          <w:rFonts w:hint="eastAsia" w:ascii="新宋体" w:hAnsi="新宋体" w:eastAsia="新宋体"/>
        </w:rPr>
        <w:t>5</w:t>
      </w:r>
      <w:r>
        <w:rPr>
          <w:rFonts w:hint="eastAsia" w:ascii="新宋体" w:hAnsi="新宋体" w:eastAsia="新宋体" w:cs="Times New Roman"/>
        </w:rPr>
        <w:t>.规范偏离表</w:t>
      </w:r>
    </w:p>
    <w:p w14:paraId="2EAAF67A">
      <w:pPr>
        <w:spacing w:line="400" w:lineRule="exact"/>
        <w:ind w:firstLine="630" w:firstLineChars="300"/>
        <w:rPr>
          <w:rFonts w:hint="default" w:ascii="新宋体" w:hAnsi="新宋体" w:eastAsia="新宋体" w:cs="Times New Roman"/>
          <w:lang w:val="en-US" w:eastAsia="zh-CN"/>
        </w:rPr>
      </w:pPr>
      <w:r>
        <w:rPr>
          <w:rFonts w:hint="eastAsia" w:ascii="新宋体" w:hAnsi="新宋体" w:eastAsia="新宋体" w:cs="Times New Roman"/>
          <w:lang w:val="en-US" w:eastAsia="zh-CN"/>
        </w:rPr>
        <w:t>6.项目组成人员表</w:t>
      </w:r>
    </w:p>
    <w:p w14:paraId="2E52FF8A">
      <w:pPr>
        <w:spacing w:line="400" w:lineRule="exact"/>
        <w:ind w:firstLine="630" w:firstLineChars="300"/>
        <w:rPr>
          <w:rFonts w:hint="eastAsia" w:ascii="新宋体" w:hAnsi="新宋体" w:eastAsia="新宋体" w:cs="Times New Roman"/>
        </w:rPr>
      </w:pPr>
    </w:p>
    <w:p w14:paraId="01C6320D">
      <w:pPr>
        <w:spacing w:line="400" w:lineRule="exact"/>
        <w:rPr>
          <w:rFonts w:hint="eastAsia" w:ascii="新宋体" w:hAnsi="新宋体" w:eastAsia="新宋体"/>
        </w:rPr>
      </w:pPr>
    </w:p>
    <w:p w14:paraId="20D1849A">
      <w:pPr>
        <w:pStyle w:val="44"/>
        <w:spacing w:line="400" w:lineRule="exact"/>
        <w:rPr>
          <w:rFonts w:hint="eastAsia" w:ascii="新宋体" w:hAnsi="新宋体" w:eastAsia="新宋体"/>
          <w:color w:val="auto"/>
          <w:lang w:val="en-US" w:eastAsia="zh-CN"/>
        </w:rPr>
      </w:pPr>
      <w:r>
        <w:rPr>
          <w:rFonts w:hint="eastAsia" w:ascii="新宋体" w:hAnsi="新宋体" w:eastAsia="新宋体"/>
          <w:color w:val="auto"/>
          <w:lang w:val="en-US" w:eastAsia="zh-CN"/>
        </w:rPr>
        <w:t>三、报价响应文件部分格式：</w:t>
      </w:r>
    </w:p>
    <w:p w14:paraId="15C55C91">
      <w:pPr>
        <w:spacing w:line="400" w:lineRule="exact"/>
        <w:ind w:firstLine="630" w:firstLineChars="300"/>
        <w:rPr>
          <w:rFonts w:hint="eastAsia" w:ascii="新宋体" w:hAnsi="新宋体" w:eastAsia="新宋体" w:cs="Times New Roman"/>
          <w:color w:val="auto"/>
          <w:highlight w:val="none"/>
        </w:rPr>
      </w:pPr>
      <w:r>
        <w:rPr>
          <w:rFonts w:hint="eastAsia" w:ascii="新宋体" w:hAnsi="新宋体" w:eastAsia="新宋体" w:cs="Times New Roman"/>
          <w:color w:val="auto"/>
          <w:highlight w:val="none"/>
          <w:lang w:val="en-US" w:eastAsia="zh-CN"/>
        </w:rPr>
        <w:t>7</w:t>
      </w:r>
      <w:r>
        <w:rPr>
          <w:rFonts w:hint="eastAsia" w:ascii="新宋体" w:hAnsi="新宋体" w:eastAsia="新宋体" w:cs="Times New Roman"/>
          <w:color w:val="auto"/>
          <w:highlight w:val="none"/>
        </w:rPr>
        <w:t>.开标一览表</w:t>
      </w:r>
    </w:p>
    <w:p w14:paraId="0D1D2E81">
      <w:pPr>
        <w:spacing w:line="400" w:lineRule="exact"/>
        <w:ind w:firstLine="630" w:firstLineChars="300"/>
        <w:rPr>
          <w:rFonts w:hint="eastAsia" w:ascii="新宋体" w:hAnsi="新宋体" w:eastAsia="新宋体"/>
          <w:color w:val="auto"/>
          <w:highlight w:val="none"/>
        </w:rPr>
      </w:pPr>
      <w:r>
        <w:rPr>
          <w:rFonts w:hint="eastAsia" w:ascii="新宋体" w:hAnsi="新宋体" w:eastAsia="新宋体" w:cs="新宋体"/>
          <w:color w:val="auto"/>
          <w:highlight w:val="none"/>
          <w:lang w:val="en-US" w:eastAsia="zh-CN"/>
        </w:rPr>
        <w:t>8</w:t>
      </w:r>
      <w:r>
        <w:rPr>
          <w:rFonts w:hint="eastAsia" w:ascii="新宋体" w:hAnsi="新宋体" w:eastAsia="新宋体" w:cs="新宋体"/>
          <w:color w:val="auto"/>
          <w:highlight w:val="none"/>
        </w:rPr>
        <w:t>.投标人自报成本价表</w:t>
      </w:r>
    </w:p>
    <w:p w14:paraId="4B506F54">
      <w:pPr>
        <w:spacing w:line="400" w:lineRule="exact"/>
        <w:ind w:firstLine="630" w:firstLineChars="300"/>
        <w:rPr>
          <w:rFonts w:hint="eastAsia" w:ascii="新宋体" w:hAnsi="新宋体" w:eastAsia="新宋体"/>
        </w:rPr>
      </w:pPr>
    </w:p>
    <w:p w14:paraId="4F269739">
      <w:pPr>
        <w:spacing w:line="400" w:lineRule="exact"/>
        <w:ind w:firstLine="630" w:firstLineChars="300"/>
        <w:rPr>
          <w:rFonts w:hint="eastAsia" w:ascii="新宋体" w:hAnsi="新宋体" w:eastAsia="新宋体"/>
        </w:rPr>
      </w:pPr>
    </w:p>
    <w:p w14:paraId="6B633A8D">
      <w:pPr>
        <w:spacing w:line="400" w:lineRule="exact"/>
        <w:ind w:firstLine="630" w:firstLineChars="300"/>
        <w:rPr>
          <w:rFonts w:hint="eastAsia" w:ascii="新宋体" w:hAnsi="新宋体" w:eastAsia="新宋体"/>
        </w:rPr>
      </w:pPr>
    </w:p>
    <w:p w14:paraId="54BCD0E7">
      <w:pPr>
        <w:pStyle w:val="44"/>
        <w:spacing w:line="400" w:lineRule="exact"/>
        <w:rPr>
          <w:rFonts w:ascii="新宋体" w:hAnsi="新宋体" w:eastAsia="新宋体"/>
          <w:color w:val="auto"/>
        </w:rPr>
      </w:pPr>
      <w:r>
        <w:rPr>
          <w:rFonts w:hint="eastAsia" w:ascii="新宋体" w:hAnsi="新宋体" w:eastAsia="新宋体"/>
          <w:color w:val="auto"/>
          <w:lang w:val="en-US" w:eastAsia="zh-CN"/>
        </w:rPr>
        <w:t>四</w:t>
      </w:r>
      <w:r>
        <w:rPr>
          <w:rFonts w:hint="eastAsia" w:ascii="新宋体" w:hAnsi="新宋体" w:eastAsia="新宋体"/>
          <w:color w:val="auto"/>
        </w:rPr>
        <w:t>、质疑函范本</w:t>
      </w:r>
      <w:r>
        <w:rPr>
          <w:rFonts w:ascii="新宋体" w:hAnsi="新宋体" w:eastAsia="新宋体"/>
          <w:color w:val="auto"/>
        </w:rPr>
        <w:t>、</w:t>
      </w:r>
      <w:r>
        <w:rPr>
          <w:rFonts w:hint="eastAsia" w:ascii="新宋体" w:hAnsi="新宋体" w:eastAsia="新宋体"/>
          <w:color w:val="auto"/>
        </w:rPr>
        <w:t>投诉书范本</w:t>
      </w:r>
      <w:r>
        <w:rPr>
          <w:rFonts w:ascii="新宋体" w:hAnsi="新宋体" w:eastAsia="新宋体"/>
          <w:color w:val="auto"/>
        </w:rPr>
        <w:t>请到浙江政府采购网下载专区下载。</w:t>
      </w:r>
    </w:p>
    <w:p w14:paraId="4CE6A0AD">
      <w:pPr>
        <w:pStyle w:val="44"/>
        <w:rPr>
          <w:rFonts w:hint="eastAsia" w:ascii="新宋体" w:hAnsi="新宋体" w:eastAsia="新宋体"/>
          <w:color w:val="auto"/>
          <w:lang w:val="en-US" w:eastAsia="zh-CN"/>
        </w:rPr>
      </w:pPr>
    </w:p>
    <w:p w14:paraId="6A550C49">
      <w:pPr>
        <w:rPr>
          <w:rFonts w:hint="eastAsia"/>
        </w:rPr>
      </w:pPr>
    </w:p>
    <w:p w14:paraId="6D99825F">
      <w:pPr>
        <w:rPr>
          <w:rFonts w:hint="eastAsia"/>
        </w:rPr>
      </w:pPr>
    </w:p>
    <w:p w14:paraId="79A582C7">
      <w:pPr>
        <w:tabs>
          <w:tab w:val="left" w:pos="1050"/>
        </w:tabs>
        <w:spacing w:line="400" w:lineRule="exact"/>
        <w:ind w:firstLine="720" w:firstLineChars="300"/>
        <w:rPr>
          <w:rFonts w:hint="eastAsia" w:ascii="新宋体" w:hAnsi="新宋体" w:eastAsia="新宋体"/>
          <w:sz w:val="24"/>
        </w:rPr>
      </w:pPr>
      <w:r>
        <w:rPr>
          <w:rFonts w:hint="eastAsia" w:ascii="新宋体" w:hAnsi="新宋体" w:eastAsia="新宋体"/>
          <w:sz w:val="24"/>
        </w:rPr>
        <w:t>说明：具体的投标文件组成详见第二章的“投标须知”</w:t>
      </w:r>
    </w:p>
    <w:p w14:paraId="0C216099">
      <w:pPr>
        <w:pStyle w:val="35"/>
        <w:spacing w:line="400" w:lineRule="exact"/>
        <w:jc w:val="left"/>
        <w:rPr>
          <w:rFonts w:hint="eastAsia" w:ascii="新宋体" w:hAnsi="新宋体" w:eastAsia="新宋体" w:cs="Times New Roman"/>
          <w:b/>
          <w:bCs/>
          <w:sz w:val="36"/>
          <w:szCs w:val="24"/>
        </w:rPr>
      </w:pPr>
      <w:r>
        <w:rPr>
          <w:rFonts w:ascii="新宋体" w:hAnsi="新宋体" w:eastAsia="新宋体"/>
          <w:b/>
          <w:bCs/>
          <w:sz w:val="28"/>
        </w:rPr>
        <w:br w:type="page"/>
      </w:r>
      <w:r>
        <w:rPr>
          <w:rFonts w:hint="eastAsia" w:ascii="新宋体" w:hAnsi="新宋体" w:eastAsia="新宋体" w:cs="Times New Roman"/>
          <w:b/>
          <w:bCs/>
          <w:sz w:val="36"/>
          <w:szCs w:val="24"/>
        </w:rPr>
        <w:t>1.</w:t>
      </w:r>
    </w:p>
    <w:p w14:paraId="13C98990">
      <w:pPr>
        <w:pStyle w:val="35"/>
        <w:spacing w:line="400" w:lineRule="exact"/>
        <w:jc w:val="center"/>
        <w:rPr>
          <w:rFonts w:hint="eastAsia" w:ascii="新宋体" w:hAnsi="新宋体" w:eastAsia="新宋体"/>
          <w:sz w:val="32"/>
          <w:szCs w:val="32"/>
        </w:rPr>
      </w:pPr>
      <w:r>
        <w:rPr>
          <w:rFonts w:hint="eastAsia" w:ascii="新宋体" w:hAnsi="新宋体" w:eastAsia="新宋体"/>
          <w:b/>
          <w:bCs/>
          <w:sz w:val="36"/>
          <w:szCs w:val="36"/>
        </w:rPr>
        <w:t>义乌市政府采购项目投标承诺书</w:t>
      </w:r>
    </w:p>
    <w:p w14:paraId="4FF44020">
      <w:pPr>
        <w:pStyle w:val="35"/>
        <w:spacing w:line="360" w:lineRule="exact"/>
        <w:rPr>
          <w:rFonts w:ascii="新宋体" w:hAnsi="新宋体" w:eastAsia="新宋体"/>
          <w:sz w:val="24"/>
          <w:u w:val="single"/>
        </w:rPr>
      </w:pPr>
      <w:r>
        <w:rPr>
          <w:rFonts w:hint="eastAsia" w:ascii="新宋体" w:hAnsi="新宋体" w:eastAsia="新宋体"/>
          <w:sz w:val="24"/>
        </w:rPr>
        <w:t>致：</w:t>
      </w:r>
      <w:r>
        <w:rPr>
          <w:rFonts w:hint="eastAsia" w:hAnsi="宋体" w:eastAsia="新宋体"/>
          <w:sz w:val="24"/>
          <w:u w:val="single"/>
          <w:lang w:eastAsia="zh-CN"/>
        </w:rPr>
        <w:t>义乌市机关后勤服务中心</w:t>
      </w:r>
      <w:r>
        <w:rPr>
          <w:rFonts w:hint="eastAsia" w:hAnsi="宋体"/>
          <w:sz w:val="24"/>
          <w:u w:val="single"/>
        </w:rPr>
        <w:t>和义乌市政府采购中心</w:t>
      </w:r>
    </w:p>
    <w:p w14:paraId="05FAD42F">
      <w:pPr>
        <w:tabs>
          <w:tab w:val="left" w:pos="8820"/>
        </w:tabs>
        <w:spacing w:line="360" w:lineRule="exact"/>
        <w:ind w:firstLine="420" w:firstLineChars="200"/>
        <w:jc w:val="left"/>
        <w:rPr>
          <w:rFonts w:hint="eastAsia" w:ascii="新宋体" w:hAnsi="新宋体" w:eastAsia="新宋体"/>
          <w:szCs w:val="21"/>
          <w:u w:val="single"/>
          <w:lang w:eastAsia="zh-CN"/>
        </w:rPr>
      </w:pPr>
      <w:r>
        <w:rPr>
          <w:rFonts w:hint="eastAsia" w:ascii="新宋体" w:hAnsi="新宋体" w:eastAsia="新宋体"/>
          <w:szCs w:val="21"/>
        </w:rPr>
        <w:t>1.我方已认真阅读了</w:t>
      </w:r>
      <w:r>
        <w:rPr>
          <w:rFonts w:hint="eastAsia" w:ascii="新宋体" w:hAnsi="新宋体" w:eastAsia="新宋体"/>
          <w:szCs w:val="21"/>
          <w:u w:val="single"/>
          <w:lang w:eastAsia="zh-CN"/>
        </w:rPr>
        <w:t>义乌市机关后勤服务中心行政五号楼物业管理服务采购项目</w:t>
      </w:r>
    </w:p>
    <w:p w14:paraId="2D6DD35D">
      <w:pPr>
        <w:tabs>
          <w:tab w:val="left" w:pos="8820"/>
        </w:tabs>
        <w:spacing w:line="360" w:lineRule="exact"/>
        <w:ind w:firstLine="420" w:firstLineChars="200"/>
        <w:jc w:val="left"/>
        <w:rPr>
          <w:rFonts w:hint="eastAsia" w:ascii="新宋体" w:hAnsi="新宋体" w:eastAsia="新宋体"/>
        </w:rPr>
      </w:pPr>
      <w:r>
        <w:rPr>
          <w:rFonts w:hint="eastAsia" w:ascii="新宋体" w:hAnsi="新宋体" w:eastAsia="新宋体"/>
          <w:szCs w:val="21"/>
        </w:rPr>
        <w:t>（</w:t>
      </w:r>
      <w:r>
        <w:rPr>
          <w:rFonts w:hint="eastAsia" w:ascii="新宋体" w:hAnsi="新宋体" w:eastAsia="新宋体"/>
          <w:szCs w:val="21"/>
          <w:lang w:eastAsia="zh-CN"/>
        </w:rPr>
        <w:t>330782260080040000044-YWCG2026023GK</w:t>
      </w:r>
      <w:r>
        <w:rPr>
          <w:rFonts w:hint="eastAsia" w:ascii="新宋体" w:hAnsi="新宋体" w:eastAsia="新宋体"/>
          <w:szCs w:val="21"/>
        </w:rPr>
        <w:t>）的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如招标文件出现不同的解释时，承诺以招标方的解释为准。</w:t>
      </w:r>
    </w:p>
    <w:p w14:paraId="6CA1EA08">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2.自愿接受义乌市财政局的管理，并严格遵守义乌市财政局制定的招投标管理制度、规范和纪律。</w:t>
      </w:r>
    </w:p>
    <w:p w14:paraId="77F76FFA">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3.我方承诺参与本次投标的资格符合《中华人民共和国政府采购法》的规定，并承诺近三年内，在经营活动中没有重大违法记录。我方承诺财务状况良好，并已依法按时缴纳税收和社会保障资金。我方承诺具备履行本项目合同所必需的设备和专业技术能力。如我方中标，我方承诺不转包和不违反招标规定分包该项目。</w:t>
      </w:r>
    </w:p>
    <w:p w14:paraId="1C767109">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4.积极主动配合义乌市财政局的调查。及时、如实、全面地回答义乌市财政局提出的问题，并在调查笔录中签字确认。如拒绝签字确认的，则视为我方及有关工作人员认可调查笔录中的全部内容，并对最终的调查结果无任何异议，且自愿放弃一切救济途径。</w:t>
      </w:r>
    </w:p>
    <w:p w14:paraId="25F2CCBB">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5.不转让、出借、涂改、伪造资质（资格）证书或者以其他方式允许其他单位（个人）以我方（本人）名义承接业务。</w:t>
      </w:r>
    </w:p>
    <w:p w14:paraId="598AF581">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6.不与采购人或者其他投标人相互串通投标，围标，不以行贿等不正当手段谋取中标。</w:t>
      </w:r>
    </w:p>
    <w:p w14:paraId="227E0F63">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7.在招标、投标、开标、评标、询标、中标、签订合同等招投标预备和进行的全过程中提供的资料均真实、有效，不弄虚作假。</w:t>
      </w:r>
    </w:p>
    <w:p w14:paraId="53D5B663">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8.我方已详细审核全部招标文件，包括更正文件（如果有的话），及有关附件，我方同意放弃提出含糊不清或误解的权利。</w:t>
      </w:r>
    </w:p>
    <w:p w14:paraId="5499B35D">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9.投标文件中未明确的内容一律按招标文件规定执行。</w:t>
      </w:r>
    </w:p>
    <w:p w14:paraId="11DB4171">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10.我方同意招标文件要求的投标有效期，如我方中标，我方将受此约束。</w:t>
      </w:r>
    </w:p>
    <w:p w14:paraId="7F0A4247">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11.我方相信贵方的招标结果是公正、合法的，无论我方中标还是落标，我方将接受这一结果。</w:t>
      </w:r>
    </w:p>
    <w:p w14:paraId="7BEC9F3E">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12.一旦我方中标，我方将严格依照招标文件和投标文件的规定与采购人签订合同。</w:t>
      </w:r>
    </w:p>
    <w:p w14:paraId="671B5992">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13.不低于企业成本价投标，不恶意过高报价，不扰乱招投标的正常秩序。</w:t>
      </w:r>
    </w:p>
    <w:p w14:paraId="11E0528B">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14.严格遵守开标纪律，不在开标现场吵闹、滋事，服从工作人员指挥。</w:t>
      </w:r>
    </w:p>
    <w:p w14:paraId="7BF695D8">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15.按照法律法规和本项目招标文件规定的程序和方式进行异议和投诉，不越级投诉，不无理投诉。如捏造事实、伪造材料或者以非法手段取得材料进行投诉，给他人造成损失的，依法承担赔偿责任。</w:t>
      </w:r>
    </w:p>
    <w:p w14:paraId="3E827E9B">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16.指定</w:t>
      </w:r>
      <w:r>
        <w:rPr>
          <w:rFonts w:hint="eastAsia" w:ascii="新宋体" w:hAnsi="新宋体" w:eastAsia="新宋体"/>
          <w:color w:val="000000"/>
          <w:szCs w:val="21"/>
        </w:rPr>
        <w:t>我方</w:t>
      </w:r>
      <w:r>
        <w:rPr>
          <w:rFonts w:hint="eastAsia" w:ascii="新宋体" w:hAnsi="新宋体" w:eastAsia="新宋体"/>
          <w:szCs w:val="21"/>
        </w:rPr>
        <w:t>人员（姓名： _____________ 身份证号码：___________联系电话：_____________）全权代表我方联系和协调处理投标过程中的有关事项。</w:t>
      </w:r>
    </w:p>
    <w:p w14:paraId="60E2DDDC">
      <w:pPr>
        <w:tabs>
          <w:tab w:val="left" w:pos="8820"/>
        </w:tabs>
        <w:spacing w:line="360" w:lineRule="exact"/>
        <w:ind w:firstLine="420" w:firstLineChars="200"/>
        <w:rPr>
          <w:rFonts w:hint="eastAsia" w:ascii="新宋体" w:hAnsi="新宋体" w:eastAsia="新宋体"/>
          <w:szCs w:val="21"/>
        </w:rPr>
      </w:pPr>
      <w:r>
        <w:rPr>
          <w:rFonts w:hint="eastAsia" w:ascii="新宋体" w:hAnsi="新宋体" w:eastAsia="新宋体"/>
          <w:szCs w:val="21"/>
        </w:rPr>
        <w:t>上述承诺事项已认真逐项核对，均表达我方真实意见，愿承担任何责任。若有任何弄虚作假内容或未遵守上述约定的，经查实后，愿意放弃投标及中标资格，如由此给采购人造成损失的，我方愿意承担赔偿责任。如我方违反上述承诺事项，无条件接受义乌市财政局或相关监管部门作出的任何管理和处理决定，并自愿承担一切不利的后果。</w:t>
      </w:r>
    </w:p>
    <w:p w14:paraId="02AC0AB5">
      <w:pPr>
        <w:spacing w:line="360" w:lineRule="exact"/>
        <w:ind w:firstLine="630" w:firstLineChars="300"/>
        <w:jc w:val="left"/>
        <w:rPr>
          <w:rFonts w:hint="eastAsia"/>
        </w:rPr>
      </w:pPr>
      <w:r>
        <w:rPr>
          <w:rFonts w:hint="eastAsia" w:ascii="新宋体" w:hAnsi="新宋体" w:eastAsia="新宋体"/>
          <w:szCs w:val="21"/>
        </w:rPr>
        <w:t>投标人（电子签章）：</w:t>
      </w:r>
      <w:r>
        <w:rPr>
          <w:rFonts w:ascii="新宋体" w:hAnsi="新宋体" w:eastAsia="新宋体"/>
          <w:szCs w:val="21"/>
        </w:rPr>
        <w:t xml:space="preserve">_______ </w:t>
      </w:r>
      <w:r>
        <w:rPr>
          <w:rFonts w:hint="eastAsia" w:ascii="新宋体" w:hAnsi="新宋体" w:eastAsia="新宋体"/>
          <w:szCs w:val="21"/>
        </w:rPr>
        <w:t xml:space="preserve">                       年 </w:t>
      </w:r>
      <w:r>
        <w:rPr>
          <w:rFonts w:ascii="新宋体" w:hAnsi="新宋体" w:eastAsia="新宋体"/>
          <w:szCs w:val="21"/>
        </w:rPr>
        <w:t xml:space="preserve">  </w:t>
      </w:r>
      <w:r>
        <w:rPr>
          <w:rFonts w:hint="eastAsia" w:ascii="新宋体" w:hAnsi="新宋体" w:eastAsia="新宋体"/>
          <w:szCs w:val="21"/>
        </w:rPr>
        <w:t>月</w:t>
      </w:r>
      <w:r>
        <w:rPr>
          <w:rFonts w:ascii="新宋体" w:hAnsi="新宋体" w:eastAsia="新宋体"/>
          <w:szCs w:val="21"/>
        </w:rPr>
        <w:t xml:space="preserve"> </w:t>
      </w:r>
      <w:r>
        <w:rPr>
          <w:rFonts w:hint="eastAsia" w:ascii="新宋体" w:hAnsi="新宋体" w:eastAsia="新宋体"/>
          <w:szCs w:val="21"/>
        </w:rPr>
        <w:t xml:space="preserve"> </w:t>
      </w:r>
      <w:r>
        <w:rPr>
          <w:rFonts w:ascii="新宋体" w:hAnsi="新宋体" w:eastAsia="新宋体"/>
          <w:szCs w:val="21"/>
        </w:rPr>
        <w:t xml:space="preserve"> </w:t>
      </w:r>
      <w:r>
        <w:rPr>
          <w:rFonts w:hint="eastAsia" w:ascii="新宋体" w:hAnsi="新宋体" w:eastAsia="新宋体"/>
          <w:szCs w:val="21"/>
        </w:rPr>
        <w:t>日</w:t>
      </w:r>
    </w:p>
    <w:p w14:paraId="024CAD37">
      <w:pPr>
        <w:spacing w:line="360" w:lineRule="exact"/>
        <w:ind w:firstLine="630" w:firstLineChars="300"/>
        <w:jc w:val="left"/>
        <w:rPr>
          <w:rFonts w:hint="eastAsia"/>
        </w:rPr>
      </w:pPr>
    </w:p>
    <w:p w14:paraId="092BD9C2">
      <w:pPr>
        <w:spacing w:line="400" w:lineRule="exact"/>
      </w:pPr>
      <w:r>
        <w:rPr>
          <w:rFonts w:hint="eastAsia"/>
        </w:rPr>
        <w:br w:type="page"/>
      </w:r>
      <w:r>
        <w:rPr>
          <w:rFonts w:hint="eastAsia" w:ascii="新宋体" w:hAnsi="新宋体" w:eastAsia="新宋体"/>
          <w:b/>
          <w:bCs/>
          <w:sz w:val="36"/>
          <w:szCs w:val="36"/>
        </w:rPr>
        <w:t>2.</w:t>
      </w:r>
    </w:p>
    <w:p w14:paraId="66B56483">
      <w:pPr>
        <w:snapToGrid w:val="0"/>
        <w:spacing w:before="50" w:after="50"/>
        <w:jc w:val="center"/>
        <w:rPr>
          <w:rFonts w:hint="eastAsia" w:ascii="新宋体" w:hAnsi="新宋体" w:eastAsia="新宋体"/>
          <w:b/>
          <w:sz w:val="36"/>
          <w:szCs w:val="36"/>
        </w:rPr>
      </w:pPr>
      <w:r>
        <w:rPr>
          <w:rFonts w:hint="eastAsia" w:ascii="新宋体" w:hAnsi="新宋体" w:eastAsia="新宋体"/>
          <w:b/>
          <w:sz w:val="36"/>
          <w:szCs w:val="36"/>
        </w:rPr>
        <w:t>中小企业声明函（工程、服务）</w:t>
      </w:r>
    </w:p>
    <w:p w14:paraId="07641759">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本公司（联合体）郑重声明，根据《政府采购促进中小企业发展管理办法》（财库﹝2020﹞46号）的规定，本公司（联合体）参加</w:t>
      </w:r>
      <w:r>
        <w:rPr>
          <w:rFonts w:hint="eastAsia" w:ascii="新宋体" w:hAnsi="新宋体" w:eastAsia="新宋体"/>
          <w:i/>
          <w:iCs/>
          <w:sz w:val="28"/>
          <w:szCs w:val="28"/>
          <w:u w:val="single"/>
        </w:rPr>
        <w:t>（单位名称）</w:t>
      </w:r>
      <w:r>
        <w:rPr>
          <w:rFonts w:hint="eastAsia" w:ascii="新宋体" w:hAnsi="新宋体" w:eastAsia="新宋体"/>
          <w:sz w:val="28"/>
          <w:szCs w:val="28"/>
        </w:rPr>
        <w:t>的</w:t>
      </w:r>
      <w:r>
        <w:rPr>
          <w:rFonts w:hint="eastAsia" w:ascii="新宋体" w:hAnsi="新宋体" w:eastAsia="新宋体"/>
          <w:i/>
          <w:iCs/>
          <w:sz w:val="28"/>
          <w:szCs w:val="28"/>
          <w:u w:val="single"/>
        </w:rPr>
        <w:t>（项目名称）</w:t>
      </w:r>
      <w:r>
        <w:rPr>
          <w:rFonts w:hint="eastAsia" w:ascii="新宋体" w:hAnsi="新宋体" w:eastAsia="新宋体"/>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14:paraId="4B5F3337">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1.</w:t>
      </w:r>
      <w:r>
        <w:rPr>
          <w:rFonts w:hint="eastAsia" w:ascii="新宋体" w:hAnsi="新宋体" w:eastAsia="新宋体"/>
          <w:i/>
          <w:iCs/>
          <w:sz w:val="28"/>
          <w:szCs w:val="28"/>
          <w:u w:val="single"/>
        </w:rPr>
        <w:t>（标的名称）</w:t>
      </w:r>
      <w:r>
        <w:rPr>
          <w:rFonts w:hint="eastAsia" w:ascii="新宋体" w:hAnsi="新宋体" w:eastAsia="新宋体"/>
          <w:sz w:val="28"/>
          <w:szCs w:val="28"/>
        </w:rPr>
        <w:t>，属于</w:t>
      </w:r>
      <w:r>
        <w:rPr>
          <w:rFonts w:hint="eastAsia" w:ascii="新宋体" w:hAnsi="新宋体" w:eastAsia="新宋体"/>
          <w:i/>
          <w:iCs/>
          <w:sz w:val="28"/>
          <w:szCs w:val="28"/>
          <w:u w:val="single"/>
        </w:rPr>
        <w:t>（采购文件中明确的所属行业）</w:t>
      </w:r>
      <w:r>
        <w:rPr>
          <w:rFonts w:hint="eastAsia" w:ascii="新宋体" w:hAnsi="新宋体" w:eastAsia="新宋体"/>
          <w:sz w:val="28"/>
          <w:szCs w:val="28"/>
        </w:rPr>
        <w:t>；承建（承接）企业为</w:t>
      </w:r>
      <w:r>
        <w:rPr>
          <w:rFonts w:hint="eastAsia" w:ascii="新宋体" w:hAnsi="新宋体" w:eastAsia="新宋体"/>
          <w:i/>
          <w:iCs/>
          <w:sz w:val="28"/>
          <w:szCs w:val="28"/>
          <w:u w:val="single"/>
        </w:rPr>
        <w:t>（企业名称）</w:t>
      </w:r>
      <w:r>
        <w:rPr>
          <w:rFonts w:hint="eastAsia" w:ascii="新宋体" w:hAnsi="新宋体" w:eastAsia="新宋体"/>
          <w:sz w:val="28"/>
          <w:szCs w:val="28"/>
        </w:rPr>
        <w:t>，从业人员</w:t>
      </w:r>
      <w:r>
        <w:rPr>
          <w:rFonts w:ascii="新宋体" w:hAnsi="新宋体" w:eastAsia="新宋体"/>
          <w:sz w:val="28"/>
          <w:szCs w:val="28"/>
        </w:rPr>
        <w:t>______</w:t>
      </w:r>
      <w:r>
        <w:rPr>
          <w:rFonts w:hint="eastAsia" w:ascii="新宋体" w:hAnsi="新宋体" w:eastAsia="新宋体"/>
          <w:sz w:val="28"/>
          <w:szCs w:val="28"/>
        </w:rPr>
        <w:t>人，营业收入为</w:t>
      </w:r>
      <w:r>
        <w:rPr>
          <w:rFonts w:ascii="新宋体" w:hAnsi="新宋体" w:eastAsia="新宋体"/>
          <w:sz w:val="28"/>
          <w:szCs w:val="28"/>
        </w:rPr>
        <w:t>______</w:t>
      </w:r>
      <w:r>
        <w:rPr>
          <w:rFonts w:hint="eastAsia" w:ascii="新宋体" w:hAnsi="新宋体" w:eastAsia="新宋体"/>
          <w:sz w:val="28"/>
          <w:szCs w:val="28"/>
        </w:rPr>
        <w:t>万元，资产总额为</w:t>
      </w:r>
      <w:r>
        <w:rPr>
          <w:rFonts w:ascii="新宋体" w:hAnsi="新宋体" w:eastAsia="新宋体"/>
          <w:sz w:val="28"/>
          <w:szCs w:val="28"/>
        </w:rPr>
        <w:t>______</w:t>
      </w:r>
      <w:r>
        <w:rPr>
          <w:rFonts w:hint="eastAsia" w:ascii="新宋体" w:hAnsi="新宋体" w:eastAsia="新宋体"/>
          <w:sz w:val="28"/>
          <w:szCs w:val="28"/>
        </w:rPr>
        <w:t>万元，属于</w:t>
      </w:r>
      <w:r>
        <w:rPr>
          <w:rFonts w:hint="eastAsia" w:ascii="新宋体" w:hAnsi="新宋体" w:eastAsia="新宋体"/>
          <w:i/>
          <w:iCs/>
          <w:sz w:val="28"/>
          <w:szCs w:val="28"/>
          <w:u w:val="single"/>
        </w:rPr>
        <w:t>（中型企业、小型企业、微型企业）</w:t>
      </w:r>
      <w:r>
        <w:rPr>
          <w:rFonts w:hint="eastAsia" w:ascii="新宋体" w:hAnsi="新宋体" w:eastAsia="新宋体"/>
          <w:sz w:val="28"/>
          <w:szCs w:val="28"/>
        </w:rPr>
        <w:t>；</w:t>
      </w:r>
    </w:p>
    <w:p w14:paraId="7E2D91A7">
      <w:pPr>
        <w:snapToGrid w:val="0"/>
        <w:spacing w:line="360" w:lineRule="auto"/>
        <w:ind w:firstLine="560" w:firstLineChars="200"/>
      </w:pPr>
      <w:r>
        <w:rPr>
          <w:rFonts w:hint="eastAsia" w:ascii="新宋体" w:hAnsi="新宋体" w:eastAsia="新宋体"/>
          <w:sz w:val="28"/>
          <w:szCs w:val="28"/>
        </w:rPr>
        <w:t>2.</w:t>
      </w:r>
      <w:r>
        <w:rPr>
          <w:rFonts w:hint="eastAsia" w:ascii="新宋体" w:hAnsi="新宋体" w:eastAsia="新宋体"/>
          <w:i/>
          <w:iCs/>
          <w:sz w:val="28"/>
          <w:szCs w:val="28"/>
          <w:u w:val="single"/>
        </w:rPr>
        <w:t>（标的名称）</w:t>
      </w:r>
      <w:r>
        <w:rPr>
          <w:rFonts w:hint="eastAsia" w:ascii="新宋体" w:hAnsi="新宋体" w:eastAsia="新宋体"/>
          <w:sz w:val="28"/>
          <w:szCs w:val="28"/>
        </w:rPr>
        <w:t>，属于</w:t>
      </w:r>
      <w:r>
        <w:rPr>
          <w:rFonts w:hint="eastAsia" w:ascii="新宋体" w:hAnsi="新宋体" w:eastAsia="新宋体"/>
          <w:i/>
          <w:iCs/>
          <w:sz w:val="28"/>
          <w:szCs w:val="28"/>
          <w:u w:val="single"/>
        </w:rPr>
        <w:t>（采购文件中明确的所属行业）</w:t>
      </w:r>
      <w:r>
        <w:rPr>
          <w:rFonts w:hint="eastAsia" w:ascii="新宋体" w:hAnsi="新宋体" w:eastAsia="新宋体"/>
          <w:sz w:val="28"/>
          <w:szCs w:val="28"/>
        </w:rPr>
        <w:t>；承建（承接）企业为</w:t>
      </w:r>
      <w:r>
        <w:rPr>
          <w:rFonts w:hint="eastAsia" w:ascii="新宋体" w:hAnsi="新宋体" w:eastAsia="新宋体"/>
          <w:i/>
          <w:iCs/>
          <w:sz w:val="28"/>
          <w:szCs w:val="28"/>
          <w:u w:val="single"/>
        </w:rPr>
        <w:t>（企业名称）</w:t>
      </w:r>
      <w:r>
        <w:rPr>
          <w:rFonts w:hint="eastAsia" w:ascii="新宋体" w:hAnsi="新宋体" w:eastAsia="新宋体"/>
          <w:sz w:val="28"/>
          <w:szCs w:val="28"/>
        </w:rPr>
        <w:t>，从业人员</w:t>
      </w:r>
      <w:r>
        <w:rPr>
          <w:rFonts w:ascii="新宋体" w:hAnsi="新宋体" w:eastAsia="新宋体"/>
          <w:sz w:val="28"/>
          <w:szCs w:val="28"/>
        </w:rPr>
        <w:t>______</w:t>
      </w:r>
      <w:r>
        <w:rPr>
          <w:rFonts w:hint="eastAsia" w:ascii="新宋体" w:hAnsi="新宋体" w:eastAsia="新宋体"/>
          <w:sz w:val="28"/>
          <w:szCs w:val="28"/>
        </w:rPr>
        <w:t>人，营业收入为</w:t>
      </w:r>
      <w:r>
        <w:rPr>
          <w:rFonts w:ascii="新宋体" w:hAnsi="新宋体" w:eastAsia="新宋体"/>
          <w:sz w:val="28"/>
          <w:szCs w:val="28"/>
        </w:rPr>
        <w:t>______</w:t>
      </w:r>
      <w:r>
        <w:rPr>
          <w:rFonts w:hint="eastAsia" w:ascii="新宋体" w:hAnsi="新宋体" w:eastAsia="新宋体"/>
          <w:sz w:val="28"/>
          <w:szCs w:val="28"/>
        </w:rPr>
        <w:t>万元，资产总额为</w:t>
      </w:r>
      <w:r>
        <w:rPr>
          <w:rFonts w:ascii="新宋体" w:hAnsi="新宋体" w:eastAsia="新宋体"/>
          <w:sz w:val="28"/>
          <w:szCs w:val="28"/>
        </w:rPr>
        <w:t>______</w:t>
      </w:r>
      <w:r>
        <w:rPr>
          <w:rFonts w:hint="eastAsia" w:ascii="新宋体" w:hAnsi="新宋体" w:eastAsia="新宋体"/>
          <w:sz w:val="28"/>
          <w:szCs w:val="28"/>
        </w:rPr>
        <w:t>万元，属于</w:t>
      </w:r>
      <w:r>
        <w:rPr>
          <w:rFonts w:hint="eastAsia" w:ascii="新宋体" w:hAnsi="新宋体" w:eastAsia="新宋体"/>
          <w:i/>
          <w:iCs/>
          <w:sz w:val="28"/>
          <w:szCs w:val="28"/>
          <w:u w:val="single"/>
        </w:rPr>
        <w:t>（中型企业、小型企业、微型企业）</w:t>
      </w:r>
      <w:r>
        <w:rPr>
          <w:rFonts w:hint="eastAsia" w:ascii="新宋体" w:hAnsi="新宋体" w:eastAsia="新宋体"/>
          <w:sz w:val="28"/>
          <w:szCs w:val="28"/>
        </w:rPr>
        <w:t>；</w:t>
      </w:r>
    </w:p>
    <w:p w14:paraId="44C8063D">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w:t>
      </w:r>
    </w:p>
    <w:p w14:paraId="54332350">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以上企业，不属于大企业的分支机构，不存在控股股东为大企业的情形，也不存在与大企业的负责人为同一人的情形。</w:t>
      </w:r>
    </w:p>
    <w:p w14:paraId="20375BE7">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本企业对上述声明内容的真实性负责。如有虚假，将依法承担相应责任。</w:t>
      </w:r>
    </w:p>
    <w:p w14:paraId="36B566FE">
      <w:pPr>
        <w:snapToGrid w:val="0"/>
        <w:spacing w:line="360" w:lineRule="auto"/>
        <w:ind w:firstLine="3080" w:firstLineChars="1100"/>
        <w:rPr>
          <w:rFonts w:hint="eastAsia" w:ascii="新宋体" w:hAnsi="新宋体" w:eastAsia="新宋体"/>
          <w:sz w:val="28"/>
          <w:szCs w:val="28"/>
        </w:rPr>
      </w:pPr>
      <w:r>
        <w:rPr>
          <w:rFonts w:hint="eastAsia" w:ascii="新宋体" w:hAnsi="新宋体" w:eastAsia="新宋体"/>
          <w:sz w:val="28"/>
          <w:szCs w:val="28"/>
        </w:rPr>
        <w:t>企业（投标人）名称（盖章）：</w:t>
      </w:r>
      <w:r>
        <w:rPr>
          <w:rFonts w:ascii="新宋体" w:hAnsi="新宋体" w:eastAsia="新宋体"/>
          <w:sz w:val="28"/>
          <w:szCs w:val="28"/>
        </w:rPr>
        <w:t>_______</w:t>
      </w:r>
    </w:p>
    <w:p w14:paraId="28454135">
      <w:pPr>
        <w:snapToGrid w:val="0"/>
        <w:spacing w:line="360" w:lineRule="auto"/>
        <w:ind w:firstLine="5880" w:firstLineChars="2100"/>
        <w:rPr>
          <w:rFonts w:ascii="新宋体" w:hAnsi="新宋体" w:eastAsia="新宋体"/>
          <w:sz w:val="28"/>
          <w:szCs w:val="28"/>
        </w:rPr>
      </w:pPr>
      <w:r>
        <w:rPr>
          <w:rFonts w:hint="eastAsia" w:ascii="新宋体" w:hAnsi="新宋体" w:eastAsia="新宋体"/>
          <w:sz w:val="28"/>
          <w:szCs w:val="28"/>
        </w:rPr>
        <w:t>日 期：</w:t>
      </w:r>
      <w:r>
        <w:rPr>
          <w:rFonts w:ascii="新宋体" w:hAnsi="新宋体" w:eastAsia="新宋体"/>
          <w:sz w:val="28"/>
          <w:szCs w:val="28"/>
        </w:rPr>
        <w:t>_______</w:t>
      </w:r>
    </w:p>
    <w:p w14:paraId="3A2186E8">
      <w:pPr>
        <w:snapToGrid w:val="0"/>
        <w:spacing w:line="360" w:lineRule="auto"/>
        <w:rPr>
          <w:rFonts w:hint="eastAsia" w:ascii="新宋体" w:hAnsi="新宋体" w:eastAsia="新宋体"/>
          <w:b/>
          <w:sz w:val="24"/>
        </w:rPr>
      </w:pPr>
      <w:r>
        <w:rPr>
          <w:rFonts w:hint="eastAsia" w:ascii="新宋体" w:hAnsi="新宋体" w:eastAsia="新宋体"/>
          <w:b/>
          <w:sz w:val="24"/>
        </w:rPr>
        <w:t>备注说明：</w:t>
      </w:r>
    </w:p>
    <w:p w14:paraId="5EE2D0D2">
      <w:pPr>
        <w:spacing w:line="320" w:lineRule="exact"/>
        <w:ind w:firstLine="480" w:firstLineChars="200"/>
        <w:rPr>
          <w:rFonts w:hint="eastAsia" w:ascii="新宋体" w:hAnsi="新宋体" w:eastAsia="新宋体"/>
          <w:sz w:val="24"/>
        </w:rPr>
      </w:pPr>
      <w:r>
        <w:rPr>
          <w:rFonts w:hint="eastAsia" w:ascii="新宋体" w:hAnsi="新宋体" w:eastAsia="新宋体"/>
          <w:sz w:val="24"/>
        </w:rPr>
        <w:t>1.从业人员、营业收入、资产总额填报上一年度数据，无上一年度数据的新成立企业可不填报。</w:t>
      </w:r>
    </w:p>
    <w:p w14:paraId="0BAC5FA2">
      <w:pPr>
        <w:spacing w:line="320" w:lineRule="exact"/>
        <w:ind w:firstLine="480" w:firstLineChars="200"/>
        <w:rPr>
          <w:rFonts w:hint="eastAsia" w:ascii="新宋体" w:hAnsi="新宋体" w:eastAsia="新宋体"/>
          <w:b/>
          <w:bCs/>
          <w:i/>
          <w:iCs/>
          <w:sz w:val="24"/>
          <w:u w:val="single"/>
        </w:rPr>
      </w:pPr>
      <w:r>
        <w:rPr>
          <w:rFonts w:hint="eastAsia" w:ascii="新宋体" w:hAnsi="新宋体" w:eastAsia="新宋体"/>
          <w:sz w:val="24"/>
        </w:rPr>
        <w:t>2.本项目采购标的所属行业：</w:t>
      </w:r>
      <w:r>
        <w:rPr>
          <w:rFonts w:hint="eastAsia" w:ascii="新宋体" w:hAnsi="新宋体" w:eastAsia="新宋体"/>
          <w:b/>
          <w:bCs/>
          <w:i/>
          <w:iCs/>
          <w:sz w:val="24"/>
          <w:u w:val="single"/>
        </w:rPr>
        <w:t>物业管理</w:t>
      </w:r>
    </w:p>
    <w:p w14:paraId="60156BCC">
      <w:pPr>
        <w:spacing w:line="320" w:lineRule="exact"/>
        <w:ind w:firstLine="480" w:firstLineChars="200"/>
        <w:rPr>
          <w:rFonts w:hint="eastAsia" w:ascii="新宋体" w:hAnsi="新宋体" w:eastAsia="新宋体"/>
          <w:b/>
          <w:bCs/>
          <w:i/>
          <w:iCs/>
          <w:sz w:val="24"/>
          <w:u w:val="single"/>
        </w:rPr>
      </w:pPr>
      <w:r>
        <w:rPr>
          <w:rFonts w:hint="eastAsia" w:ascii="新宋体" w:hAnsi="新宋体" w:eastAsia="新宋体" w:cs="新宋体"/>
          <w:color w:val="000000"/>
          <w:sz w:val="24"/>
          <w:highlight w:val="none"/>
        </w:rPr>
        <w:t>3.中型企业、小型企业、微型企业等3种企业类型，结合以上数据，依据《中小企业划型标准规定》（工信部联企业〔2011〕300号）确定。企业类型填写错误的，声明函无效。</w:t>
      </w:r>
    </w:p>
    <w:p w14:paraId="610069F6">
      <w:pPr>
        <w:spacing w:line="400" w:lineRule="exact"/>
        <w:rPr>
          <w:rFonts w:hint="eastAsia"/>
        </w:rPr>
      </w:pPr>
    </w:p>
    <w:p w14:paraId="0FACF8D6">
      <w:pPr>
        <w:spacing w:line="400" w:lineRule="exact"/>
        <w:rPr>
          <w:rFonts w:hint="eastAsia"/>
        </w:rPr>
      </w:pPr>
    </w:p>
    <w:p w14:paraId="7323CB09">
      <w:pPr>
        <w:spacing w:line="400" w:lineRule="exact"/>
        <w:rPr>
          <w:rFonts w:hint="eastAsia"/>
        </w:rPr>
      </w:pPr>
    </w:p>
    <w:p w14:paraId="5580EF79">
      <w:pPr>
        <w:spacing w:line="400" w:lineRule="exact"/>
        <w:rPr>
          <w:rFonts w:ascii="新宋体" w:hAnsi="新宋体" w:eastAsia="新宋体"/>
          <w:b/>
          <w:bCs/>
          <w:sz w:val="36"/>
          <w:szCs w:val="36"/>
        </w:rPr>
      </w:pPr>
      <w:r>
        <w:rPr>
          <w:rFonts w:hint="eastAsia" w:ascii="新宋体" w:hAnsi="新宋体" w:eastAsia="新宋体"/>
          <w:b/>
          <w:bCs/>
          <w:sz w:val="36"/>
          <w:szCs w:val="36"/>
        </w:rPr>
        <w:t>3.</w:t>
      </w:r>
    </w:p>
    <w:p w14:paraId="37F211FA">
      <w:pPr>
        <w:spacing w:line="588" w:lineRule="exact"/>
        <w:jc w:val="center"/>
        <w:rPr>
          <w:rFonts w:hint="eastAsia" w:ascii="新宋体" w:hAnsi="新宋体" w:eastAsia="新宋体"/>
          <w:b/>
          <w:spacing w:val="6"/>
          <w:sz w:val="32"/>
          <w:szCs w:val="32"/>
        </w:rPr>
      </w:pPr>
      <w:r>
        <w:rPr>
          <w:rFonts w:hint="eastAsia" w:ascii="新宋体" w:hAnsi="新宋体" w:eastAsia="新宋体"/>
          <w:b/>
          <w:spacing w:val="6"/>
          <w:sz w:val="32"/>
          <w:szCs w:val="32"/>
        </w:rPr>
        <w:t>残疾人福利性单位声明函</w:t>
      </w:r>
    </w:p>
    <w:p w14:paraId="1C98AF3D">
      <w:pPr>
        <w:spacing w:line="588" w:lineRule="exact"/>
        <w:rPr>
          <w:rFonts w:hint="eastAsia" w:ascii="新宋体" w:hAnsi="新宋体" w:eastAsia="新宋体"/>
          <w:b/>
          <w:spacing w:val="6"/>
          <w:sz w:val="30"/>
          <w:szCs w:val="30"/>
        </w:rPr>
      </w:pPr>
    </w:p>
    <w:p w14:paraId="5C549B09">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D03668">
      <w:pPr>
        <w:snapToGrid w:val="0"/>
        <w:spacing w:line="360" w:lineRule="auto"/>
        <w:ind w:firstLine="560" w:firstLineChars="200"/>
        <w:rPr>
          <w:rFonts w:hint="eastAsia" w:ascii="新宋体" w:hAnsi="新宋体" w:eastAsia="新宋体"/>
          <w:sz w:val="28"/>
          <w:szCs w:val="28"/>
        </w:rPr>
      </w:pPr>
      <w:r>
        <w:rPr>
          <w:rFonts w:hint="eastAsia" w:ascii="新宋体" w:hAnsi="新宋体" w:eastAsia="新宋体"/>
          <w:sz w:val="28"/>
          <w:szCs w:val="28"/>
        </w:rPr>
        <w:t>本单位对上述声明的真实性负责。如有虚假，将依法承担相应责任。</w:t>
      </w:r>
    </w:p>
    <w:p w14:paraId="70D71188">
      <w:pPr>
        <w:rPr>
          <w:rFonts w:hint="eastAsia" w:ascii="新宋体" w:hAnsi="新宋体" w:eastAsia="新宋体"/>
          <w:sz w:val="24"/>
        </w:rPr>
      </w:pPr>
      <w:r>
        <w:rPr>
          <w:rFonts w:hint="eastAsia" w:ascii="新宋体" w:hAnsi="新宋体" w:eastAsia="新宋体"/>
          <w:sz w:val="24"/>
        </w:rPr>
        <w:t>投标人名称（盖章）：</w:t>
      </w:r>
      <w:r>
        <w:rPr>
          <w:rFonts w:ascii="新宋体" w:hAnsi="新宋体" w:eastAsia="新宋体"/>
          <w:sz w:val="28"/>
          <w:szCs w:val="28"/>
        </w:rPr>
        <w:t>______________</w:t>
      </w:r>
      <w:r>
        <w:rPr>
          <w:rFonts w:hint="eastAsia" w:ascii="新宋体" w:hAnsi="新宋体" w:eastAsia="新宋体"/>
          <w:sz w:val="24"/>
        </w:rPr>
        <w:t xml:space="preserve"> </w:t>
      </w:r>
    </w:p>
    <w:p w14:paraId="43BE8270">
      <w:pPr>
        <w:snapToGrid w:val="0"/>
        <w:spacing w:line="360" w:lineRule="auto"/>
        <w:rPr>
          <w:rFonts w:hint="eastAsia" w:ascii="新宋体" w:hAnsi="新宋体" w:eastAsia="新宋体"/>
          <w:sz w:val="28"/>
          <w:szCs w:val="28"/>
        </w:rPr>
      </w:pPr>
      <w:r>
        <w:rPr>
          <w:rFonts w:hint="eastAsia" w:ascii="新宋体" w:hAnsi="新宋体" w:eastAsia="新宋体"/>
          <w:sz w:val="24"/>
        </w:rPr>
        <w:t>日 期：</w:t>
      </w:r>
      <w:r>
        <w:rPr>
          <w:rFonts w:ascii="新宋体" w:hAnsi="新宋体" w:eastAsia="新宋体"/>
          <w:sz w:val="28"/>
          <w:szCs w:val="28"/>
        </w:rPr>
        <w:t>_________</w:t>
      </w:r>
    </w:p>
    <w:p w14:paraId="1D4BF7A9">
      <w:pPr>
        <w:spacing w:line="400" w:lineRule="exact"/>
        <w:rPr>
          <w:rFonts w:hint="eastAsia" w:ascii="新宋体" w:hAnsi="新宋体" w:eastAsia="新宋体"/>
          <w:b/>
          <w:bCs/>
          <w:sz w:val="36"/>
          <w:szCs w:val="36"/>
        </w:rPr>
      </w:pPr>
      <w:r>
        <w:rPr>
          <w:rFonts w:hint="eastAsia" w:ascii="新宋体" w:hAnsi="新宋体" w:eastAsia="新宋体"/>
          <w:b/>
          <w:bCs/>
          <w:sz w:val="36"/>
          <w:szCs w:val="36"/>
        </w:rPr>
        <w:br w:type="page"/>
      </w:r>
      <w:r>
        <w:rPr>
          <w:rFonts w:hint="eastAsia" w:ascii="新宋体" w:hAnsi="新宋体" w:eastAsia="新宋体"/>
          <w:b/>
          <w:bCs/>
          <w:sz w:val="36"/>
          <w:szCs w:val="36"/>
          <w:lang w:val="en-US" w:eastAsia="zh-CN"/>
        </w:rPr>
        <w:t>4</w:t>
      </w:r>
      <w:r>
        <w:rPr>
          <w:rFonts w:hint="eastAsia" w:ascii="新宋体" w:hAnsi="新宋体" w:eastAsia="新宋体"/>
          <w:b/>
          <w:bCs/>
          <w:sz w:val="36"/>
          <w:szCs w:val="36"/>
        </w:rPr>
        <w:t>.</w:t>
      </w:r>
    </w:p>
    <w:p w14:paraId="5486EFE2">
      <w:pPr>
        <w:jc w:val="center"/>
        <w:rPr>
          <w:rFonts w:hint="eastAsia" w:ascii="新宋体" w:hAnsi="新宋体" w:eastAsia="新宋体" w:cs="新宋体"/>
          <w:b/>
          <w:bCs/>
          <w:color w:val="auto"/>
          <w:sz w:val="36"/>
          <w:highlight w:val="none"/>
        </w:rPr>
      </w:pPr>
      <w:r>
        <w:rPr>
          <w:rFonts w:hint="eastAsia" w:ascii="新宋体" w:hAnsi="新宋体" w:eastAsia="新宋体" w:cs="新宋体"/>
          <w:b/>
          <w:bCs/>
          <w:color w:val="auto"/>
          <w:sz w:val="36"/>
          <w:highlight w:val="none"/>
        </w:rPr>
        <w:t>服务质量保证承诺书（格式）</w:t>
      </w:r>
    </w:p>
    <w:p w14:paraId="7D33C00D">
      <w:pPr>
        <w:spacing w:line="480" w:lineRule="auto"/>
        <w:rPr>
          <w:rFonts w:hint="eastAsia" w:ascii="新宋体" w:hAnsi="新宋体" w:eastAsia="新宋体"/>
          <w:color w:val="auto"/>
          <w:sz w:val="24"/>
          <w:highlight w:val="none"/>
        </w:rPr>
      </w:pPr>
      <w:r>
        <w:rPr>
          <w:rFonts w:hint="eastAsia" w:ascii="新宋体" w:hAnsi="新宋体" w:eastAsia="新宋体"/>
          <w:color w:val="auto"/>
          <w:sz w:val="24"/>
          <w:highlight w:val="none"/>
          <w:lang w:val="en-US" w:eastAsia="zh-CN"/>
        </w:rPr>
        <w:t>项目</w:t>
      </w:r>
      <w:r>
        <w:rPr>
          <w:rFonts w:hint="eastAsia" w:ascii="新宋体" w:hAnsi="新宋体" w:eastAsia="新宋体"/>
          <w:color w:val="auto"/>
          <w:sz w:val="24"/>
          <w:highlight w:val="none"/>
        </w:rPr>
        <w:t>编号：</w:t>
      </w:r>
      <w:r>
        <w:rPr>
          <w:rFonts w:hint="eastAsia" w:ascii="新宋体" w:hAnsi="新宋体" w:eastAsia="新宋体" w:cs="Times New Roman"/>
          <w:color w:val="auto"/>
          <w:sz w:val="24"/>
          <w:szCs w:val="20"/>
          <w:highlight w:val="none"/>
          <w:lang w:eastAsia="zh-CN"/>
        </w:rPr>
        <w:t>330782260080040000044-YWCG2026023GK</w:t>
      </w:r>
    </w:p>
    <w:p w14:paraId="7C77888A">
      <w:pPr>
        <w:spacing w:line="400" w:lineRule="atLeast"/>
        <w:ind w:firstLine="482" w:firstLineChars="200"/>
        <w:rPr>
          <w:rFonts w:hint="eastAsia" w:ascii="新宋体" w:hAnsi="新宋体" w:eastAsia="新宋体"/>
          <w:b/>
          <w:color w:val="auto"/>
          <w:sz w:val="24"/>
          <w:highlight w:val="none"/>
          <w:lang w:eastAsia="zh-CN"/>
        </w:rPr>
      </w:pPr>
      <w:r>
        <w:rPr>
          <w:rFonts w:hint="eastAsia" w:ascii="新宋体" w:hAnsi="新宋体" w:eastAsia="新宋体"/>
          <w:b/>
          <w:color w:val="auto"/>
          <w:sz w:val="24"/>
          <w:highlight w:val="none"/>
        </w:rPr>
        <w:t>致：</w:t>
      </w:r>
      <w:r>
        <w:rPr>
          <w:rFonts w:hint="eastAsia" w:ascii="新宋体" w:hAnsi="新宋体" w:eastAsia="新宋体"/>
          <w:b/>
          <w:color w:val="auto"/>
          <w:sz w:val="24"/>
          <w:highlight w:val="none"/>
          <w:lang w:eastAsia="zh-CN"/>
        </w:rPr>
        <w:t>义乌市机关后勤服务中心</w:t>
      </w:r>
    </w:p>
    <w:p w14:paraId="3F8ECF83">
      <w:pPr>
        <w:spacing w:line="400" w:lineRule="atLeas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我们在此声明，投标</w:t>
      </w:r>
      <w:r>
        <w:rPr>
          <w:rFonts w:hint="eastAsia" w:ascii="新宋体" w:hAnsi="新宋体" w:eastAsia="新宋体" w:cs="Times New Roman"/>
          <w:color w:val="auto"/>
          <w:sz w:val="24"/>
          <w:highlight w:val="none"/>
        </w:rPr>
        <w:t>文件所提供拟派本项目的人员是完整的、真实的和准确的。同时郑重承诺：我方若中标，保证按照招标文件的规定配备好</w:t>
      </w:r>
      <w:r>
        <w:rPr>
          <w:rFonts w:hint="eastAsia" w:ascii="新宋体" w:hAnsi="新宋体" w:eastAsia="新宋体" w:cs="Times New Roman"/>
          <w:color w:val="auto"/>
          <w:sz w:val="24"/>
          <w:highlight w:val="none"/>
          <w:lang w:eastAsia="zh-CN"/>
        </w:rPr>
        <w:t>人员</w:t>
      </w:r>
      <w:r>
        <w:rPr>
          <w:rFonts w:hint="eastAsia" w:ascii="新宋体" w:hAnsi="新宋体" w:eastAsia="新宋体" w:cs="Times New Roman"/>
          <w:color w:val="auto"/>
          <w:sz w:val="24"/>
          <w:highlight w:val="none"/>
        </w:rPr>
        <w:t>设备，完全按照招标文件的要求向贵方提供优质的</w:t>
      </w:r>
      <w:r>
        <w:rPr>
          <w:rFonts w:hint="eastAsia" w:ascii="新宋体" w:hAnsi="新宋体" w:eastAsia="新宋体" w:cs="Times New Roman"/>
          <w:color w:val="auto"/>
          <w:sz w:val="24"/>
          <w:highlight w:val="none"/>
          <w:lang w:eastAsia="zh-CN"/>
        </w:rPr>
        <w:t>保洁服务</w:t>
      </w:r>
      <w:r>
        <w:rPr>
          <w:rFonts w:hint="eastAsia" w:ascii="新宋体" w:hAnsi="新宋体" w:eastAsia="新宋体" w:cs="Times New Roman"/>
          <w:color w:val="auto"/>
          <w:sz w:val="24"/>
          <w:highlight w:val="none"/>
        </w:rPr>
        <w:t>，并</w:t>
      </w:r>
      <w:r>
        <w:rPr>
          <w:rFonts w:hint="eastAsia" w:ascii="新宋体" w:hAnsi="新宋体" w:eastAsia="新宋体"/>
          <w:color w:val="auto"/>
          <w:sz w:val="24"/>
          <w:highlight w:val="none"/>
        </w:rPr>
        <w:t>承担相应的一切费用。</w:t>
      </w:r>
    </w:p>
    <w:p w14:paraId="618BCCE8">
      <w:pPr>
        <w:tabs>
          <w:tab w:val="left" w:pos="1980"/>
        </w:tabs>
        <w:spacing w:line="360" w:lineRule="auto"/>
        <w:rPr>
          <w:rFonts w:hint="eastAsia" w:ascii="新宋体" w:hAnsi="新宋体" w:eastAsia="新宋体"/>
          <w:color w:val="auto"/>
          <w:sz w:val="24"/>
          <w:highlight w:val="none"/>
        </w:rPr>
      </w:pPr>
    </w:p>
    <w:p w14:paraId="211198D4">
      <w:pPr>
        <w:tabs>
          <w:tab w:val="left" w:pos="1980"/>
        </w:tabs>
        <w:spacing w:line="360" w:lineRule="auto"/>
        <w:rPr>
          <w:rFonts w:hint="eastAsia" w:ascii="新宋体" w:hAnsi="新宋体" w:eastAsia="新宋体"/>
          <w:color w:val="auto"/>
          <w:sz w:val="24"/>
          <w:highlight w:val="none"/>
        </w:rPr>
      </w:pPr>
    </w:p>
    <w:p w14:paraId="3C0EC2CF">
      <w:pPr>
        <w:spacing w:line="360" w:lineRule="auto"/>
        <w:rPr>
          <w:rFonts w:ascii="新宋体" w:hAnsi="新宋体" w:eastAsia="新宋体"/>
          <w:color w:val="auto"/>
          <w:sz w:val="24"/>
          <w:highlight w:val="none"/>
        </w:rPr>
      </w:pPr>
      <w:r>
        <w:rPr>
          <w:rFonts w:hint="eastAsia" w:ascii="新宋体" w:hAnsi="新宋体" w:eastAsia="新宋体"/>
          <w:color w:val="auto"/>
          <w:sz w:val="24"/>
          <w:highlight w:val="none"/>
        </w:rPr>
        <w:t>投标人名称（电子签章）：</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14:paraId="68C3AE51">
      <w:pPr>
        <w:spacing w:line="40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日</w:t>
      </w:r>
      <w:r>
        <w:rPr>
          <w:rFonts w:ascii="新宋体" w:hAnsi="新宋体" w:eastAsia="新宋体"/>
          <w:color w:val="auto"/>
          <w:sz w:val="24"/>
          <w:highlight w:val="none"/>
        </w:rPr>
        <w:t xml:space="preserve"> </w:t>
      </w:r>
      <w:r>
        <w:rPr>
          <w:rFonts w:hint="eastAsia" w:ascii="新宋体" w:hAnsi="新宋体" w:eastAsia="新宋体"/>
          <w:color w:val="auto"/>
          <w:sz w:val="24"/>
          <w:highlight w:val="none"/>
        </w:rPr>
        <w:t>期：</w:t>
      </w:r>
      <w:r>
        <w:rPr>
          <w:rFonts w:ascii="新宋体" w:hAnsi="新宋体" w:eastAsia="新宋体"/>
          <w:color w:val="auto"/>
          <w:sz w:val="24"/>
          <w:highlight w:val="none"/>
        </w:rPr>
        <w:t xml:space="preserve"> </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年</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月</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日</w:t>
      </w:r>
    </w:p>
    <w:p w14:paraId="4B3C796B">
      <w:pPr>
        <w:spacing w:line="400" w:lineRule="exact"/>
        <w:rPr>
          <w:rFonts w:hint="eastAsia" w:ascii="新宋体" w:hAnsi="新宋体" w:eastAsia="新宋体"/>
          <w:b/>
          <w:bCs/>
          <w:sz w:val="36"/>
          <w:szCs w:val="36"/>
          <w:lang w:val="en-US" w:eastAsia="zh-CN"/>
        </w:rPr>
      </w:pPr>
    </w:p>
    <w:p w14:paraId="2B875AC3">
      <w:pPr>
        <w:spacing w:line="400" w:lineRule="exact"/>
        <w:rPr>
          <w:rFonts w:hint="eastAsia" w:ascii="新宋体" w:hAnsi="新宋体" w:eastAsia="新宋体"/>
          <w:b/>
          <w:bCs/>
          <w:sz w:val="36"/>
          <w:szCs w:val="36"/>
          <w:lang w:val="en-US" w:eastAsia="zh-CN"/>
        </w:rPr>
      </w:pPr>
    </w:p>
    <w:p w14:paraId="69FE8E99">
      <w:pPr>
        <w:spacing w:line="400" w:lineRule="exact"/>
        <w:rPr>
          <w:rFonts w:hint="eastAsia" w:ascii="新宋体" w:hAnsi="新宋体" w:eastAsia="新宋体"/>
          <w:b/>
          <w:bCs/>
          <w:sz w:val="36"/>
          <w:szCs w:val="36"/>
          <w:lang w:val="en-US" w:eastAsia="zh-CN"/>
        </w:rPr>
      </w:pPr>
    </w:p>
    <w:p w14:paraId="200B83D4">
      <w:pPr>
        <w:spacing w:line="400" w:lineRule="exact"/>
        <w:rPr>
          <w:rFonts w:hint="eastAsia" w:ascii="新宋体" w:hAnsi="新宋体" w:eastAsia="新宋体"/>
          <w:b/>
          <w:bCs/>
          <w:sz w:val="36"/>
          <w:szCs w:val="36"/>
          <w:lang w:val="en-US" w:eastAsia="zh-CN"/>
        </w:rPr>
      </w:pPr>
    </w:p>
    <w:p w14:paraId="12BB988B">
      <w:pPr>
        <w:spacing w:line="400" w:lineRule="exact"/>
        <w:rPr>
          <w:rFonts w:hint="eastAsia" w:ascii="新宋体" w:hAnsi="新宋体" w:eastAsia="新宋体"/>
          <w:b/>
          <w:bCs/>
          <w:sz w:val="36"/>
          <w:szCs w:val="36"/>
          <w:lang w:val="en-US" w:eastAsia="zh-CN"/>
        </w:rPr>
      </w:pPr>
    </w:p>
    <w:p w14:paraId="08F1458E">
      <w:pPr>
        <w:spacing w:line="400" w:lineRule="exact"/>
        <w:rPr>
          <w:rFonts w:hint="eastAsia" w:ascii="新宋体" w:hAnsi="新宋体" w:eastAsia="新宋体"/>
          <w:b/>
          <w:bCs/>
          <w:sz w:val="36"/>
          <w:szCs w:val="36"/>
          <w:lang w:val="en-US" w:eastAsia="zh-CN"/>
        </w:rPr>
      </w:pPr>
    </w:p>
    <w:p w14:paraId="3A80D0C7">
      <w:pPr>
        <w:spacing w:line="400" w:lineRule="exact"/>
        <w:rPr>
          <w:rFonts w:hint="eastAsia" w:ascii="新宋体" w:hAnsi="新宋体" w:eastAsia="新宋体"/>
          <w:b/>
          <w:bCs/>
          <w:sz w:val="36"/>
          <w:szCs w:val="36"/>
          <w:lang w:val="en-US" w:eastAsia="zh-CN"/>
        </w:rPr>
      </w:pPr>
    </w:p>
    <w:p w14:paraId="12D39E92">
      <w:pPr>
        <w:spacing w:line="400" w:lineRule="exact"/>
        <w:rPr>
          <w:rFonts w:hint="eastAsia" w:ascii="新宋体" w:hAnsi="新宋体" w:eastAsia="新宋体"/>
          <w:b/>
          <w:bCs/>
          <w:sz w:val="36"/>
          <w:szCs w:val="36"/>
          <w:lang w:val="en-US" w:eastAsia="zh-CN"/>
        </w:rPr>
      </w:pPr>
    </w:p>
    <w:p w14:paraId="71F0D185">
      <w:pPr>
        <w:spacing w:line="400" w:lineRule="exact"/>
        <w:rPr>
          <w:rFonts w:hint="eastAsia" w:ascii="新宋体" w:hAnsi="新宋体" w:eastAsia="新宋体"/>
          <w:b/>
          <w:bCs/>
          <w:sz w:val="36"/>
          <w:szCs w:val="36"/>
          <w:lang w:val="en-US" w:eastAsia="zh-CN"/>
        </w:rPr>
      </w:pPr>
    </w:p>
    <w:p w14:paraId="1E47642F">
      <w:pPr>
        <w:spacing w:line="400" w:lineRule="exact"/>
        <w:rPr>
          <w:rFonts w:hint="eastAsia" w:ascii="新宋体" w:hAnsi="新宋体" w:eastAsia="新宋体"/>
          <w:b/>
          <w:bCs/>
          <w:sz w:val="36"/>
          <w:szCs w:val="36"/>
          <w:lang w:val="en-US" w:eastAsia="zh-CN"/>
        </w:rPr>
      </w:pPr>
    </w:p>
    <w:p w14:paraId="153AB5BB">
      <w:pPr>
        <w:spacing w:line="400" w:lineRule="exact"/>
        <w:rPr>
          <w:rFonts w:hint="eastAsia" w:ascii="新宋体" w:hAnsi="新宋体" w:eastAsia="新宋体"/>
          <w:b/>
          <w:bCs/>
          <w:sz w:val="36"/>
          <w:szCs w:val="36"/>
          <w:lang w:val="en-US" w:eastAsia="zh-CN"/>
        </w:rPr>
      </w:pPr>
    </w:p>
    <w:p w14:paraId="0F468D67">
      <w:pPr>
        <w:spacing w:line="400" w:lineRule="exact"/>
        <w:rPr>
          <w:rFonts w:hint="eastAsia" w:ascii="新宋体" w:hAnsi="新宋体" w:eastAsia="新宋体"/>
          <w:b/>
          <w:bCs/>
          <w:sz w:val="36"/>
          <w:szCs w:val="36"/>
          <w:lang w:val="en-US" w:eastAsia="zh-CN"/>
        </w:rPr>
      </w:pPr>
    </w:p>
    <w:p w14:paraId="4F355774">
      <w:pPr>
        <w:spacing w:line="400" w:lineRule="exact"/>
        <w:rPr>
          <w:rFonts w:hint="eastAsia" w:ascii="新宋体" w:hAnsi="新宋体" w:eastAsia="新宋体"/>
          <w:b/>
          <w:bCs/>
          <w:sz w:val="36"/>
          <w:szCs w:val="36"/>
          <w:lang w:val="en-US" w:eastAsia="zh-CN"/>
        </w:rPr>
      </w:pPr>
    </w:p>
    <w:p w14:paraId="5C9C5F1B">
      <w:pPr>
        <w:spacing w:line="400" w:lineRule="exact"/>
        <w:rPr>
          <w:rFonts w:hint="eastAsia" w:ascii="新宋体" w:hAnsi="新宋体" w:eastAsia="新宋体"/>
          <w:b/>
          <w:bCs/>
          <w:sz w:val="36"/>
          <w:szCs w:val="36"/>
          <w:lang w:val="en-US" w:eastAsia="zh-CN"/>
        </w:rPr>
      </w:pPr>
    </w:p>
    <w:p w14:paraId="07229800">
      <w:pPr>
        <w:spacing w:line="400" w:lineRule="exact"/>
        <w:rPr>
          <w:rFonts w:hint="eastAsia" w:ascii="新宋体" w:hAnsi="新宋体" w:eastAsia="新宋体"/>
          <w:b/>
          <w:bCs/>
          <w:sz w:val="36"/>
          <w:szCs w:val="36"/>
          <w:lang w:val="en-US" w:eastAsia="zh-CN"/>
        </w:rPr>
      </w:pPr>
    </w:p>
    <w:p w14:paraId="37AD4474">
      <w:pPr>
        <w:spacing w:line="400" w:lineRule="exact"/>
        <w:rPr>
          <w:rFonts w:hint="eastAsia" w:ascii="新宋体" w:hAnsi="新宋体" w:eastAsia="新宋体"/>
          <w:b/>
          <w:bCs/>
          <w:sz w:val="36"/>
          <w:szCs w:val="36"/>
          <w:lang w:val="en-US" w:eastAsia="zh-CN"/>
        </w:rPr>
      </w:pPr>
    </w:p>
    <w:p w14:paraId="7C963492">
      <w:pPr>
        <w:spacing w:line="400" w:lineRule="exact"/>
        <w:rPr>
          <w:rFonts w:hint="eastAsia" w:ascii="新宋体" w:hAnsi="新宋体" w:eastAsia="新宋体"/>
          <w:b/>
          <w:bCs/>
          <w:sz w:val="36"/>
          <w:szCs w:val="36"/>
          <w:lang w:val="en-US" w:eastAsia="zh-CN"/>
        </w:rPr>
      </w:pPr>
    </w:p>
    <w:p w14:paraId="5F704590">
      <w:pPr>
        <w:spacing w:line="400" w:lineRule="exact"/>
        <w:rPr>
          <w:rFonts w:hint="eastAsia" w:ascii="新宋体" w:hAnsi="新宋体" w:eastAsia="新宋体"/>
          <w:b/>
          <w:bCs/>
          <w:sz w:val="36"/>
          <w:szCs w:val="36"/>
          <w:lang w:val="en-US" w:eastAsia="zh-CN"/>
        </w:rPr>
      </w:pPr>
    </w:p>
    <w:p w14:paraId="3BA5D530">
      <w:pPr>
        <w:spacing w:line="400" w:lineRule="exact"/>
        <w:rPr>
          <w:rFonts w:hint="eastAsia" w:ascii="新宋体" w:hAnsi="新宋体" w:eastAsia="新宋体"/>
          <w:b/>
          <w:bCs/>
          <w:sz w:val="36"/>
          <w:szCs w:val="36"/>
          <w:lang w:val="en-US" w:eastAsia="zh-CN"/>
        </w:rPr>
      </w:pPr>
    </w:p>
    <w:p w14:paraId="539C09BD">
      <w:pPr>
        <w:spacing w:line="400" w:lineRule="exact"/>
        <w:rPr>
          <w:rFonts w:hint="eastAsia" w:ascii="新宋体" w:hAnsi="新宋体" w:eastAsia="新宋体"/>
          <w:b/>
          <w:bCs/>
          <w:sz w:val="36"/>
          <w:szCs w:val="36"/>
          <w:lang w:val="en-US" w:eastAsia="zh-CN"/>
        </w:rPr>
      </w:pPr>
    </w:p>
    <w:p w14:paraId="0CF3F260">
      <w:pPr>
        <w:spacing w:line="400" w:lineRule="exact"/>
        <w:rPr>
          <w:rFonts w:ascii="新宋体" w:hAnsi="新宋体" w:eastAsia="新宋体"/>
          <w:b/>
          <w:bCs/>
          <w:sz w:val="36"/>
          <w:szCs w:val="36"/>
        </w:rPr>
      </w:pPr>
      <w:r>
        <w:rPr>
          <w:rFonts w:hint="eastAsia" w:ascii="新宋体" w:hAnsi="新宋体" w:eastAsia="新宋体"/>
          <w:b/>
          <w:bCs/>
          <w:sz w:val="36"/>
          <w:szCs w:val="36"/>
          <w:lang w:val="en-US" w:eastAsia="zh-CN"/>
        </w:rPr>
        <w:t>5</w:t>
      </w:r>
      <w:r>
        <w:rPr>
          <w:rFonts w:hint="eastAsia" w:ascii="新宋体" w:hAnsi="新宋体" w:eastAsia="新宋体"/>
          <w:b/>
          <w:bCs/>
          <w:sz w:val="36"/>
          <w:szCs w:val="36"/>
        </w:rPr>
        <w:t>.</w:t>
      </w:r>
    </w:p>
    <w:p w14:paraId="3CA456F9">
      <w:pPr>
        <w:jc w:val="center"/>
        <w:rPr>
          <w:rFonts w:ascii="新宋体" w:hAnsi="新宋体" w:eastAsia="新宋体"/>
          <w:color w:val="auto"/>
          <w:sz w:val="24"/>
          <w:highlight w:val="none"/>
        </w:rPr>
      </w:pPr>
      <w:r>
        <w:rPr>
          <w:rFonts w:hint="eastAsia" w:ascii="新宋体" w:hAnsi="新宋体" w:eastAsia="新宋体"/>
          <w:b/>
          <w:bCs/>
          <w:color w:val="auto"/>
          <w:sz w:val="36"/>
          <w:highlight w:val="none"/>
        </w:rPr>
        <w:t>规范偏离表</w:t>
      </w:r>
    </w:p>
    <w:p w14:paraId="12F4EDBC">
      <w:pPr>
        <w:rPr>
          <w:rFonts w:hint="eastAsia" w:ascii="新宋体" w:hAnsi="新宋体" w:eastAsia="新宋体"/>
          <w:color w:val="auto"/>
          <w:sz w:val="24"/>
          <w:highlight w:val="none"/>
          <w:lang w:eastAsia="zh-CN"/>
        </w:rPr>
      </w:pPr>
      <w:r>
        <w:rPr>
          <w:rFonts w:hint="eastAsia" w:ascii="新宋体" w:hAnsi="新宋体" w:eastAsia="新宋体"/>
          <w:color w:val="auto"/>
          <w:sz w:val="24"/>
          <w:highlight w:val="none"/>
          <w:lang w:eastAsia="zh-CN"/>
        </w:rPr>
        <w:t>项目</w:t>
      </w:r>
      <w:r>
        <w:rPr>
          <w:rFonts w:hint="eastAsia" w:ascii="新宋体" w:hAnsi="新宋体" w:eastAsia="新宋体"/>
          <w:color w:val="auto"/>
          <w:sz w:val="24"/>
          <w:highlight w:val="none"/>
        </w:rPr>
        <w:t>编号：</w:t>
      </w:r>
      <w:r>
        <w:rPr>
          <w:rFonts w:hint="eastAsia" w:ascii="新宋体" w:hAnsi="新宋体" w:eastAsia="新宋体"/>
          <w:color w:val="auto"/>
          <w:sz w:val="24"/>
          <w:highlight w:val="none"/>
          <w:lang w:eastAsia="zh-CN"/>
        </w:rPr>
        <w:t>330782260080040000044-YWCG2026023GK</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101"/>
        <w:gridCol w:w="2291"/>
        <w:gridCol w:w="2101"/>
        <w:gridCol w:w="2106"/>
      </w:tblGrid>
      <w:tr w14:paraId="0BFE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438E67F9">
            <w:pPr>
              <w:jc w:val="center"/>
              <w:rPr>
                <w:rFonts w:ascii="新宋体" w:hAnsi="新宋体" w:eastAsia="新宋体"/>
                <w:color w:val="auto"/>
                <w:sz w:val="24"/>
                <w:highlight w:val="none"/>
              </w:rPr>
            </w:pPr>
            <w:r>
              <w:rPr>
                <w:rFonts w:hint="eastAsia" w:ascii="新宋体" w:hAnsi="新宋体" w:eastAsia="新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0AC049BE">
            <w:pPr>
              <w:spacing w:line="420" w:lineRule="exact"/>
              <w:jc w:val="center"/>
              <w:rPr>
                <w:rFonts w:ascii="新宋体" w:hAnsi="新宋体" w:eastAsia="新宋体"/>
                <w:color w:val="auto"/>
                <w:sz w:val="24"/>
                <w:highlight w:val="none"/>
              </w:rPr>
            </w:pPr>
            <w:r>
              <w:rPr>
                <w:rFonts w:hint="eastAsia" w:ascii="新宋体" w:hAnsi="新宋体" w:eastAsia="新宋体"/>
                <w:color w:val="auto"/>
                <w:sz w:val="24"/>
                <w:highlight w:val="none"/>
              </w:rPr>
              <w:t>内</w:t>
            </w:r>
            <w:r>
              <w:rPr>
                <w:rFonts w:ascii="新宋体" w:hAnsi="新宋体" w:eastAsia="新宋体"/>
                <w:color w:val="auto"/>
                <w:sz w:val="24"/>
                <w:highlight w:val="none"/>
              </w:rPr>
              <w:t xml:space="preserve">  </w:t>
            </w:r>
            <w:r>
              <w:rPr>
                <w:rFonts w:hint="eastAsia" w:ascii="新宋体" w:hAnsi="新宋体" w:eastAsia="新宋体"/>
                <w:color w:val="auto"/>
                <w:sz w:val="24"/>
                <w:highlight w:val="none"/>
              </w:rPr>
              <w:t>容</w:t>
            </w:r>
          </w:p>
        </w:tc>
        <w:tc>
          <w:tcPr>
            <w:tcW w:w="2291" w:type="dxa"/>
            <w:tcBorders>
              <w:top w:val="single" w:color="auto" w:sz="4" w:space="0"/>
              <w:left w:val="single" w:color="auto" w:sz="4" w:space="0"/>
              <w:bottom w:val="single" w:color="auto" w:sz="4" w:space="0"/>
              <w:right w:val="single" w:color="auto" w:sz="4" w:space="0"/>
            </w:tcBorders>
            <w:noWrap w:val="0"/>
            <w:vAlign w:val="center"/>
          </w:tcPr>
          <w:p w14:paraId="359E67AF">
            <w:pPr>
              <w:jc w:val="center"/>
              <w:rPr>
                <w:rFonts w:ascii="新宋体" w:hAnsi="新宋体" w:eastAsia="新宋体"/>
                <w:color w:val="auto"/>
                <w:sz w:val="24"/>
                <w:highlight w:val="none"/>
              </w:rPr>
            </w:pPr>
            <w:r>
              <w:rPr>
                <w:rFonts w:hint="eastAsia" w:ascii="新宋体" w:hAnsi="新宋体" w:eastAsia="新宋体"/>
                <w:color w:val="auto"/>
                <w:sz w:val="24"/>
                <w:highlight w:val="none"/>
              </w:rPr>
              <w:t>招标文件</w:t>
            </w:r>
          </w:p>
          <w:p w14:paraId="55F1E129">
            <w:pPr>
              <w:jc w:val="center"/>
              <w:rPr>
                <w:rFonts w:ascii="新宋体" w:hAnsi="新宋体" w:eastAsia="新宋体"/>
                <w:color w:val="auto"/>
                <w:sz w:val="24"/>
                <w:highlight w:val="none"/>
              </w:rPr>
            </w:pPr>
            <w:r>
              <w:rPr>
                <w:rFonts w:hint="eastAsia" w:ascii="新宋体" w:hAnsi="新宋体" w:eastAsia="新宋体"/>
                <w:color w:val="auto"/>
                <w:sz w:val="24"/>
                <w:highlight w:val="none"/>
              </w:rPr>
              <w:t>规范要求</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331A09BD">
            <w:pPr>
              <w:jc w:val="center"/>
              <w:rPr>
                <w:rFonts w:ascii="新宋体" w:hAnsi="新宋体" w:eastAsia="新宋体"/>
                <w:color w:val="auto"/>
                <w:sz w:val="24"/>
                <w:highlight w:val="none"/>
              </w:rPr>
            </w:pPr>
            <w:r>
              <w:rPr>
                <w:rFonts w:hint="eastAsia" w:ascii="新宋体" w:hAnsi="新宋体" w:eastAsia="新宋体"/>
                <w:color w:val="auto"/>
                <w:sz w:val="24"/>
                <w:highlight w:val="none"/>
              </w:rPr>
              <w:t>投标文件</w:t>
            </w:r>
          </w:p>
          <w:p w14:paraId="13035937">
            <w:pPr>
              <w:jc w:val="center"/>
              <w:rPr>
                <w:rFonts w:ascii="新宋体" w:hAnsi="新宋体" w:eastAsia="新宋体"/>
                <w:color w:val="auto"/>
                <w:sz w:val="24"/>
                <w:highlight w:val="none"/>
              </w:rPr>
            </w:pPr>
            <w:r>
              <w:rPr>
                <w:rFonts w:hint="eastAsia" w:ascii="新宋体" w:hAnsi="新宋体" w:eastAsia="新宋体"/>
                <w:color w:val="auto"/>
                <w:sz w:val="24"/>
                <w:highlight w:val="none"/>
              </w:rPr>
              <w:t>对应规范</w:t>
            </w:r>
          </w:p>
        </w:tc>
        <w:tc>
          <w:tcPr>
            <w:tcW w:w="2106" w:type="dxa"/>
            <w:tcBorders>
              <w:top w:val="single" w:color="auto" w:sz="4" w:space="0"/>
              <w:left w:val="single" w:color="auto" w:sz="4" w:space="0"/>
              <w:bottom w:val="single" w:color="auto" w:sz="4" w:space="0"/>
              <w:right w:val="single" w:color="auto" w:sz="4" w:space="0"/>
            </w:tcBorders>
            <w:noWrap w:val="0"/>
            <w:vAlign w:val="center"/>
          </w:tcPr>
          <w:p w14:paraId="396358CB">
            <w:pPr>
              <w:spacing w:line="480" w:lineRule="auto"/>
              <w:jc w:val="center"/>
              <w:rPr>
                <w:rFonts w:ascii="新宋体" w:hAnsi="新宋体" w:eastAsia="新宋体"/>
                <w:color w:val="auto"/>
                <w:sz w:val="24"/>
                <w:highlight w:val="none"/>
              </w:rPr>
            </w:pPr>
            <w:r>
              <w:rPr>
                <w:rFonts w:hint="eastAsia" w:ascii="新宋体" w:hAnsi="新宋体" w:eastAsia="新宋体"/>
                <w:color w:val="auto"/>
                <w:sz w:val="24"/>
                <w:highlight w:val="none"/>
              </w:rPr>
              <w:t>偏离情况</w:t>
            </w:r>
          </w:p>
          <w:p w14:paraId="6ABA7611">
            <w:pPr>
              <w:spacing w:line="480" w:lineRule="auto"/>
              <w:jc w:val="center"/>
              <w:rPr>
                <w:rFonts w:ascii="新宋体" w:hAnsi="新宋体" w:eastAsia="新宋体"/>
                <w:color w:val="auto"/>
                <w:sz w:val="24"/>
                <w:highlight w:val="none"/>
              </w:rPr>
            </w:pPr>
            <w:r>
              <w:rPr>
                <w:rFonts w:hint="eastAsia" w:ascii="新宋体" w:hAnsi="新宋体" w:eastAsia="新宋体"/>
                <w:color w:val="auto"/>
                <w:sz w:val="24"/>
                <w:highlight w:val="none"/>
              </w:rPr>
              <w:t>详细说明</w:t>
            </w:r>
          </w:p>
        </w:tc>
      </w:tr>
      <w:tr w14:paraId="3B55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top"/>
          </w:tcPr>
          <w:p w14:paraId="70512D44">
            <w:pPr>
              <w:spacing w:line="360" w:lineRule="auto"/>
              <w:jc w:val="center"/>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344CA1A">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24E62BBA">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9CD3B66">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57B27491">
            <w:pPr>
              <w:spacing w:line="360" w:lineRule="auto"/>
              <w:rPr>
                <w:rFonts w:ascii="新宋体" w:hAnsi="新宋体" w:eastAsia="新宋体"/>
                <w:color w:val="auto"/>
                <w:sz w:val="24"/>
                <w:highlight w:val="none"/>
              </w:rPr>
            </w:pPr>
          </w:p>
        </w:tc>
      </w:tr>
      <w:tr w14:paraId="5693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49979830">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BEDEBE">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7C1AAFBB">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07667EF">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0F17B340">
            <w:pPr>
              <w:spacing w:line="360" w:lineRule="auto"/>
              <w:rPr>
                <w:rFonts w:ascii="新宋体" w:hAnsi="新宋体" w:eastAsia="新宋体"/>
                <w:color w:val="auto"/>
                <w:sz w:val="24"/>
                <w:highlight w:val="none"/>
              </w:rPr>
            </w:pPr>
          </w:p>
        </w:tc>
      </w:tr>
      <w:tr w14:paraId="726C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3E3D00F5">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35085B">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33BE72CA">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1957ACE">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5E5C6A39">
            <w:pPr>
              <w:spacing w:line="360" w:lineRule="auto"/>
              <w:rPr>
                <w:rFonts w:ascii="新宋体" w:hAnsi="新宋体" w:eastAsia="新宋体"/>
                <w:color w:val="auto"/>
                <w:sz w:val="24"/>
                <w:highlight w:val="none"/>
              </w:rPr>
            </w:pPr>
          </w:p>
        </w:tc>
      </w:tr>
      <w:tr w14:paraId="4E15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4FF34682">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1E188E7">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369C16C2">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A5B4CC8">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2E26A5BD">
            <w:pPr>
              <w:spacing w:line="360" w:lineRule="auto"/>
              <w:rPr>
                <w:rFonts w:ascii="新宋体" w:hAnsi="新宋体" w:eastAsia="新宋体"/>
                <w:color w:val="auto"/>
                <w:sz w:val="24"/>
                <w:highlight w:val="none"/>
              </w:rPr>
            </w:pPr>
          </w:p>
        </w:tc>
      </w:tr>
      <w:tr w14:paraId="4BE2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01DBD127">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3E74148">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608C9605">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0D26BAA">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0C14879D">
            <w:pPr>
              <w:spacing w:line="360" w:lineRule="auto"/>
              <w:rPr>
                <w:rFonts w:ascii="新宋体" w:hAnsi="新宋体" w:eastAsia="新宋体"/>
                <w:color w:val="auto"/>
                <w:sz w:val="24"/>
                <w:highlight w:val="none"/>
              </w:rPr>
            </w:pPr>
          </w:p>
        </w:tc>
      </w:tr>
      <w:tr w14:paraId="3BDA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1CA8631D">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7EE055E">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1C01646B">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7E25B7C">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07F1BB21">
            <w:pPr>
              <w:spacing w:line="360" w:lineRule="auto"/>
              <w:rPr>
                <w:rFonts w:ascii="新宋体" w:hAnsi="新宋体" w:eastAsia="新宋体"/>
                <w:color w:val="auto"/>
                <w:sz w:val="24"/>
                <w:highlight w:val="none"/>
              </w:rPr>
            </w:pPr>
          </w:p>
        </w:tc>
      </w:tr>
      <w:tr w14:paraId="5A96C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0634D588">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80E1AD2">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43DE4BD3">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66BE757">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320449F4">
            <w:pPr>
              <w:spacing w:line="360" w:lineRule="auto"/>
              <w:rPr>
                <w:rFonts w:ascii="新宋体" w:hAnsi="新宋体" w:eastAsia="新宋体"/>
                <w:color w:val="auto"/>
                <w:sz w:val="24"/>
                <w:highlight w:val="none"/>
              </w:rPr>
            </w:pPr>
          </w:p>
        </w:tc>
      </w:tr>
      <w:tr w14:paraId="4E1E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5E6F31CB">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26F4A342">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08BDD379">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AA3A17E">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50822D83">
            <w:pPr>
              <w:spacing w:line="360" w:lineRule="auto"/>
              <w:rPr>
                <w:rFonts w:ascii="新宋体" w:hAnsi="新宋体" w:eastAsia="新宋体"/>
                <w:color w:val="auto"/>
                <w:sz w:val="24"/>
                <w:highlight w:val="none"/>
              </w:rPr>
            </w:pPr>
          </w:p>
        </w:tc>
      </w:tr>
      <w:tr w14:paraId="70DC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tcBorders>
              <w:top w:val="single" w:color="auto" w:sz="4" w:space="0"/>
              <w:left w:val="single" w:color="auto" w:sz="4" w:space="0"/>
              <w:bottom w:val="single" w:color="auto" w:sz="4" w:space="0"/>
              <w:right w:val="single" w:color="auto" w:sz="4" w:space="0"/>
            </w:tcBorders>
            <w:noWrap w:val="0"/>
            <w:vAlign w:val="center"/>
          </w:tcPr>
          <w:p w14:paraId="5BB22370">
            <w:pPr>
              <w:widowControl/>
              <w:jc w:val="left"/>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2F38C29">
            <w:pPr>
              <w:spacing w:line="360" w:lineRule="auto"/>
              <w:rPr>
                <w:rFonts w:ascii="新宋体" w:hAnsi="新宋体" w:eastAsia="新宋体"/>
                <w:color w:val="auto"/>
                <w:sz w:val="24"/>
                <w:highlight w:val="none"/>
              </w:rPr>
            </w:pPr>
          </w:p>
        </w:tc>
        <w:tc>
          <w:tcPr>
            <w:tcW w:w="2291" w:type="dxa"/>
            <w:tcBorders>
              <w:top w:val="single" w:color="auto" w:sz="4" w:space="0"/>
              <w:left w:val="single" w:color="auto" w:sz="4" w:space="0"/>
              <w:bottom w:val="single" w:color="auto" w:sz="4" w:space="0"/>
              <w:right w:val="single" w:color="auto" w:sz="4" w:space="0"/>
            </w:tcBorders>
            <w:noWrap w:val="0"/>
            <w:vAlign w:val="top"/>
          </w:tcPr>
          <w:p w14:paraId="71F0402E">
            <w:pPr>
              <w:spacing w:line="360" w:lineRule="auto"/>
              <w:rPr>
                <w:rFonts w:ascii="新宋体" w:hAnsi="新宋体" w:eastAsia="新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DF4A239">
            <w:pPr>
              <w:spacing w:line="360" w:lineRule="auto"/>
              <w:rPr>
                <w:rFonts w:ascii="新宋体" w:hAnsi="新宋体" w:eastAsia="新宋体"/>
                <w:color w:val="auto"/>
                <w:sz w:val="24"/>
                <w:highlight w:val="none"/>
              </w:rPr>
            </w:pPr>
          </w:p>
        </w:tc>
        <w:tc>
          <w:tcPr>
            <w:tcW w:w="2106" w:type="dxa"/>
            <w:tcBorders>
              <w:top w:val="single" w:color="auto" w:sz="4" w:space="0"/>
              <w:left w:val="single" w:color="auto" w:sz="4" w:space="0"/>
              <w:bottom w:val="single" w:color="auto" w:sz="4" w:space="0"/>
              <w:right w:val="single" w:color="auto" w:sz="4" w:space="0"/>
            </w:tcBorders>
            <w:noWrap w:val="0"/>
            <w:vAlign w:val="top"/>
          </w:tcPr>
          <w:p w14:paraId="2F33D7F6">
            <w:pPr>
              <w:spacing w:line="360" w:lineRule="auto"/>
              <w:rPr>
                <w:rFonts w:ascii="新宋体" w:hAnsi="新宋体" w:eastAsia="新宋体"/>
                <w:color w:val="auto"/>
                <w:sz w:val="24"/>
                <w:highlight w:val="none"/>
              </w:rPr>
            </w:pPr>
          </w:p>
        </w:tc>
      </w:tr>
    </w:tbl>
    <w:p w14:paraId="0E69BFB6">
      <w:pPr>
        <w:spacing w:line="360" w:lineRule="auto"/>
        <w:rPr>
          <w:rFonts w:ascii="新宋体" w:hAnsi="新宋体" w:eastAsia="新宋体"/>
          <w:color w:val="auto"/>
          <w:sz w:val="24"/>
          <w:highlight w:val="none"/>
        </w:rPr>
      </w:pPr>
      <w:r>
        <w:rPr>
          <w:rFonts w:hint="eastAsia" w:ascii="新宋体" w:hAnsi="新宋体" w:eastAsia="新宋体"/>
          <w:color w:val="auto"/>
          <w:sz w:val="24"/>
          <w:highlight w:val="none"/>
        </w:rPr>
        <w:t>投标人名称（电子签章）：</w:t>
      </w:r>
      <w:r>
        <w:rPr>
          <w:rFonts w:ascii="新宋体" w:hAnsi="新宋体" w:eastAsia="新宋体"/>
          <w:color w:val="auto"/>
          <w:sz w:val="24"/>
          <w:highlight w:val="none"/>
          <w:u w:val="single"/>
        </w:rPr>
        <w:t xml:space="preserve">                    </w:t>
      </w:r>
      <w:r>
        <w:rPr>
          <w:rFonts w:ascii="新宋体" w:hAnsi="新宋体" w:eastAsia="新宋体"/>
          <w:color w:val="auto"/>
          <w:sz w:val="24"/>
          <w:highlight w:val="none"/>
        </w:rPr>
        <w:t xml:space="preserve">  </w:t>
      </w:r>
    </w:p>
    <w:p w14:paraId="7033543B">
      <w:pPr>
        <w:spacing w:line="360" w:lineRule="auto"/>
        <w:rPr>
          <w:rFonts w:ascii="新宋体" w:hAnsi="新宋体" w:eastAsia="新宋体"/>
          <w:color w:val="auto"/>
          <w:sz w:val="24"/>
          <w:highlight w:val="none"/>
        </w:rPr>
      </w:pPr>
      <w:r>
        <w:rPr>
          <w:rFonts w:hint="eastAsia" w:ascii="新宋体" w:hAnsi="新宋体" w:eastAsia="新宋体"/>
          <w:color w:val="auto"/>
          <w:sz w:val="24"/>
          <w:highlight w:val="none"/>
        </w:rPr>
        <w:t>日</w:t>
      </w:r>
      <w:r>
        <w:rPr>
          <w:rFonts w:ascii="新宋体" w:hAnsi="新宋体" w:eastAsia="新宋体"/>
          <w:color w:val="auto"/>
          <w:sz w:val="24"/>
          <w:highlight w:val="none"/>
        </w:rPr>
        <w:t xml:space="preserve"> </w:t>
      </w:r>
      <w:r>
        <w:rPr>
          <w:rFonts w:hint="eastAsia" w:ascii="新宋体" w:hAnsi="新宋体" w:eastAsia="新宋体"/>
          <w:color w:val="auto"/>
          <w:sz w:val="24"/>
          <w:highlight w:val="none"/>
        </w:rPr>
        <w:t>期：</w:t>
      </w:r>
      <w:r>
        <w:rPr>
          <w:rFonts w:ascii="新宋体" w:hAnsi="新宋体" w:eastAsia="新宋体"/>
          <w:color w:val="auto"/>
          <w:sz w:val="24"/>
          <w:highlight w:val="none"/>
        </w:rPr>
        <w:t xml:space="preserve"> </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年</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月</w:t>
      </w:r>
      <w:r>
        <w:rPr>
          <w:rFonts w:ascii="新宋体" w:hAnsi="新宋体" w:eastAsia="新宋体"/>
          <w:color w:val="auto"/>
          <w:sz w:val="24"/>
          <w:highlight w:val="none"/>
          <w:u w:val="single"/>
        </w:rPr>
        <w:t xml:space="preserve">    </w:t>
      </w:r>
      <w:r>
        <w:rPr>
          <w:rFonts w:hint="eastAsia" w:ascii="新宋体" w:hAnsi="新宋体" w:eastAsia="新宋体"/>
          <w:color w:val="auto"/>
          <w:sz w:val="24"/>
          <w:highlight w:val="none"/>
        </w:rPr>
        <w:t>日</w:t>
      </w:r>
    </w:p>
    <w:p w14:paraId="5E0E423D">
      <w:pPr>
        <w:spacing w:line="400" w:lineRule="exact"/>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注：1.投标人应仔细对第三章招标项目要求进行逐条分析，对于投标内容与招标文件内容有不一致的条款，则须在上表中列明并详细填写。</w:t>
      </w:r>
    </w:p>
    <w:p w14:paraId="35681739">
      <w:pPr>
        <w:spacing w:line="400" w:lineRule="exact"/>
        <w:ind w:firstLine="420" w:firstLineChars="200"/>
        <w:rPr>
          <w:rFonts w:hint="eastAsia"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2.如招标文件内容与投标文件内容都一致的，则本表可以在相关的盖章后，不需要填写</w:t>
      </w:r>
      <w:r>
        <w:rPr>
          <w:rFonts w:hint="eastAsia" w:ascii="新宋体" w:hAnsi="新宋体" w:eastAsia="新宋体" w:cs="Times New Roman"/>
          <w:color w:val="auto"/>
          <w:szCs w:val="21"/>
          <w:highlight w:val="none"/>
          <w:lang w:eastAsia="zh-CN"/>
        </w:rPr>
        <w:t>其他</w:t>
      </w:r>
      <w:r>
        <w:rPr>
          <w:rFonts w:hint="eastAsia" w:ascii="新宋体" w:hAnsi="新宋体" w:eastAsia="新宋体" w:cs="Times New Roman"/>
          <w:color w:val="auto"/>
          <w:szCs w:val="21"/>
          <w:highlight w:val="none"/>
        </w:rPr>
        <w:t>内容或在“偏离情况详细说明”栏内只填写一个“无”字。</w:t>
      </w:r>
    </w:p>
    <w:p w14:paraId="36FE6A00">
      <w:pPr>
        <w:spacing w:line="400" w:lineRule="exact"/>
        <w:ind w:firstLine="420" w:firstLineChars="200"/>
        <w:rPr>
          <w:rFonts w:hint="default" w:ascii="新宋体" w:hAnsi="新宋体" w:eastAsia="新宋体" w:cs="Times New Roman"/>
          <w:color w:val="auto"/>
          <w:szCs w:val="21"/>
          <w:highlight w:val="none"/>
        </w:rPr>
      </w:pPr>
      <w:r>
        <w:rPr>
          <w:rFonts w:hint="eastAsia" w:ascii="新宋体" w:hAnsi="新宋体" w:eastAsia="新宋体" w:cs="Times New Roman"/>
          <w:color w:val="auto"/>
          <w:szCs w:val="21"/>
          <w:highlight w:val="none"/>
        </w:rPr>
        <w:t>3.此表在不改变格式内容的情况下，可自行制作。</w:t>
      </w:r>
    </w:p>
    <w:p w14:paraId="4ACC3B05">
      <w:pPr>
        <w:pStyle w:val="6"/>
        <w:numPr>
          <w:ilvl w:val="0"/>
          <w:numId w:val="0"/>
        </w:numPr>
        <w:spacing w:before="0" w:after="0" w:line="240" w:lineRule="auto"/>
        <w:ind w:leftChars="0"/>
        <w:jc w:val="both"/>
        <w:rPr>
          <w:rFonts w:hint="eastAsia" w:ascii="新宋体" w:hAnsi="新宋体" w:eastAsia="新宋体"/>
          <w:b w:val="0"/>
          <w:bCs w:val="0"/>
          <w:sz w:val="36"/>
          <w:szCs w:val="36"/>
          <w:lang w:val="en-US" w:eastAsia="zh-CN"/>
        </w:rPr>
      </w:pPr>
    </w:p>
    <w:p w14:paraId="16FE0FE5">
      <w:pPr>
        <w:rPr>
          <w:rFonts w:hint="eastAsia"/>
          <w:lang w:val="en-US" w:eastAsia="zh-CN"/>
        </w:rPr>
      </w:pPr>
    </w:p>
    <w:p w14:paraId="139757E8">
      <w:pPr>
        <w:pStyle w:val="6"/>
        <w:numPr>
          <w:ilvl w:val="0"/>
          <w:numId w:val="5"/>
        </w:numPr>
        <w:spacing w:before="0" w:after="0" w:line="240" w:lineRule="auto"/>
        <w:ind w:leftChars="0"/>
        <w:jc w:val="both"/>
        <w:rPr>
          <w:rFonts w:hint="default" w:ascii="Times New Roman" w:hAnsi="Times New Roman" w:eastAsia="宋体" w:cs="Times New Roman"/>
          <w:b/>
          <w:bCs/>
          <w:sz w:val="32"/>
          <w:szCs w:val="32"/>
          <w:highlight w:val="none"/>
        </w:rPr>
      </w:pPr>
      <w:r>
        <w:rPr>
          <w:rFonts w:hint="eastAsia" w:ascii="Times New Roman" w:hAnsi="Times New Roman" w:eastAsia="宋体" w:cs="Times New Roman"/>
          <w:b/>
          <w:bCs/>
          <w:sz w:val="36"/>
          <w:highlight w:val="none"/>
          <w:lang w:val="en-US" w:eastAsia="zh-CN"/>
        </w:rPr>
        <w:t xml:space="preserve"> </w:t>
      </w:r>
    </w:p>
    <w:p w14:paraId="522E10E1">
      <w:pPr>
        <w:pStyle w:val="6"/>
        <w:numPr>
          <w:ilvl w:val="0"/>
          <w:numId w:val="0"/>
        </w:numPr>
        <w:spacing w:before="0" w:after="0" w:line="240" w:lineRule="auto"/>
        <w:ind w:firstLine="3253" w:firstLineChars="900"/>
        <w:jc w:val="both"/>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6"/>
          <w:highlight w:val="none"/>
        </w:rPr>
        <w:t>项目组成人员表</w:t>
      </w:r>
    </w:p>
    <w:p w14:paraId="4D03A47A">
      <w:pPr>
        <w:spacing w:line="240" w:lineRule="auto"/>
        <w:jc w:val="center"/>
        <w:rPr>
          <w:rFonts w:hint="default" w:ascii="Times New Roman" w:hAnsi="Times New Roman" w:eastAsia="宋体" w:cs="Times New Roman"/>
          <w:b/>
          <w:bCs/>
          <w:sz w:val="32"/>
          <w:szCs w:val="32"/>
          <w:highlight w:val="none"/>
        </w:rPr>
      </w:pPr>
      <w:r>
        <w:rPr>
          <w:rFonts w:hint="default" w:ascii="Times New Roman" w:hAnsi="Times New Roman" w:eastAsia="宋体" w:cs="Times New Roman"/>
          <w:b/>
          <w:bCs/>
          <w:sz w:val="32"/>
          <w:szCs w:val="32"/>
          <w:highlight w:val="none"/>
        </w:rPr>
        <w:t>项目</w:t>
      </w:r>
      <w:r>
        <w:rPr>
          <w:rFonts w:hint="eastAsia" w:ascii="Times New Roman" w:hAnsi="Times New Roman" w:eastAsia="宋体" w:cs="Times New Roman"/>
          <w:b/>
          <w:bCs/>
          <w:sz w:val="32"/>
          <w:szCs w:val="32"/>
          <w:highlight w:val="none"/>
          <w:lang w:eastAsia="zh-CN"/>
        </w:rPr>
        <w:t>经理</w:t>
      </w:r>
      <w:r>
        <w:rPr>
          <w:rFonts w:hint="default" w:ascii="Times New Roman" w:hAnsi="Times New Roman" w:eastAsia="宋体" w:cs="Times New Roman"/>
          <w:b/>
          <w:bCs/>
          <w:sz w:val="32"/>
          <w:szCs w:val="32"/>
          <w:highlight w:val="none"/>
        </w:rPr>
        <w:t>简历表</w:t>
      </w:r>
    </w:p>
    <w:p w14:paraId="62F151BE">
      <w:pPr>
        <w:rPr>
          <w:rFonts w:hint="eastAsia" w:ascii="新宋体" w:hAnsi="新宋体" w:eastAsia="新宋体"/>
          <w:color w:val="auto"/>
          <w:sz w:val="24"/>
          <w:highlight w:val="none"/>
          <w:u w:val="single"/>
          <w:lang w:eastAsia="zh-CN"/>
        </w:rPr>
      </w:pPr>
      <w:r>
        <w:rPr>
          <w:rFonts w:hint="default" w:ascii="Times New Roman" w:hAnsi="Times New Roman" w:eastAsia="宋体" w:cs="Times New Roman"/>
          <w:b w:val="0"/>
          <w:bCs/>
          <w:szCs w:val="21"/>
          <w:highlight w:val="none"/>
        </w:rPr>
        <w:t xml:space="preserve">投标人：（电子签章）_________________     </w:t>
      </w:r>
      <w:r>
        <w:rPr>
          <w:rFonts w:hint="default" w:ascii="Times New Roman" w:hAnsi="Times New Roman" w:eastAsia="宋体" w:cs="Times New Roman"/>
          <w:b w:val="0"/>
          <w:bCs/>
          <w:highlight w:val="none"/>
        </w:rPr>
        <w:t>采购编号：</w:t>
      </w:r>
      <w:r>
        <w:rPr>
          <w:rFonts w:hint="eastAsia" w:ascii="新宋体" w:hAnsi="新宋体" w:eastAsia="新宋体"/>
          <w:color w:val="auto"/>
          <w:sz w:val="24"/>
          <w:highlight w:val="none"/>
          <w:u w:val="single"/>
          <w:lang w:eastAsia="zh-CN"/>
        </w:rPr>
        <w:t>330782260080040000044-YWCG2026023GK</w:t>
      </w:r>
    </w:p>
    <w:p w14:paraId="080AE351">
      <w:pPr>
        <w:rPr>
          <w:rFonts w:hint="eastAsia" w:ascii="Times New Roman" w:hAnsi="Times New Roman" w:eastAsia="宋体" w:cs="Times New Roman"/>
          <w:b w:val="0"/>
          <w:bCs/>
          <w:color w:val="FF0000"/>
          <w:szCs w:val="21"/>
          <w:highlight w:val="none"/>
          <w:lang w:eastAsia="zh-CN"/>
        </w:rPr>
      </w:pP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73"/>
        <w:gridCol w:w="963"/>
        <w:gridCol w:w="510"/>
        <w:gridCol w:w="433"/>
        <w:gridCol w:w="638"/>
        <w:gridCol w:w="165"/>
        <w:gridCol w:w="577"/>
        <w:gridCol w:w="535"/>
        <w:gridCol w:w="127"/>
        <w:gridCol w:w="546"/>
        <w:gridCol w:w="587"/>
        <w:gridCol w:w="59"/>
        <w:gridCol w:w="1073"/>
        <w:gridCol w:w="120"/>
        <w:gridCol w:w="51"/>
        <w:gridCol w:w="915"/>
        <w:gridCol w:w="1194"/>
      </w:tblGrid>
      <w:tr w14:paraId="2AAF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14:paraId="718AA2D1">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姓名</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F91C501">
            <w:pPr>
              <w:jc w:val="center"/>
              <w:rPr>
                <w:rFonts w:hint="default" w:ascii="Times New Roman" w:hAnsi="Times New Roman" w:eastAsia="宋体" w:cs="Times New Roman"/>
                <w:b w:val="0"/>
                <w:bCs/>
                <w:sz w:val="21"/>
                <w:szCs w:val="21"/>
                <w:highlight w:val="none"/>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12870AF2">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性别</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2B20B8FF">
            <w:pPr>
              <w:jc w:val="center"/>
              <w:rPr>
                <w:rFonts w:hint="default" w:ascii="Times New Roman" w:hAnsi="Times New Roman" w:eastAsia="宋体" w:cs="Times New Roman"/>
                <w:b w:val="0"/>
                <w:bCs/>
                <w:sz w:val="21"/>
                <w:szCs w:val="21"/>
                <w:highlight w:val="none"/>
              </w:rPr>
            </w:pPr>
          </w:p>
        </w:tc>
        <w:tc>
          <w:tcPr>
            <w:tcW w:w="742" w:type="dxa"/>
            <w:gridSpan w:val="2"/>
            <w:tcBorders>
              <w:top w:val="single" w:color="auto" w:sz="4" w:space="0"/>
              <w:left w:val="single" w:color="auto" w:sz="4" w:space="0"/>
              <w:bottom w:val="single" w:color="auto" w:sz="4" w:space="0"/>
              <w:right w:val="single" w:color="auto" w:sz="4" w:space="0"/>
            </w:tcBorders>
            <w:noWrap w:val="0"/>
            <w:vAlign w:val="center"/>
          </w:tcPr>
          <w:p w14:paraId="30600C23">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年龄</w:t>
            </w:r>
          </w:p>
        </w:tc>
        <w:tc>
          <w:tcPr>
            <w:tcW w:w="535" w:type="dxa"/>
            <w:tcBorders>
              <w:top w:val="single" w:color="auto" w:sz="4" w:space="0"/>
              <w:left w:val="single" w:color="auto" w:sz="4" w:space="0"/>
              <w:bottom w:val="single" w:color="auto" w:sz="4" w:space="0"/>
              <w:right w:val="single" w:color="auto" w:sz="4" w:space="0"/>
            </w:tcBorders>
            <w:noWrap w:val="0"/>
            <w:vAlign w:val="center"/>
          </w:tcPr>
          <w:p w14:paraId="483EC1B5">
            <w:pPr>
              <w:jc w:val="center"/>
              <w:rPr>
                <w:rFonts w:hint="default" w:ascii="Times New Roman" w:hAnsi="Times New Roman" w:eastAsia="宋体" w:cs="Times New Roman"/>
                <w:b w:val="0"/>
                <w:bCs/>
                <w:sz w:val="21"/>
                <w:szCs w:val="21"/>
                <w:highlight w:val="none"/>
              </w:rPr>
            </w:pPr>
          </w:p>
        </w:tc>
        <w:tc>
          <w:tcPr>
            <w:tcW w:w="673" w:type="dxa"/>
            <w:gridSpan w:val="2"/>
            <w:tcBorders>
              <w:top w:val="single" w:color="auto" w:sz="4" w:space="0"/>
              <w:left w:val="single" w:color="auto" w:sz="4" w:space="0"/>
              <w:bottom w:val="single" w:color="auto" w:sz="4" w:space="0"/>
              <w:right w:val="single" w:color="auto" w:sz="4" w:space="0"/>
            </w:tcBorders>
            <w:noWrap w:val="0"/>
            <w:vAlign w:val="center"/>
          </w:tcPr>
          <w:p w14:paraId="45911968">
            <w:pPr>
              <w:ind w:right="-97" w:rightChars="-46"/>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学历</w:t>
            </w:r>
          </w:p>
        </w:tc>
        <w:tc>
          <w:tcPr>
            <w:tcW w:w="587" w:type="dxa"/>
            <w:tcBorders>
              <w:top w:val="single" w:color="auto" w:sz="4" w:space="0"/>
              <w:left w:val="single" w:color="auto" w:sz="4" w:space="0"/>
              <w:bottom w:val="single" w:color="auto" w:sz="4" w:space="0"/>
              <w:right w:val="single" w:color="auto" w:sz="4" w:space="0"/>
            </w:tcBorders>
            <w:noWrap w:val="0"/>
            <w:vAlign w:val="center"/>
          </w:tcPr>
          <w:p w14:paraId="0DDB80E7">
            <w:pPr>
              <w:jc w:val="center"/>
              <w:rPr>
                <w:rFonts w:hint="default" w:ascii="Times New Roman" w:hAnsi="Times New Roman" w:eastAsia="宋体" w:cs="Times New Roman"/>
                <w:b w:val="0"/>
                <w:bCs/>
                <w:sz w:val="21"/>
                <w:szCs w:val="21"/>
                <w:highlight w:val="none"/>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782CC6A">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职称</w:t>
            </w:r>
          </w:p>
        </w:tc>
        <w:tc>
          <w:tcPr>
            <w:tcW w:w="2280" w:type="dxa"/>
            <w:gridSpan w:val="4"/>
            <w:tcBorders>
              <w:top w:val="single" w:color="auto" w:sz="4" w:space="0"/>
              <w:left w:val="single" w:color="auto" w:sz="4" w:space="0"/>
              <w:bottom w:val="single" w:color="auto" w:sz="4" w:space="0"/>
              <w:right w:val="single" w:color="auto" w:sz="4" w:space="0"/>
            </w:tcBorders>
            <w:noWrap w:val="0"/>
            <w:vAlign w:val="center"/>
          </w:tcPr>
          <w:p w14:paraId="52BAF14A">
            <w:pPr>
              <w:jc w:val="center"/>
              <w:rPr>
                <w:rFonts w:hint="default" w:ascii="Times New Roman" w:hAnsi="Times New Roman" w:eastAsia="宋体" w:cs="Times New Roman"/>
                <w:b w:val="0"/>
                <w:bCs/>
                <w:sz w:val="21"/>
                <w:szCs w:val="21"/>
                <w:highlight w:val="none"/>
              </w:rPr>
            </w:pPr>
          </w:p>
        </w:tc>
      </w:tr>
      <w:tr w14:paraId="0F1B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1496" w:type="dxa"/>
            <w:gridSpan w:val="2"/>
            <w:tcBorders>
              <w:top w:val="single" w:color="auto" w:sz="4" w:space="0"/>
              <w:left w:val="single" w:color="auto" w:sz="4" w:space="0"/>
              <w:bottom w:val="single" w:color="auto" w:sz="4" w:space="0"/>
              <w:right w:val="single" w:color="auto" w:sz="4" w:space="0"/>
            </w:tcBorders>
            <w:noWrap w:val="0"/>
            <w:vAlign w:val="center"/>
          </w:tcPr>
          <w:p w14:paraId="2D97266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职务</w:t>
            </w:r>
          </w:p>
        </w:tc>
        <w:tc>
          <w:tcPr>
            <w:tcW w:w="963" w:type="dxa"/>
            <w:tcBorders>
              <w:top w:val="single" w:color="auto" w:sz="4" w:space="0"/>
              <w:left w:val="single" w:color="auto" w:sz="4" w:space="0"/>
              <w:bottom w:val="single" w:color="auto" w:sz="4" w:space="0"/>
              <w:right w:val="single" w:color="auto" w:sz="4" w:space="0"/>
            </w:tcBorders>
            <w:noWrap w:val="0"/>
            <w:vAlign w:val="center"/>
          </w:tcPr>
          <w:p w14:paraId="1654C31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p>
        </w:tc>
        <w:tc>
          <w:tcPr>
            <w:tcW w:w="1581" w:type="dxa"/>
            <w:gridSpan w:val="3"/>
            <w:tcBorders>
              <w:top w:val="single" w:color="auto" w:sz="4" w:space="0"/>
              <w:left w:val="single" w:color="auto" w:sz="4" w:space="0"/>
              <w:bottom w:val="single" w:color="auto" w:sz="4" w:space="0"/>
              <w:right w:val="single" w:color="auto" w:sz="4" w:space="0"/>
            </w:tcBorders>
            <w:noWrap w:val="0"/>
            <w:vAlign w:val="center"/>
          </w:tcPr>
          <w:p w14:paraId="52274D5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参加工作</w:t>
            </w:r>
          </w:p>
          <w:p w14:paraId="6D5498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时间</w:t>
            </w:r>
          </w:p>
        </w:tc>
        <w:tc>
          <w:tcPr>
            <w:tcW w:w="2537" w:type="dxa"/>
            <w:gridSpan w:val="6"/>
            <w:tcBorders>
              <w:top w:val="single" w:color="auto" w:sz="4" w:space="0"/>
              <w:left w:val="single" w:color="auto" w:sz="4" w:space="0"/>
              <w:bottom w:val="single" w:color="auto" w:sz="4" w:space="0"/>
              <w:right w:val="single" w:color="auto" w:sz="4" w:space="0"/>
            </w:tcBorders>
            <w:noWrap w:val="0"/>
            <w:vAlign w:val="center"/>
          </w:tcPr>
          <w:p w14:paraId="4A560242">
            <w:pPr>
              <w:keepNext w:val="0"/>
              <w:keepLines w:val="0"/>
              <w:pageBreakBefore w:val="0"/>
              <w:widowControl/>
              <w:tabs>
                <w:tab w:val="left" w:pos="632"/>
              </w:tabs>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年  月  日</w:t>
            </w:r>
          </w:p>
        </w:tc>
        <w:tc>
          <w:tcPr>
            <w:tcW w:w="1303" w:type="dxa"/>
            <w:gridSpan w:val="4"/>
            <w:tcBorders>
              <w:top w:val="single" w:color="auto" w:sz="4" w:space="0"/>
              <w:left w:val="single" w:color="auto" w:sz="4" w:space="0"/>
              <w:bottom w:val="single" w:color="auto" w:sz="4" w:space="0"/>
              <w:right w:val="single" w:color="auto" w:sz="4" w:space="0"/>
            </w:tcBorders>
            <w:noWrap w:val="0"/>
            <w:vAlign w:val="center"/>
          </w:tcPr>
          <w:p w14:paraId="713D5B1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从事类似</w:t>
            </w:r>
          </w:p>
          <w:p w14:paraId="2506BF5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工作年限</w:t>
            </w:r>
          </w:p>
        </w:tc>
        <w:tc>
          <w:tcPr>
            <w:tcW w:w="2109" w:type="dxa"/>
            <w:gridSpan w:val="2"/>
            <w:tcBorders>
              <w:top w:val="single" w:color="auto" w:sz="4" w:space="0"/>
              <w:left w:val="single" w:color="auto" w:sz="4" w:space="0"/>
              <w:bottom w:val="single" w:color="auto" w:sz="4" w:space="0"/>
              <w:right w:val="single" w:color="auto" w:sz="4" w:space="0"/>
            </w:tcBorders>
            <w:noWrap w:val="0"/>
            <w:vAlign w:val="center"/>
          </w:tcPr>
          <w:p w14:paraId="4F39C2B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eastAsia="宋体" w:cs="Times New Roman"/>
                <w:b w:val="0"/>
                <w:bCs/>
                <w:sz w:val="21"/>
                <w:szCs w:val="21"/>
                <w:highlight w:val="none"/>
              </w:rPr>
            </w:pPr>
          </w:p>
        </w:tc>
      </w:tr>
      <w:tr w14:paraId="3F8F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9989" w:type="dxa"/>
            <w:gridSpan w:val="18"/>
            <w:tcBorders>
              <w:top w:val="single" w:color="auto" w:sz="4" w:space="0"/>
              <w:left w:val="single" w:color="auto" w:sz="4" w:space="0"/>
              <w:bottom w:val="single" w:color="auto" w:sz="4" w:space="0"/>
              <w:right w:val="single" w:color="auto" w:sz="4" w:space="0"/>
            </w:tcBorders>
            <w:noWrap w:val="0"/>
            <w:vAlign w:val="center"/>
          </w:tcPr>
          <w:p w14:paraId="570E1FC0">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近三年负责完成的类似主要项目情况</w:t>
            </w:r>
          </w:p>
        </w:tc>
      </w:tr>
      <w:tr w14:paraId="2F05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 w:hRule="atLeast"/>
          <w:jc w:val="center"/>
        </w:trPr>
        <w:tc>
          <w:tcPr>
            <w:tcW w:w="1423" w:type="dxa"/>
            <w:tcBorders>
              <w:top w:val="single" w:color="auto" w:sz="4" w:space="0"/>
              <w:left w:val="single" w:color="auto" w:sz="4" w:space="0"/>
              <w:bottom w:val="single" w:color="auto" w:sz="4" w:space="0"/>
              <w:right w:val="single" w:color="auto" w:sz="4" w:space="0"/>
            </w:tcBorders>
            <w:noWrap w:val="0"/>
            <w:vAlign w:val="center"/>
          </w:tcPr>
          <w:p w14:paraId="5F2142FD">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序号</w:t>
            </w:r>
          </w:p>
        </w:tc>
        <w:tc>
          <w:tcPr>
            <w:tcW w:w="1546" w:type="dxa"/>
            <w:gridSpan w:val="3"/>
            <w:tcBorders>
              <w:top w:val="single" w:color="auto" w:sz="4" w:space="0"/>
              <w:left w:val="single" w:color="auto" w:sz="4" w:space="0"/>
              <w:bottom w:val="single" w:color="auto" w:sz="4" w:space="0"/>
              <w:right w:val="single" w:color="auto" w:sz="4" w:space="0"/>
            </w:tcBorders>
            <w:noWrap w:val="0"/>
            <w:vAlign w:val="center"/>
          </w:tcPr>
          <w:p w14:paraId="57E16713">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业主单位</w:t>
            </w:r>
          </w:p>
        </w:tc>
        <w:tc>
          <w:tcPr>
            <w:tcW w:w="1236" w:type="dxa"/>
            <w:gridSpan w:val="3"/>
            <w:tcBorders>
              <w:top w:val="single" w:color="auto" w:sz="4" w:space="0"/>
              <w:left w:val="single" w:color="auto" w:sz="4" w:space="0"/>
              <w:bottom w:val="single" w:color="auto" w:sz="4" w:space="0"/>
              <w:right w:val="single" w:color="auto" w:sz="4" w:space="0"/>
            </w:tcBorders>
            <w:noWrap w:val="0"/>
            <w:vAlign w:val="center"/>
          </w:tcPr>
          <w:p w14:paraId="0C0819C4">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项目名称</w:t>
            </w:r>
          </w:p>
        </w:tc>
        <w:tc>
          <w:tcPr>
            <w:tcW w:w="1239" w:type="dxa"/>
            <w:gridSpan w:val="3"/>
            <w:tcBorders>
              <w:top w:val="single" w:color="auto" w:sz="4" w:space="0"/>
              <w:left w:val="single" w:color="auto" w:sz="4" w:space="0"/>
              <w:bottom w:val="single" w:color="auto" w:sz="4" w:space="0"/>
              <w:right w:val="single" w:color="auto" w:sz="4" w:space="0"/>
            </w:tcBorders>
            <w:noWrap w:val="0"/>
            <w:vAlign w:val="center"/>
          </w:tcPr>
          <w:p w14:paraId="7B55D955">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项目内容</w:t>
            </w:r>
          </w:p>
        </w:tc>
        <w:tc>
          <w:tcPr>
            <w:tcW w:w="1192" w:type="dxa"/>
            <w:gridSpan w:val="3"/>
            <w:tcBorders>
              <w:top w:val="single" w:color="auto" w:sz="4" w:space="0"/>
              <w:left w:val="single" w:color="auto" w:sz="4" w:space="0"/>
              <w:bottom w:val="single" w:color="auto" w:sz="4" w:space="0"/>
              <w:right w:val="single" w:color="auto" w:sz="4" w:space="0"/>
            </w:tcBorders>
            <w:noWrap w:val="0"/>
            <w:vAlign w:val="center"/>
          </w:tcPr>
          <w:p w14:paraId="2B049D98">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项目金额</w:t>
            </w:r>
          </w:p>
        </w:tc>
        <w:tc>
          <w:tcPr>
            <w:tcW w:w="1193" w:type="dxa"/>
            <w:gridSpan w:val="2"/>
            <w:tcBorders>
              <w:top w:val="single" w:color="auto" w:sz="4" w:space="0"/>
              <w:left w:val="single" w:color="auto" w:sz="4" w:space="0"/>
              <w:bottom w:val="single" w:color="auto" w:sz="4" w:space="0"/>
              <w:right w:val="single" w:color="auto" w:sz="4" w:space="0"/>
            </w:tcBorders>
            <w:noWrap w:val="0"/>
            <w:vAlign w:val="center"/>
          </w:tcPr>
          <w:p w14:paraId="659066DE">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委托日期</w:t>
            </w:r>
          </w:p>
        </w:tc>
        <w:tc>
          <w:tcPr>
            <w:tcW w:w="966" w:type="dxa"/>
            <w:gridSpan w:val="2"/>
            <w:tcBorders>
              <w:top w:val="single" w:color="auto" w:sz="4" w:space="0"/>
              <w:left w:val="single" w:color="auto" w:sz="4" w:space="0"/>
              <w:right w:val="single" w:color="auto" w:sz="4" w:space="0"/>
            </w:tcBorders>
            <w:noWrap w:val="0"/>
            <w:vAlign w:val="center"/>
          </w:tcPr>
          <w:p w14:paraId="0B0E43F4">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联系人</w:t>
            </w:r>
          </w:p>
        </w:tc>
        <w:tc>
          <w:tcPr>
            <w:tcW w:w="1194" w:type="dxa"/>
            <w:tcBorders>
              <w:top w:val="single" w:color="auto" w:sz="4" w:space="0"/>
              <w:left w:val="single" w:color="auto" w:sz="4" w:space="0"/>
              <w:right w:val="single" w:color="auto" w:sz="4" w:space="0"/>
            </w:tcBorders>
            <w:noWrap w:val="0"/>
            <w:vAlign w:val="center"/>
          </w:tcPr>
          <w:p w14:paraId="10CB402C">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联系电话</w:t>
            </w:r>
          </w:p>
        </w:tc>
      </w:tr>
      <w:tr w14:paraId="5907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jc w:val="center"/>
        </w:trPr>
        <w:tc>
          <w:tcPr>
            <w:tcW w:w="1423" w:type="dxa"/>
            <w:tcBorders>
              <w:top w:val="single" w:color="auto" w:sz="4" w:space="0"/>
              <w:left w:val="single" w:color="auto" w:sz="4" w:space="0"/>
              <w:bottom w:val="single" w:color="auto" w:sz="4" w:space="0"/>
              <w:right w:val="single" w:color="auto" w:sz="4" w:space="0"/>
            </w:tcBorders>
            <w:noWrap w:val="0"/>
            <w:vAlign w:val="center"/>
          </w:tcPr>
          <w:p w14:paraId="33F0CB88">
            <w:pPr>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1</w:t>
            </w:r>
          </w:p>
        </w:tc>
        <w:tc>
          <w:tcPr>
            <w:tcW w:w="1546" w:type="dxa"/>
            <w:gridSpan w:val="3"/>
            <w:tcBorders>
              <w:top w:val="single" w:color="auto" w:sz="4" w:space="0"/>
              <w:left w:val="single" w:color="auto" w:sz="4" w:space="0"/>
              <w:bottom w:val="single" w:color="auto" w:sz="4" w:space="0"/>
              <w:right w:val="single" w:color="auto" w:sz="4" w:space="0"/>
            </w:tcBorders>
            <w:noWrap w:val="0"/>
            <w:vAlign w:val="center"/>
          </w:tcPr>
          <w:p w14:paraId="3970FBD0">
            <w:pPr>
              <w:jc w:val="center"/>
              <w:rPr>
                <w:rFonts w:hint="default" w:ascii="Times New Roman" w:hAnsi="Times New Roman" w:eastAsia="宋体" w:cs="Times New Roman"/>
                <w:b w:val="0"/>
                <w:bCs/>
                <w:sz w:val="21"/>
                <w:szCs w:val="21"/>
                <w:highlight w:val="none"/>
              </w:rPr>
            </w:pPr>
          </w:p>
        </w:tc>
        <w:tc>
          <w:tcPr>
            <w:tcW w:w="1236" w:type="dxa"/>
            <w:gridSpan w:val="3"/>
            <w:tcBorders>
              <w:top w:val="single" w:color="auto" w:sz="4" w:space="0"/>
              <w:left w:val="single" w:color="auto" w:sz="4" w:space="0"/>
              <w:bottom w:val="single" w:color="auto" w:sz="4" w:space="0"/>
              <w:right w:val="single" w:color="auto" w:sz="4" w:space="0"/>
            </w:tcBorders>
            <w:noWrap w:val="0"/>
            <w:vAlign w:val="center"/>
          </w:tcPr>
          <w:p w14:paraId="190EE5A6">
            <w:pPr>
              <w:jc w:val="center"/>
              <w:rPr>
                <w:rFonts w:hint="default" w:ascii="Times New Roman" w:hAnsi="Times New Roman" w:eastAsia="宋体" w:cs="Times New Roman"/>
                <w:b w:val="0"/>
                <w:bCs/>
                <w:sz w:val="21"/>
                <w:szCs w:val="21"/>
                <w:highlight w:val="none"/>
              </w:rPr>
            </w:pPr>
          </w:p>
        </w:tc>
        <w:tc>
          <w:tcPr>
            <w:tcW w:w="1239" w:type="dxa"/>
            <w:gridSpan w:val="3"/>
            <w:tcBorders>
              <w:top w:val="single" w:color="auto" w:sz="4" w:space="0"/>
              <w:left w:val="single" w:color="auto" w:sz="4" w:space="0"/>
              <w:bottom w:val="single" w:color="auto" w:sz="4" w:space="0"/>
              <w:right w:val="single" w:color="auto" w:sz="4" w:space="0"/>
            </w:tcBorders>
            <w:noWrap w:val="0"/>
            <w:vAlign w:val="center"/>
          </w:tcPr>
          <w:p w14:paraId="6DE57AD5">
            <w:pPr>
              <w:jc w:val="center"/>
              <w:rPr>
                <w:rFonts w:hint="default" w:ascii="Times New Roman" w:hAnsi="Times New Roman" w:eastAsia="宋体" w:cs="Times New Roman"/>
                <w:b w:val="0"/>
                <w:bCs/>
                <w:sz w:val="21"/>
                <w:szCs w:val="21"/>
                <w:highlight w:val="none"/>
              </w:rPr>
            </w:pPr>
          </w:p>
        </w:tc>
        <w:tc>
          <w:tcPr>
            <w:tcW w:w="1192" w:type="dxa"/>
            <w:gridSpan w:val="3"/>
            <w:tcBorders>
              <w:top w:val="single" w:color="auto" w:sz="4" w:space="0"/>
              <w:left w:val="single" w:color="auto" w:sz="4" w:space="0"/>
              <w:right w:val="single" w:color="auto" w:sz="4" w:space="0"/>
            </w:tcBorders>
            <w:noWrap w:val="0"/>
            <w:vAlign w:val="center"/>
          </w:tcPr>
          <w:p w14:paraId="71210E8C">
            <w:pPr>
              <w:jc w:val="center"/>
              <w:rPr>
                <w:rFonts w:hint="default" w:ascii="Times New Roman" w:hAnsi="Times New Roman" w:eastAsia="宋体" w:cs="Times New Roman"/>
                <w:b w:val="0"/>
                <w:bCs/>
                <w:sz w:val="21"/>
                <w:szCs w:val="21"/>
                <w:highlight w:val="none"/>
              </w:rPr>
            </w:pPr>
          </w:p>
        </w:tc>
        <w:tc>
          <w:tcPr>
            <w:tcW w:w="1193" w:type="dxa"/>
            <w:gridSpan w:val="2"/>
            <w:tcBorders>
              <w:top w:val="single" w:color="auto" w:sz="4" w:space="0"/>
              <w:left w:val="single" w:color="auto" w:sz="4" w:space="0"/>
              <w:right w:val="single" w:color="auto" w:sz="4" w:space="0"/>
            </w:tcBorders>
            <w:noWrap w:val="0"/>
            <w:vAlign w:val="center"/>
          </w:tcPr>
          <w:p w14:paraId="090D177B">
            <w:pPr>
              <w:jc w:val="center"/>
              <w:rPr>
                <w:rFonts w:hint="default" w:ascii="Times New Roman" w:hAnsi="Times New Roman" w:eastAsia="宋体" w:cs="Times New Roman"/>
                <w:b w:val="0"/>
                <w:bCs/>
                <w:sz w:val="21"/>
                <w:szCs w:val="21"/>
                <w:highlight w:val="none"/>
              </w:rPr>
            </w:pPr>
          </w:p>
        </w:tc>
        <w:tc>
          <w:tcPr>
            <w:tcW w:w="966" w:type="dxa"/>
            <w:gridSpan w:val="2"/>
            <w:tcBorders>
              <w:left w:val="single" w:color="auto" w:sz="4" w:space="0"/>
              <w:right w:val="single" w:color="auto" w:sz="4" w:space="0"/>
            </w:tcBorders>
            <w:noWrap w:val="0"/>
            <w:vAlign w:val="center"/>
          </w:tcPr>
          <w:p w14:paraId="0FF5B294">
            <w:pPr>
              <w:jc w:val="center"/>
              <w:rPr>
                <w:rFonts w:hint="default" w:ascii="Times New Roman" w:hAnsi="Times New Roman" w:eastAsia="宋体" w:cs="Times New Roman"/>
                <w:b w:val="0"/>
                <w:bCs/>
                <w:sz w:val="21"/>
                <w:szCs w:val="21"/>
                <w:highlight w:val="none"/>
              </w:rPr>
            </w:pPr>
          </w:p>
        </w:tc>
        <w:tc>
          <w:tcPr>
            <w:tcW w:w="1194" w:type="dxa"/>
            <w:tcBorders>
              <w:left w:val="single" w:color="auto" w:sz="4" w:space="0"/>
              <w:right w:val="single" w:color="auto" w:sz="4" w:space="0"/>
            </w:tcBorders>
            <w:noWrap w:val="0"/>
            <w:vAlign w:val="center"/>
          </w:tcPr>
          <w:p w14:paraId="2DC5BBA2">
            <w:pPr>
              <w:jc w:val="center"/>
              <w:rPr>
                <w:rFonts w:hint="default" w:ascii="Times New Roman" w:hAnsi="Times New Roman" w:eastAsia="宋体" w:cs="Times New Roman"/>
                <w:b w:val="0"/>
                <w:bCs/>
                <w:sz w:val="21"/>
                <w:szCs w:val="21"/>
                <w:highlight w:val="none"/>
              </w:rPr>
            </w:pPr>
          </w:p>
        </w:tc>
      </w:tr>
    </w:tbl>
    <w:p w14:paraId="6B0F1AE6">
      <w:pPr>
        <w:pStyle w:val="35"/>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注：1.如有技术等级或职称证书，需将证书扫描件附于表后；</w:t>
      </w:r>
    </w:p>
    <w:p w14:paraId="4899E6E3">
      <w:pPr>
        <w:pStyle w:val="35"/>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 xml:space="preserve">    2.</w:t>
      </w:r>
      <w:r>
        <w:rPr>
          <w:rFonts w:hint="eastAsia" w:ascii="国标宋体" w:hAnsi="国标宋体" w:eastAsia="国标宋体" w:cs="国标宋体"/>
          <w:b w:val="0"/>
          <w:bCs/>
          <w:sz w:val="24"/>
          <w:szCs w:val="24"/>
          <w:highlight w:val="none"/>
        </w:rPr>
        <w:t>在投标文件中需提供相关证书扫描件和个人社保缴费清单（社保缴费清单要求是持证人员近</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个月的在投标单位缴纳的个人社保缴费清单，如投标单位新成立不足</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个月的，按实际缴纳情况提供持证人员在该单位的社保缴费清单，</w:t>
      </w:r>
      <w:r>
        <w:rPr>
          <w:rFonts w:hint="default" w:ascii="国标宋体" w:hAnsi="国标宋体" w:eastAsia="国标宋体" w:cs="国标宋体"/>
          <w:b w:val="0"/>
          <w:bCs/>
          <w:sz w:val="24"/>
          <w:szCs w:val="24"/>
          <w:highlight w:val="none"/>
        </w:rPr>
        <w:t>社保缴费清单需加盖缴费当地社保机构公章或业务章</w:t>
      </w:r>
      <w:r>
        <w:rPr>
          <w:rFonts w:hint="eastAsia" w:ascii="国标宋体" w:hAnsi="国标宋体" w:eastAsia="国标宋体" w:cs="国标宋体"/>
          <w:b w:val="0"/>
          <w:bCs/>
          <w:sz w:val="24"/>
          <w:szCs w:val="24"/>
          <w:highlight w:val="none"/>
        </w:rPr>
        <w:t>。近</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个月指的是从20</w:t>
      </w:r>
      <w:r>
        <w:rPr>
          <w:rFonts w:hint="eastAsia" w:ascii="国标宋体" w:hAnsi="国标宋体" w:eastAsia="国标宋体" w:cs="国标宋体"/>
          <w:b w:val="0"/>
          <w:bCs/>
          <w:sz w:val="24"/>
          <w:szCs w:val="24"/>
          <w:highlight w:val="none"/>
          <w:lang w:val="en-US" w:eastAsia="zh-CN"/>
        </w:rPr>
        <w:t>26</w:t>
      </w:r>
      <w:r>
        <w:rPr>
          <w:rFonts w:hint="eastAsia" w:ascii="国标宋体" w:hAnsi="国标宋体" w:eastAsia="国标宋体" w:cs="国标宋体"/>
          <w:b w:val="0"/>
          <w:bCs/>
          <w:sz w:val="24"/>
          <w:szCs w:val="24"/>
          <w:highlight w:val="none"/>
        </w:rPr>
        <w:t>年</w:t>
      </w:r>
      <w:r>
        <w:rPr>
          <w:rFonts w:hint="eastAsia" w:ascii="国标宋体" w:hAnsi="国标宋体" w:eastAsia="国标宋体" w:cs="国标宋体"/>
          <w:b w:val="0"/>
          <w:bCs/>
          <w:sz w:val="24"/>
          <w:szCs w:val="24"/>
          <w:highlight w:val="none"/>
          <w:lang w:val="en-US" w:eastAsia="zh-CN"/>
        </w:rPr>
        <w:t>1</w:t>
      </w:r>
      <w:r>
        <w:rPr>
          <w:rFonts w:hint="eastAsia" w:ascii="国标宋体" w:hAnsi="国标宋体" w:eastAsia="国标宋体" w:cs="国标宋体"/>
          <w:b w:val="0"/>
          <w:bCs/>
          <w:sz w:val="24"/>
          <w:szCs w:val="24"/>
          <w:highlight w:val="none"/>
        </w:rPr>
        <w:t>月01日至投标截止</w:t>
      </w:r>
      <w:r>
        <w:rPr>
          <w:rFonts w:hint="eastAsia" w:ascii="国标宋体" w:hAnsi="国标宋体" w:eastAsia="国标宋体" w:cs="国标宋体"/>
          <w:b w:val="0"/>
          <w:bCs/>
          <w:sz w:val="24"/>
          <w:szCs w:val="24"/>
          <w:highlight w:val="none"/>
          <w:lang w:eastAsia="zh-CN"/>
        </w:rPr>
        <w:t>日</w:t>
      </w:r>
      <w:r>
        <w:rPr>
          <w:rFonts w:hint="eastAsia" w:ascii="国标宋体" w:hAnsi="国标宋体" w:eastAsia="国标宋体" w:cs="国标宋体"/>
          <w:b w:val="0"/>
          <w:bCs/>
          <w:sz w:val="24"/>
          <w:szCs w:val="24"/>
          <w:highlight w:val="none"/>
        </w:rPr>
        <w:t>期间中</w:t>
      </w:r>
      <w:r>
        <w:rPr>
          <w:rFonts w:hint="eastAsia" w:ascii="国标宋体" w:hAnsi="国标宋体" w:eastAsia="国标宋体" w:cs="国标宋体"/>
          <w:b w:val="0"/>
          <w:bCs/>
          <w:sz w:val="24"/>
          <w:szCs w:val="24"/>
          <w:highlight w:val="none"/>
          <w:lang w:eastAsia="zh-CN"/>
        </w:rPr>
        <w:t>的</w:t>
      </w:r>
      <w:r>
        <w:rPr>
          <w:rFonts w:hint="eastAsia" w:ascii="国标宋体" w:hAnsi="国标宋体" w:eastAsia="国标宋体" w:cs="国标宋体"/>
          <w:b w:val="0"/>
          <w:bCs/>
          <w:sz w:val="24"/>
          <w:szCs w:val="24"/>
          <w:highlight w:val="none"/>
        </w:rPr>
        <w:t>任何一个月）。</w:t>
      </w:r>
    </w:p>
    <w:p w14:paraId="584EF62B">
      <w:pPr>
        <w:pStyle w:val="35"/>
        <w:ind w:firstLine="420" w:firstLineChars="200"/>
        <w:rPr>
          <w:rFonts w:hint="default" w:ascii="Times New Roman" w:hAnsi="Times New Roman" w:eastAsia="宋体" w:cs="Times New Roman"/>
          <w:b w:val="0"/>
          <w:bCs/>
          <w:highlight w:val="none"/>
        </w:rPr>
      </w:pPr>
      <w:r>
        <w:rPr>
          <w:rFonts w:hint="default" w:ascii="Times New Roman" w:hAnsi="Times New Roman" w:eastAsia="宋体" w:cs="Times New Roman"/>
          <w:b w:val="0"/>
          <w:bCs/>
          <w:highlight w:val="none"/>
        </w:rPr>
        <w:t>3.此表在不改变格式内容的情况下，可自行制作。</w:t>
      </w:r>
    </w:p>
    <w:p w14:paraId="10FB7C09">
      <w:pPr>
        <w:rPr>
          <w:rFonts w:hint="default" w:ascii="Times New Roman" w:hAnsi="Times New Roman" w:eastAsia="宋体" w:cs="Times New Roman"/>
          <w:b w:val="0"/>
          <w:bCs/>
          <w:highlight w:val="none"/>
        </w:rPr>
      </w:pPr>
    </w:p>
    <w:p w14:paraId="2734C441">
      <w:pPr>
        <w:spacing w:line="240" w:lineRule="auto"/>
        <w:jc w:val="center"/>
        <w:rPr>
          <w:rFonts w:hint="default" w:ascii="Times New Roman" w:hAnsi="Times New Roman" w:eastAsia="宋体" w:cs="Times New Roman"/>
          <w:b/>
          <w:bCs/>
          <w:sz w:val="32"/>
          <w:szCs w:val="32"/>
          <w:highlight w:val="none"/>
          <w:lang w:eastAsia="zh-CN"/>
        </w:rPr>
      </w:pPr>
      <w:r>
        <w:rPr>
          <w:rFonts w:hint="default" w:ascii="Times New Roman" w:hAnsi="Times New Roman" w:eastAsia="宋体" w:cs="Times New Roman"/>
          <w:b/>
          <w:bCs/>
          <w:sz w:val="32"/>
          <w:szCs w:val="32"/>
          <w:highlight w:val="none"/>
          <w:lang w:eastAsia="zh-CN"/>
        </w:rPr>
        <w:t>项目成员表</w:t>
      </w:r>
    </w:p>
    <w:p w14:paraId="1C20E23A">
      <w:pPr>
        <w:rPr>
          <w:rFonts w:hint="eastAsia" w:ascii="新宋体" w:hAnsi="新宋体" w:eastAsia="新宋体"/>
          <w:color w:val="auto"/>
          <w:sz w:val="24"/>
          <w:highlight w:val="none"/>
          <w:u w:val="single"/>
          <w:lang w:eastAsia="zh-CN"/>
        </w:rPr>
      </w:pPr>
      <w:r>
        <w:rPr>
          <w:rFonts w:hint="default" w:ascii="Times New Roman" w:hAnsi="Times New Roman" w:eastAsia="宋体" w:cs="Times New Roman"/>
          <w:b w:val="0"/>
          <w:bCs/>
          <w:szCs w:val="21"/>
          <w:highlight w:val="none"/>
        </w:rPr>
        <w:t xml:space="preserve">投标人：（电子签章）_________________     </w:t>
      </w:r>
      <w:r>
        <w:rPr>
          <w:rFonts w:hint="default" w:ascii="Times New Roman" w:hAnsi="Times New Roman" w:eastAsia="宋体" w:cs="Times New Roman"/>
          <w:b w:val="0"/>
          <w:bCs/>
          <w:highlight w:val="none"/>
        </w:rPr>
        <w:t>采购编号：</w:t>
      </w:r>
      <w:r>
        <w:rPr>
          <w:rFonts w:hint="eastAsia" w:ascii="新宋体" w:hAnsi="新宋体" w:eastAsia="新宋体"/>
          <w:color w:val="auto"/>
          <w:sz w:val="24"/>
          <w:highlight w:val="none"/>
          <w:u w:val="single"/>
          <w:lang w:eastAsia="zh-CN"/>
        </w:rPr>
        <w:t>330782260080040000044-YWCG2026023GK</w:t>
      </w:r>
    </w:p>
    <w:p w14:paraId="57B102A3">
      <w:pPr>
        <w:rPr>
          <w:rFonts w:hint="default" w:ascii="Times New Roman" w:hAnsi="Times New Roman" w:eastAsia="宋体" w:cs="Times New Roman"/>
          <w:b w:val="0"/>
          <w:bCs/>
          <w:szCs w:val="21"/>
          <w:highlight w:val="none"/>
          <w:lang w:eastAsia="zh-CN"/>
        </w:rPr>
      </w:pP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32"/>
        <w:gridCol w:w="933"/>
        <w:gridCol w:w="1313"/>
        <w:gridCol w:w="945"/>
        <w:gridCol w:w="1773"/>
        <w:gridCol w:w="1512"/>
        <w:gridCol w:w="880"/>
      </w:tblGrid>
      <w:tr w14:paraId="12FE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040798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序号</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5D22B7A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姓名</w:t>
            </w:r>
          </w:p>
        </w:tc>
        <w:tc>
          <w:tcPr>
            <w:tcW w:w="933" w:type="dxa"/>
            <w:tcBorders>
              <w:top w:val="single" w:color="auto" w:sz="4" w:space="0"/>
              <w:left w:val="single" w:color="auto" w:sz="4" w:space="0"/>
              <w:bottom w:val="single" w:color="auto" w:sz="4" w:space="0"/>
              <w:right w:val="single" w:color="auto" w:sz="4" w:space="0"/>
            </w:tcBorders>
            <w:noWrap w:val="0"/>
            <w:vAlign w:val="center"/>
          </w:tcPr>
          <w:p w14:paraId="62DB60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性别</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602EA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技术等级或职称</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A0025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岗位</w:t>
            </w:r>
          </w:p>
        </w:tc>
        <w:tc>
          <w:tcPr>
            <w:tcW w:w="1773" w:type="dxa"/>
            <w:tcBorders>
              <w:top w:val="single" w:color="auto" w:sz="4" w:space="0"/>
              <w:left w:val="single" w:color="auto" w:sz="4" w:space="0"/>
              <w:bottom w:val="single" w:color="auto" w:sz="4" w:space="0"/>
              <w:right w:val="single" w:color="auto" w:sz="4" w:space="0"/>
            </w:tcBorders>
            <w:noWrap w:val="0"/>
            <w:vAlign w:val="center"/>
          </w:tcPr>
          <w:p w14:paraId="368DA9E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从事该岗位时间</w:t>
            </w:r>
          </w:p>
        </w:tc>
        <w:tc>
          <w:tcPr>
            <w:tcW w:w="1512" w:type="dxa"/>
            <w:tcBorders>
              <w:top w:val="single" w:color="auto" w:sz="4" w:space="0"/>
              <w:left w:val="single" w:color="auto" w:sz="4" w:space="0"/>
              <w:bottom w:val="single" w:color="auto" w:sz="4" w:space="0"/>
              <w:right w:val="single" w:color="auto" w:sz="4" w:space="0"/>
            </w:tcBorders>
            <w:noWrap w:val="0"/>
            <w:vAlign w:val="center"/>
          </w:tcPr>
          <w:p w14:paraId="4F51ACC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从事过类似主要项目</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2573E17D">
            <w:pPr>
              <w:keepNext w:val="0"/>
              <w:keepLines w:val="0"/>
              <w:pageBreakBefore w:val="0"/>
              <w:widowControl/>
              <w:tabs>
                <w:tab w:val="left" w:pos="510"/>
              </w:tabs>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szCs w:val="21"/>
                <w:highlight w:val="none"/>
              </w:rPr>
            </w:pPr>
            <w:r>
              <w:rPr>
                <w:rFonts w:hint="default" w:ascii="Times New Roman" w:hAnsi="Times New Roman" w:eastAsia="宋体" w:cs="Times New Roman"/>
                <w:b w:val="0"/>
                <w:bCs/>
                <w:szCs w:val="21"/>
                <w:highlight w:val="none"/>
              </w:rPr>
              <w:t>备注</w:t>
            </w:r>
          </w:p>
        </w:tc>
      </w:tr>
      <w:tr w14:paraId="1E63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53E25E0C">
            <w:pPr>
              <w:jc w:val="center"/>
              <w:rPr>
                <w:rFonts w:hint="default" w:ascii="Times New Roman" w:hAnsi="Times New Roman" w:eastAsia="宋体" w:cs="Times New Roman"/>
                <w:b w:val="0"/>
                <w:bCs/>
                <w:szCs w:val="21"/>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994819D">
            <w:pPr>
              <w:jc w:val="center"/>
              <w:rPr>
                <w:rFonts w:hint="default" w:ascii="Times New Roman" w:hAnsi="Times New Roman" w:eastAsia="宋体" w:cs="Times New Roman"/>
                <w:b w:val="0"/>
                <w:bCs/>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56A01597">
            <w:pPr>
              <w:jc w:val="center"/>
              <w:rPr>
                <w:rFonts w:hint="default" w:ascii="Times New Roman" w:hAnsi="Times New Roman" w:eastAsia="宋体" w:cs="Times New Roman"/>
                <w:b w:val="0"/>
                <w:bCs/>
                <w:szCs w:val="21"/>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2C206DC9">
            <w:pPr>
              <w:jc w:val="center"/>
              <w:rPr>
                <w:rFonts w:hint="default" w:ascii="Times New Roman" w:hAnsi="Times New Roman" w:eastAsia="宋体" w:cs="Times New Roman"/>
                <w:b w:val="0"/>
                <w:bCs/>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1DB9CD">
            <w:pPr>
              <w:jc w:val="center"/>
              <w:rPr>
                <w:rFonts w:hint="default" w:ascii="Times New Roman" w:hAnsi="Times New Roman" w:eastAsia="宋体" w:cs="Times New Roman"/>
                <w:b w:val="0"/>
                <w:bCs/>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7F36B07D">
            <w:pPr>
              <w:jc w:val="center"/>
              <w:rPr>
                <w:rFonts w:hint="default" w:ascii="Times New Roman" w:hAnsi="Times New Roman" w:eastAsia="宋体" w:cs="Times New Roman"/>
                <w:b w:val="0"/>
                <w:bCs/>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6254EF77">
            <w:pPr>
              <w:jc w:val="center"/>
              <w:rPr>
                <w:rFonts w:hint="default" w:ascii="Times New Roman" w:hAnsi="Times New Roman" w:eastAsia="宋体" w:cs="Times New Roman"/>
                <w:b w:val="0"/>
                <w:bCs/>
                <w:szCs w:val="21"/>
                <w:highlight w:val="none"/>
              </w:rPr>
            </w:pPr>
          </w:p>
        </w:tc>
        <w:tc>
          <w:tcPr>
            <w:tcW w:w="880" w:type="dxa"/>
            <w:vMerge w:val="restart"/>
            <w:tcBorders>
              <w:top w:val="single" w:color="auto" w:sz="4" w:space="0"/>
              <w:left w:val="single" w:color="auto" w:sz="4" w:space="0"/>
              <w:right w:val="single" w:color="auto" w:sz="4" w:space="0"/>
            </w:tcBorders>
            <w:noWrap w:val="0"/>
            <w:vAlign w:val="center"/>
          </w:tcPr>
          <w:p w14:paraId="1ECD80A7">
            <w:pPr>
              <w:jc w:val="center"/>
              <w:rPr>
                <w:rFonts w:hint="default" w:ascii="Times New Roman" w:hAnsi="Times New Roman" w:eastAsia="宋体" w:cs="Times New Roman"/>
                <w:b w:val="0"/>
                <w:bCs/>
                <w:szCs w:val="21"/>
                <w:highlight w:val="none"/>
              </w:rPr>
            </w:pPr>
          </w:p>
        </w:tc>
      </w:tr>
      <w:tr w14:paraId="185C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738" w:type="dxa"/>
            <w:tcBorders>
              <w:top w:val="single" w:color="auto" w:sz="4" w:space="0"/>
              <w:left w:val="single" w:color="auto" w:sz="4" w:space="0"/>
              <w:bottom w:val="single" w:color="auto" w:sz="4" w:space="0"/>
              <w:right w:val="single" w:color="auto" w:sz="4" w:space="0"/>
            </w:tcBorders>
            <w:noWrap w:val="0"/>
            <w:vAlign w:val="center"/>
          </w:tcPr>
          <w:p w14:paraId="2587C913">
            <w:pPr>
              <w:jc w:val="center"/>
              <w:rPr>
                <w:rFonts w:hint="default" w:ascii="Times New Roman" w:hAnsi="Times New Roman" w:eastAsia="宋体" w:cs="Times New Roman"/>
                <w:b w:val="0"/>
                <w:bCs/>
                <w:szCs w:val="21"/>
                <w:highlight w:val="none"/>
              </w:rPr>
            </w:pPr>
          </w:p>
        </w:tc>
        <w:tc>
          <w:tcPr>
            <w:tcW w:w="1332" w:type="dxa"/>
            <w:tcBorders>
              <w:top w:val="single" w:color="auto" w:sz="4" w:space="0"/>
              <w:left w:val="single" w:color="auto" w:sz="4" w:space="0"/>
              <w:bottom w:val="single" w:color="auto" w:sz="4" w:space="0"/>
              <w:right w:val="single" w:color="auto" w:sz="4" w:space="0"/>
            </w:tcBorders>
            <w:noWrap w:val="0"/>
            <w:vAlign w:val="center"/>
          </w:tcPr>
          <w:p w14:paraId="03C29A33">
            <w:pPr>
              <w:jc w:val="center"/>
              <w:rPr>
                <w:rFonts w:hint="default" w:ascii="Times New Roman" w:hAnsi="Times New Roman" w:eastAsia="宋体" w:cs="Times New Roman"/>
                <w:b w:val="0"/>
                <w:bCs/>
                <w:szCs w:val="21"/>
                <w:highlight w:val="none"/>
              </w:rPr>
            </w:pPr>
          </w:p>
        </w:tc>
        <w:tc>
          <w:tcPr>
            <w:tcW w:w="933" w:type="dxa"/>
            <w:tcBorders>
              <w:top w:val="single" w:color="auto" w:sz="4" w:space="0"/>
              <w:left w:val="single" w:color="auto" w:sz="4" w:space="0"/>
              <w:bottom w:val="single" w:color="auto" w:sz="4" w:space="0"/>
              <w:right w:val="single" w:color="auto" w:sz="4" w:space="0"/>
            </w:tcBorders>
            <w:noWrap w:val="0"/>
            <w:vAlign w:val="center"/>
          </w:tcPr>
          <w:p w14:paraId="6889B247">
            <w:pPr>
              <w:jc w:val="center"/>
              <w:rPr>
                <w:rFonts w:hint="default" w:ascii="Times New Roman" w:hAnsi="Times New Roman" w:eastAsia="宋体" w:cs="Times New Roman"/>
                <w:b w:val="0"/>
                <w:bCs/>
                <w:szCs w:val="21"/>
                <w:highlight w:val="none"/>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45597D53">
            <w:pPr>
              <w:jc w:val="center"/>
              <w:rPr>
                <w:rFonts w:hint="default" w:ascii="Times New Roman" w:hAnsi="Times New Roman" w:eastAsia="宋体" w:cs="Times New Roman"/>
                <w:b w:val="0"/>
                <w:bCs/>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9E45D20">
            <w:pPr>
              <w:jc w:val="center"/>
              <w:rPr>
                <w:rFonts w:hint="default" w:ascii="Times New Roman" w:hAnsi="Times New Roman" w:eastAsia="宋体" w:cs="Times New Roman"/>
                <w:b w:val="0"/>
                <w:bCs/>
                <w:szCs w:val="21"/>
                <w:highlight w:val="none"/>
              </w:rPr>
            </w:pPr>
          </w:p>
        </w:tc>
        <w:tc>
          <w:tcPr>
            <w:tcW w:w="1773" w:type="dxa"/>
            <w:tcBorders>
              <w:top w:val="single" w:color="auto" w:sz="4" w:space="0"/>
              <w:left w:val="single" w:color="auto" w:sz="4" w:space="0"/>
              <w:bottom w:val="single" w:color="auto" w:sz="4" w:space="0"/>
              <w:right w:val="single" w:color="auto" w:sz="4" w:space="0"/>
            </w:tcBorders>
            <w:noWrap w:val="0"/>
            <w:vAlign w:val="center"/>
          </w:tcPr>
          <w:p w14:paraId="02944AF0">
            <w:pPr>
              <w:jc w:val="center"/>
              <w:rPr>
                <w:rFonts w:hint="default" w:ascii="Times New Roman" w:hAnsi="Times New Roman" w:eastAsia="宋体" w:cs="Times New Roman"/>
                <w:b w:val="0"/>
                <w:bCs/>
                <w:szCs w:val="21"/>
                <w:highlight w:val="none"/>
              </w:rPr>
            </w:pPr>
          </w:p>
        </w:tc>
        <w:tc>
          <w:tcPr>
            <w:tcW w:w="1512" w:type="dxa"/>
            <w:tcBorders>
              <w:top w:val="single" w:color="auto" w:sz="4" w:space="0"/>
              <w:left w:val="single" w:color="auto" w:sz="4" w:space="0"/>
              <w:bottom w:val="single" w:color="auto" w:sz="4" w:space="0"/>
              <w:right w:val="single" w:color="auto" w:sz="4" w:space="0"/>
            </w:tcBorders>
            <w:noWrap w:val="0"/>
            <w:vAlign w:val="center"/>
          </w:tcPr>
          <w:p w14:paraId="51D6021C">
            <w:pPr>
              <w:jc w:val="center"/>
              <w:rPr>
                <w:rFonts w:hint="default" w:ascii="Times New Roman" w:hAnsi="Times New Roman" w:eastAsia="宋体" w:cs="Times New Roman"/>
                <w:b w:val="0"/>
                <w:bCs/>
                <w:szCs w:val="21"/>
                <w:highlight w:val="none"/>
              </w:rPr>
            </w:pPr>
          </w:p>
        </w:tc>
        <w:tc>
          <w:tcPr>
            <w:tcW w:w="880" w:type="dxa"/>
            <w:vMerge w:val="continue"/>
            <w:tcBorders>
              <w:left w:val="single" w:color="auto" w:sz="4" w:space="0"/>
              <w:right w:val="single" w:color="auto" w:sz="4" w:space="0"/>
            </w:tcBorders>
            <w:noWrap w:val="0"/>
            <w:vAlign w:val="center"/>
          </w:tcPr>
          <w:p w14:paraId="2A4F4329">
            <w:pPr>
              <w:jc w:val="center"/>
              <w:rPr>
                <w:rFonts w:hint="default" w:ascii="Times New Roman" w:hAnsi="Times New Roman" w:eastAsia="宋体" w:cs="Times New Roman"/>
                <w:b w:val="0"/>
                <w:bCs/>
                <w:szCs w:val="21"/>
                <w:highlight w:val="none"/>
              </w:rPr>
            </w:pPr>
          </w:p>
        </w:tc>
      </w:tr>
    </w:tbl>
    <w:p w14:paraId="63BDAC7A">
      <w:pPr>
        <w:pStyle w:val="35"/>
        <w:wordWrap w:val="0"/>
        <w:ind w:firstLine="420" w:firstLineChars="200"/>
        <w:rPr>
          <w:rFonts w:hint="eastAsia" w:ascii="国标宋体" w:hAnsi="国标宋体" w:eastAsia="国标宋体" w:cs="国标宋体"/>
          <w:b w:val="0"/>
          <w:bCs/>
          <w:sz w:val="24"/>
          <w:szCs w:val="24"/>
          <w:highlight w:val="none"/>
        </w:rPr>
      </w:pPr>
      <w:r>
        <w:rPr>
          <w:rFonts w:hint="default" w:ascii="Times New Roman" w:hAnsi="Times New Roman" w:eastAsia="宋体" w:cs="Times New Roman"/>
          <w:b w:val="0"/>
          <w:bCs/>
          <w:highlight w:val="none"/>
        </w:rPr>
        <w:t>注：</w:t>
      </w:r>
      <w:r>
        <w:rPr>
          <w:rFonts w:hint="eastAsia" w:ascii="国标宋体" w:hAnsi="国标宋体" w:eastAsia="国标宋体" w:cs="国标宋体"/>
          <w:b w:val="0"/>
          <w:bCs/>
          <w:sz w:val="24"/>
          <w:szCs w:val="24"/>
          <w:highlight w:val="none"/>
        </w:rPr>
        <w:t>1.如有技术等级或职称证书，需将证书扫描件附于表后；</w:t>
      </w:r>
    </w:p>
    <w:p w14:paraId="592FF431">
      <w:pPr>
        <w:pStyle w:val="35"/>
        <w:wordWrap w:val="0"/>
        <w:ind w:firstLine="720" w:firstLineChars="300"/>
        <w:rPr>
          <w:rFonts w:hint="eastAsia" w:ascii="国标宋体" w:hAnsi="国标宋体" w:eastAsia="国标宋体" w:cs="国标宋体"/>
          <w:b w:val="0"/>
          <w:bCs/>
          <w:sz w:val="24"/>
          <w:szCs w:val="24"/>
          <w:highlight w:val="none"/>
        </w:rPr>
      </w:pPr>
      <w:r>
        <w:rPr>
          <w:rFonts w:hint="eastAsia" w:ascii="国标宋体" w:hAnsi="国标宋体" w:eastAsia="国标宋体" w:cs="国标宋体"/>
          <w:b w:val="0"/>
          <w:bCs/>
          <w:sz w:val="24"/>
          <w:szCs w:val="24"/>
          <w:highlight w:val="none"/>
        </w:rPr>
        <w:t>2.在投标文件中需提供相关证书扫描件和个人社保缴费清单（社保缴费清单要求是持证人员近</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个月的在投标单位缴纳的个人社保缴费清单，如投标单位新成立不足</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个月的，按实际缴纳情况提供持证人员在该单位的社保缴费清单，</w:t>
      </w:r>
      <w:r>
        <w:rPr>
          <w:rFonts w:hint="default" w:ascii="国标宋体" w:hAnsi="国标宋体" w:eastAsia="国标宋体" w:cs="国标宋体"/>
          <w:b w:val="0"/>
          <w:bCs/>
          <w:sz w:val="24"/>
          <w:szCs w:val="24"/>
          <w:highlight w:val="none"/>
        </w:rPr>
        <w:t>社保缴费清单需加盖缴费当地社保机构公章或业务章</w:t>
      </w:r>
      <w:r>
        <w:rPr>
          <w:rFonts w:hint="eastAsia" w:ascii="国标宋体" w:hAnsi="国标宋体" w:eastAsia="国标宋体" w:cs="国标宋体"/>
          <w:b w:val="0"/>
          <w:bCs/>
          <w:sz w:val="24"/>
          <w:szCs w:val="24"/>
          <w:highlight w:val="none"/>
        </w:rPr>
        <w:t>。近</w:t>
      </w:r>
      <w:r>
        <w:rPr>
          <w:rFonts w:hint="eastAsia" w:ascii="国标宋体" w:hAnsi="国标宋体" w:eastAsia="国标宋体" w:cs="国标宋体"/>
          <w:b w:val="0"/>
          <w:bCs/>
          <w:sz w:val="24"/>
          <w:szCs w:val="24"/>
          <w:highlight w:val="none"/>
          <w:lang w:eastAsia="zh-CN"/>
        </w:rPr>
        <w:t>一</w:t>
      </w:r>
      <w:r>
        <w:rPr>
          <w:rFonts w:hint="eastAsia" w:ascii="国标宋体" w:hAnsi="国标宋体" w:eastAsia="国标宋体" w:cs="国标宋体"/>
          <w:b w:val="0"/>
          <w:bCs/>
          <w:sz w:val="24"/>
          <w:szCs w:val="24"/>
          <w:highlight w:val="none"/>
        </w:rPr>
        <w:t>个月指的是从202</w:t>
      </w:r>
      <w:r>
        <w:rPr>
          <w:rFonts w:hint="eastAsia" w:ascii="国标宋体" w:hAnsi="国标宋体" w:eastAsia="国标宋体" w:cs="国标宋体"/>
          <w:b w:val="0"/>
          <w:bCs/>
          <w:sz w:val="24"/>
          <w:szCs w:val="24"/>
          <w:highlight w:val="none"/>
          <w:lang w:val="en-US" w:eastAsia="zh-CN"/>
        </w:rPr>
        <w:t>6</w:t>
      </w:r>
      <w:r>
        <w:rPr>
          <w:rFonts w:hint="eastAsia" w:ascii="国标宋体" w:hAnsi="国标宋体" w:eastAsia="国标宋体" w:cs="国标宋体"/>
          <w:b w:val="0"/>
          <w:bCs/>
          <w:sz w:val="24"/>
          <w:szCs w:val="24"/>
          <w:highlight w:val="none"/>
        </w:rPr>
        <w:t>年</w:t>
      </w:r>
      <w:r>
        <w:rPr>
          <w:rFonts w:hint="eastAsia" w:ascii="国标宋体" w:hAnsi="国标宋体" w:eastAsia="国标宋体" w:cs="国标宋体"/>
          <w:b w:val="0"/>
          <w:bCs/>
          <w:sz w:val="24"/>
          <w:szCs w:val="24"/>
          <w:highlight w:val="none"/>
          <w:lang w:val="en-US" w:eastAsia="zh-CN"/>
        </w:rPr>
        <w:t>01</w:t>
      </w:r>
      <w:r>
        <w:rPr>
          <w:rFonts w:hint="eastAsia" w:ascii="国标宋体" w:hAnsi="国标宋体" w:eastAsia="国标宋体" w:cs="国标宋体"/>
          <w:b w:val="0"/>
          <w:bCs/>
          <w:sz w:val="24"/>
          <w:szCs w:val="24"/>
          <w:highlight w:val="none"/>
        </w:rPr>
        <w:t>月01日至投标截止</w:t>
      </w:r>
      <w:r>
        <w:rPr>
          <w:rFonts w:hint="eastAsia" w:ascii="国标宋体" w:hAnsi="国标宋体" w:eastAsia="国标宋体" w:cs="国标宋体"/>
          <w:b w:val="0"/>
          <w:bCs/>
          <w:sz w:val="24"/>
          <w:szCs w:val="24"/>
          <w:highlight w:val="none"/>
          <w:lang w:eastAsia="zh-CN"/>
        </w:rPr>
        <w:t>日</w:t>
      </w:r>
      <w:r>
        <w:rPr>
          <w:rFonts w:hint="eastAsia" w:ascii="国标宋体" w:hAnsi="国标宋体" w:eastAsia="国标宋体" w:cs="国标宋体"/>
          <w:b w:val="0"/>
          <w:bCs/>
          <w:sz w:val="24"/>
          <w:szCs w:val="24"/>
          <w:highlight w:val="none"/>
        </w:rPr>
        <w:t>期间中</w:t>
      </w:r>
      <w:r>
        <w:rPr>
          <w:rFonts w:hint="eastAsia" w:ascii="国标宋体" w:hAnsi="国标宋体" w:eastAsia="国标宋体" w:cs="国标宋体"/>
          <w:b w:val="0"/>
          <w:bCs/>
          <w:sz w:val="24"/>
          <w:szCs w:val="24"/>
          <w:highlight w:val="none"/>
          <w:lang w:eastAsia="zh-CN"/>
        </w:rPr>
        <w:t>的</w:t>
      </w:r>
      <w:r>
        <w:rPr>
          <w:rFonts w:hint="eastAsia" w:ascii="国标宋体" w:hAnsi="国标宋体" w:eastAsia="国标宋体" w:cs="国标宋体"/>
          <w:b w:val="0"/>
          <w:bCs/>
          <w:sz w:val="24"/>
          <w:szCs w:val="24"/>
          <w:highlight w:val="none"/>
        </w:rPr>
        <w:t>任何一个月）。</w:t>
      </w:r>
    </w:p>
    <w:p w14:paraId="3B2950A8">
      <w:pPr>
        <w:pStyle w:val="35"/>
        <w:wordWrap w:val="0"/>
        <w:ind w:firstLine="480" w:firstLineChars="200"/>
        <w:rPr>
          <w:rFonts w:hint="eastAsia" w:ascii="国标宋体" w:hAnsi="国标宋体" w:eastAsia="国标宋体" w:cs="国标宋体"/>
          <w:b w:val="0"/>
          <w:bCs/>
          <w:sz w:val="24"/>
          <w:szCs w:val="24"/>
          <w:highlight w:val="none"/>
        </w:rPr>
      </w:pPr>
      <w:r>
        <w:rPr>
          <w:rFonts w:hint="eastAsia" w:ascii="国标宋体" w:hAnsi="国标宋体" w:eastAsia="国标宋体" w:cs="国标宋体"/>
          <w:b w:val="0"/>
          <w:bCs/>
          <w:sz w:val="24"/>
          <w:szCs w:val="24"/>
          <w:highlight w:val="none"/>
        </w:rPr>
        <w:t>3.“从事过类主要项目”栏中注明每个参与的项目名称、内容、金额、参与项目的时间、业主联系人、联系人的联系电话、手机等内容。</w:t>
      </w:r>
    </w:p>
    <w:p w14:paraId="22AE80CA">
      <w:pPr>
        <w:pStyle w:val="35"/>
        <w:wordWrap w:val="0"/>
        <w:ind w:firstLine="480" w:firstLineChars="200"/>
        <w:rPr>
          <w:rFonts w:hint="eastAsia" w:ascii="国标宋体" w:hAnsi="国标宋体" w:eastAsia="国标宋体" w:cs="国标宋体"/>
          <w:b w:val="0"/>
          <w:bCs/>
          <w:sz w:val="24"/>
          <w:szCs w:val="24"/>
          <w:highlight w:val="none"/>
        </w:rPr>
      </w:pPr>
      <w:r>
        <w:rPr>
          <w:rFonts w:hint="eastAsia" w:ascii="国标宋体" w:hAnsi="国标宋体" w:eastAsia="国标宋体" w:cs="国标宋体"/>
          <w:b w:val="0"/>
          <w:bCs/>
          <w:sz w:val="24"/>
          <w:szCs w:val="24"/>
          <w:highlight w:val="none"/>
        </w:rPr>
        <w:t>4.此表在不改变格式内容的情况下，可自行制作。</w:t>
      </w:r>
    </w:p>
    <w:p w14:paraId="7B8E0EE3">
      <w:pPr>
        <w:spacing w:line="400" w:lineRule="exact"/>
        <w:rPr>
          <w:rFonts w:hint="eastAsia" w:ascii="新宋体" w:hAnsi="新宋体" w:eastAsia="新宋体"/>
          <w:b/>
          <w:bCs/>
          <w:sz w:val="36"/>
          <w:szCs w:val="36"/>
        </w:rPr>
      </w:pPr>
    </w:p>
    <w:p w14:paraId="6B5D9018">
      <w:pPr>
        <w:spacing w:line="400" w:lineRule="exact"/>
        <w:rPr>
          <w:rFonts w:hint="default" w:ascii="新宋体" w:hAnsi="新宋体" w:eastAsia="新宋体"/>
          <w:b/>
          <w:bCs/>
          <w:sz w:val="36"/>
          <w:szCs w:val="36"/>
          <w:lang w:val="en-US" w:eastAsia="zh-CN"/>
        </w:rPr>
      </w:pPr>
      <w:r>
        <w:rPr>
          <w:rFonts w:hint="eastAsia" w:ascii="新宋体" w:hAnsi="新宋体" w:eastAsia="新宋体"/>
          <w:b/>
          <w:bCs/>
          <w:sz w:val="36"/>
          <w:szCs w:val="36"/>
          <w:lang w:val="en-US" w:eastAsia="zh-CN"/>
        </w:rPr>
        <w:t>7.</w:t>
      </w:r>
    </w:p>
    <w:p w14:paraId="1A0163CC">
      <w:pPr>
        <w:spacing w:line="400" w:lineRule="exact"/>
        <w:ind w:firstLine="723" w:firstLineChars="200"/>
        <w:rPr>
          <w:rFonts w:hint="eastAsia" w:ascii="新宋体" w:hAnsi="新宋体" w:eastAsia="新宋体"/>
          <w:b/>
          <w:bCs/>
          <w:sz w:val="36"/>
          <w:szCs w:val="36"/>
        </w:rPr>
      </w:pPr>
    </w:p>
    <w:p w14:paraId="6CF0479C">
      <w:pPr>
        <w:spacing w:line="400" w:lineRule="exact"/>
        <w:jc w:val="center"/>
        <w:rPr>
          <w:rFonts w:hint="eastAsia" w:ascii="新宋体" w:hAnsi="新宋体" w:eastAsia="新宋体"/>
          <w:b/>
          <w:bCs/>
          <w:color w:val="auto"/>
          <w:sz w:val="36"/>
          <w:szCs w:val="36"/>
          <w:highlight w:val="none"/>
        </w:rPr>
      </w:pPr>
      <w:r>
        <w:rPr>
          <w:rFonts w:hint="eastAsia" w:ascii="新宋体" w:hAnsi="新宋体" w:eastAsia="新宋体"/>
          <w:b/>
          <w:bCs/>
          <w:color w:val="auto"/>
          <w:sz w:val="36"/>
          <w:szCs w:val="36"/>
          <w:highlight w:val="none"/>
        </w:rPr>
        <w:t>开标一览表（格式）</w:t>
      </w:r>
    </w:p>
    <w:p w14:paraId="1BC48569">
      <w:pPr>
        <w:spacing w:line="400" w:lineRule="exact"/>
        <w:jc w:val="center"/>
        <w:rPr>
          <w:rFonts w:hint="eastAsia" w:ascii="新宋体" w:hAnsi="新宋体" w:eastAsia="新宋体"/>
          <w:color w:val="auto"/>
          <w:sz w:val="24"/>
          <w:highlight w:val="none"/>
        </w:rPr>
      </w:pPr>
    </w:p>
    <w:p w14:paraId="450F3BED">
      <w:pPr>
        <w:spacing w:line="400" w:lineRule="exact"/>
        <w:rPr>
          <w:rFonts w:hint="eastAsia" w:ascii="新宋体" w:hAnsi="新宋体" w:eastAsia="新宋体" w:cs="Times New Roman"/>
          <w:color w:val="auto"/>
          <w:sz w:val="24"/>
          <w:highlight w:val="none"/>
          <w:lang w:val="en-US" w:eastAsia="zh-CN"/>
        </w:rPr>
      </w:pPr>
      <w:r>
        <w:rPr>
          <w:rFonts w:hint="eastAsia" w:ascii="新宋体" w:hAnsi="新宋体" w:eastAsia="新宋体"/>
          <w:color w:val="auto"/>
          <w:sz w:val="24"/>
          <w:highlight w:val="none"/>
          <w:lang w:eastAsia="zh-CN"/>
        </w:rPr>
        <w:t>项目编号</w:t>
      </w:r>
      <w:r>
        <w:rPr>
          <w:rFonts w:hint="eastAsia" w:ascii="新宋体" w:hAnsi="新宋体" w:eastAsia="新宋体"/>
          <w:color w:val="auto"/>
          <w:sz w:val="24"/>
          <w:highlight w:val="none"/>
        </w:rPr>
        <w:t>：</w:t>
      </w:r>
      <w:r>
        <w:rPr>
          <w:rFonts w:hint="eastAsia" w:ascii="新宋体" w:hAnsi="新宋体" w:eastAsia="新宋体"/>
          <w:color w:val="auto"/>
          <w:sz w:val="24"/>
          <w:highlight w:val="none"/>
          <w:lang w:eastAsia="zh-CN"/>
        </w:rPr>
        <w:t>330782260080040000044-YWCG2026023GK</w:t>
      </w:r>
    </w:p>
    <w:tbl>
      <w:tblPr>
        <w:tblStyle w:val="63"/>
        <w:tblW w:w="4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321"/>
        <w:gridCol w:w="2599"/>
        <w:gridCol w:w="1804"/>
        <w:gridCol w:w="2223"/>
      </w:tblGrid>
      <w:tr w14:paraId="0511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738" w:type="dxa"/>
            <w:noWrap w:val="0"/>
            <w:vAlign w:val="center"/>
          </w:tcPr>
          <w:p w14:paraId="5117704A">
            <w:pPr>
              <w:spacing w:line="400" w:lineRule="exact"/>
              <w:jc w:val="center"/>
              <w:rPr>
                <w:rFonts w:hint="eastAsia" w:ascii="新宋体" w:hAnsi="新宋体" w:eastAsia="新宋体" w:cs="新宋体"/>
                <w:b/>
                <w:color w:val="auto"/>
                <w:sz w:val="24"/>
                <w:szCs w:val="21"/>
                <w:highlight w:val="none"/>
              </w:rPr>
            </w:pPr>
            <w:r>
              <w:rPr>
                <w:rFonts w:hint="eastAsia"/>
                <w:b/>
                <w:sz w:val="28"/>
                <w:szCs w:val="28"/>
              </w:rPr>
              <w:t>序号</w:t>
            </w:r>
          </w:p>
        </w:tc>
        <w:tc>
          <w:tcPr>
            <w:tcW w:w="2321" w:type="dxa"/>
            <w:noWrap w:val="0"/>
            <w:vAlign w:val="center"/>
          </w:tcPr>
          <w:p w14:paraId="7F6E5F72">
            <w:pPr>
              <w:spacing w:line="400" w:lineRule="exact"/>
              <w:jc w:val="center"/>
              <w:rPr>
                <w:rFonts w:ascii="新宋体" w:hAnsi="新宋体" w:eastAsia="新宋体" w:cs="新宋体"/>
                <w:b/>
                <w:color w:val="auto"/>
                <w:sz w:val="24"/>
                <w:szCs w:val="21"/>
                <w:highlight w:val="none"/>
              </w:rPr>
            </w:pPr>
            <w:r>
              <w:rPr>
                <w:rFonts w:hint="eastAsia"/>
                <w:b/>
                <w:sz w:val="28"/>
                <w:szCs w:val="28"/>
              </w:rPr>
              <w:t>项目名称</w:t>
            </w:r>
          </w:p>
        </w:tc>
        <w:tc>
          <w:tcPr>
            <w:tcW w:w="2599" w:type="dxa"/>
            <w:noWrap w:val="0"/>
            <w:vAlign w:val="center"/>
          </w:tcPr>
          <w:p w14:paraId="48F62664">
            <w:pPr>
              <w:spacing w:line="400" w:lineRule="exact"/>
              <w:jc w:val="center"/>
              <w:rPr>
                <w:rFonts w:hint="eastAsia" w:ascii="新宋体" w:hAnsi="新宋体" w:eastAsia="新宋体" w:cs="新宋体"/>
                <w:b/>
                <w:color w:val="auto"/>
                <w:sz w:val="24"/>
                <w:highlight w:val="none"/>
              </w:rPr>
            </w:pPr>
            <w:r>
              <w:rPr>
                <w:rFonts w:hint="eastAsia" w:ascii="宋体" w:hAnsi="宋体"/>
                <w:b/>
                <w:sz w:val="28"/>
                <w:szCs w:val="28"/>
              </w:rPr>
              <w:t>数量</w:t>
            </w:r>
          </w:p>
        </w:tc>
        <w:tc>
          <w:tcPr>
            <w:tcW w:w="1804" w:type="dxa"/>
            <w:noWrap w:val="0"/>
            <w:vAlign w:val="center"/>
          </w:tcPr>
          <w:p w14:paraId="6ABF2837">
            <w:pPr>
              <w:spacing w:line="400" w:lineRule="exact"/>
              <w:jc w:val="center"/>
              <w:rPr>
                <w:rFonts w:ascii="新宋体" w:hAnsi="新宋体" w:eastAsia="新宋体" w:cs="新宋体"/>
                <w:b/>
                <w:color w:val="auto"/>
                <w:sz w:val="24"/>
                <w:highlight w:val="none"/>
              </w:rPr>
            </w:pPr>
            <w:r>
              <w:rPr>
                <w:rFonts w:hint="eastAsia"/>
                <w:b/>
                <w:sz w:val="28"/>
                <w:szCs w:val="28"/>
              </w:rPr>
              <w:t>单价</w:t>
            </w:r>
          </w:p>
        </w:tc>
        <w:tc>
          <w:tcPr>
            <w:tcW w:w="2223" w:type="dxa"/>
            <w:noWrap w:val="0"/>
            <w:vAlign w:val="center"/>
          </w:tcPr>
          <w:p w14:paraId="7F1D3D6B">
            <w:pPr>
              <w:spacing w:line="400" w:lineRule="exact"/>
              <w:jc w:val="center"/>
              <w:rPr>
                <w:rFonts w:hint="eastAsia" w:ascii="新宋体" w:hAnsi="新宋体" w:eastAsia="新宋体" w:cs="新宋体"/>
                <w:b/>
                <w:color w:val="auto"/>
                <w:sz w:val="24"/>
                <w:highlight w:val="none"/>
              </w:rPr>
            </w:pPr>
            <w:r>
              <w:rPr>
                <w:rFonts w:hint="eastAsia"/>
                <w:b/>
                <w:sz w:val="28"/>
                <w:szCs w:val="28"/>
              </w:rPr>
              <w:t>总价</w:t>
            </w:r>
          </w:p>
        </w:tc>
      </w:tr>
      <w:tr w14:paraId="22F5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38" w:type="dxa"/>
            <w:noWrap w:val="0"/>
            <w:vAlign w:val="center"/>
          </w:tcPr>
          <w:p w14:paraId="3531F2DE">
            <w:pPr>
              <w:spacing w:line="400" w:lineRule="exact"/>
              <w:jc w:val="center"/>
              <w:rPr>
                <w:rFonts w:hint="eastAsia" w:ascii="新宋体" w:hAnsi="新宋体" w:eastAsia="新宋体" w:cs="新宋体"/>
                <w:color w:val="auto"/>
                <w:sz w:val="24"/>
                <w:szCs w:val="24"/>
                <w:highlight w:val="none"/>
              </w:rPr>
            </w:pPr>
            <w:r>
              <w:t>1</w:t>
            </w:r>
          </w:p>
        </w:tc>
        <w:tc>
          <w:tcPr>
            <w:tcW w:w="2321" w:type="dxa"/>
            <w:noWrap w:val="0"/>
            <w:vAlign w:val="center"/>
          </w:tcPr>
          <w:p w14:paraId="66379DFA">
            <w:pPr>
              <w:spacing w:line="400" w:lineRule="exact"/>
              <w:jc w:val="center"/>
              <w:rPr>
                <w:rFonts w:hint="eastAsia" w:ascii="新宋体" w:hAnsi="新宋体" w:eastAsia="新宋体"/>
                <w:color w:val="auto"/>
                <w:sz w:val="24"/>
                <w:szCs w:val="20"/>
                <w:highlight w:val="none"/>
              </w:rPr>
            </w:pPr>
            <w:r>
              <w:rPr>
                <w:rFonts w:hint="eastAsia" w:ascii="新宋体" w:hAnsi="新宋体" w:eastAsia="新宋体" w:cs="Times New Roman"/>
                <w:sz w:val="24"/>
                <w:szCs w:val="20"/>
                <w:lang w:eastAsia="zh-CN"/>
              </w:rPr>
              <w:t>义乌市机关后勤服务中心行政五号楼物业管理服务采购项目</w:t>
            </w:r>
          </w:p>
        </w:tc>
        <w:tc>
          <w:tcPr>
            <w:tcW w:w="2599" w:type="dxa"/>
            <w:noWrap w:val="0"/>
            <w:vAlign w:val="center"/>
          </w:tcPr>
          <w:p w14:paraId="718BC5C4">
            <w:pPr>
              <w:jc w:val="center"/>
              <w:rPr>
                <w:rFonts w:hint="default" w:ascii="新宋体" w:hAnsi="新宋体" w:eastAsia="新宋体" w:cs="Courier New"/>
                <w:color w:val="auto"/>
                <w:sz w:val="24"/>
                <w:szCs w:val="20"/>
                <w:highlight w:val="none"/>
                <w:lang w:val="en-US" w:eastAsia="zh-CN"/>
              </w:rPr>
            </w:pPr>
            <w:r>
              <w:rPr>
                <w:rFonts w:hint="eastAsia"/>
              </w:rPr>
              <w:t>1年</w:t>
            </w:r>
          </w:p>
        </w:tc>
        <w:tc>
          <w:tcPr>
            <w:tcW w:w="1804" w:type="dxa"/>
            <w:noWrap w:val="0"/>
            <w:vAlign w:val="center"/>
          </w:tcPr>
          <w:p w14:paraId="25B4B8C4">
            <w:pPr>
              <w:jc w:val="center"/>
              <w:rPr>
                <w:rFonts w:hint="eastAsia" w:ascii="新宋体" w:hAnsi="新宋体" w:eastAsia="新宋体" w:cs="新宋体"/>
                <w:color w:val="auto"/>
                <w:sz w:val="24"/>
                <w:highlight w:val="none"/>
              </w:rPr>
            </w:pPr>
          </w:p>
        </w:tc>
        <w:tc>
          <w:tcPr>
            <w:tcW w:w="2223" w:type="dxa"/>
            <w:noWrap w:val="0"/>
            <w:vAlign w:val="center"/>
          </w:tcPr>
          <w:p w14:paraId="0C840C94">
            <w:pPr>
              <w:jc w:val="center"/>
              <w:rPr>
                <w:rFonts w:ascii="新宋体" w:hAnsi="新宋体" w:eastAsia="新宋体" w:cs="新宋体"/>
                <w:color w:val="auto"/>
                <w:sz w:val="24"/>
                <w:highlight w:val="none"/>
              </w:rPr>
            </w:pPr>
          </w:p>
        </w:tc>
      </w:tr>
      <w:tr w14:paraId="453C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38" w:type="dxa"/>
            <w:noWrap w:val="0"/>
            <w:vAlign w:val="center"/>
          </w:tcPr>
          <w:p w14:paraId="1A8F947D">
            <w:pPr>
              <w:spacing w:line="360" w:lineRule="auto"/>
              <w:jc w:val="center"/>
              <w:rPr>
                <w:sz w:val="24"/>
              </w:rPr>
            </w:pPr>
          </w:p>
          <w:p w14:paraId="4C4859A6">
            <w:pPr>
              <w:spacing w:line="360" w:lineRule="auto"/>
              <w:jc w:val="center"/>
              <w:rPr>
                <w:sz w:val="24"/>
              </w:rPr>
            </w:pPr>
            <w:r>
              <w:rPr>
                <w:rFonts w:hint="eastAsia"/>
                <w:sz w:val="24"/>
              </w:rPr>
              <w:t>合计</w:t>
            </w:r>
          </w:p>
          <w:p w14:paraId="74FCBBBC">
            <w:pPr>
              <w:spacing w:line="360" w:lineRule="auto"/>
              <w:jc w:val="center"/>
              <w:rPr>
                <w:rFonts w:hint="eastAsia" w:ascii="新宋体" w:hAnsi="新宋体" w:eastAsia="新宋体" w:cs="新宋体"/>
                <w:color w:val="auto"/>
                <w:sz w:val="24"/>
                <w:szCs w:val="24"/>
                <w:highlight w:val="none"/>
              </w:rPr>
            </w:pPr>
          </w:p>
        </w:tc>
        <w:tc>
          <w:tcPr>
            <w:tcW w:w="8947" w:type="dxa"/>
            <w:gridSpan w:val="4"/>
            <w:noWrap w:val="0"/>
            <w:vAlign w:val="center"/>
          </w:tcPr>
          <w:p w14:paraId="3E695D36">
            <w:pPr>
              <w:spacing w:line="360" w:lineRule="auto"/>
              <w:rPr>
                <w:sz w:val="24"/>
                <w:u w:val="single"/>
              </w:rPr>
            </w:pPr>
            <w:r>
              <w:rPr>
                <w:rFonts w:hint="eastAsia"/>
                <w:sz w:val="24"/>
              </w:rPr>
              <w:t>大写：</w:t>
            </w:r>
          </w:p>
          <w:p w14:paraId="3A563275">
            <w:pPr>
              <w:spacing w:line="360" w:lineRule="auto"/>
              <w:rPr>
                <w:rFonts w:hint="eastAsia" w:ascii="新宋体" w:hAnsi="新宋体" w:eastAsia="新宋体" w:cs="新宋体"/>
                <w:color w:val="auto"/>
                <w:sz w:val="24"/>
                <w:highlight w:val="none"/>
              </w:rPr>
            </w:pPr>
            <w:r>
              <w:rPr>
                <w:rFonts w:hint="eastAsia"/>
                <w:sz w:val="24"/>
              </w:rPr>
              <w:t>小写：￥</w:t>
            </w:r>
          </w:p>
        </w:tc>
      </w:tr>
    </w:tbl>
    <w:p w14:paraId="67A73173">
      <w:pPr>
        <w:spacing w:line="400" w:lineRule="exact"/>
        <w:rPr>
          <w:rFonts w:hint="eastAsia" w:ascii="新宋体" w:hAnsi="新宋体" w:eastAsia="新宋体" w:cs="Times New Roman"/>
          <w:color w:val="auto"/>
          <w:sz w:val="24"/>
          <w:highlight w:val="none"/>
        </w:rPr>
      </w:pPr>
    </w:p>
    <w:p w14:paraId="44139BFB">
      <w:pP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投标人名称（电子签章）：</w:t>
      </w:r>
      <w:r>
        <w:rPr>
          <w:rFonts w:hint="eastAsia" w:ascii="新宋体" w:hAnsi="新宋体" w:eastAsia="新宋体"/>
          <w:color w:val="auto"/>
          <w:sz w:val="24"/>
          <w:highlight w:val="none"/>
          <w:u w:val="single"/>
        </w:rPr>
        <w:t xml:space="preserve">                    </w:t>
      </w:r>
    </w:p>
    <w:p w14:paraId="6F16F483">
      <w:pPr>
        <w:spacing w:line="40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日 期：</w:t>
      </w:r>
      <w:r>
        <w:rPr>
          <w:rFonts w:hint="eastAsia" w:ascii="新宋体" w:hAnsi="新宋体" w:eastAsia="新宋体"/>
          <w:color w:val="auto"/>
          <w:sz w:val="24"/>
          <w:highlight w:val="none"/>
          <w:u w:val="single"/>
        </w:rPr>
        <w:t xml:space="preserve">         </w:t>
      </w:r>
      <w:r>
        <w:rPr>
          <w:rFonts w:hint="eastAsia" w:ascii="新宋体" w:hAnsi="新宋体" w:eastAsia="新宋体"/>
          <w:color w:val="auto"/>
          <w:sz w:val="24"/>
          <w:highlight w:val="none"/>
        </w:rPr>
        <w:t xml:space="preserve"> </w:t>
      </w:r>
    </w:p>
    <w:p w14:paraId="751061B8">
      <w:pPr>
        <w:spacing w:line="400" w:lineRule="exact"/>
        <w:ind w:left="480" w:hanging="480" w:hangingChars="200"/>
        <w:rPr>
          <w:rFonts w:hint="eastAsia" w:ascii="新宋体" w:hAnsi="新宋体" w:eastAsia="新宋体"/>
          <w:color w:val="auto"/>
          <w:sz w:val="24"/>
          <w:highlight w:val="none"/>
        </w:rPr>
      </w:pPr>
      <w:r>
        <w:rPr>
          <w:rFonts w:hint="eastAsia" w:ascii="新宋体" w:hAnsi="新宋体" w:eastAsia="新宋体"/>
          <w:color w:val="auto"/>
          <w:sz w:val="24"/>
          <w:highlight w:val="none"/>
        </w:rPr>
        <w:t>注：</w:t>
      </w:r>
    </w:p>
    <w:p w14:paraId="648887B5">
      <w:pPr>
        <w:pStyle w:val="35"/>
        <w:numPr>
          <w:ilvl w:val="0"/>
          <w:numId w:val="6"/>
        </w:numPr>
        <w:adjustRightInd w:val="0"/>
        <w:snapToGrid w:val="0"/>
        <w:spacing w:line="400" w:lineRule="exact"/>
        <w:ind w:firstLine="480" w:firstLineChars="200"/>
        <w:rPr>
          <w:rFonts w:hint="eastAsia" w:hAnsi="宋体"/>
          <w:b/>
          <w:color w:val="C00000"/>
          <w:sz w:val="24"/>
          <w:szCs w:val="24"/>
        </w:rPr>
      </w:pPr>
      <w:r>
        <w:rPr>
          <w:rFonts w:hAnsi="宋体"/>
          <w:color w:val="auto"/>
          <w:sz w:val="24"/>
          <w:szCs w:val="24"/>
        </w:rPr>
        <w:t>投标报价以人民币为结算货币，</w:t>
      </w:r>
      <w:r>
        <w:rPr>
          <w:rFonts w:hint="eastAsia" w:hAnsi="宋体"/>
          <w:color w:val="auto"/>
          <w:sz w:val="24"/>
          <w:szCs w:val="24"/>
        </w:rPr>
        <w:t>投标报价须</w:t>
      </w:r>
      <w:r>
        <w:rPr>
          <w:rFonts w:hint="eastAsia" w:hAnsi="宋体"/>
          <w:b/>
          <w:color w:val="auto"/>
          <w:sz w:val="24"/>
          <w:szCs w:val="24"/>
        </w:rPr>
        <w:t>包括人员工资，按规定缴纳的各类保险，加班费，管理费用，税费，固定资产折旧费，企业提取费用，所有材料及易耗品（包括卫生纸、擦手纸、洗手液、塑料袋、除臭香球、除臭剂等耗材）费用，工具，福利费，培训费，物业办公费用，房租费，服装费，夜餐费，伙食费，过节费，奖励费，劳保费，体检费</w:t>
      </w:r>
      <w:r>
        <w:rPr>
          <w:rFonts w:hint="eastAsia" w:hAnsi="宋体"/>
          <w:b/>
          <w:color w:val="auto"/>
          <w:sz w:val="24"/>
          <w:szCs w:val="24"/>
          <w:lang w:eastAsia="zh-CN"/>
        </w:rPr>
        <w:t>，</w:t>
      </w:r>
      <w:r>
        <w:rPr>
          <w:rFonts w:hint="eastAsia" w:hAnsi="宋体"/>
          <w:b/>
          <w:color w:val="auto"/>
          <w:sz w:val="24"/>
          <w:szCs w:val="24"/>
        </w:rPr>
        <w:t>浙江省义乌市最低基本工资的增资因素，</w:t>
      </w:r>
      <w:r>
        <w:rPr>
          <w:rFonts w:hAnsi="宋体"/>
          <w:b/>
          <w:color w:val="auto"/>
          <w:sz w:val="24"/>
          <w:szCs w:val="24"/>
        </w:rPr>
        <w:t>其它合同中明示或暗示的所有一般风险、责任和义务等</w:t>
      </w:r>
      <w:r>
        <w:rPr>
          <w:rFonts w:hint="eastAsia" w:hAnsi="宋体"/>
          <w:b/>
          <w:color w:val="auto"/>
          <w:sz w:val="24"/>
          <w:szCs w:val="24"/>
        </w:rPr>
        <w:t>所有费用</w:t>
      </w:r>
      <w:r>
        <w:rPr>
          <w:rFonts w:hint="eastAsia" w:hAnsi="宋体"/>
          <w:b/>
          <w:color w:val="C00000"/>
          <w:sz w:val="24"/>
          <w:szCs w:val="24"/>
        </w:rPr>
        <w:t>。</w:t>
      </w:r>
    </w:p>
    <w:p w14:paraId="361938C5">
      <w:pPr>
        <w:pStyle w:val="35"/>
        <w:numPr>
          <w:ilvl w:val="0"/>
          <w:numId w:val="6"/>
        </w:numPr>
        <w:adjustRightInd w:val="0"/>
        <w:snapToGrid w:val="0"/>
        <w:spacing w:line="400" w:lineRule="exact"/>
        <w:ind w:firstLine="480" w:firstLineChars="200"/>
        <w:rPr>
          <w:rFonts w:ascii="新宋体" w:hAnsi="新宋体" w:eastAsia="新宋体"/>
          <w:color w:val="auto"/>
          <w:kern w:val="0"/>
          <w:sz w:val="24"/>
          <w:highlight w:val="none"/>
        </w:rPr>
      </w:pPr>
      <w:r>
        <w:rPr>
          <w:rFonts w:hint="eastAsia" w:ascii="新宋体" w:hAnsi="新宋体" w:eastAsia="新宋体"/>
          <w:color w:val="auto"/>
          <w:kern w:val="0"/>
          <w:sz w:val="24"/>
          <w:highlight w:val="none"/>
        </w:rPr>
        <w:t>2.</w:t>
      </w:r>
      <w:r>
        <w:rPr>
          <w:rFonts w:ascii="新宋体" w:hAnsi="新宋体" w:eastAsia="新宋体"/>
          <w:color w:val="auto"/>
          <w:kern w:val="0"/>
          <w:sz w:val="24"/>
          <w:highlight w:val="none"/>
        </w:rPr>
        <w:t>最低工资标准（或社保等）遇地方政府政策性调整时，甲方不调整服务费，由此产生的费用由乙方承担。</w:t>
      </w:r>
    </w:p>
    <w:p w14:paraId="68232C7F">
      <w:pPr>
        <w:pStyle w:val="35"/>
        <w:adjustRightInd w:val="0"/>
        <w:snapToGrid w:val="0"/>
        <w:spacing w:line="400" w:lineRule="exact"/>
        <w:ind w:firstLine="480" w:firstLineChars="200"/>
        <w:rPr>
          <w:rFonts w:hint="eastAsia" w:ascii="新宋体" w:hAnsi="新宋体" w:eastAsia="新宋体" w:cs="新宋体"/>
          <w:color w:val="auto"/>
          <w:sz w:val="24"/>
          <w:highlight w:val="none"/>
        </w:rPr>
      </w:pPr>
      <w:r>
        <w:rPr>
          <w:rFonts w:hint="eastAsia" w:ascii="新宋体" w:hAnsi="新宋体" w:eastAsia="新宋体"/>
          <w:color w:val="auto"/>
          <w:kern w:val="0"/>
          <w:sz w:val="24"/>
          <w:highlight w:val="none"/>
          <w:lang w:val="en-US" w:eastAsia="zh-CN"/>
        </w:rPr>
        <w:t>3</w:t>
      </w:r>
      <w:r>
        <w:rPr>
          <w:rFonts w:hint="eastAsia" w:ascii="新宋体" w:hAnsi="新宋体" w:eastAsia="新宋体"/>
          <w:color w:val="auto"/>
          <w:kern w:val="0"/>
          <w:sz w:val="24"/>
          <w:highlight w:val="none"/>
        </w:rPr>
        <w:t>.</w:t>
      </w:r>
      <w:r>
        <w:rPr>
          <w:rFonts w:hint="eastAsia" w:ascii="新宋体" w:hAnsi="新宋体" w:eastAsia="新宋体" w:cs="Times New Roman"/>
          <w:color w:val="auto"/>
          <w:sz w:val="24"/>
          <w:szCs w:val="21"/>
          <w:highlight w:val="none"/>
          <w:lang w:val="en-US" w:eastAsia="zh-CN"/>
        </w:rPr>
        <w:t>总价（元）</w:t>
      </w:r>
      <w:r>
        <w:rPr>
          <w:rFonts w:hint="eastAsia" w:ascii="新宋体" w:hAnsi="新宋体" w:eastAsia="新宋体" w:cs="新宋体"/>
          <w:color w:val="auto"/>
          <w:sz w:val="24"/>
          <w:highlight w:val="none"/>
        </w:rPr>
        <w:t>超过预算价</w:t>
      </w:r>
      <w:r>
        <w:rPr>
          <w:rFonts w:hint="eastAsia" w:ascii="新宋体" w:hAnsi="新宋体" w:eastAsia="新宋体" w:cs="新宋体"/>
          <w:color w:val="auto"/>
          <w:sz w:val="24"/>
          <w:highlight w:val="none"/>
          <w:lang w:val="en-US" w:eastAsia="zh-CN"/>
        </w:rPr>
        <w:t>或</w:t>
      </w:r>
      <w:r>
        <w:rPr>
          <w:rFonts w:hint="eastAsia" w:ascii="新宋体" w:hAnsi="新宋体" w:eastAsia="新宋体" w:cs="新宋体"/>
          <w:color w:val="auto"/>
          <w:sz w:val="24"/>
          <w:highlight w:val="none"/>
        </w:rPr>
        <w:t>最高限价的投标将作无效标处理。</w:t>
      </w:r>
    </w:p>
    <w:p w14:paraId="08F31B4D">
      <w:pPr>
        <w:pStyle w:val="3"/>
        <w:rPr>
          <w:rFonts w:hint="eastAsia" w:ascii="新宋体" w:hAnsi="新宋体" w:eastAsia="新宋体"/>
          <w:color w:val="auto"/>
          <w:kern w:val="0"/>
          <w:sz w:val="24"/>
          <w:highlight w:val="none"/>
        </w:rPr>
      </w:pPr>
      <w:r>
        <w:rPr>
          <w:rFonts w:hint="eastAsia" w:ascii="新宋体" w:hAnsi="新宋体" w:eastAsia="新宋体"/>
          <w:i/>
          <w:color w:val="auto"/>
          <w:sz w:val="24"/>
          <w:highlight w:val="none"/>
          <w:lang w:val="en-US" w:eastAsia="zh-CN"/>
        </w:rPr>
        <w:t>4</w:t>
      </w:r>
      <w:r>
        <w:rPr>
          <w:rFonts w:hint="eastAsia" w:ascii="新宋体" w:hAnsi="新宋体" w:eastAsia="新宋体"/>
          <w:i/>
          <w:color w:val="auto"/>
          <w:sz w:val="24"/>
          <w:highlight w:val="none"/>
        </w:rPr>
        <w:t>.</w:t>
      </w:r>
      <w:r>
        <w:rPr>
          <w:rFonts w:hint="eastAsia" w:ascii="新宋体" w:hAnsi="新宋体" w:eastAsia="新宋体"/>
          <w:color w:val="auto"/>
          <w:kern w:val="0"/>
          <w:sz w:val="24"/>
          <w:highlight w:val="none"/>
        </w:rPr>
        <w:t>此表在不改变格式内容的情况下，可自行制作。</w:t>
      </w:r>
    </w:p>
    <w:p w14:paraId="0FB99F23">
      <w:pPr>
        <w:rPr>
          <w:rFonts w:hint="eastAsia" w:ascii="新宋体" w:hAnsi="新宋体" w:eastAsia="新宋体"/>
          <w:color w:val="auto"/>
          <w:kern w:val="0"/>
          <w:sz w:val="24"/>
          <w:highlight w:val="none"/>
        </w:rPr>
      </w:pPr>
    </w:p>
    <w:p w14:paraId="28EE5E59">
      <w:pPr>
        <w:rPr>
          <w:rFonts w:hint="eastAsia" w:ascii="新宋体" w:hAnsi="新宋体" w:eastAsia="新宋体"/>
          <w:color w:val="auto"/>
          <w:kern w:val="0"/>
          <w:sz w:val="24"/>
          <w:highlight w:val="none"/>
        </w:rPr>
      </w:pPr>
    </w:p>
    <w:p w14:paraId="7CAB0478">
      <w:pPr>
        <w:rPr>
          <w:rFonts w:hint="eastAsia" w:ascii="新宋体" w:hAnsi="新宋体" w:eastAsia="新宋体"/>
          <w:color w:val="auto"/>
          <w:kern w:val="0"/>
          <w:sz w:val="24"/>
          <w:highlight w:val="none"/>
        </w:rPr>
      </w:pPr>
    </w:p>
    <w:p w14:paraId="6A12F0B2">
      <w:pPr>
        <w:rPr>
          <w:rFonts w:hint="eastAsia" w:ascii="新宋体" w:hAnsi="新宋体" w:eastAsia="新宋体"/>
          <w:color w:val="auto"/>
          <w:kern w:val="0"/>
          <w:sz w:val="24"/>
          <w:highlight w:val="none"/>
        </w:rPr>
      </w:pPr>
    </w:p>
    <w:p w14:paraId="023B7F8D">
      <w:pPr>
        <w:rPr>
          <w:rFonts w:hint="eastAsia" w:ascii="新宋体" w:hAnsi="新宋体" w:eastAsia="新宋体"/>
          <w:color w:val="auto"/>
          <w:kern w:val="0"/>
          <w:sz w:val="24"/>
          <w:highlight w:val="none"/>
        </w:rPr>
      </w:pPr>
    </w:p>
    <w:p w14:paraId="41D32590">
      <w:pPr>
        <w:spacing w:line="400" w:lineRule="exact"/>
        <w:rPr>
          <w:rFonts w:hint="eastAsia" w:ascii="新宋体" w:hAnsi="新宋体" w:eastAsia="新宋体" w:cs="Times New Roman"/>
          <w:b/>
          <w:bCs/>
          <w:color w:val="auto"/>
          <w:sz w:val="36"/>
          <w:szCs w:val="36"/>
          <w:highlight w:val="none"/>
          <w:lang w:val="en-US" w:eastAsia="zh-CN"/>
        </w:rPr>
      </w:pPr>
    </w:p>
    <w:p w14:paraId="269C302C">
      <w:pPr>
        <w:spacing w:line="400" w:lineRule="exact"/>
        <w:rPr>
          <w:rFonts w:hint="eastAsia" w:ascii="新宋体" w:hAnsi="新宋体" w:eastAsia="新宋体" w:cs="Times New Roman"/>
          <w:b/>
          <w:bCs/>
          <w:color w:val="auto"/>
          <w:sz w:val="36"/>
          <w:szCs w:val="36"/>
          <w:highlight w:val="none"/>
          <w:lang w:val="en-US" w:eastAsia="zh-CN"/>
        </w:rPr>
      </w:pPr>
    </w:p>
    <w:p w14:paraId="0FCD7D7C">
      <w:pPr>
        <w:spacing w:line="400" w:lineRule="exact"/>
        <w:rPr>
          <w:rFonts w:hint="eastAsia" w:ascii="新宋体" w:hAnsi="新宋体" w:eastAsia="新宋体" w:cs="Times New Roman"/>
          <w:b/>
          <w:bCs/>
          <w:color w:val="auto"/>
          <w:sz w:val="36"/>
          <w:szCs w:val="36"/>
          <w:highlight w:val="none"/>
          <w:lang w:val="en-US" w:eastAsia="zh-CN"/>
        </w:rPr>
      </w:pPr>
      <w:r>
        <w:rPr>
          <w:rFonts w:hint="eastAsia" w:ascii="新宋体" w:hAnsi="新宋体" w:eastAsia="新宋体" w:cs="Times New Roman"/>
          <w:b/>
          <w:bCs/>
          <w:color w:val="auto"/>
          <w:sz w:val="36"/>
          <w:szCs w:val="36"/>
          <w:highlight w:val="none"/>
          <w:lang w:val="en-US" w:eastAsia="zh-CN"/>
        </w:rPr>
        <w:t>8.</w:t>
      </w:r>
    </w:p>
    <w:p w14:paraId="31A182BD">
      <w:pPr>
        <w:pStyle w:val="3"/>
        <w:rPr>
          <w:rFonts w:hint="eastAsia"/>
          <w:color w:val="auto"/>
          <w:highlight w:val="none"/>
        </w:rPr>
      </w:pPr>
    </w:p>
    <w:p w14:paraId="107A77D4">
      <w:pPr>
        <w:spacing w:line="400" w:lineRule="exact"/>
        <w:jc w:val="center"/>
        <w:rPr>
          <w:rFonts w:hint="eastAsia" w:ascii="新宋体" w:hAnsi="新宋体" w:eastAsia="新宋体"/>
          <w:b/>
          <w:bCs/>
          <w:color w:val="auto"/>
          <w:sz w:val="36"/>
          <w:szCs w:val="36"/>
          <w:highlight w:val="none"/>
        </w:rPr>
      </w:pPr>
      <w:r>
        <w:rPr>
          <w:rFonts w:hint="eastAsia" w:ascii="新宋体" w:hAnsi="新宋体" w:eastAsia="新宋体"/>
          <w:b/>
          <w:bCs/>
          <w:color w:val="auto"/>
          <w:sz w:val="36"/>
          <w:szCs w:val="36"/>
          <w:highlight w:val="none"/>
        </w:rPr>
        <w:t>投标人自报成本价表（格式）</w:t>
      </w:r>
    </w:p>
    <w:p w14:paraId="480D6509">
      <w:pPr>
        <w:pStyle w:val="35"/>
        <w:spacing w:line="400" w:lineRule="exact"/>
        <w:ind w:firstLine="472" w:firstLineChars="197"/>
        <w:rPr>
          <w:rFonts w:hint="eastAsia" w:ascii="新宋体" w:hAnsi="新宋体" w:eastAsia="新宋体"/>
          <w:color w:val="auto"/>
          <w:sz w:val="24"/>
          <w:highlight w:val="none"/>
        </w:rPr>
      </w:pPr>
      <w:r>
        <w:rPr>
          <w:rFonts w:hint="eastAsia" w:ascii="新宋体" w:hAnsi="新宋体" w:eastAsia="新宋体"/>
          <w:color w:val="auto"/>
          <w:sz w:val="24"/>
          <w:highlight w:val="none"/>
        </w:rPr>
        <w:t>投标人名称（电子签章）：</w:t>
      </w:r>
      <w:r>
        <w:rPr>
          <w:rFonts w:ascii="新宋体" w:hAnsi="新宋体" w:eastAsia="新宋体"/>
          <w:color w:val="auto"/>
          <w:sz w:val="24"/>
          <w:highlight w:val="none"/>
        </w:rPr>
        <w:t>_______________________</w:t>
      </w:r>
    </w:p>
    <w:p w14:paraId="1201188B">
      <w:pPr>
        <w:pStyle w:val="35"/>
        <w:spacing w:line="400" w:lineRule="exact"/>
        <w:ind w:firstLine="480" w:firstLineChars="200"/>
        <w:rPr>
          <w:rFonts w:hint="eastAsia" w:ascii="新宋体" w:hAnsi="新宋体" w:eastAsia="新宋体"/>
          <w:color w:val="auto"/>
          <w:sz w:val="24"/>
          <w:highlight w:val="none"/>
        </w:rPr>
      </w:pPr>
      <w:r>
        <w:rPr>
          <w:rFonts w:hint="eastAsia" w:ascii="新宋体" w:hAnsi="新宋体" w:eastAsia="新宋体"/>
          <w:color w:val="auto"/>
          <w:sz w:val="24"/>
          <w:highlight w:val="none"/>
          <w:lang w:eastAsia="zh-CN"/>
        </w:rPr>
        <w:t>项目编号</w:t>
      </w:r>
      <w:r>
        <w:rPr>
          <w:rFonts w:hint="eastAsia" w:ascii="新宋体" w:hAnsi="新宋体" w:eastAsia="新宋体"/>
          <w:color w:val="auto"/>
          <w:sz w:val="24"/>
          <w:highlight w:val="none"/>
        </w:rPr>
        <w:t>：</w:t>
      </w:r>
      <w:r>
        <w:rPr>
          <w:rFonts w:hint="eastAsia" w:ascii="新宋体" w:hAnsi="新宋体" w:eastAsia="新宋体"/>
          <w:color w:val="auto"/>
          <w:sz w:val="24"/>
          <w:highlight w:val="none"/>
          <w:lang w:eastAsia="zh-CN"/>
        </w:rPr>
        <w:t>330782260080040000044-YWCG2026023GK</w:t>
      </w:r>
    </w:p>
    <w:p w14:paraId="2470A685">
      <w:pPr>
        <w:pStyle w:val="35"/>
        <w:spacing w:line="400" w:lineRule="exact"/>
        <w:ind w:firstLine="480" w:firstLineChars="200"/>
        <w:jc w:val="center"/>
        <w:rPr>
          <w:rFonts w:hint="default" w:ascii="新宋体" w:hAnsi="新宋体" w:eastAsia="新宋体"/>
          <w:color w:val="auto"/>
          <w:sz w:val="24"/>
          <w:highlight w:val="none"/>
          <w:lang w:val="en-US" w:eastAsia="zh-CN"/>
        </w:rPr>
      </w:pPr>
    </w:p>
    <w:tbl>
      <w:tblPr>
        <w:tblStyle w:val="63"/>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4206"/>
      </w:tblGrid>
      <w:tr w14:paraId="70BC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3183" w:type="dxa"/>
            <w:noWrap w:val="0"/>
            <w:vAlign w:val="center"/>
          </w:tcPr>
          <w:p w14:paraId="1ACEEB9C">
            <w:pPr>
              <w:jc w:val="center"/>
              <w:rPr>
                <w:rFonts w:hint="eastAsia" w:ascii="新宋体" w:hAnsi="新宋体" w:eastAsia="新宋体" w:cs="Times New Roman"/>
                <w:color w:val="auto"/>
                <w:sz w:val="28"/>
                <w:highlight w:val="none"/>
              </w:rPr>
            </w:pPr>
            <w:r>
              <w:rPr>
                <w:rFonts w:hint="eastAsia" w:ascii="新宋体" w:hAnsi="新宋体" w:eastAsia="新宋体" w:cs="Times New Roman"/>
                <w:color w:val="auto"/>
                <w:sz w:val="28"/>
                <w:highlight w:val="none"/>
                <w:lang w:val="en-US" w:eastAsia="zh-CN"/>
              </w:rPr>
              <w:t>标项</w:t>
            </w:r>
            <w:r>
              <w:rPr>
                <w:rFonts w:hint="eastAsia" w:ascii="新宋体" w:hAnsi="新宋体" w:eastAsia="新宋体" w:cs="Times New Roman"/>
                <w:color w:val="auto"/>
                <w:sz w:val="28"/>
                <w:highlight w:val="none"/>
              </w:rPr>
              <w:t>名称</w:t>
            </w:r>
          </w:p>
        </w:tc>
        <w:tc>
          <w:tcPr>
            <w:tcW w:w="4206" w:type="dxa"/>
            <w:noWrap w:val="0"/>
            <w:vAlign w:val="center"/>
          </w:tcPr>
          <w:p w14:paraId="25A485F8">
            <w:pPr>
              <w:jc w:val="center"/>
              <w:rPr>
                <w:rFonts w:hint="eastAsia" w:ascii="新宋体" w:hAnsi="新宋体" w:eastAsia="新宋体" w:cs="Times New Roman"/>
                <w:color w:val="auto"/>
                <w:sz w:val="28"/>
                <w:highlight w:val="none"/>
              </w:rPr>
            </w:pPr>
            <w:r>
              <w:rPr>
                <w:rFonts w:hint="eastAsia" w:ascii="新宋体" w:hAnsi="新宋体" w:eastAsia="新宋体" w:cs="Times New Roman"/>
                <w:color w:val="auto"/>
                <w:sz w:val="28"/>
                <w:highlight w:val="none"/>
              </w:rPr>
              <w:t>成本价（元）</w:t>
            </w:r>
          </w:p>
        </w:tc>
      </w:tr>
      <w:tr w14:paraId="2D49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9" w:hRule="atLeast"/>
          <w:jc w:val="center"/>
        </w:trPr>
        <w:tc>
          <w:tcPr>
            <w:tcW w:w="3183" w:type="dxa"/>
            <w:noWrap w:val="0"/>
            <w:vAlign w:val="center"/>
          </w:tcPr>
          <w:p w14:paraId="2D33E23B">
            <w:pPr>
              <w:jc w:val="center"/>
              <w:rPr>
                <w:rFonts w:hint="default" w:ascii="新宋体" w:hAnsi="新宋体" w:eastAsia="新宋体" w:cs="新宋体"/>
                <w:color w:val="auto"/>
                <w:sz w:val="24"/>
                <w:szCs w:val="21"/>
                <w:highlight w:val="none"/>
                <w:lang w:val="en-US" w:eastAsia="zh-CN"/>
              </w:rPr>
            </w:pPr>
            <w:r>
              <w:rPr>
                <w:rFonts w:hint="eastAsia" w:ascii="新宋体" w:hAnsi="新宋体" w:eastAsia="新宋体"/>
                <w:color w:val="auto"/>
                <w:sz w:val="24"/>
                <w:highlight w:val="none"/>
                <w:lang w:val="en-US" w:eastAsia="zh-CN"/>
              </w:rPr>
              <w:t>义乌市机关后勤服务中心行政五号楼物业管理服务采购项目</w:t>
            </w:r>
          </w:p>
        </w:tc>
        <w:tc>
          <w:tcPr>
            <w:tcW w:w="4206" w:type="dxa"/>
            <w:noWrap w:val="0"/>
            <w:vAlign w:val="center"/>
          </w:tcPr>
          <w:p w14:paraId="513A54F4">
            <w:pPr>
              <w:spacing w:line="400" w:lineRule="exact"/>
              <w:jc w:val="center"/>
              <w:rPr>
                <w:rFonts w:hint="eastAsia" w:ascii="新宋体" w:hAnsi="新宋体" w:eastAsia="新宋体" w:cs="新宋体"/>
                <w:color w:val="auto"/>
                <w:sz w:val="24"/>
                <w:szCs w:val="21"/>
                <w:highlight w:val="none"/>
              </w:rPr>
            </w:pPr>
            <w:r>
              <w:rPr>
                <w:rFonts w:hint="eastAsia" w:ascii="新宋体" w:hAnsi="新宋体" w:eastAsia="新宋体"/>
                <w:color w:val="auto"/>
                <w:sz w:val="24"/>
                <w:szCs w:val="21"/>
                <w:highlight w:val="none"/>
              </w:rPr>
              <w:t>_____________</w:t>
            </w:r>
          </w:p>
        </w:tc>
      </w:tr>
    </w:tbl>
    <w:p w14:paraId="6484672F">
      <w:pPr>
        <w:spacing w:line="400" w:lineRule="exact"/>
        <w:rPr>
          <w:rFonts w:hint="eastAsia" w:ascii="新宋体" w:hAnsi="新宋体" w:eastAsia="新宋体"/>
          <w:b/>
          <w:bCs/>
          <w:color w:val="auto"/>
          <w:sz w:val="24"/>
          <w:highlight w:val="none"/>
        </w:rPr>
      </w:pPr>
    </w:p>
    <w:p w14:paraId="28FEB6E2">
      <w:pPr>
        <w:spacing w:line="400" w:lineRule="exact"/>
        <w:ind w:firstLine="360" w:firstLineChars="150"/>
        <w:rPr>
          <w:rFonts w:ascii="新宋体" w:hAnsi="新宋体" w:eastAsia="新宋体"/>
          <w:color w:val="auto"/>
          <w:sz w:val="28"/>
          <w:szCs w:val="28"/>
          <w:highlight w:val="none"/>
        </w:rPr>
      </w:pPr>
      <w:r>
        <w:rPr>
          <w:rFonts w:hint="eastAsia" w:ascii="新宋体" w:hAnsi="新宋体" w:eastAsia="新宋体"/>
          <w:color w:val="auto"/>
          <w:sz w:val="24"/>
          <w:highlight w:val="none"/>
        </w:rPr>
        <w:t>日</w:t>
      </w:r>
      <w:r>
        <w:rPr>
          <w:rFonts w:ascii="新宋体" w:hAnsi="新宋体" w:eastAsia="新宋体"/>
          <w:color w:val="auto"/>
          <w:sz w:val="24"/>
          <w:highlight w:val="none"/>
        </w:rPr>
        <w:t xml:space="preserve">  </w:t>
      </w:r>
      <w:r>
        <w:rPr>
          <w:rFonts w:hint="eastAsia" w:ascii="新宋体" w:hAnsi="新宋体" w:eastAsia="新宋体"/>
          <w:color w:val="auto"/>
          <w:sz w:val="24"/>
          <w:highlight w:val="none"/>
        </w:rPr>
        <w:t>期</w:t>
      </w:r>
      <w:r>
        <w:rPr>
          <w:rFonts w:hint="eastAsia" w:ascii="新宋体" w:hAnsi="新宋体" w:eastAsia="新宋体"/>
          <w:color w:val="auto"/>
          <w:sz w:val="24"/>
          <w:highlight w:val="none"/>
          <w:lang w:eastAsia="zh-CN"/>
        </w:rPr>
        <w:t>：</w:t>
      </w:r>
      <w:r>
        <w:rPr>
          <w:rFonts w:ascii="新宋体" w:hAnsi="新宋体" w:eastAsia="新宋体"/>
          <w:color w:val="auto"/>
          <w:sz w:val="28"/>
          <w:szCs w:val="28"/>
          <w:highlight w:val="none"/>
        </w:rPr>
        <w:t>________________</w:t>
      </w:r>
    </w:p>
    <w:p w14:paraId="13282055">
      <w:pPr>
        <w:pStyle w:val="28"/>
        <w:spacing w:line="400" w:lineRule="exact"/>
        <w:ind w:firstLine="1440" w:firstLineChars="200"/>
        <w:rPr>
          <w:rFonts w:hint="eastAsia" w:ascii="新宋体" w:hAnsi="新宋体" w:eastAsia="新宋体"/>
          <w:b w:val="0"/>
          <w:bCs w:val="0"/>
          <w:color w:val="auto"/>
          <w:highlight w:val="none"/>
        </w:rPr>
      </w:pPr>
    </w:p>
    <w:p w14:paraId="5211C3D8">
      <w:pPr>
        <w:pStyle w:val="35"/>
        <w:spacing w:line="460" w:lineRule="exact"/>
        <w:rPr>
          <w:rFonts w:hint="eastAsia" w:ascii="新宋体" w:hAnsi="新宋体" w:eastAsia="新宋体"/>
          <w:color w:val="auto"/>
          <w:sz w:val="24"/>
          <w:highlight w:val="none"/>
        </w:rPr>
      </w:pPr>
      <w:r>
        <w:rPr>
          <w:rFonts w:hint="eastAsia" w:ascii="新宋体" w:hAnsi="新宋体" w:eastAsia="新宋体"/>
          <w:color w:val="auto"/>
          <w:sz w:val="24"/>
          <w:highlight w:val="none"/>
        </w:rPr>
        <w:t>备注：</w:t>
      </w:r>
    </w:p>
    <w:p w14:paraId="292B5BCC">
      <w:pPr>
        <w:pStyle w:val="35"/>
        <w:adjustRightInd w:val="0"/>
        <w:snapToGrid w:val="0"/>
        <w:spacing w:line="400" w:lineRule="exact"/>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olor w:val="auto"/>
          <w:kern w:val="0"/>
          <w:sz w:val="24"/>
          <w:highlight w:val="none"/>
        </w:rPr>
        <w:t>1该报价表为投标人投入本项目的成本价。</w:t>
      </w:r>
    </w:p>
    <w:p w14:paraId="1E652727">
      <w:pPr>
        <w:pStyle w:val="35"/>
        <w:adjustRightInd w:val="0"/>
        <w:snapToGrid w:val="0"/>
        <w:spacing w:line="400" w:lineRule="exact"/>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rPr>
        <w:t>2投标人的成本价不得高于投标人的投标</w:t>
      </w:r>
      <w:r>
        <w:rPr>
          <w:rFonts w:hint="eastAsia" w:ascii="新宋体" w:hAnsi="新宋体" w:eastAsia="新宋体" w:cs="Times New Roman"/>
          <w:color w:val="auto"/>
          <w:sz w:val="24"/>
          <w:szCs w:val="21"/>
          <w:highlight w:val="none"/>
          <w:lang w:val="en-US" w:eastAsia="zh-CN"/>
        </w:rPr>
        <w:t>总价（元）</w:t>
      </w:r>
      <w:r>
        <w:rPr>
          <w:rFonts w:hint="eastAsia" w:ascii="新宋体" w:hAnsi="新宋体" w:eastAsia="新宋体" w:cs="新宋体"/>
          <w:color w:val="auto"/>
          <w:kern w:val="0"/>
          <w:sz w:val="24"/>
          <w:highlight w:val="none"/>
        </w:rPr>
        <w:t>，否则其投标无效。</w:t>
      </w:r>
    </w:p>
    <w:p w14:paraId="59494025">
      <w:pPr>
        <w:pStyle w:val="35"/>
        <w:adjustRightInd w:val="0"/>
        <w:snapToGrid w:val="0"/>
        <w:spacing w:line="400" w:lineRule="exact"/>
        <w:ind w:firstLine="480" w:firstLineChars="200"/>
        <w:rPr>
          <w:rFonts w:ascii="新宋体" w:hAnsi="新宋体" w:eastAsia="新宋体"/>
          <w:color w:val="auto"/>
          <w:kern w:val="0"/>
          <w:sz w:val="24"/>
          <w:highlight w:val="none"/>
        </w:rPr>
      </w:pPr>
      <w:r>
        <w:rPr>
          <w:rFonts w:hint="eastAsia" w:ascii="新宋体" w:hAnsi="新宋体" w:eastAsia="新宋体" w:cs="新宋体"/>
          <w:color w:val="auto"/>
          <w:kern w:val="0"/>
          <w:sz w:val="24"/>
          <w:highlight w:val="none"/>
        </w:rPr>
        <w:t>3此表在不改变格式内容的情况下，可自行制作。</w:t>
      </w:r>
    </w:p>
    <w:p w14:paraId="41927370">
      <w:pPr>
        <w:pStyle w:val="35"/>
        <w:adjustRightInd w:val="0"/>
        <w:snapToGrid w:val="0"/>
        <w:spacing w:line="400" w:lineRule="exact"/>
        <w:ind w:firstLine="480" w:firstLineChars="200"/>
        <w:rPr>
          <w:rFonts w:hint="eastAsia" w:ascii="新宋体" w:hAnsi="新宋体" w:eastAsia="新宋体"/>
          <w:color w:val="auto"/>
          <w:kern w:val="0"/>
          <w:sz w:val="24"/>
          <w:highlight w:val="none"/>
        </w:rPr>
      </w:pPr>
    </w:p>
    <w:p w14:paraId="3EAC47E5">
      <w:pPr>
        <w:rPr>
          <w:rFonts w:hint="eastAsia"/>
          <w:color w:val="auto"/>
          <w:highlight w:val="none"/>
        </w:rPr>
      </w:pPr>
    </w:p>
    <w:p w14:paraId="4B5FD2D1">
      <w:pPr>
        <w:rPr>
          <w:rFonts w:hint="eastAsia" w:ascii="新宋体" w:hAnsi="新宋体" w:eastAsia="新宋体"/>
          <w:sz w:val="24"/>
        </w:rPr>
      </w:pPr>
    </w:p>
    <w:p w14:paraId="27F05B35">
      <w:pPr>
        <w:rPr>
          <w:rFonts w:hint="eastAsia" w:ascii="新宋体" w:hAnsi="新宋体" w:eastAsia="新宋体"/>
          <w:sz w:val="24"/>
        </w:rPr>
      </w:pPr>
    </w:p>
    <w:p w14:paraId="75E5E1EE">
      <w:pPr>
        <w:rPr>
          <w:rFonts w:hint="eastAsia" w:ascii="新宋体" w:hAnsi="新宋体" w:eastAsia="新宋体"/>
          <w:sz w:val="24"/>
        </w:rPr>
      </w:pPr>
    </w:p>
    <w:p w14:paraId="7D21834E">
      <w:pPr>
        <w:rPr>
          <w:rFonts w:hint="eastAsia"/>
        </w:rPr>
      </w:pPr>
      <w:bookmarkStart w:id="104" w:name="_GoBack"/>
      <w:bookmarkEnd w:id="104"/>
    </w:p>
    <w:sectPr>
      <w:headerReference r:id="rId10" w:type="first"/>
      <w:footerReference r:id="rId12" w:type="first"/>
      <w:headerReference r:id="rId9" w:type="default"/>
      <w:footerReference r:id="rId11" w:type="default"/>
      <w:pgSz w:w="11906" w:h="16838"/>
      <w:pgMar w:top="1134" w:right="1134" w:bottom="1134" w:left="1134" w:header="851" w:footer="992" w:gutter="0"/>
      <w:pgNumType w:fmt="numberInDash"/>
      <w:cols w:space="720" w:num="1"/>
      <w:titlePg/>
      <w:docGrid w:type="lines" w:linePitch="321"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Garamond">
    <w:altName w:val="Noto Serif Bengali"/>
    <w:panose1 w:val="02020404030301010803"/>
    <w:charset w:val="00"/>
    <w:family w:val="roman"/>
    <w:pitch w:val="default"/>
    <w:sig w:usb0="00000000" w:usb1="00000000" w:usb2="00000000" w:usb3="00000000" w:csb0="0000009F" w:csb1="DFD70000"/>
  </w:font>
  <w:font w:name="Noto Serif Bengali">
    <w:panose1 w:val="02020502040504020204"/>
    <w:charset w:val="00"/>
    <w:family w:val="auto"/>
    <w:pitch w:val="default"/>
    <w:sig w:usb0="00010000" w:usb1="00000000" w:usb2="00000000" w:usb3="00000000" w:csb0="00000001" w:csb1="00000000"/>
  </w:font>
  <w:font w:name="新宋体">
    <w:altName w:val="方正书宋_GBK"/>
    <w:panose1 w:val="02010609030101010101"/>
    <w:charset w:val="00"/>
    <w:family w:val="modern"/>
    <w:pitch w:val="default"/>
    <w:sig w:usb0="00000000" w:usb1="00000000" w:usb2="00000006" w:usb3="00000000" w:csb0="0004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隶书_GB2312">
    <w:altName w:val="方正隶书_GBK"/>
    <w:panose1 w:val="00000000000000000000"/>
    <w:charset w:val="00"/>
    <w:family w:val="auto"/>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国标宋体">
    <w:panose1 w:val="02000500000000000000"/>
    <w:charset w:val="86"/>
    <w:family w:val="auto"/>
    <w:pitch w:val="default"/>
    <w:sig w:usb0="00000001" w:usb1="2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00"/>
    <w:family w:val="swiss"/>
    <w:pitch w:val="default"/>
    <w:sig w:usb0="00000000" w:usb1="00000000" w:usb2="00000016" w:usb3="00000000" w:csb0="0004001F" w:csb1="00000000"/>
  </w:font>
  <w:font w:name="国标仿宋">
    <w:panose1 w:val="02000500000000000000"/>
    <w:charset w:val="86"/>
    <w:family w:val="auto"/>
    <w:pitch w:val="default"/>
    <w:sig w:usb0="A00002BF" w:usb1="38C77CFA" w:usb2="00000016" w:usb3="00000000" w:csb0="00060007"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AB91">
    <w:pPr>
      <w:pStyle w:val="4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4DFF3">
    <w:pPr>
      <w:pStyle w:val="4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1A54A">
    <w:pPr>
      <w:pStyle w:val="42"/>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96E7">
    <w:pPr>
      <w:pStyle w:val="4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5A3B34">
                          <w:pPr>
                            <w:pStyle w:val="42"/>
                          </w:pPr>
                          <w:r>
                            <w:fldChar w:fldCharType="begin"/>
                          </w:r>
                          <w:r>
                            <w:instrText xml:space="preserve"> PAGE  \* MERGEFORMAT </w:instrText>
                          </w:r>
                          <w:r>
                            <w:fldChar w:fldCharType="separate"/>
                          </w:r>
                          <w:r>
                            <w:t>- 40 -</w:t>
                          </w:r>
                          <w: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qqc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Slx3OLAL9+/XX78uvz8Suq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HP6qnIAQAAmgMAAA4AAAAAAAAAAQAgAAAAHgEAAGRycy9lMm9Eb2Mu&#10;eG1sUEsFBgAAAAAGAAYAWQEAAFgFAAAAAA==&#10;">
              <v:fill on="f" focussize="0,0"/>
              <v:stroke on="f"/>
              <v:imagedata o:title=""/>
              <o:lock v:ext="edit" aspectratio="f"/>
              <v:textbox inset="0mm,0mm,0mm,0mm" style="mso-fit-shape-to-text:t;">
                <w:txbxContent>
                  <w:p w14:paraId="0B5A3B34">
                    <w:pPr>
                      <w:pStyle w:val="42"/>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8E679">
    <w:pPr>
      <w:pStyle w:val="42"/>
      <w:ind w:right="360"/>
      <w:jc w:val="center"/>
    </w:pPr>
    <w:r>
      <mc:AlternateContent>
        <mc:Choice Requires="wps">
          <w:drawing>
            <wp:anchor distT="0" distB="0" distL="114300" distR="114300" simplePos="0" relativeHeight="251659264" behindDoc="0" locked="0" layoutInCell="1" allowOverlap="1">
              <wp:simplePos x="0" y="0"/>
              <wp:positionH relativeFrom="page">
                <wp:posOffset>3721100</wp:posOffset>
              </wp:positionH>
              <wp:positionV relativeFrom="paragraph">
                <wp:posOffset>6350</wp:posOffset>
              </wp:positionV>
              <wp:extent cx="307975"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307975" cy="1828800"/>
                      </a:xfrm>
                      <a:prstGeom prst="rect">
                        <a:avLst/>
                      </a:prstGeom>
                      <a:noFill/>
                      <a:ln>
                        <a:noFill/>
                      </a:ln>
                    </wps:spPr>
                    <wps:txbx>
                      <w:txbxContent>
                        <w:p w14:paraId="72A94C58">
                          <w:pPr>
                            <w:pStyle w:val="42"/>
                            <w:rPr>
                              <w:rStyle w:val="68"/>
                            </w:rPr>
                          </w:pPr>
                          <w:r>
                            <w:fldChar w:fldCharType="begin"/>
                          </w:r>
                          <w:r>
                            <w:rPr>
                              <w:rStyle w:val="68"/>
                            </w:rPr>
                            <w:instrText xml:space="preserve">PAGE  </w:instrText>
                          </w:r>
                          <w:r>
                            <w:fldChar w:fldCharType="separate"/>
                          </w:r>
                          <w:r>
                            <w:rPr>
                              <w:rStyle w:val="68"/>
                            </w:rPr>
                            <w:t>- 1 -</w:t>
                          </w:r>
                          <w:r>
                            <w:fldChar w:fldCharType="end"/>
                          </w:r>
                        </w:p>
                      </w:txbxContent>
                    </wps:txbx>
                    <wps:bodyPr wrap="square" lIns="0" tIns="0" rIns="0" bIns="0" upright="0">
                      <a:spAutoFit/>
                    </wps:bodyPr>
                  </wps:wsp>
                </a:graphicData>
              </a:graphic>
            </wp:anchor>
          </w:drawing>
        </mc:Choice>
        <mc:Fallback>
          <w:pict>
            <v:shape id="文本框 5" o:spid="_x0000_s1026" o:spt="202" type="#_x0000_t202" style="position:absolute;left:0pt;margin-left:293pt;margin-top:0.5pt;height:144pt;width:24.25pt;mso-position-horizontal-relative:page;z-index:251659264;mso-width-relative:page;mso-height-relative:page;" filled="f" stroked="f" coordsize="21600,21600" o:gfxdata="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uq0otYAAAAJAQAADwAAAAAAAAABACAAAAAiAAAA&#10;ZHJzL2Rvd25yZXYueG1sUEsBAhQAFAAAAAgAh07iQN43EFHQAQAAmgMAAA4AAAAAAAAAAQAgAAAA&#10;JQEAAGRycy9lMm9Eb2MueG1sUEsFBgAAAAAGAAYAWQEAAGcFAAAAAA==&#10;">
              <v:fill on="f" focussize="0,0"/>
              <v:stroke on="f"/>
              <v:imagedata o:title=""/>
              <o:lock v:ext="edit" aspectratio="f"/>
              <v:textbox inset="0mm,0mm,0mm,0mm" style="mso-fit-shape-to-text:t;">
                <w:txbxContent>
                  <w:p w14:paraId="72A94C58">
                    <w:pPr>
                      <w:pStyle w:val="42"/>
                      <w:rPr>
                        <w:rStyle w:val="68"/>
                      </w:rPr>
                    </w:pPr>
                    <w:r>
                      <w:fldChar w:fldCharType="begin"/>
                    </w:r>
                    <w:r>
                      <w:rPr>
                        <w:rStyle w:val="68"/>
                      </w:rPr>
                      <w:instrText xml:space="preserve">PAGE  </w:instrText>
                    </w:r>
                    <w:r>
                      <w:fldChar w:fldCharType="separate"/>
                    </w:r>
                    <w:r>
                      <w:rPr>
                        <w:rStyle w:val="68"/>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9FD4">
    <w:pPr>
      <w:pStyle w:val="43"/>
      <w:jc w:val="both"/>
      <w:rPr>
        <w:rFonts w:hint="eastAsia"/>
      </w:rPr>
    </w:pPr>
    <w:r>
      <w:rPr>
        <w:rFonts w:hint="eastAsia"/>
        <w:lang w:eastAsia="zh-CN"/>
      </w:rPr>
      <w:t>YWCG2025069GK义乌市机关后勤服务中心行政五号楼物业管理服务采购项目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BEB7F">
    <w:pPr>
      <w:pStyle w:val="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719A">
    <w:pPr>
      <w:pStyle w:val="43"/>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A647">
    <w:pPr>
      <w:pStyle w:val="43"/>
      <w:jc w:val="both"/>
      <w:rPr>
        <w:rFonts w:hint="eastAsia" w:ascii="新宋体" w:hAnsi="新宋体" w:eastAsia="新宋体"/>
        <w:bCs/>
        <w:sz w:val="21"/>
        <w:szCs w:val="21"/>
        <w:lang w:eastAsia="zh-CN"/>
      </w:rPr>
    </w:pPr>
    <w:r>
      <w:rPr>
        <w:rFonts w:hint="eastAsia" w:ascii="新宋体" w:hAnsi="新宋体" w:eastAsia="新宋体"/>
        <w:bCs/>
        <w:sz w:val="21"/>
        <w:szCs w:val="21"/>
        <w:lang w:eastAsia="zh-CN"/>
      </w:rPr>
      <w:t>义乌市机关后勤服务中心行政五号楼物业管理服务采购项目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B87E">
    <w:pPr>
      <w:pStyle w:val="43"/>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9F0792"/>
    <w:multiLevelType w:val="singleLevel"/>
    <w:tmpl w:val="AA9F0792"/>
    <w:lvl w:ilvl="0" w:tentative="0">
      <w:start w:val="3"/>
      <w:numFmt w:val="chineseCounting"/>
      <w:suff w:val="nothing"/>
      <w:lvlText w:val="%1、"/>
      <w:lvlJc w:val="left"/>
      <w:rPr>
        <w:rFonts w:hint="eastAsia"/>
      </w:rPr>
    </w:lvl>
  </w:abstractNum>
  <w:abstractNum w:abstractNumId="1">
    <w:nsid w:val="B8AF1AC2"/>
    <w:multiLevelType w:val="singleLevel"/>
    <w:tmpl w:val="B8AF1AC2"/>
    <w:lvl w:ilvl="0" w:tentative="0">
      <w:start w:val="2"/>
      <w:numFmt w:val="chineseCounting"/>
      <w:suff w:val="nothing"/>
      <w:lvlText w:val="（%1）"/>
      <w:lvlJc w:val="left"/>
      <w:rPr>
        <w:rFonts w:hint="eastAsia"/>
      </w:rPr>
    </w:lvl>
  </w:abstractNum>
  <w:abstractNum w:abstractNumId="2">
    <w:nsid w:val="EF9EEFDE"/>
    <w:multiLevelType w:val="singleLevel"/>
    <w:tmpl w:val="EF9EEFDE"/>
    <w:lvl w:ilvl="0" w:tentative="0">
      <w:start w:val="1"/>
      <w:numFmt w:val="decimal"/>
      <w:lvlText w:val="%1."/>
      <w:lvlJc w:val="left"/>
      <w:pPr>
        <w:tabs>
          <w:tab w:val="left" w:pos="312"/>
        </w:tabs>
      </w:pPr>
    </w:lvl>
  </w:abstractNum>
  <w:abstractNum w:abstractNumId="3">
    <w:nsid w:val="FEDEFCF6"/>
    <w:multiLevelType w:val="singleLevel"/>
    <w:tmpl w:val="FEDEFCF6"/>
    <w:lvl w:ilvl="0" w:tentative="0">
      <w:start w:val="4"/>
      <w:numFmt w:val="chineseCounting"/>
      <w:suff w:val="nothing"/>
      <w:lvlText w:val="%1、"/>
      <w:lvlJc w:val="left"/>
      <w:rPr>
        <w:rFonts w:hint="eastAsia"/>
      </w:rPr>
    </w:lvl>
  </w:abstractNum>
  <w:abstractNum w:abstractNumId="4">
    <w:nsid w:val="FEFF02DE"/>
    <w:multiLevelType w:val="singleLevel"/>
    <w:tmpl w:val="FEFF02DE"/>
    <w:lvl w:ilvl="0" w:tentative="0">
      <w:start w:val="6"/>
      <w:numFmt w:val="decimal"/>
      <w:suff w:val="space"/>
      <w:lvlText w:val="%1."/>
      <w:lvlJc w:val="left"/>
    </w:lvl>
  </w:abstractNum>
  <w:abstractNum w:abstractNumId="5">
    <w:nsid w:val="28630A2E"/>
    <w:multiLevelType w:val="multilevel"/>
    <w:tmpl w:val="28630A2E"/>
    <w:lvl w:ilvl="0" w:tentative="0">
      <w:start w:val="1"/>
      <w:numFmt w:val="chineseCountingThousand"/>
      <w:pStyle w:val="5"/>
      <w:suff w:val="nothing"/>
      <w:lvlText w:val="第%1章"/>
      <w:lvlJc w:val="left"/>
      <w:pPr>
        <w:ind w:left="0" w:firstLine="0"/>
      </w:pPr>
    </w:lvl>
    <w:lvl w:ilvl="1" w:tentative="0">
      <w:start w:val="1"/>
      <w:numFmt w:val="none"/>
      <w:pStyle w:val="6"/>
      <w:suff w:val="nothing"/>
      <w:lvlText w:val=""/>
      <w:lvlJc w:val="left"/>
      <w:pPr>
        <w:ind w:left="0" w:firstLine="0"/>
      </w:pPr>
    </w:lvl>
    <w:lvl w:ilvl="2" w:tentative="0">
      <w:start w:val="1"/>
      <w:numFmt w:val="none"/>
      <w:pStyle w:val="7"/>
      <w:suff w:val="nothing"/>
      <w:lvlText w:val=""/>
      <w:lvlJc w:val="left"/>
      <w:pPr>
        <w:ind w:left="0" w:firstLine="0"/>
      </w:pPr>
    </w:lvl>
    <w:lvl w:ilvl="3" w:tentative="0">
      <w:start w:val="1"/>
      <w:numFmt w:val="none"/>
      <w:pStyle w:val="8"/>
      <w:suff w:val="nothing"/>
      <w:lvlText w:val=""/>
      <w:lvlJc w:val="left"/>
      <w:pPr>
        <w:ind w:left="0" w:firstLine="0"/>
      </w:pPr>
    </w:lvl>
    <w:lvl w:ilvl="4" w:tentative="0">
      <w:start w:val="1"/>
      <w:numFmt w:val="none"/>
      <w:pStyle w:val="9"/>
      <w:suff w:val="nothing"/>
      <w:lvlText w:val=""/>
      <w:lvlJc w:val="left"/>
      <w:pPr>
        <w:ind w:left="0" w:firstLine="0"/>
      </w:pPr>
    </w:lvl>
    <w:lvl w:ilvl="5" w:tentative="0">
      <w:start w:val="1"/>
      <w:numFmt w:val="none"/>
      <w:pStyle w:val="10"/>
      <w:suff w:val="nothing"/>
      <w:lvlText w:val=""/>
      <w:lvlJc w:val="left"/>
      <w:pPr>
        <w:ind w:left="0" w:firstLine="0"/>
      </w:pPr>
    </w:lvl>
    <w:lvl w:ilvl="6" w:tentative="0">
      <w:start w:val="1"/>
      <w:numFmt w:val="none"/>
      <w:pStyle w:val="11"/>
      <w:suff w:val="nothing"/>
      <w:lvlText w:val=""/>
      <w:lvlJc w:val="left"/>
      <w:pPr>
        <w:ind w:left="0" w:firstLine="0"/>
      </w:pPr>
    </w:lvl>
    <w:lvl w:ilvl="7" w:tentative="0">
      <w:start w:val="1"/>
      <w:numFmt w:val="none"/>
      <w:pStyle w:val="12"/>
      <w:suff w:val="nothing"/>
      <w:lvlText w:val=""/>
      <w:lvlJc w:val="left"/>
      <w:pPr>
        <w:ind w:left="0" w:firstLine="0"/>
      </w:pPr>
    </w:lvl>
    <w:lvl w:ilvl="8" w:tentative="0">
      <w:start w:val="1"/>
      <w:numFmt w:val="none"/>
      <w:pStyle w:val="13"/>
      <w:suff w:val="nothing"/>
      <w:lvlText w:val=""/>
      <w:lvlJc w:val="left"/>
      <w:pPr>
        <w:ind w:left="0" w:firstLine="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M2EyYWY3NTg1NWMxYzk5NjIwZWVlMTJlZDdkMTUifQ=="/>
  </w:docVars>
  <w:rsids>
    <w:rsidRoot w:val="00D01565"/>
    <w:rsid w:val="00000087"/>
    <w:rsid w:val="000003B9"/>
    <w:rsid w:val="000007E5"/>
    <w:rsid w:val="00000D10"/>
    <w:rsid w:val="00001A9E"/>
    <w:rsid w:val="00001B30"/>
    <w:rsid w:val="00001E37"/>
    <w:rsid w:val="00001F35"/>
    <w:rsid w:val="00002912"/>
    <w:rsid w:val="0000310F"/>
    <w:rsid w:val="0000338D"/>
    <w:rsid w:val="00003911"/>
    <w:rsid w:val="00003972"/>
    <w:rsid w:val="00004121"/>
    <w:rsid w:val="0000419C"/>
    <w:rsid w:val="000047F8"/>
    <w:rsid w:val="000051F0"/>
    <w:rsid w:val="0000532D"/>
    <w:rsid w:val="000053EF"/>
    <w:rsid w:val="0000566E"/>
    <w:rsid w:val="0000587D"/>
    <w:rsid w:val="00006DD7"/>
    <w:rsid w:val="00006F01"/>
    <w:rsid w:val="00007510"/>
    <w:rsid w:val="0001062D"/>
    <w:rsid w:val="00010C10"/>
    <w:rsid w:val="00010D8E"/>
    <w:rsid w:val="0001118E"/>
    <w:rsid w:val="00011B0D"/>
    <w:rsid w:val="00011B2E"/>
    <w:rsid w:val="00011C4A"/>
    <w:rsid w:val="00011D32"/>
    <w:rsid w:val="00011E53"/>
    <w:rsid w:val="00012442"/>
    <w:rsid w:val="00012692"/>
    <w:rsid w:val="000126A1"/>
    <w:rsid w:val="00012AA4"/>
    <w:rsid w:val="00012C0A"/>
    <w:rsid w:val="00013946"/>
    <w:rsid w:val="0001399C"/>
    <w:rsid w:val="000139D3"/>
    <w:rsid w:val="00013AA4"/>
    <w:rsid w:val="00013CDF"/>
    <w:rsid w:val="00013D1B"/>
    <w:rsid w:val="0001498A"/>
    <w:rsid w:val="00014F5B"/>
    <w:rsid w:val="00014FC4"/>
    <w:rsid w:val="0001504F"/>
    <w:rsid w:val="00015173"/>
    <w:rsid w:val="000154E6"/>
    <w:rsid w:val="0001551B"/>
    <w:rsid w:val="000155B0"/>
    <w:rsid w:val="000156FE"/>
    <w:rsid w:val="00015DA3"/>
    <w:rsid w:val="00015F93"/>
    <w:rsid w:val="000160F9"/>
    <w:rsid w:val="00016797"/>
    <w:rsid w:val="00016E24"/>
    <w:rsid w:val="0001706C"/>
    <w:rsid w:val="000177DC"/>
    <w:rsid w:val="00017DCC"/>
    <w:rsid w:val="00017FAA"/>
    <w:rsid w:val="0002077F"/>
    <w:rsid w:val="00020907"/>
    <w:rsid w:val="00020E28"/>
    <w:rsid w:val="00020ED6"/>
    <w:rsid w:val="000211E4"/>
    <w:rsid w:val="00021A6E"/>
    <w:rsid w:val="00022034"/>
    <w:rsid w:val="000222C2"/>
    <w:rsid w:val="000223B4"/>
    <w:rsid w:val="0002269E"/>
    <w:rsid w:val="00022C46"/>
    <w:rsid w:val="00022D8C"/>
    <w:rsid w:val="00022F69"/>
    <w:rsid w:val="0002339D"/>
    <w:rsid w:val="0002369F"/>
    <w:rsid w:val="00023830"/>
    <w:rsid w:val="000239D1"/>
    <w:rsid w:val="000240F3"/>
    <w:rsid w:val="000241D5"/>
    <w:rsid w:val="00024D19"/>
    <w:rsid w:val="000255BF"/>
    <w:rsid w:val="000256A7"/>
    <w:rsid w:val="0002575F"/>
    <w:rsid w:val="00025B9D"/>
    <w:rsid w:val="00025EC1"/>
    <w:rsid w:val="00026D1B"/>
    <w:rsid w:val="000274C8"/>
    <w:rsid w:val="000277B7"/>
    <w:rsid w:val="000277D0"/>
    <w:rsid w:val="00027F93"/>
    <w:rsid w:val="000303B5"/>
    <w:rsid w:val="0003064C"/>
    <w:rsid w:val="0003118E"/>
    <w:rsid w:val="000318C6"/>
    <w:rsid w:val="00031A6E"/>
    <w:rsid w:val="00031B28"/>
    <w:rsid w:val="00031EDC"/>
    <w:rsid w:val="00033339"/>
    <w:rsid w:val="0003359F"/>
    <w:rsid w:val="00033819"/>
    <w:rsid w:val="000339F9"/>
    <w:rsid w:val="00033C02"/>
    <w:rsid w:val="00034096"/>
    <w:rsid w:val="000342A9"/>
    <w:rsid w:val="0003465B"/>
    <w:rsid w:val="00034946"/>
    <w:rsid w:val="00034977"/>
    <w:rsid w:val="000349BA"/>
    <w:rsid w:val="00034EA9"/>
    <w:rsid w:val="00035C3A"/>
    <w:rsid w:val="00035CAD"/>
    <w:rsid w:val="00036198"/>
    <w:rsid w:val="00036331"/>
    <w:rsid w:val="00036F8F"/>
    <w:rsid w:val="00040ACF"/>
    <w:rsid w:val="00040F1A"/>
    <w:rsid w:val="00041A8A"/>
    <w:rsid w:val="000422CE"/>
    <w:rsid w:val="000423E4"/>
    <w:rsid w:val="00042783"/>
    <w:rsid w:val="0004285D"/>
    <w:rsid w:val="0004320D"/>
    <w:rsid w:val="000433D6"/>
    <w:rsid w:val="00043433"/>
    <w:rsid w:val="00043807"/>
    <w:rsid w:val="00043822"/>
    <w:rsid w:val="00043BE0"/>
    <w:rsid w:val="00043C3A"/>
    <w:rsid w:val="00044209"/>
    <w:rsid w:val="00044A5A"/>
    <w:rsid w:val="00044E2B"/>
    <w:rsid w:val="00046418"/>
    <w:rsid w:val="00046678"/>
    <w:rsid w:val="0004746A"/>
    <w:rsid w:val="000474B0"/>
    <w:rsid w:val="000477FD"/>
    <w:rsid w:val="00047B23"/>
    <w:rsid w:val="00047B8E"/>
    <w:rsid w:val="00047FAD"/>
    <w:rsid w:val="00050350"/>
    <w:rsid w:val="00050469"/>
    <w:rsid w:val="00050651"/>
    <w:rsid w:val="00050E57"/>
    <w:rsid w:val="00050E79"/>
    <w:rsid w:val="00050FE3"/>
    <w:rsid w:val="00051700"/>
    <w:rsid w:val="00051D36"/>
    <w:rsid w:val="00052132"/>
    <w:rsid w:val="000522F3"/>
    <w:rsid w:val="00052597"/>
    <w:rsid w:val="0005384F"/>
    <w:rsid w:val="00053C4C"/>
    <w:rsid w:val="00054078"/>
    <w:rsid w:val="000540D8"/>
    <w:rsid w:val="0005481E"/>
    <w:rsid w:val="00054980"/>
    <w:rsid w:val="000549C0"/>
    <w:rsid w:val="00055122"/>
    <w:rsid w:val="0005560C"/>
    <w:rsid w:val="00055A57"/>
    <w:rsid w:val="00055E2C"/>
    <w:rsid w:val="00056B22"/>
    <w:rsid w:val="00056C4A"/>
    <w:rsid w:val="0005788C"/>
    <w:rsid w:val="00057C3A"/>
    <w:rsid w:val="000600F7"/>
    <w:rsid w:val="00060B19"/>
    <w:rsid w:val="00060CF7"/>
    <w:rsid w:val="00060DF4"/>
    <w:rsid w:val="0006120A"/>
    <w:rsid w:val="000612F5"/>
    <w:rsid w:val="00061365"/>
    <w:rsid w:val="000615A7"/>
    <w:rsid w:val="000616F2"/>
    <w:rsid w:val="000619BE"/>
    <w:rsid w:val="00061ADA"/>
    <w:rsid w:val="00061C40"/>
    <w:rsid w:val="00061F08"/>
    <w:rsid w:val="00062539"/>
    <w:rsid w:val="0006336A"/>
    <w:rsid w:val="000633D9"/>
    <w:rsid w:val="0006359D"/>
    <w:rsid w:val="000636F9"/>
    <w:rsid w:val="00063707"/>
    <w:rsid w:val="000639B6"/>
    <w:rsid w:val="00063B97"/>
    <w:rsid w:val="00063F4A"/>
    <w:rsid w:val="000649A6"/>
    <w:rsid w:val="00064C76"/>
    <w:rsid w:val="00064D94"/>
    <w:rsid w:val="00064DD4"/>
    <w:rsid w:val="000650B0"/>
    <w:rsid w:val="000651E5"/>
    <w:rsid w:val="0006555E"/>
    <w:rsid w:val="00065569"/>
    <w:rsid w:val="000660C3"/>
    <w:rsid w:val="0006613B"/>
    <w:rsid w:val="000661C7"/>
    <w:rsid w:val="0006631B"/>
    <w:rsid w:val="0006641E"/>
    <w:rsid w:val="0006677A"/>
    <w:rsid w:val="00066B1C"/>
    <w:rsid w:val="00066B8C"/>
    <w:rsid w:val="000673AF"/>
    <w:rsid w:val="0006789C"/>
    <w:rsid w:val="0007037D"/>
    <w:rsid w:val="000703AE"/>
    <w:rsid w:val="000708B0"/>
    <w:rsid w:val="000713C9"/>
    <w:rsid w:val="00072895"/>
    <w:rsid w:val="00072AF5"/>
    <w:rsid w:val="0007350C"/>
    <w:rsid w:val="0007409D"/>
    <w:rsid w:val="00074BB0"/>
    <w:rsid w:val="00074F39"/>
    <w:rsid w:val="00075454"/>
    <w:rsid w:val="0007550A"/>
    <w:rsid w:val="0007585C"/>
    <w:rsid w:val="00075E31"/>
    <w:rsid w:val="00075E7D"/>
    <w:rsid w:val="00076153"/>
    <w:rsid w:val="00076412"/>
    <w:rsid w:val="00076455"/>
    <w:rsid w:val="00076461"/>
    <w:rsid w:val="00076952"/>
    <w:rsid w:val="00076DAA"/>
    <w:rsid w:val="000776BC"/>
    <w:rsid w:val="0007784A"/>
    <w:rsid w:val="00077DE0"/>
    <w:rsid w:val="00077FC8"/>
    <w:rsid w:val="0008021D"/>
    <w:rsid w:val="0008039C"/>
    <w:rsid w:val="00080ABB"/>
    <w:rsid w:val="00080CFC"/>
    <w:rsid w:val="000813BA"/>
    <w:rsid w:val="000814DC"/>
    <w:rsid w:val="000814FE"/>
    <w:rsid w:val="00081544"/>
    <w:rsid w:val="000816A9"/>
    <w:rsid w:val="00081B24"/>
    <w:rsid w:val="00081FBD"/>
    <w:rsid w:val="00082086"/>
    <w:rsid w:val="000822A7"/>
    <w:rsid w:val="0008260B"/>
    <w:rsid w:val="000831BC"/>
    <w:rsid w:val="000836A5"/>
    <w:rsid w:val="00083815"/>
    <w:rsid w:val="000856E5"/>
    <w:rsid w:val="0008572F"/>
    <w:rsid w:val="0008584A"/>
    <w:rsid w:val="0008599C"/>
    <w:rsid w:val="00085ED4"/>
    <w:rsid w:val="000861BB"/>
    <w:rsid w:val="00086F71"/>
    <w:rsid w:val="00086FAA"/>
    <w:rsid w:val="00087690"/>
    <w:rsid w:val="00087741"/>
    <w:rsid w:val="00087C77"/>
    <w:rsid w:val="00087D48"/>
    <w:rsid w:val="000900DA"/>
    <w:rsid w:val="00090A05"/>
    <w:rsid w:val="00090A7C"/>
    <w:rsid w:val="00090B49"/>
    <w:rsid w:val="00091C8F"/>
    <w:rsid w:val="0009210B"/>
    <w:rsid w:val="0009233B"/>
    <w:rsid w:val="00092759"/>
    <w:rsid w:val="00093030"/>
    <w:rsid w:val="0009312A"/>
    <w:rsid w:val="000938C9"/>
    <w:rsid w:val="000945A0"/>
    <w:rsid w:val="00094672"/>
    <w:rsid w:val="0009469C"/>
    <w:rsid w:val="00094E0A"/>
    <w:rsid w:val="00095226"/>
    <w:rsid w:val="00095557"/>
    <w:rsid w:val="00095F80"/>
    <w:rsid w:val="000963AD"/>
    <w:rsid w:val="00097169"/>
    <w:rsid w:val="000975B9"/>
    <w:rsid w:val="00097748"/>
    <w:rsid w:val="000A0065"/>
    <w:rsid w:val="000A0DE4"/>
    <w:rsid w:val="000A0FB5"/>
    <w:rsid w:val="000A162A"/>
    <w:rsid w:val="000A19DA"/>
    <w:rsid w:val="000A19E1"/>
    <w:rsid w:val="000A1B46"/>
    <w:rsid w:val="000A1B6C"/>
    <w:rsid w:val="000A1D3E"/>
    <w:rsid w:val="000A28C6"/>
    <w:rsid w:val="000A2CAB"/>
    <w:rsid w:val="000A2CAD"/>
    <w:rsid w:val="000A2E24"/>
    <w:rsid w:val="000A334A"/>
    <w:rsid w:val="000A347C"/>
    <w:rsid w:val="000A364C"/>
    <w:rsid w:val="000A4422"/>
    <w:rsid w:val="000A4C6C"/>
    <w:rsid w:val="000A5CEA"/>
    <w:rsid w:val="000A5D41"/>
    <w:rsid w:val="000A6734"/>
    <w:rsid w:val="000A6A6F"/>
    <w:rsid w:val="000A6B9A"/>
    <w:rsid w:val="000A6F7C"/>
    <w:rsid w:val="000A72DF"/>
    <w:rsid w:val="000A7A64"/>
    <w:rsid w:val="000B017E"/>
    <w:rsid w:val="000B01EC"/>
    <w:rsid w:val="000B0239"/>
    <w:rsid w:val="000B05CE"/>
    <w:rsid w:val="000B09E2"/>
    <w:rsid w:val="000B0C45"/>
    <w:rsid w:val="000B110C"/>
    <w:rsid w:val="000B1398"/>
    <w:rsid w:val="000B15C9"/>
    <w:rsid w:val="000B16D3"/>
    <w:rsid w:val="000B16FA"/>
    <w:rsid w:val="000B1C1E"/>
    <w:rsid w:val="000B2353"/>
    <w:rsid w:val="000B2881"/>
    <w:rsid w:val="000B2CA0"/>
    <w:rsid w:val="000B2EF7"/>
    <w:rsid w:val="000B3009"/>
    <w:rsid w:val="000B3F38"/>
    <w:rsid w:val="000B423C"/>
    <w:rsid w:val="000B44C8"/>
    <w:rsid w:val="000B460C"/>
    <w:rsid w:val="000B4936"/>
    <w:rsid w:val="000B5202"/>
    <w:rsid w:val="000B563C"/>
    <w:rsid w:val="000B5FDE"/>
    <w:rsid w:val="000B6034"/>
    <w:rsid w:val="000B60C4"/>
    <w:rsid w:val="000B665F"/>
    <w:rsid w:val="000B66AA"/>
    <w:rsid w:val="000B66B8"/>
    <w:rsid w:val="000B7230"/>
    <w:rsid w:val="000B7314"/>
    <w:rsid w:val="000B755D"/>
    <w:rsid w:val="000B79B0"/>
    <w:rsid w:val="000C061B"/>
    <w:rsid w:val="000C063C"/>
    <w:rsid w:val="000C0659"/>
    <w:rsid w:val="000C091A"/>
    <w:rsid w:val="000C0C2D"/>
    <w:rsid w:val="000C173C"/>
    <w:rsid w:val="000C18DE"/>
    <w:rsid w:val="000C2340"/>
    <w:rsid w:val="000C2ADE"/>
    <w:rsid w:val="000C36C0"/>
    <w:rsid w:val="000C3767"/>
    <w:rsid w:val="000C3E81"/>
    <w:rsid w:val="000C3F50"/>
    <w:rsid w:val="000C43D2"/>
    <w:rsid w:val="000C4D07"/>
    <w:rsid w:val="000C5931"/>
    <w:rsid w:val="000C5A02"/>
    <w:rsid w:val="000C5C46"/>
    <w:rsid w:val="000C79E0"/>
    <w:rsid w:val="000C7E4A"/>
    <w:rsid w:val="000D0EF5"/>
    <w:rsid w:val="000D0F50"/>
    <w:rsid w:val="000D12BE"/>
    <w:rsid w:val="000D1A04"/>
    <w:rsid w:val="000D1B66"/>
    <w:rsid w:val="000D2CBA"/>
    <w:rsid w:val="000D2D39"/>
    <w:rsid w:val="000D33B7"/>
    <w:rsid w:val="000D4134"/>
    <w:rsid w:val="000D502E"/>
    <w:rsid w:val="000D536A"/>
    <w:rsid w:val="000D536C"/>
    <w:rsid w:val="000D6282"/>
    <w:rsid w:val="000D6C9E"/>
    <w:rsid w:val="000D6D54"/>
    <w:rsid w:val="000D78F8"/>
    <w:rsid w:val="000D7AA8"/>
    <w:rsid w:val="000D7EDC"/>
    <w:rsid w:val="000D7FEB"/>
    <w:rsid w:val="000E081D"/>
    <w:rsid w:val="000E0961"/>
    <w:rsid w:val="000E0E6C"/>
    <w:rsid w:val="000E1483"/>
    <w:rsid w:val="000E14BF"/>
    <w:rsid w:val="000E1C08"/>
    <w:rsid w:val="000E1D48"/>
    <w:rsid w:val="000E23EE"/>
    <w:rsid w:val="000E32C8"/>
    <w:rsid w:val="000E43A3"/>
    <w:rsid w:val="000E48B3"/>
    <w:rsid w:val="000E4ACE"/>
    <w:rsid w:val="000E4CBF"/>
    <w:rsid w:val="000E4FCD"/>
    <w:rsid w:val="000E54D0"/>
    <w:rsid w:val="000E62BB"/>
    <w:rsid w:val="000E6752"/>
    <w:rsid w:val="000E6D5C"/>
    <w:rsid w:val="000E7D23"/>
    <w:rsid w:val="000F01DB"/>
    <w:rsid w:val="000F0D4B"/>
    <w:rsid w:val="000F0E6C"/>
    <w:rsid w:val="000F0E74"/>
    <w:rsid w:val="000F0E96"/>
    <w:rsid w:val="000F0F8E"/>
    <w:rsid w:val="000F1460"/>
    <w:rsid w:val="000F14BC"/>
    <w:rsid w:val="000F16E2"/>
    <w:rsid w:val="000F179F"/>
    <w:rsid w:val="000F1943"/>
    <w:rsid w:val="000F1F26"/>
    <w:rsid w:val="000F22EA"/>
    <w:rsid w:val="000F279D"/>
    <w:rsid w:val="000F29A5"/>
    <w:rsid w:val="000F36B5"/>
    <w:rsid w:val="000F3792"/>
    <w:rsid w:val="000F4068"/>
    <w:rsid w:val="000F45CA"/>
    <w:rsid w:val="000F4FE7"/>
    <w:rsid w:val="000F58CA"/>
    <w:rsid w:val="000F5F76"/>
    <w:rsid w:val="000F61F0"/>
    <w:rsid w:val="000F6205"/>
    <w:rsid w:val="000F6612"/>
    <w:rsid w:val="000F7514"/>
    <w:rsid w:val="000F7538"/>
    <w:rsid w:val="00100013"/>
    <w:rsid w:val="001002C4"/>
    <w:rsid w:val="0010086F"/>
    <w:rsid w:val="001011BE"/>
    <w:rsid w:val="00101A4A"/>
    <w:rsid w:val="00101B8A"/>
    <w:rsid w:val="001022CF"/>
    <w:rsid w:val="0010238B"/>
    <w:rsid w:val="00102527"/>
    <w:rsid w:val="00103797"/>
    <w:rsid w:val="00103EAD"/>
    <w:rsid w:val="001043AB"/>
    <w:rsid w:val="00104C94"/>
    <w:rsid w:val="001050D6"/>
    <w:rsid w:val="00105244"/>
    <w:rsid w:val="001055F3"/>
    <w:rsid w:val="00105823"/>
    <w:rsid w:val="001059C5"/>
    <w:rsid w:val="00105D17"/>
    <w:rsid w:val="00106049"/>
    <w:rsid w:val="00106488"/>
    <w:rsid w:val="0010685F"/>
    <w:rsid w:val="001073D9"/>
    <w:rsid w:val="00107877"/>
    <w:rsid w:val="00107FC3"/>
    <w:rsid w:val="001100F3"/>
    <w:rsid w:val="001107F0"/>
    <w:rsid w:val="00110B7D"/>
    <w:rsid w:val="00110CB0"/>
    <w:rsid w:val="001112E8"/>
    <w:rsid w:val="001115E9"/>
    <w:rsid w:val="0011261F"/>
    <w:rsid w:val="0011299A"/>
    <w:rsid w:val="00112B9A"/>
    <w:rsid w:val="0011381C"/>
    <w:rsid w:val="00113E98"/>
    <w:rsid w:val="00114363"/>
    <w:rsid w:val="001144DA"/>
    <w:rsid w:val="00115078"/>
    <w:rsid w:val="001151A2"/>
    <w:rsid w:val="00115A7C"/>
    <w:rsid w:val="00115A7D"/>
    <w:rsid w:val="00115FE4"/>
    <w:rsid w:val="0011614D"/>
    <w:rsid w:val="0011677B"/>
    <w:rsid w:val="00116980"/>
    <w:rsid w:val="00116BA2"/>
    <w:rsid w:val="00116C20"/>
    <w:rsid w:val="00116C48"/>
    <w:rsid w:val="00116E57"/>
    <w:rsid w:val="0011747E"/>
    <w:rsid w:val="0011760F"/>
    <w:rsid w:val="00117661"/>
    <w:rsid w:val="00117A6F"/>
    <w:rsid w:val="00117A91"/>
    <w:rsid w:val="00120133"/>
    <w:rsid w:val="0012055D"/>
    <w:rsid w:val="00120EF7"/>
    <w:rsid w:val="001216F2"/>
    <w:rsid w:val="00121BC7"/>
    <w:rsid w:val="00121CA0"/>
    <w:rsid w:val="00121CF5"/>
    <w:rsid w:val="00121D0C"/>
    <w:rsid w:val="00121D54"/>
    <w:rsid w:val="00121EAB"/>
    <w:rsid w:val="001223EB"/>
    <w:rsid w:val="0012300B"/>
    <w:rsid w:val="00123271"/>
    <w:rsid w:val="001246DE"/>
    <w:rsid w:val="00125155"/>
    <w:rsid w:val="001251C4"/>
    <w:rsid w:val="00125726"/>
    <w:rsid w:val="00126625"/>
    <w:rsid w:val="00126A26"/>
    <w:rsid w:val="00126E51"/>
    <w:rsid w:val="00127420"/>
    <w:rsid w:val="00127611"/>
    <w:rsid w:val="00127B47"/>
    <w:rsid w:val="001307B3"/>
    <w:rsid w:val="0013104B"/>
    <w:rsid w:val="00131284"/>
    <w:rsid w:val="0013198E"/>
    <w:rsid w:val="00131C83"/>
    <w:rsid w:val="001320C5"/>
    <w:rsid w:val="00132190"/>
    <w:rsid w:val="0013224B"/>
    <w:rsid w:val="00132C87"/>
    <w:rsid w:val="00132EFD"/>
    <w:rsid w:val="00133752"/>
    <w:rsid w:val="00133B66"/>
    <w:rsid w:val="00133BBE"/>
    <w:rsid w:val="00133EAA"/>
    <w:rsid w:val="0013416C"/>
    <w:rsid w:val="001341B5"/>
    <w:rsid w:val="001341E5"/>
    <w:rsid w:val="00134BE9"/>
    <w:rsid w:val="001350E2"/>
    <w:rsid w:val="001353B5"/>
    <w:rsid w:val="00135C24"/>
    <w:rsid w:val="00136E6C"/>
    <w:rsid w:val="001374E2"/>
    <w:rsid w:val="00137DF2"/>
    <w:rsid w:val="001414A6"/>
    <w:rsid w:val="00141EFA"/>
    <w:rsid w:val="00141EFF"/>
    <w:rsid w:val="00142AC9"/>
    <w:rsid w:val="00142CE0"/>
    <w:rsid w:val="0014306A"/>
    <w:rsid w:val="0014307F"/>
    <w:rsid w:val="00143195"/>
    <w:rsid w:val="00143853"/>
    <w:rsid w:val="00144241"/>
    <w:rsid w:val="00144F69"/>
    <w:rsid w:val="00145663"/>
    <w:rsid w:val="001458E8"/>
    <w:rsid w:val="00146E61"/>
    <w:rsid w:val="0014714B"/>
    <w:rsid w:val="00147A6E"/>
    <w:rsid w:val="0015061A"/>
    <w:rsid w:val="00150B2D"/>
    <w:rsid w:val="00150CEF"/>
    <w:rsid w:val="00150FA8"/>
    <w:rsid w:val="00151371"/>
    <w:rsid w:val="00151A0F"/>
    <w:rsid w:val="00151DA0"/>
    <w:rsid w:val="0015200E"/>
    <w:rsid w:val="0015247F"/>
    <w:rsid w:val="00152519"/>
    <w:rsid w:val="00152E9C"/>
    <w:rsid w:val="00153016"/>
    <w:rsid w:val="0015312B"/>
    <w:rsid w:val="001533B5"/>
    <w:rsid w:val="00153F4A"/>
    <w:rsid w:val="001545D2"/>
    <w:rsid w:val="001547BB"/>
    <w:rsid w:val="00154933"/>
    <w:rsid w:val="00154C8F"/>
    <w:rsid w:val="0015539D"/>
    <w:rsid w:val="001559CA"/>
    <w:rsid w:val="00155C47"/>
    <w:rsid w:val="00156DD2"/>
    <w:rsid w:val="00156E12"/>
    <w:rsid w:val="0015754B"/>
    <w:rsid w:val="00157612"/>
    <w:rsid w:val="001577B6"/>
    <w:rsid w:val="001579CC"/>
    <w:rsid w:val="00157A22"/>
    <w:rsid w:val="00157D9A"/>
    <w:rsid w:val="00157E98"/>
    <w:rsid w:val="00160650"/>
    <w:rsid w:val="00161325"/>
    <w:rsid w:val="001617B5"/>
    <w:rsid w:val="00161AD4"/>
    <w:rsid w:val="00162718"/>
    <w:rsid w:val="001631FC"/>
    <w:rsid w:val="0016396D"/>
    <w:rsid w:val="0016396E"/>
    <w:rsid w:val="00163A74"/>
    <w:rsid w:val="00164719"/>
    <w:rsid w:val="00164BCA"/>
    <w:rsid w:val="00164CA2"/>
    <w:rsid w:val="00164E88"/>
    <w:rsid w:val="00165482"/>
    <w:rsid w:val="001657B3"/>
    <w:rsid w:val="0016618B"/>
    <w:rsid w:val="00166210"/>
    <w:rsid w:val="001664A2"/>
    <w:rsid w:val="00166CA7"/>
    <w:rsid w:val="00166D4B"/>
    <w:rsid w:val="001670E7"/>
    <w:rsid w:val="00167409"/>
    <w:rsid w:val="00167CEA"/>
    <w:rsid w:val="00167F38"/>
    <w:rsid w:val="00170217"/>
    <w:rsid w:val="001703D6"/>
    <w:rsid w:val="001704E6"/>
    <w:rsid w:val="00170916"/>
    <w:rsid w:val="00171A00"/>
    <w:rsid w:val="00172094"/>
    <w:rsid w:val="00172222"/>
    <w:rsid w:val="001723F0"/>
    <w:rsid w:val="00173988"/>
    <w:rsid w:val="00173FAD"/>
    <w:rsid w:val="00174967"/>
    <w:rsid w:val="00174F60"/>
    <w:rsid w:val="001753C5"/>
    <w:rsid w:val="001755C8"/>
    <w:rsid w:val="001768F0"/>
    <w:rsid w:val="00176DF8"/>
    <w:rsid w:val="00176F04"/>
    <w:rsid w:val="00177256"/>
    <w:rsid w:val="0017747E"/>
    <w:rsid w:val="001775C3"/>
    <w:rsid w:val="00177799"/>
    <w:rsid w:val="00177BBB"/>
    <w:rsid w:val="001803DD"/>
    <w:rsid w:val="00180614"/>
    <w:rsid w:val="001817F0"/>
    <w:rsid w:val="001820A8"/>
    <w:rsid w:val="00182870"/>
    <w:rsid w:val="00182C11"/>
    <w:rsid w:val="00182EB0"/>
    <w:rsid w:val="0018340C"/>
    <w:rsid w:val="00183899"/>
    <w:rsid w:val="00183AA3"/>
    <w:rsid w:val="00183B6C"/>
    <w:rsid w:val="00185619"/>
    <w:rsid w:val="00185648"/>
    <w:rsid w:val="00185A55"/>
    <w:rsid w:val="00185C69"/>
    <w:rsid w:val="00186348"/>
    <w:rsid w:val="0018687D"/>
    <w:rsid w:val="00186BF0"/>
    <w:rsid w:val="00186F85"/>
    <w:rsid w:val="00187298"/>
    <w:rsid w:val="00187449"/>
    <w:rsid w:val="00187E97"/>
    <w:rsid w:val="0019003B"/>
    <w:rsid w:val="001900DF"/>
    <w:rsid w:val="00190125"/>
    <w:rsid w:val="001904BA"/>
    <w:rsid w:val="001905BC"/>
    <w:rsid w:val="0019093E"/>
    <w:rsid w:val="00190B55"/>
    <w:rsid w:val="00190D1E"/>
    <w:rsid w:val="00190DF7"/>
    <w:rsid w:val="00190E4B"/>
    <w:rsid w:val="001913E7"/>
    <w:rsid w:val="001920C8"/>
    <w:rsid w:val="0019215A"/>
    <w:rsid w:val="00192CFC"/>
    <w:rsid w:val="00193C9B"/>
    <w:rsid w:val="00193F2E"/>
    <w:rsid w:val="00194B51"/>
    <w:rsid w:val="00194DB3"/>
    <w:rsid w:val="00197447"/>
    <w:rsid w:val="0019764E"/>
    <w:rsid w:val="001A08B2"/>
    <w:rsid w:val="001A0F13"/>
    <w:rsid w:val="001A17CE"/>
    <w:rsid w:val="001A19EB"/>
    <w:rsid w:val="001A24BC"/>
    <w:rsid w:val="001A287C"/>
    <w:rsid w:val="001A2C81"/>
    <w:rsid w:val="001A2DCE"/>
    <w:rsid w:val="001A2F53"/>
    <w:rsid w:val="001A3744"/>
    <w:rsid w:val="001A38AD"/>
    <w:rsid w:val="001A39C5"/>
    <w:rsid w:val="001A4128"/>
    <w:rsid w:val="001A41AA"/>
    <w:rsid w:val="001A43BF"/>
    <w:rsid w:val="001A485F"/>
    <w:rsid w:val="001A4AD0"/>
    <w:rsid w:val="001A4B25"/>
    <w:rsid w:val="001A53D7"/>
    <w:rsid w:val="001A5509"/>
    <w:rsid w:val="001A5DC0"/>
    <w:rsid w:val="001A5E8D"/>
    <w:rsid w:val="001A5FB4"/>
    <w:rsid w:val="001A6682"/>
    <w:rsid w:val="001A6CB8"/>
    <w:rsid w:val="001A7202"/>
    <w:rsid w:val="001B0033"/>
    <w:rsid w:val="001B0495"/>
    <w:rsid w:val="001B0526"/>
    <w:rsid w:val="001B0E19"/>
    <w:rsid w:val="001B127F"/>
    <w:rsid w:val="001B12BD"/>
    <w:rsid w:val="001B171D"/>
    <w:rsid w:val="001B21E8"/>
    <w:rsid w:val="001B2867"/>
    <w:rsid w:val="001B294E"/>
    <w:rsid w:val="001B29CA"/>
    <w:rsid w:val="001B2B93"/>
    <w:rsid w:val="001B2EA9"/>
    <w:rsid w:val="001B4262"/>
    <w:rsid w:val="001B4400"/>
    <w:rsid w:val="001B4E76"/>
    <w:rsid w:val="001B5D0B"/>
    <w:rsid w:val="001B5D5F"/>
    <w:rsid w:val="001B637E"/>
    <w:rsid w:val="001B661C"/>
    <w:rsid w:val="001B6A23"/>
    <w:rsid w:val="001B6B7E"/>
    <w:rsid w:val="001B6D65"/>
    <w:rsid w:val="001B72E5"/>
    <w:rsid w:val="001B7D78"/>
    <w:rsid w:val="001C0614"/>
    <w:rsid w:val="001C0CF3"/>
    <w:rsid w:val="001C1373"/>
    <w:rsid w:val="001C1974"/>
    <w:rsid w:val="001C1C11"/>
    <w:rsid w:val="001C1D30"/>
    <w:rsid w:val="001C2BAA"/>
    <w:rsid w:val="001C30D1"/>
    <w:rsid w:val="001C32F3"/>
    <w:rsid w:val="001C33EE"/>
    <w:rsid w:val="001C49CD"/>
    <w:rsid w:val="001C4A39"/>
    <w:rsid w:val="001C4B8C"/>
    <w:rsid w:val="001C522B"/>
    <w:rsid w:val="001C54F0"/>
    <w:rsid w:val="001C5B32"/>
    <w:rsid w:val="001C63D2"/>
    <w:rsid w:val="001C6700"/>
    <w:rsid w:val="001C6A27"/>
    <w:rsid w:val="001C7FEB"/>
    <w:rsid w:val="001D017D"/>
    <w:rsid w:val="001D068D"/>
    <w:rsid w:val="001D0828"/>
    <w:rsid w:val="001D0D24"/>
    <w:rsid w:val="001D111D"/>
    <w:rsid w:val="001D117D"/>
    <w:rsid w:val="001D1836"/>
    <w:rsid w:val="001D18F8"/>
    <w:rsid w:val="001D1B9C"/>
    <w:rsid w:val="001D1BA6"/>
    <w:rsid w:val="001D1D6F"/>
    <w:rsid w:val="001D2787"/>
    <w:rsid w:val="001D28AA"/>
    <w:rsid w:val="001D2957"/>
    <w:rsid w:val="001D2AA5"/>
    <w:rsid w:val="001D2F1B"/>
    <w:rsid w:val="001D30E5"/>
    <w:rsid w:val="001D3483"/>
    <w:rsid w:val="001D354F"/>
    <w:rsid w:val="001D39FF"/>
    <w:rsid w:val="001D4012"/>
    <w:rsid w:val="001D4455"/>
    <w:rsid w:val="001D482F"/>
    <w:rsid w:val="001D59A5"/>
    <w:rsid w:val="001D6100"/>
    <w:rsid w:val="001D68DB"/>
    <w:rsid w:val="001D6CF4"/>
    <w:rsid w:val="001D6D92"/>
    <w:rsid w:val="001D6E35"/>
    <w:rsid w:val="001D72A4"/>
    <w:rsid w:val="001D784D"/>
    <w:rsid w:val="001D7EB8"/>
    <w:rsid w:val="001E035E"/>
    <w:rsid w:val="001E036F"/>
    <w:rsid w:val="001E0AC6"/>
    <w:rsid w:val="001E0F54"/>
    <w:rsid w:val="001E0FCC"/>
    <w:rsid w:val="001E15AF"/>
    <w:rsid w:val="001E1684"/>
    <w:rsid w:val="001E170F"/>
    <w:rsid w:val="001E1E65"/>
    <w:rsid w:val="001E208B"/>
    <w:rsid w:val="001E24A0"/>
    <w:rsid w:val="001E26A4"/>
    <w:rsid w:val="001E2CF9"/>
    <w:rsid w:val="001E3347"/>
    <w:rsid w:val="001E37B3"/>
    <w:rsid w:val="001E47CB"/>
    <w:rsid w:val="001E47CE"/>
    <w:rsid w:val="001E489C"/>
    <w:rsid w:val="001E4BC2"/>
    <w:rsid w:val="001E4BEE"/>
    <w:rsid w:val="001E4BF9"/>
    <w:rsid w:val="001E4FD0"/>
    <w:rsid w:val="001E55CE"/>
    <w:rsid w:val="001E5FF6"/>
    <w:rsid w:val="001E61E5"/>
    <w:rsid w:val="001E6359"/>
    <w:rsid w:val="001E6B89"/>
    <w:rsid w:val="001E6C1B"/>
    <w:rsid w:val="001E7876"/>
    <w:rsid w:val="001E7C25"/>
    <w:rsid w:val="001F006C"/>
    <w:rsid w:val="001F0552"/>
    <w:rsid w:val="001F0FF4"/>
    <w:rsid w:val="001F198E"/>
    <w:rsid w:val="001F284E"/>
    <w:rsid w:val="001F2E2A"/>
    <w:rsid w:val="001F3157"/>
    <w:rsid w:val="001F33C3"/>
    <w:rsid w:val="001F365B"/>
    <w:rsid w:val="001F40B4"/>
    <w:rsid w:val="001F461B"/>
    <w:rsid w:val="001F596F"/>
    <w:rsid w:val="001F5DE9"/>
    <w:rsid w:val="001F60ED"/>
    <w:rsid w:val="001F6E37"/>
    <w:rsid w:val="001F7337"/>
    <w:rsid w:val="001F746A"/>
    <w:rsid w:val="001F78A5"/>
    <w:rsid w:val="002001E6"/>
    <w:rsid w:val="00200576"/>
    <w:rsid w:val="00200A3C"/>
    <w:rsid w:val="00200CAB"/>
    <w:rsid w:val="00200D89"/>
    <w:rsid w:val="0020176C"/>
    <w:rsid w:val="00201CE6"/>
    <w:rsid w:val="0020286A"/>
    <w:rsid w:val="00202FF5"/>
    <w:rsid w:val="00203021"/>
    <w:rsid w:val="0020378B"/>
    <w:rsid w:val="00204BAB"/>
    <w:rsid w:val="00204CC9"/>
    <w:rsid w:val="00204F68"/>
    <w:rsid w:val="002050CC"/>
    <w:rsid w:val="002052AA"/>
    <w:rsid w:val="0020565A"/>
    <w:rsid w:val="00205A20"/>
    <w:rsid w:val="00205D21"/>
    <w:rsid w:val="00206198"/>
    <w:rsid w:val="00207BF9"/>
    <w:rsid w:val="00207C57"/>
    <w:rsid w:val="00207EC6"/>
    <w:rsid w:val="00210337"/>
    <w:rsid w:val="002116BA"/>
    <w:rsid w:val="00211744"/>
    <w:rsid w:val="00211974"/>
    <w:rsid w:val="00211D94"/>
    <w:rsid w:val="0021276A"/>
    <w:rsid w:val="00212C59"/>
    <w:rsid w:val="00212D61"/>
    <w:rsid w:val="002131A8"/>
    <w:rsid w:val="002143BC"/>
    <w:rsid w:val="00214A6B"/>
    <w:rsid w:val="00214BAA"/>
    <w:rsid w:val="00214C3E"/>
    <w:rsid w:val="002152CC"/>
    <w:rsid w:val="002156C5"/>
    <w:rsid w:val="0021580C"/>
    <w:rsid w:val="00215BBC"/>
    <w:rsid w:val="00216212"/>
    <w:rsid w:val="00216644"/>
    <w:rsid w:val="00217554"/>
    <w:rsid w:val="00217EF8"/>
    <w:rsid w:val="00220047"/>
    <w:rsid w:val="0022027C"/>
    <w:rsid w:val="00220686"/>
    <w:rsid w:val="00220E26"/>
    <w:rsid w:val="0022102E"/>
    <w:rsid w:val="00221F7A"/>
    <w:rsid w:val="002222FE"/>
    <w:rsid w:val="00222601"/>
    <w:rsid w:val="002228A1"/>
    <w:rsid w:val="00222DB6"/>
    <w:rsid w:val="002230DA"/>
    <w:rsid w:val="0022314C"/>
    <w:rsid w:val="00223188"/>
    <w:rsid w:val="00223447"/>
    <w:rsid w:val="00223A11"/>
    <w:rsid w:val="002248F2"/>
    <w:rsid w:val="00224EC9"/>
    <w:rsid w:val="002256CE"/>
    <w:rsid w:val="00225B46"/>
    <w:rsid w:val="002261F1"/>
    <w:rsid w:val="002268AD"/>
    <w:rsid w:val="0022709E"/>
    <w:rsid w:val="002273BA"/>
    <w:rsid w:val="00230482"/>
    <w:rsid w:val="00230C0A"/>
    <w:rsid w:val="00230C50"/>
    <w:rsid w:val="002314A6"/>
    <w:rsid w:val="00231771"/>
    <w:rsid w:val="002318AF"/>
    <w:rsid w:val="002318F5"/>
    <w:rsid w:val="00231906"/>
    <w:rsid w:val="00231DE6"/>
    <w:rsid w:val="00232301"/>
    <w:rsid w:val="002328E6"/>
    <w:rsid w:val="002328EC"/>
    <w:rsid w:val="0023319C"/>
    <w:rsid w:val="002333BC"/>
    <w:rsid w:val="00233BC5"/>
    <w:rsid w:val="00234A0A"/>
    <w:rsid w:val="00234D57"/>
    <w:rsid w:val="00234FBC"/>
    <w:rsid w:val="002352DA"/>
    <w:rsid w:val="0023583F"/>
    <w:rsid w:val="00235B8C"/>
    <w:rsid w:val="00235CF4"/>
    <w:rsid w:val="00236169"/>
    <w:rsid w:val="00236304"/>
    <w:rsid w:val="00236430"/>
    <w:rsid w:val="00236496"/>
    <w:rsid w:val="00236553"/>
    <w:rsid w:val="00236671"/>
    <w:rsid w:val="00237A71"/>
    <w:rsid w:val="00237EF1"/>
    <w:rsid w:val="002403B7"/>
    <w:rsid w:val="0024136B"/>
    <w:rsid w:val="002420E5"/>
    <w:rsid w:val="0024212F"/>
    <w:rsid w:val="00242333"/>
    <w:rsid w:val="00242C7B"/>
    <w:rsid w:val="0024366E"/>
    <w:rsid w:val="00243B63"/>
    <w:rsid w:val="0024481B"/>
    <w:rsid w:val="00244F33"/>
    <w:rsid w:val="00245848"/>
    <w:rsid w:val="00245C84"/>
    <w:rsid w:val="00246F89"/>
    <w:rsid w:val="00247513"/>
    <w:rsid w:val="00247BF4"/>
    <w:rsid w:val="00247FA9"/>
    <w:rsid w:val="00250036"/>
    <w:rsid w:val="00250767"/>
    <w:rsid w:val="002510B9"/>
    <w:rsid w:val="002510EF"/>
    <w:rsid w:val="0025135D"/>
    <w:rsid w:val="00251436"/>
    <w:rsid w:val="002519AA"/>
    <w:rsid w:val="00251A06"/>
    <w:rsid w:val="00252468"/>
    <w:rsid w:val="00252920"/>
    <w:rsid w:val="00252C08"/>
    <w:rsid w:val="00252C2A"/>
    <w:rsid w:val="00253263"/>
    <w:rsid w:val="002534BD"/>
    <w:rsid w:val="00253D6B"/>
    <w:rsid w:val="00253E28"/>
    <w:rsid w:val="00253EFD"/>
    <w:rsid w:val="0025441D"/>
    <w:rsid w:val="002545C5"/>
    <w:rsid w:val="00254A55"/>
    <w:rsid w:val="0025506F"/>
    <w:rsid w:val="00255225"/>
    <w:rsid w:val="00255B33"/>
    <w:rsid w:val="00256645"/>
    <w:rsid w:val="002567EA"/>
    <w:rsid w:val="0025715D"/>
    <w:rsid w:val="0025730E"/>
    <w:rsid w:val="002574DE"/>
    <w:rsid w:val="00257574"/>
    <w:rsid w:val="0025763D"/>
    <w:rsid w:val="00257F38"/>
    <w:rsid w:val="0026013A"/>
    <w:rsid w:val="002609DB"/>
    <w:rsid w:val="002618E1"/>
    <w:rsid w:val="00261B4C"/>
    <w:rsid w:val="00261B97"/>
    <w:rsid w:val="00261C15"/>
    <w:rsid w:val="00261C7A"/>
    <w:rsid w:val="00261E87"/>
    <w:rsid w:val="002620C5"/>
    <w:rsid w:val="002622C7"/>
    <w:rsid w:val="0026250C"/>
    <w:rsid w:val="00262C6A"/>
    <w:rsid w:val="002637C7"/>
    <w:rsid w:val="002644C1"/>
    <w:rsid w:val="002645C9"/>
    <w:rsid w:val="00264721"/>
    <w:rsid w:val="00264789"/>
    <w:rsid w:val="00264B40"/>
    <w:rsid w:val="00265CB5"/>
    <w:rsid w:val="00266834"/>
    <w:rsid w:val="00267010"/>
    <w:rsid w:val="0026788C"/>
    <w:rsid w:val="002679D8"/>
    <w:rsid w:val="00267F70"/>
    <w:rsid w:val="0027058E"/>
    <w:rsid w:val="00270BF9"/>
    <w:rsid w:val="0027101D"/>
    <w:rsid w:val="002710D3"/>
    <w:rsid w:val="0027164E"/>
    <w:rsid w:val="00271C86"/>
    <w:rsid w:val="00271D5A"/>
    <w:rsid w:val="00272682"/>
    <w:rsid w:val="0027277B"/>
    <w:rsid w:val="002734B7"/>
    <w:rsid w:val="00273891"/>
    <w:rsid w:val="002739C4"/>
    <w:rsid w:val="002743AC"/>
    <w:rsid w:val="0027475A"/>
    <w:rsid w:val="002748B2"/>
    <w:rsid w:val="00274A43"/>
    <w:rsid w:val="00274B38"/>
    <w:rsid w:val="00274DC2"/>
    <w:rsid w:val="00275832"/>
    <w:rsid w:val="002759F0"/>
    <w:rsid w:val="00275E42"/>
    <w:rsid w:val="002762FA"/>
    <w:rsid w:val="002768AC"/>
    <w:rsid w:val="00276C61"/>
    <w:rsid w:val="00276F6B"/>
    <w:rsid w:val="002774AC"/>
    <w:rsid w:val="00280062"/>
    <w:rsid w:val="0028019C"/>
    <w:rsid w:val="00280241"/>
    <w:rsid w:val="00280DE1"/>
    <w:rsid w:val="00280FE2"/>
    <w:rsid w:val="00281167"/>
    <w:rsid w:val="002817CB"/>
    <w:rsid w:val="0028186E"/>
    <w:rsid w:val="0028209A"/>
    <w:rsid w:val="002821A0"/>
    <w:rsid w:val="0028275C"/>
    <w:rsid w:val="00283048"/>
    <w:rsid w:val="00283509"/>
    <w:rsid w:val="002839BD"/>
    <w:rsid w:val="00283B10"/>
    <w:rsid w:val="00284235"/>
    <w:rsid w:val="0028441E"/>
    <w:rsid w:val="002847CB"/>
    <w:rsid w:val="00284AC5"/>
    <w:rsid w:val="00285050"/>
    <w:rsid w:val="002855E9"/>
    <w:rsid w:val="002855FE"/>
    <w:rsid w:val="00285604"/>
    <w:rsid w:val="00285CE5"/>
    <w:rsid w:val="00286B20"/>
    <w:rsid w:val="002872A8"/>
    <w:rsid w:val="00287362"/>
    <w:rsid w:val="00287504"/>
    <w:rsid w:val="00287890"/>
    <w:rsid w:val="00290C9E"/>
    <w:rsid w:val="00291069"/>
    <w:rsid w:val="002916F9"/>
    <w:rsid w:val="00291B9E"/>
    <w:rsid w:val="0029216A"/>
    <w:rsid w:val="0029259D"/>
    <w:rsid w:val="00293428"/>
    <w:rsid w:val="002935D8"/>
    <w:rsid w:val="00293607"/>
    <w:rsid w:val="002936D8"/>
    <w:rsid w:val="00293B3A"/>
    <w:rsid w:val="00293CF1"/>
    <w:rsid w:val="0029406B"/>
    <w:rsid w:val="00294A3C"/>
    <w:rsid w:val="002953D0"/>
    <w:rsid w:val="002958B8"/>
    <w:rsid w:val="00296126"/>
    <w:rsid w:val="002966C0"/>
    <w:rsid w:val="0029783F"/>
    <w:rsid w:val="00297D27"/>
    <w:rsid w:val="00297F42"/>
    <w:rsid w:val="002A036F"/>
    <w:rsid w:val="002A06E4"/>
    <w:rsid w:val="002A0BE1"/>
    <w:rsid w:val="002A1E05"/>
    <w:rsid w:val="002A2259"/>
    <w:rsid w:val="002A2281"/>
    <w:rsid w:val="002A27FB"/>
    <w:rsid w:val="002A2930"/>
    <w:rsid w:val="002A346B"/>
    <w:rsid w:val="002A3705"/>
    <w:rsid w:val="002A3CD1"/>
    <w:rsid w:val="002A5665"/>
    <w:rsid w:val="002A57FC"/>
    <w:rsid w:val="002A5BCD"/>
    <w:rsid w:val="002A66B6"/>
    <w:rsid w:val="002A6780"/>
    <w:rsid w:val="002A6807"/>
    <w:rsid w:val="002A7210"/>
    <w:rsid w:val="002A76C4"/>
    <w:rsid w:val="002A7788"/>
    <w:rsid w:val="002A788E"/>
    <w:rsid w:val="002B0481"/>
    <w:rsid w:val="002B0521"/>
    <w:rsid w:val="002B171A"/>
    <w:rsid w:val="002B1C39"/>
    <w:rsid w:val="002B20E1"/>
    <w:rsid w:val="002B2FA4"/>
    <w:rsid w:val="002B31AA"/>
    <w:rsid w:val="002B33BA"/>
    <w:rsid w:val="002B39CE"/>
    <w:rsid w:val="002B3CA9"/>
    <w:rsid w:val="002B3DDF"/>
    <w:rsid w:val="002B3F5D"/>
    <w:rsid w:val="002B4499"/>
    <w:rsid w:val="002B502F"/>
    <w:rsid w:val="002B5248"/>
    <w:rsid w:val="002B56AD"/>
    <w:rsid w:val="002B5CDA"/>
    <w:rsid w:val="002B5E37"/>
    <w:rsid w:val="002B6466"/>
    <w:rsid w:val="002B66D6"/>
    <w:rsid w:val="002B71C1"/>
    <w:rsid w:val="002B738F"/>
    <w:rsid w:val="002B74AA"/>
    <w:rsid w:val="002B7712"/>
    <w:rsid w:val="002B7A94"/>
    <w:rsid w:val="002C010D"/>
    <w:rsid w:val="002C01F8"/>
    <w:rsid w:val="002C05E8"/>
    <w:rsid w:val="002C05F8"/>
    <w:rsid w:val="002C06EB"/>
    <w:rsid w:val="002C18CD"/>
    <w:rsid w:val="002C1FDE"/>
    <w:rsid w:val="002C2D1F"/>
    <w:rsid w:val="002C2EFD"/>
    <w:rsid w:val="002C3215"/>
    <w:rsid w:val="002C333D"/>
    <w:rsid w:val="002C3B8B"/>
    <w:rsid w:val="002C4BFD"/>
    <w:rsid w:val="002C4EC9"/>
    <w:rsid w:val="002C5FFC"/>
    <w:rsid w:val="002C65D9"/>
    <w:rsid w:val="002C66BE"/>
    <w:rsid w:val="002C6778"/>
    <w:rsid w:val="002C6CC1"/>
    <w:rsid w:val="002C71F2"/>
    <w:rsid w:val="002C72FD"/>
    <w:rsid w:val="002C7524"/>
    <w:rsid w:val="002C77D0"/>
    <w:rsid w:val="002C7948"/>
    <w:rsid w:val="002C79DD"/>
    <w:rsid w:val="002C7CB8"/>
    <w:rsid w:val="002C7DD9"/>
    <w:rsid w:val="002D01C8"/>
    <w:rsid w:val="002D0358"/>
    <w:rsid w:val="002D069F"/>
    <w:rsid w:val="002D0AC5"/>
    <w:rsid w:val="002D0B5E"/>
    <w:rsid w:val="002D0C4F"/>
    <w:rsid w:val="002D0C86"/>
    <w:rsid w:val="002D0F17"/>
    <w:rsid w:val="002D0FCD"/>
    <w:rsid w:val="002D11AA"/>
    <w:rsid w:val="002D1D6D"/>
    <w:rsid w:val="002D1EF8"/>
    <w:rsid w:val="002D26B0"/>
    <w:rsid w:val="002D298D"/>
    <w:rsid w:val="002D30F0"/>
    <w:rsid w:val="002D31AC"/>
    <w:rsid w:val="002D31DE"/>
    <w:rsid w:val="002D38E1"/>
    <w:rsid w:val="002D420F"/>
    <w:rsid w:val="002D4AFA"/>
    <w:rsid w:val="002D5038"/>
    <w:rsid w:val="002D53BE"/>
    <w:rsid w:val="002D577A"/>
    <w:rsid w:val="002D57AD"/>
    <w:rsid w:val="002D5905"/>
    <w:rsid w:val="002D6629"/>
    <w:rsid w:val="002D688E"/>
    <w:rsid w:val="002D74A6"/>
    <w:rsid w:val="002D7F82"/>
    <w:rsid w:val="002E01C1"/>
    <w:rsid w:val="002E08E7"/>
    <w:rsid w:val="002E0901"/>
    <w:rsid w:val="002E0DD6"/>
    <w:rsid w:val="002E182B"/>
    <w:rsid w:val="002E1884"/>
    <w:rsid w:val="002E18ED"/>
    <w:rsid w:val="002E1AA7"/>
    <w:rsid w:val="002E1E9C"/>
    <w:rsid w:val="002E20FE"/>
    <w:rsid w:val="002E218A"/>
    <w:rsid w:val="002E2669"/>
    <w:rsid w:val="002E2D55"/>
    <w:rsid w:val="002E2DFD"/>
    <w:rsid w:val="002E304B"/>
    <w:rsid w:val="002E351B"/>
    <w:rsid w:val="002E3DF1"/>
    <w:rsid w:val="002E425B"/>
    <w:rsid w:val="002E4504"/>
    <w:rsid w:val="002E452F"/>
    <w:rsid w:val="002E4C45"/>
    <w:rsid w:val="002E5C0C"/>
    <w:rsid w:val="002E6745"/>
    <w:rsid w:val="002E68A0"/>
    <w:rsid w:val="002E7254"/>
    <w:rsid w:val="002E7A85"/>
    <w:rsid w:val="002F0DE5"/>
    <w:rsid w:val="002F1139"/>
    <w:rsid w:val="002F1B13"/>
    <w:rsid w:val="002F1CF9"/>
    <w:rsid w:val="002F1D63"/>
    <w:rsid w:val="002F2273"/>
    <w:rsid w:val="002F2952"/>
    <w:rsid w:val="002F2B00"/>
    <w:rsid w:val="002F3356"/>
    <w:rsid w:val="002F3559"/>
    <w:rsid w:val="002F3AEF"/>
    <w:rsid w:val="002F3BA2"/>
    <w:rsid w:val="002F3D33"/>
    <w:rsid w:val="002F43CA"/>
    <w:rsid w:val="002F453A"/>
    <w:rsid w:val="002F46D2"/>
    <w:rsid w:val="002F49E3"/>
    <w:rsid w:val="002F4E80"/>
    <w:rsid w:val="002F5526"/>
    <w:rsid w:val="002F556E"/>
    <w:rsid w:val="002F5719"/>
    <w:rsid w:val="002F5774"/>
    <w:rsid w:val="002F596D"/>
    <w:rsid w:val="002F5C6C"/>
    <w:rsid w:val="002F6054"/>
    <w:rsid w:val="002F6268"/>
    <w:rsid w:val="002F667E"/>
    <w:rsid w:val="002F6C34"/>
    <w:rsid w:val="002F70A1"/>
    <w:rsid w:val="002F7959"/>
    <w:rsid w:val="002F7B5B"/>
    <w:rsid w:val="002F7EE9"/>
    <w:rsid w:val="003001C0"/>
    <w:rsid w:val="003002D5"/>
    <w:rsid w:val="00300395"/>
    <w:rsid w:val="00300549"/>
    <w:rsid w:val="00300599"/>
    <w:rsid w:val="00300700"/>
    <w:rsid w:val="003007EE"/>
    <w:rsid w:val="00300BF0"/>
    <w:rsid w:val="0030108F"/>
    <w:rsid w:val="0030121C"/>
    <w:rsid w:val="003013BA"/>
    <w:rsid w:val="00301835"/>
    <w:rsid w:val="0030187F"/>
    <w:rsid w:val="0030203D"/>
    <w:rsid w:val="003024E6"/>
    <w:rsid w:val="00302565"/>
    <w:rsid w:val="0030288C"/>
    <w:rsid w:val="00302B99"/>
    <w:rsid w:val="00302DD6"/>
    <w:rsid w:val="00302EC6"/>
    <w:rsid w:val="00303677"/>
    <w:rsid w:val="003036C5"/>
    <w:rsid w:val="003036FE"/>
    <w:rsid w:val="00303A52"/>
    <w:rsid w:val="00303B59"/>
    <w:rsid w:val="00303DF9"/>
    <w:rsid w:val="0030592B"/>
    <w:rsid w:val="00305D99"/>
    <w:rsid w:val="00305E05"/>
    <w:rsid w:val="0030609E"/>
    <w:rsid w:val="00307097"/>
    <w:rsid w:val="003073CF"/>
    <w:rsid w:val="00307887"/>
    <w:rsid w:val="003102E7"/>
    <w:rsid w:val="0031036F"/>
    <w:rsid w:val="00310D52"/>
    <w:rsid w:val="00310D77"/>
    <w:rsid w:val="0031108A"/>
    <w:rsid w:val="003111AA"/>
    <w:rsid w:val="00311F74"/>
    <w:rsid w:val="00312CF8"/>
    <w:rsid w:val="00313D4D"/>
    <w:rsid w:val="00313DA5"/>
    <w:rsid w:val="00313F8C"/>
    <w:rsid w:val="00314424"/>
    <w:rsid w:val="00314695"/>
    <w:rsid w:val="0031503A"/>
    <w:rsid w:val="0031510F"/>
    <w:rsid w:val="003151FE"/>
    <w:rsid w:val="0031522A"/>
    <w:rsid w:val="00315309"/>
    <w:rsid w:val="00315FB7"/>
    <w:rsid w:val="003162B7"/>
    <w:rsid w:val="00316908"/>
    <w:rsid w:val="0031698E"/>
    <w:rsid w:val="00316A9D"/>
    <w:rsid w:val="00316E34"/>
    <w:rsid w:val="00317612"/>
    <w:rsid w:val="00317844"/>
    <w:rsid w:val="00317A9C"/>
    <w:rsid w:val="003201A5"/>
    <w:rsid w:val="0032085D"/>
    <w:rsid w:val="00320A89"/>
    <w:rsid w:val="0032168B"/>
    <w:rsid w:val="00321DA1"/>
    <w:rsid w:val="00322649"/>
    <w:rsid w:val="00322730"/>
    <w:rsid w:val="00322784"/>
    <w:rsid w:val="00322E98"/>
    <w:rsid w:val="003230E0"/>
    <w:rsid w:val="003236B5"/>
    <w:rsid w:val="00323A4A"/>
    <w:rsid w:val="003243DE"/>
    <w:rsid w:val="0032452D"/>
    <w:rsid w:val="00324932"/>
    <w:rsid w:val="00324999"/>
    <w:rsid w:val="00324E09"/>
    <w:rsid w:val="00324F84"/>
    <w:rsid w:val="00325354"/>
    <w:rsid w:val="00325ED1"/>
    <w:rsid w:val="0032636A"/>
    <w:rsid w:val="0032642A"/>
    <w:rsid w:val="003267EB"/>
    <w:rsid w:val="003277FD"/>
    <w:rsid w:val="00327ACA"/>
    <w:rsid w:val="00327BBE"/>
    <w:rsid w:val="00327C7E"/>
    <w:rsid w:val="00330097"/>
    <w:rsid w:val="00330A69"/>
    <w:rsid w:val="0033157E"/>
    <w:rsid w:val="00331901"/>
    <w:rsid w:val="00332B6E"/>
    <w:rsid w:val="00332BC0"/>
    <w:rsid w:val="00332BC2"/>
    <w:rsid w:val="00332BFD"/>
    <w:rsid w:val="00332FF1"/>
    <w:rsid w:val="00333076"/>
    <w:rsid w:val="003347D0"/>
    <w:rsid w:val="00334BF8"/>
    <w:rsid w:val="00334DA6"/>
    <w:rsid w:val="00334FB5"/>
    <w:rsid w:val="00335A64"/>
    <w:rsid w:val="00335AB4"/>
    <w:rsid w:val="00335E77"/>
    <w:rsid w:val="003362FB"/>
    <w:rsid w:val="0033689B"/>
    <w:rsid w:val="003370A5"/>
    <w:rsid w:val="00337219"/>
    <w:rsid w:val="00337462"/>
    <w:rsid w:val="00337868"/>
    <w:rsid w:val="00337FE4"/>
    <w:rsid w:val="00340955"/>
    <w:rsid w:val="00340AB2"/>
    <w:rsid w:val="00342AD5"/>
    <w:rsid w:val="00342B86"/>
    <w:rsid w:val="00342D76"/>
    <w:rsid w:val="003432F9"/>
    <w:rsid w:val="00343711"/>
    <w:rsid w:val="003437C3"/>
    <w:rsid w:val="00343883"/>
    <w:rsid w:val="00343D4B"/>
    <w:rsid w:val="0034400F"/>
    <w:rsid w:val="00344C8F"/>
    <w:rsid w:val="00345204"/>
    <w:rsid w:val="00345D1D"/>
    <w:rsid w:val="00345E0A"/>
    <w:rsid w:val="00345E82"/>
    <w:rsid w:val="00345EC7"/>
    <w:rsid w:val="003460FB"/>
    <w:rsid w:val="00346387"/>
    <w:rsid w:val="003467E9"/>
    <w:rsid w:val="00346F0A"/>
    <w:rsid w:val="0034706C"/>
    <w:rsid w:val="003472D5"/>
    <w:rsid w:val="003472FC"/>
    <w:rsid w:val="003476CA"/>
    <w:rsid w:val="003476D1"/>
    <w:rsid w:val="00347958"/>
    <w:rsid w:val="00347A13"/>
    <w:rsid w:val="00347FA1"/>
    <w:rsid w:val="003502AA"/>
    <w:rsid w:val="003507DC"/>
    <w:rsid w:val="0035082E"/>
    <w:rsid w:val="003508DB"/>
    <w:rsid w:val="0035093D"/>
    <w:rsid w:val="00350CA7"/>
    <w:rsid w:val="00351062"/>
    <w:rsid w:val="00352836"/>
    <w:rsid w:val="00352944"/>
    <w:rsid w:val="00352AC1"/>
    <w:rsid w:val="00352F7B"/>
    <w:rsid w:val="003530EC"/>
    <w:rsid w:val="00353CB9"/>
    <w:rsid w:val="00354401"/>
    <w:rsid w:val="0035479A"/>
    <w:rsid w:val="00354812"/>
    <w:rsid w:val="00354D0F"/>
    <w:rsid w:val="00355648"/>
    <w:rsid w:val="003556C5"/>
    <w:rsid w:val="00355C6B"/>
    <w:rsid w:val="00356239"/>
    <w:rsid w:val="00356662"/>
    <w:rsid w:val="0035686A"/>
    <w:rsid w:val="00356F38"/>
    <w:rsid w:val="00356F8B"/>
    <w:rsid w:val="003575B7"/>
    <w:rsid w:val="003579F1"/>
    <w:rsid w:val="00357E65"/>
    <w:rsid w:val="00357F36"/>
    <w:rsid w:val="00360000"/>
    <w:rsid w:val="003607A0"/>
    <w:rsid w:val="00360951"/>
    <w:rsid w:val="00360DE8"/>
    <w:rsid w:val="00360EA8"/>
    <w:rsid w:val="00361885"/>
    <w:rsid w:val="003621C8"/>
    <w:rsid w:val="003622BB"/>
    <w:rsid w:val="00362534"/>
    <w:rsid w:val="00362E17"/>
    <w:rsid w:val="003635C0"/>
    <w:rsid w:val="00363AD9"/>
    <w:rsid w:val="00363C5B"/>
    <w:rsid w:val="00364667"/>
    <w:rsid w:val="003647E2"/>
    <w:rsid w:val="00364B09"/>
    <w:rsid w:val="00364BF5"/>
    <w:rsid w:val="0036534D"/>
    <w:rsid w:val="0036625E"/>
    <w:rsid w:val="00366722"/>
    <w:rsid w:val="00366BCA"/>
    <w:rsid w:val="00366EED"/>
    <w:rsid w:val="0036761D"/>
    <w:rsid w:val="003701E3"/>
    <w:rsid w:val="0037024E"/>
    <w:rsid w:val="00370474"/>
    <w:rsid w:val="0037058D"/>
    <w:rsid w:val="00370896"/>
    <w:rsid w:val="003708E0"/>
    <w:rsid w:val="003709A9"/>
    <w:rsid w:val="00370FDA"/>
    <w:rsid w:val="00371145"/>
    <w:rsid w:val="00371445"/>
    <w:rsid w:val="0037150F"/>
    <w:rsid w:val="00371A4B"/>
    <w:rsid w:val="00372517"/>
    <w:rsid w:val="003728E0"/>
    <w:rsid w:val="00372988"/>
    <w:rsid w:val="00372B37"/>
    <w:rsid w:val="00372E10"/>
    <w:rsid w:val="00372E96"/>
    <w:rsid w:val="0037311F"/>
    <w:rsid w:val="0037333F"/>
    <w:rsid w:val="00374BA4"/>
    <w:rsid w:val="0037665A"/>
    <w:rsid w:val="003767E3"/>
    <w:rsid w:val="00376A5A"/>
    <w:rsid w:val="00376F88"/>
    <w:rsid w:val="00377062"/>
    <w:rsid w:val="003775FF"/>
    <w:rsid w:val="00377B51"/>
    <w:rsid w:val="00377FED"/>
    <w:rsid w:val="0038010F"/>
    <w:rsid w:val="0038047A"/>
    <w:rsid w:val="00380F89"/>
    <w:rsid w:val="00381693"/>
    <w:rsid w:val="0038192C"/>
    <w:rsid w:val="00381AD3"/>
    <w:rsid w:val="00381E62"/>
    <w:rsid w:val="0038210E"/>
    <w:rsid w:val="00382A7C"/>
    <w:rsid w:val="00382B79"/>
    <w:rsid w:val="00383554"/>
    <w:rsid w:val="003837BC"/>
    <w:rsid w:val="003838E8"/>
    <w:rsid w:val="00383E67"/>
    <w:rsid w:val="0038416A"/>
    <w:rsid w:val="00384202"/>
    <w:rsid w:val="00384245"/>
    <w:rsid w:val="003843EC"/>
    <w:rsid w:val="00384AC0"/>
    <w:rsid w:val="00384AD5"/>
    <w:rsid w:val="00385999"/>
    <w:rsid w:val="00385EFA"/>
    <w:rsid w:val="00386019"/>
    <w:rsid w:val="003862BB"/>
    <w:rsid w:val="0038631D"/>
    <w:rsid w:val="003864FE"/>
    <w:rsid w:val="00387756"/>
    <w:rsid w:val="00390284"/>
    <w:rsid w:val="00390C14"/>
    <w:rsid w:val="00390F2D"/>
    <w:rsid w:val="003913B7"/>
    <w:rsid w:val="00391A93"/>
    <w:rsid w:val="0039231E"/>
    <w:rsid w:val="003927E8"/>
    <w:rsid w:val="00392910"/>
    <w:rsid w:val="00393110"/>
    <w:rsid w:val="003935C3"/>
    <w:rsid w:val="00393855"/>
    <w:rsid w:val="0039390D"/>
    <w:rsid w:val="00393F8C"/>
    <w:rsid w:val="00394973"/>
    <w:rsid w:val="003949F9"/>
    <w:rsid w:val="00394D8E"/>
    <w:rsid w:val="00395817"/>
    <w:rsid w:val="00395919"/>
    <w:rsid w:val="0039592E"/>
    <w:rsid w:val="00395CF6"/>
    <w:rsid w:val="00395F97"/>
    <w:rsid w:val="003960C5"/>
    <w:rsid w:val="003960D4"/>
    <w:rsid w:val="00396314"/>
    <w:rsid w:val="003964E1"/>
    <w:rsid w:val="00396A97"/>
    <w:rsid w:val="00396D89"/>
    <w:rsid w:val="0039750E"/>
    <w:rsid w:val="003976AA"/>
    <w:rsid w:val="003A06D4"/>
    <w:rsid w:val="003A0FB7"/>
    <w:rsid w:val="003A127C"/>
    <w:rsid w:val="003A1419"/>
    <w:rsid w:val="003A153C"/>
    <w:rsid w:val="003A15C4"/>
    <w:rsid w:val="003A2BA6"/>
    <w:rsid w:val="003A345C"/>
    <w:rsid w:val="003A3612"/>
    <w:rsid w:val="003A36CD"/>
    <w:rsid w:val="003A36E8"/>
    <w:rsid w:val="003A5920"/>
    <w:rsid w:val="003A5FAD"/>
    <w:rsid w:val="003A61FE"/>
    <w:rsid w:val="003A646D"/>
    <w:rsid w:val="003A655B"/>
    <w:rsid w:val="003A67B4"/>
    <w:rsid w:val="003A6860"/>
    <w:rsid w:val="003A6912"/>
    <w:rsid w:val="003A6951"/>
    <w:rsid w:val="003A700A"/>
    <w:rsid w:val="003A71A0"/>
    <w:rsid w:val="003A79ED"/>
    <w:rsid w:val="003A7D7A"/>
    <w:rsid w:val="003B06CD"/>
    <w:rsid w:val="003B09E8"/>
    <w:rsid w:val="003B12B5"/>
    <w:rsid w:val="003B145F"/>
    <w:rsid w:val="003B162B"/>
    <w:rsid w:val="003B1AD9"/>
    <w:rsid w:val="003B205F"/>
    <w:rsid w:val="003B20EC"/>
    <w:rsid w:val="003B24E8"/>
    <w:rsid w:val="003B27B1"/>
    <w:rsid w:val="003B2B70"/>
    <w:rsid w:val="003B30AD"/>
    <w:rsid w:val="003B342A"/>
    <w:rsid w:val="003B3903"/>
    <w:rsid w:val="003B3960"/>
    <w:rsid w:val="003B3983"/>
    <w:rsid w:val="003B435A"/>
    <w:rsid w:val="003B444F"/>
    <w:rsid w:val="003B4CF4"/>
    <w:rsid w:val="003B4D1F"/>
    <w:rsid w:val="003B4F62"/>
    <w:rsid w:val="003B534E"/>
    <w:rsid w:val="003B5C38"/>
    <w:rsid w:val="003B65F7"/>
    <w:rsid w:val="003B6F09"/>
    <w:rsid w:val="003B766E"/>
    <w:rsid w:val="003B76A4"/>
    <w:rsid w:val="003B783B"/>
    <w:rsid w:val="003B78B3"/>
    <w:rsid w:val="003B7B3B"/>
    <w:rsid w:val="003C0602"/>
    <w:rsid w:val="003C081F"/>
    <w:rsid w:val="003C0D71"/>
    <w:rsid w:val="003C0E66"/>
    <w:rsid w:val="003C11C6"/>
    <w:rsid w:val="003C1625"/>
    <w:rsid w:val="003C1953"/>
    <w:rsid w:val="003C2077"/>
    <w:rsid w:val="003C26CB"/>
    <w:rsid w:val="003C2891"/>
    <w:rsid w:val="003C36E5"/>
    <w:rsid w:val="003C3FAE"/>
    <w:rsid w:val="003C44D5"/>
    <w:rsid w:val="003C4A64"/>
    <w:rsid w:val="003C4B1C"/>
    <w:rsid w:val="003C4CF3"/>
    <w:rsid w:val="003C4E9D"/>
    <w:rsid w:val="003C5EB5"/>
    <w:rsid w:val="003C5FA6"/>
    <w:rsid w:val="003C6418"/>
    <w:rsid w:val="003C643B"/>
    <w:rsid w:val="003C6613"/>
    <w:rsid w:val="003C66ED"/>
    <w:rsid w:val="003C73BF"/>
    <w:rsid w:val="003C7859"/>
    <w:rsid w:val="003C78EC"/>
    <w:rsid w:val="003C7A98"/>
    <w:rsid w:val="003C7C25"/>
    <w:rsid w:val="003C7D6A"/>
    <w:rsid w:val="003C7E8E"/>
    <w:rsid w:val="003D00FC"/>
    <w:rsid w:val="003D0562"/>
    <w:rsid w:val="003D0787"/>
    <w:rsid w:val="003D0C53"/>
    <w:rsid w:val="003D14A8"/>
    <w:rsid w:val="003D1E34"/>
    <w:rsid w:val="003D23C2"/>
    <w:rsid w:val="003D2404"/>
    <w:rsid w:val="003D27ED"/>
    <w:rsid w:val="003D4C64"/>
    <w:rsid w:val="003D5922"/>
    <w:rsid w:val="003D5A1C"/>
    <w:rsid w:val="003D600C"/>
    <w:rsid w:val="003D617A"/>
    <w:rsid w:val="003D64BC"/>
    <w:rsid w:val="003D69F9"/>
    <w:rsid w:val="003D6BA8"/>
    <w:rsid w:val="003D6C37"/>
    <w:rsid w:val="003D6D21"/>
    <w:rsid w:val="003D779A"/>
    <w:rsid w:val="003D7B1A"/>
    <w:rsid w:val="003E0524"/>
    <w:rsid w:val="003E1118"/>
    <w:rsid w:val="003E151E"/>
    <w:rsid w:val="003E1746"/>
    <w:rsid w:val="003E1E73"/>
    <w:rsid w:val="003E258A"/>
    <w:rsid w:val="003E2B2E"/>
    <w:rsid w:val="003E30B1"/>
    <w:rsid w:val="003E3441"/>
    <w:rsid w:val="003E3711"/>
    <w:rsid w:val="003E38DE"/>
    <w:rsid w:val="003E3E24"/>
    <w:rsid w:val="003E3FD0"/>
    <w:rsid w:val="003E3FFD"/>
    <w:rsid w:val="003E40C8"/>
    <w:rsid w:val="003E4210"/>
    <w:rsid w:val="003E442C"/>
    <w:rsid w:val="003E4796"/>
    <w:rsid w:val="003E4EEB"/>
    <w:rsid w:val="003E5839"/>
    <w:rsid w:val="003E5C4E"/>
    <w:rsid w:val="003E6C10"/>
    <w:rsid w:val="003E7B6C"/>
    <w:rsid w:val="003E7DC2"/>
    <w:rsid w:val="003E7F53"/>
    <w:rsid w:val="003F08F8"/>
    <w:rsid w:val="003F0B98"/>
    <w:rsid w:val="003F0F69"/>
    <w:rsid w:val="003F103F"/>
    <w:rsid w:val="003F111A"/>
    <w:rsid w:val="003F1BDE"/>
    <w:rsid w:val="003F1C04"/>
    <w:rsid w:val="003F1FBE"/>
    <w:rsid w:val="003F214B"/>
    <w:rsid w:val="003F2B42"/>
    <w:rsid w:val="003F2FEE"/>
    <w:rsid w:val="003F3C92"/>
    <w:rsid w:val="003F40CE"/>
    <w:rsid w:val="003F4796"/>
    <w:rsid w:val="003F48C9"/>
    <w:rsid w:val="003F49CC"/>
    <w:rsid w:val="003F4C09"/>
    <w:rsid w:val="003F5065"/>
    <w:rsid w:val="003F50AC"/>
    <w:rsid w:val="003F5157"/>
    <w:rsid w:val="003F54E2"/>
    <w:rsid w:val="003F54F7"/>
    <w:rsid w:val="003F55A4"/>
    <w:rsid w:val="003F57FD"/>
    <w:rsid w:val="003F6A5C"/>
    <w:rsid w:val="003F6ED9"/>
    <w:rsid w:val="003F7040"/>
    <w:rsid w:val="003F752C"/>
    <w:rsid w:val="003F79EB"/>
    <w:rsid w:val="00400142"/>
    <w:rsid w:val="004007A8"/>
    <w:rsid w:val="00400A37"/>
    <w:rsid w:val="00400C9C"/>
    <w:rsid w:val="004013D0"/>
    <w:rsid w:val="00401A8C"/>
    <w:rsid w:val="00401B3E"/>
    <w:rsid w:val="004027CF"/>
    <w:rsid w:val="00402907"/>
    <w:rsid w:val="00403B9B"/>
    <w:rsid w:val="00403ED4"/>
    <w:rsid w:val="004041CD"/>
    <w:rsid w:val="0040424E"/>
    <w:rsid w:val="004054D5"/>
    <w:rsid w:val="00406027"/>
    <w:rsid w:val="00406705"/>
    <w:rsid w:val="00406981"/>
    <w:rsid w:val="00406F53"/>
    <w:rsid w:val="004074B2"/>
    <w:rsid w:val="0040754F"/>
    <w:rsid w:val="00407D89"/>
    <w:rsid w:val="004101B1"/>
    <w:rsid w:val="00410A95"/>
    <w:rsid w:val="00410B89"/>
    <w:rsid w:val="00410B94"/>
    <w:rsid w:val="00410C05"/>
    <w:rsid w:val="004110EE"/>
    <w:rsid w:val="00411AEB"/>
    <w:rsid w:val="0041253E"/>
    <w:rsid w:val="00412E34"/>
    <w:rsid w:val="00413E2C"/>
    <w:rsid w:val="004146B9"/>
    <w:rsid w:val="00414A07"/>
    <w:rsid w:val="00414AA8"/>
    <w:rsid w:val="00415F03"/>
    <w:rsid w:val="00416C05"/>
    <w:rsid w:val="00416C3F"/>
    <w:rsid w:val="00416C83"/>
    <w:rsid w:val="00417216"/>
    <w:rsid w:val="0041749A"/>
    <w:rsid w:val="004176F6"/>
    <w:rsid w:val="00417CD1"/>
    <w:rsid w:val="00417D55"/>
    <w:rsid w:val="0042019F"/>
    <w:rsid w:val="00420666"/>
    <w:rsid w:val="00420B24"/>
    <w:rsid w:val="00421203"/>
    <w:rsid w:val="00421377"/>
    <w:rsid w:val="00421F9B"/>
    <w:rsid w:val="00422327"/>
    <w:rsid w:val="004227F9"/>
    <w:rsid w:val="004230E4"/>
    <w:rsid w:val="00423B88"/>
    <w:rsid w:val="00423E2C"/>
    <w:rsid w:val="00424906"/>
    <w:rsid w:val="0042491D"/>
    <w:rsid w:val="00424BA9"/>
    <w:rsid w:val="00425288"/>
    <w:rsid w:val="004254A6"/>
    <w:rsid w:val="0042558C"/>
    <w:rsid w:val="00425814"/>
    <w:rsid w:val="004258FC"/>
    <w:rsid w:val="00425EB4"/>
    <w:rsid w:val="004262D3"/>
    <w:rsid w:val="00426798"/>
    <w:rsid w:val="004267DD"/>
    <w:rsid w:val="004269F1"/>
    <w:rsid w:val="00426B56"/>
    <w:rsid w:val="00426D37"/>
    <w:rsid w:val="00426F4A"/>
    <w:rsid w:val="00427236"/>
    <w:rsid w:val="004275FE"/>
    <w:rsid w:val="00430155"/>
    <w:rsid w:val="0043020C"/>
    <w:rsid w:val="00430672"/>
    <w:rsid w:val="0043077C"/>
    <w:rsid w:val="00430BAD"/>
    <w:rsid w:val="004310C3"/>
    <w:rsid w:val="00431133"/>
    <w:rsid w:val="0043116A"/>
    <w:rsid w:val="00431289"/>
    <w:rsid w:val="004319BA"/>
    <w:rsid w:val="00431A2E"/>
    <w:rsid w:val="00431B14"/>
    <w:rsid w:val="00431B19"/>
    <w:rsid w:val="004331B9"/>
    <w:rsid w:val="0043381B"/>
    <w:rsid w:val="004338FA"/>
    <w:rsid w:val="00434709"/>
    <w:rsid w:val="00434F3C"/>
    <w:rsid w:val="00434FEC"/>
    <w:rsid w:val="004356C0"/>
    <w:rsid w:val="0043583C"/>
    <w:rsid w:val="00435AD4"/>
    <w:rsid w:val="00436729"/>
    <w:rsid w:val="00436887"/>
    <w:rsid w:val="00437144"/>
    <w:rsid w:val="0043743E"/>
    <w:rsid w:val="004374C1"/>
    <w:rsid w:val="004374D4"/>
    <w:rsid w:val="0044044A"/>
    <w:rsid w:val="00440B65"/>
    <w:rsid w:val="00440F4D"/>
    <w:rsid w:val="004417B1"/>
    <w:rsid w:val="004419A1"/>
    <w:rsid w:val="00441BDB"/>
    <w:rsid w:val="00441CEC"/>
    <w:rsid w:val="00441E3A"/>
    <w:rsid w:val="00441F93"/>
    <w:rsid w:val="004422AC"/>
    <w:rsid w:val="00442A0E"/>
    <w:rsid w:val="00442A37"/>
    <w:rsid w:val="00442A85"/>
    <w:rsid w:val="00443036"/>
    <w:rsid w:val="00444007"/>
    <w:rsid w:val="00444294"/>
    <w:rsid w:val="00444405"/>
    <w:rsid w:val="00444513"/>
    <w:rsid w:val="00444621"/>
    <w:rsid w:val="00444705"/>
    <w:rsid w:val="00444B39"/>
    <w:rsid w:val="00444CD5"/>
    <w:rsid w:val="004452D8"/>
    <w:rsid w:val="004455A0"/>
    <w:rsid w:val="00445ED3"/>
    <w:rsid w:val="00446328"/>
    <w:rsid w:val="00446405"/>
    <w:rsid w:val="004465EC"/>
    <w:rsid w:val="00446A3F"/>
    <w:rsid w:val="00446B48"/>
    <w:rsid w:val="00446B4A"/>
    <w:rsid w:val="0044705E"/>
    <w:rsid w:val="004477EA"/>
    <w:rsid w:val="00447F04"/>
    <w:rsid w:val="004501BD"/>
    <w:rsid w:val="00450459"/>
    <w:rsid w:val="00450540"/>
    <w:rsid w:val="0045177C"/>
    <w:rsid w:val="004519FE"/>
    <w:rsid w:val="00451F3C"/>
    <w:rsid w:val="0045233C"/>
    <w:rsid w:val="004528A0"/>
    <w:rsid w:val="0045292B"/>
    <w:rsid w:val="0045296A"/>
    <w:rsid w:val="00452BD4"/>
    <w:rsid w:val="00452C98"/>
    <w:rsid w:val="00453512"/>
    <w:rsid w:val="00454F31"/>
    <w:rsid w:val="004553AB"/>
    <w:rsid w:val="00455689"/>
    <w:rsid w:val="00455690"/>
    <w:rsid w:val="00455DF8"/>
    <w:rsid w:val="00455F0A"/>
    <w:rsid w:val="0045626A"/>
    <w:rsid w:val="004562C0"/>
    <w:rsid w:val="00456A72"/>
    <w:rsid w:val="0045795A"/>
    <w:rsid w:val="00457D3B"/>
    <w:rsid w:val="004607D5"/>
    <w:rsid w:val="00460FAC"/>
    <w:rsid w:val="004614B0"/>
    <w:rsid w:val="00461744"/>
    <w:rsid w:val="00461ABE"/>
    <w:rsid w:val="00461BCE"/>
    <w:rsid w:val="004624B9"/>
    <w:rsid w:val="00463A74"/>
    <w:rsid w:val="00463B64"/>
    <w:rsid w:val="00463ED2"/>
    <w:rsid w:val="004644C3"/>
    <w:rsid w:val="004644F7"/>
    <w:rsid w:val="00464745"/>
    <w:rsid w:val="00464B6A"/>
    <w:rsid w:val="004652D8"/>
    <w:rsid w:val="0046543F"/>
    <w:rsid w:val="0046563C"/>
    <w:rsid w:val="00465722"/>
    <w:rsid w:val="00465DA3"/>
    <w:rsid w:val="004664B7"/>
    <w:rsid w:val="004664BF"/>
    <w:rsid w:val="00466879"/>
    <w:rsid w:val="00466B3F"/>
    <w:rsid w:val="00466C35"/>
    <w:rsid w:val="0046718D"/>
    <w:rsid w:val="004671ED"/>
    <w:rsid w:val="00467541"/>
    <w:rsid w:val="004677ED"/>
    <w:rsid w:val="004679EE"/>
    <w:rsid w:val="00467A1B"/>
    <w:rsid w:val="00470CE5"/>
    <w:rsid w:val="00471203"/>
    <w:rsid w:val="00471575"/>
    <w:rsid w:val="00471CA9"/>
    <w:rsid w:val="00472ADB"/>
    <w:rsid w:val="00472B81"/>
    <w:rsid w:val="004730F8"/>
    <w:rsid w:val="0047356F"/>
    <w:rsid w:val="00473680"/>
    <w:rsid w:val="00473684"/>
    <w:rsid w:val="004739C6"/>
    <w:rsid w:val="00473AB9"/>
    <w:rsid w:val="00474FB8"/>
    <w:rsid w:val="00475854"/>
    <w:rsid w:val="00475892"/>
    <w:rsid w:val="00475948"/>
    <w:rsid w:val="00475DA9"/>
    <w:rsid w:val="00476B99"/>
    <w:rsid w:val="00476BE2"/>
    <w:rsid w:val="00476E71"/>
    <w:rsid w:val="00477C25"/>
    <w:rsid w:val="00477DD6"/>
    <w:rsid w:val="00480082"/>
    <w:rsid w:val="00480682"/>
    <w:rsid w:val="00480EA5"/>
    <w:rsid w:val="00481585"/>
    <w:rsid w:val="004815C6"/>
    <w:rsid w:val="004823DA"/>
    <w:rsid w:val="00482909"/>
    <w:rsid w:val="00482971"/>
    <w:rsid w:val="00482C28"/>
    <w:rsid w:val="00482DDE"/>
    <w:rsid w:val="00482E2A"/>
    <w:rsid w:val="00483AEA"/>
    <w:rsid w:val="00483E27"/>
    <w:rsid w:val="00483FA8"/>
    <w:rsid w:val="0048409E"/>
    <w:rsid w:val="00484396"/>
    <w:rsid w:val="0048463F"/>
    <w:rsid w:val="00484C9B"/>
    <w:rsid w:val="00485012"/>
    <w:rsid w:val="0048543D"/>
    <w:rsid w:val="00485C6F"/>
    <w:rsid w:val="00485F1E"/>
    <w:rsid w:val="00486597"/>
    <w:rsid w:val="0048692F"/>
    <w:rsid w:val="00486DF1"/>
    <w:rsid w:val="00487325"/>
    <w:rsid w:val="00487DB1"/>
    <w:rsid w:val="00487E66"/>
    <w:rsid w:val="004919C7"/>
    <w:rsid w:val="00491CAD"/>
    <w:rsid w:val="00492D6E"/>
    <w:rsid w:val="00494114"/>
    <w:rsid w:val="0049454D"/>
    <w:rsid w:val="00494A7D"/>
    <w:rsid w:val="0049511B"/>
    <w:rsid w:val="00496A59"/>
    <w:rsid w:val="00496CFB"/>
    <w:rsid w:val="00496DF2"/>
    <w:rsid w:val="004972C4"/>
    <w:rsid w:val="004A0863"/>
    <w:rsid w:val="004A08E6"/>
    <w:rsid w:val="004A0DEB"/>
    <w:rsid w:val="004A0EBC"/>
    <w:rsid w:val="004A1209"/>
    <w:rsid w:val="004A125A"/>
    <w:rsid w:val="004A1370"/>
    <w:rsid w:val="004A15D2"/>
    <w:rsid w:val="004A1A51"/>
    <w:rsid w:val="004A26FB"/>
    <w:rsid w:val="004A2BEE"/>
    <w:rsid w:val="004A2E0C"/>
    <w:rsid w:val="004A3772"/>
    <w:rsid w:val="004A3BDA"/>
    <w:rsid w:val="004A3F06"/>
    <w:rsid w:val="004A4055"/>
    <w:rsid w:val="004A41A6"/>
    <w:rsid w:val="004A427A"/>
    <w:rsid w:val="004A43E8"/>
    <w:rsid w:val="004A504C"/>
    <w:rsid w:val="004A55CD"/>
    <w:rsid w:val="004A5C2D"/>
    <w:rsid w:val="004A5DB6"/>
    <w:rsid w:val="004A5E47"/>
    <w:rsid w:val="004A632B"/>
    <w:rsid w:val="004A642D"/>
    <w:rsid w:val="004A67C2"/>
    <w:rsid w:val="004A6985"/>
    <w:rsid w:val="004A6A36"/>
    <w:rsid w:val="004A6E61"/>
    <w:rsid w:val="004A750F"/>
    <w:rsid w:val="004A7546"/>
    <w:rsid w:val="004A77AE"/>
    <w:rsid w:val="004B03FA"/>
    <w:rsid w:val="004B04C0"/>
    <w:rsid w:val="004B0609"/>
    <w:rsid w:val="004B0A82"/>
    <w:rsid w:val="004B129F"/>
    <w:rsid w:val="004B1808"/>
    <w:rsid w:val="004B21FC"/>
    <w:rsid w:val="004B2633"/>
    <w:rsid w:val="004B2F80"/>
    <w:rsid w:val="004B34A7"/>
    <w:rsid w:val="004B3B82"/>
    <w:rsid w:val="004B49BB"/>
    <w:rsid w:val="004B516E"/>
    <w:rsid w:val="004B5202"/>
    <w:rsid w:val="004B561E"/>
    <w:rsid w:val="004B5C8F"/>
    <w:rsid w:val="004B624A"/>
    <w:rsid w:val="004B6946"/>
    <w:rsid w:val="004B69B7"/>
    <w:rsid w:val="004B6A30"/>
    <w:rsid w:val="004B6C19"/>
    <w:rsid w:val="004B6F6B"/>
    <w:rsid w:val="004B7828"/>
    <w:rsid w:val="004B7844"/>
    <w:rsid w:val="004B7E7B"/>
    <w:rsid w:val="004C027C"/>
    <w:rsid w:val="004C0438"/>
    <w:rsid w:val="004C1025"/>
    <w:rsid w:val="004C104E"/>
    <w:rsid w:val="004C12D7"/>
    <w:rsid w:val="004C16F9"/>
    <w:rsid w:val="004C1E8A"/>
    <w:rsid w:val="004C21E8"/>
    <w:rsid w:val="004C2299"/>
    <w:rsid w:val="004C23D9"/>
    <w:rsid w:val="004C29FC"/>
    <w:rsid w:val="004C2E9F"/>
    <w:rsid w:val="004C2F97"/>
    <w:rsid w:val="004C3A17"/>
    <w:rsid w:val="004C3D33"/>
    <w:rsid w:val="004C446A"/>
    <w:rsid w:val="004C4C27"/>
    <w:rsid w:val="004C4F6F"/>
    <w:rsid w:val="004C533C"/>
    <w:rsid w:val="004C5433"/>
    <w:rsid w:val="004C580D"/>
    <w:rsid w:val="004C5978"/>
    <w:rsid w:val="004C77A9"/>
    <w:rsid w:val="004C7A57"/>
    <w:rsid w:val="004C7A7B"/>
    <w:rsid w:val="004C7BAA"/>
    <w:rsid w:val="004C7E6D"/>
    <w:rsid w:val="004C7F96"/>
    <w:rsid w:val="004D013C"/>
    <w:rsid w:val="004D08C5"/>
    <w:rsid w:val="004D0BB1"/>
    <w:rsid w:val="004D19B6"/>
    <w:rsid w:val="004D1A3E"/>
    <w:rsid w:val="004D1D3A"/>
    <w:rsid w:val="004D1E8E"/>
    <w:rsid w:val="004D1EFF"/>
    <w:rsid w:val="004D235E"/>
    <w:rsid w:val="004D266B"/>
    <w:rsid w:val="004D277A"/>
    <w:rsid w:val="004D2B47"/>
    <w:rsid w:val="004D2E3E"/>
    <w:rsid w:val="004D2FC9"/>
    <w:rsid w:val="004D3521"/>
    <w:rsid w:val="004D39C1"/>
    <w:rsid w:val="004D3ACC"/>
    <w:rsid w:val="004D3B6C"/>
    <w:rsid w:val="004D3CE6"/>
    <w:rsid w:val="004D4A62"/>
    <w:rsid w:val="004D5019"/>
    <w:rsid w:val="004D54C1"/>
    <w:rsid w:val="004D5540"/>
    <w:rsid w:val="004D555A"/>
    <w:rsid w:val="004D576D"/>
    <w:rsid w:val="004D64FC"/>
    <w:rsid w:val="004D6B4E"/>
    <w:rsid w:val="004D7723"/>
    <w:rsid w:val="004D79FA"/>
    <w:rsid w:val="004D7ECE"/>
    <w:rsid w:val="004E0052"/>
    <w:rsid w:val="004E011D"/>
    <w:rsid w:val="004E0313"/>
    <w:rsid w:val="004E0961"/>
    <w:rsid w:val="004E0CD0"/>
    <w:rsid w:val="004E1E22"/>
    <w:rsid w:val="004E2604"/>
    <w:rsid w:val="004E2A06"/>
    <w:rsid w:val="004E2C86"/>
    <w:rsid w:val="004E2C98"/>
    <w:rsid w:val="004E2DD1"/>
    <w:rsid w:val="004E316C"/>
    <w:rsid w:val="004E32FC"/>
    <w:rsid w:val="004E3571"/>
    <w:rsid w:val="004E35E1"/>
    <w:rsid w:val="004E3DD6"/>
    <w:rsid w:val="004E426D"/>
    <w:rsid w:val="004E4A17"/>
    <w:rsid w:val="004E4B5C"/>
    <w:rsid w:val="004E4EC8"/>
    <w:rsid w:val="004E578A"/>
    <w:rsid w:val="004E61D5"/>
    <w:rsid w:val="004E6447"/>
    <w:rsid w:val="004E6D6B"/>
    <w:rsid w:val="004E6EF1"/>
    <w:rsid w:val="004E7ABA"/>
    <w:rsid w:val="004E7B65"/>
    <w:rsid w:val="004E7CDA"/>
    <w:rsid w:val="004F03CD"/>
    <w:rsid w:val="004F092D"/>
    <w:rsid w:val="004F09B7"/>
    <w:rsid w:val="004F0ED9"/>
    <w:rsid w:val="004F0FC7"/>
    <w:rsid w:val="004F1305"/>
    <w:rsid w:val="004F23D5"/>
    <w:rsid w:val="004F3232"/>
    <w:rsid w:val="004F3259"/>
    <w:rsid w:val="004F3547"/>
    <w:rsid w:val="004F3DEC"/>
    <w:rsid w:val="004F4443"/>
    <w:rsid w:val="004F456C"/>
    <w:rsid w:val="004F4AFD"/>
    <w:rsid w:val="004F4C77"/>
    <w:rsid w:val="004F57FA"/>
    <w:rsid w:val="004F5BD4"/>
    <w:rsid w:val="004F66E4"/>
    <w:rsid w:val="004F68D7"/>
    <w:rsid w:val="004F6932"/>
    <w:rsid w:val="00500449"/>
    <w:rsid w:val="00500A63"/>
    <w:rsid w:val="0050147F"/>
    <w:rsid w:val="0050188B"/>
    <w:rsid w:val="00501E2A"/>
    <w:rsid w:val="00502714"/>
    <w:rsid w:val="00502C9A"/>
    <w:rsid w:val="00502CD4"/>
    <w:rsid w:val="00503B1B"/>
    <w:rsid w:val="00505474"/>
    <w:rsid w:val="00505959"/>
    <w:rsid w:val="00505A1D"/>
    <w:rsid w:val="00505D87"/>
    <w:rsid w:val="00506643"/>
    <w:rsid w:val="005066B7"/>
    <w:rsid w:val="00506B98"/>
    <w:rsid w:val="00507090"/>
    <w:rsid w:val="005071A1"/>
    <w:rsid w:val="005074A6"/>
    <w:rsid w:val="00507B38"/>
    <w:rsid w:val="00510704"/>
    <w:rsid w:val="00510AAF"/>
    <w:rsid w:val="0051155F"/>
    <w:rsid w:val="00511F0B"/>
    <w:rsid w:val="00512861"/>
    <w:rsid w:val="00512A53"/>
    <w:rsid w:val="00512FE2"/>
    <w:rsid w:val="00513052"/>
    <w:rsid w:val="0051368C"/>
    <w:rsid w:val="005136C4"/>
    <w:rsid w:val="00513D3E"/>
    <w:rsid w:val="00513F49"/>
    <w:rsid w:val="00514268"/>
    <w:rsid w:val="005144F7"/>
    <w:rsid w:val="00514B8C"/>
    <w:rsid w:val="00514E1A"/>
    <w:rsid w:val="005158B6"/>
    <w:rsid w:val="00515ADF"/>
    <w:rsid w:val="00515B87"/>
    <w:rsid w:val="00516168"/>
    <w:rsid w:val="0051629E"/>
    <w:rsid w:val="005165E3"/>
    <w:rsid w:val="005167FB"/>
    <w:rsid w:val="00516FD5"/>
    <w:rsid w:val="005178FA"/>
    <w:rsid w:val="005179A0"/>
    <w:rsid w:val="00517AF9"/>
    <w:rsid w:val="00521237"/>
    <w:rsid w:val="00521D17"/>
    <w:rsid w:val="00521FFE"/>
    <w:rsid w:val="005223F9"/>
    <w:rsid w:val="005227E4"/>
    <w:rsid w:val="00522BEB"/>
    <w:rsid w:val="00523626"/>
    <w:rsid w:val="00523858"/>
    <w:rsid w:val="00523E37"/>
    <w:rsid w:val="00523FA9"/>
    <w:rsid w:val="0052457D"/>
    <w:rsid w:val="005249D1"/>
    <w:rsid w:val="00524C58"/>
    <w:rsid w:val="00524E81"/>
    <w:rsid w:val="005250E8"/>
    <w:rsid w:val="005253F0"/>
    <w:rsid w:val="005254F1"/>
    <w:rsid w:val="00525595"/>
    <w:rsid w:val="00525663"/>
    <w:rsid w:val="00525668"/>
    <w:rsid w:val="005256D7"/>
    <w:rsid w:val="005257A1"/>
    <w:rsid w:val="005257B9"/>
    <w:rsid w:val="005258FE"/>
    <w:rsid w:val="0052594F"/>
    <w:rsid w:val="0052641E"/>
    <w:rsid w:val="00526519"/>
    <w:rsid w:val="00526709"/>
    <w:rsid w:val="00526BA3"/>
    <w:rsid w:val="005272FB"/>
    <w:rsid w:val="00527870"/>
    <w:rsid w:val="00527F2F"/>
    <w:rsid w:val="00530CD7"/>
    <w:rsid w:val="00530F8F"/>
    <w:rsid w:val="005310C4"/>
    <w:rsid w:val="005310DD"/>
    <w:rsid w:val="005312B4"/>
    <w:rsid w:val="005312E8"/>
    <w:rsid w:val="005320AA"/>
    <w:rsid w:val="005322EB"/>
    <w:rsid w:val="00532A2F"/>
    <w:rsid w:val="005333B9"/>
    <w:rsid w:val="00533601"/>
    <w:rsid w:val="005338C9"/>
    <w:rsid w:val="0053399F"/>
    <w:rsid w:val="00534548"/>
    <w:rsid w:val="00534596"/>
    <w:rsid w:val="00534FBF"/>
    <w:rsid w:val="005351FE"/>
    <w:rsid w:val="005361FC"/>
    <w:rsid w:val="00536745"/>
    <w:rsid w:val="0053696C"/>
    <w:rsid w:val="005369CC"/>
    <w:rsid w:val="00536C3A"/>
    <w:rsid w:val="0053743F"/>
    <w:rsid w:val="005374BF"/>
    <w:rsid w:val="0053758A"/>
    <w:rsid w:val="00537F59"/>
    <w:rsid w:val="0054005C"/>
    <w:rsid w:val="00540536"/>
    <w:rsid w:val="00540ABF"/>
    <w:rsid w:val="00540EC2"/>
    <w:rsid w:val="00541104"/>
    <w:rsid w:val="00541D30"/>
    <w:rsid w:val="005424D3"/>
    <w:rsid w:val="00543112"/>
    <w:rsid w:val="00543510"/>
    <w:rsid w:val="0054381B"/>
    <w:rsid w:val="00543BD3"/>
    <w:rsid w:val="00543C28"/>
    <w:rsid w:val="00543CDC"/>
    <w:rsid w:val="00544EEC"/>
    <w:rsid w:val="00545A2F"/>
    <w:rsid w:val="00545E8E"/>
    <w:rsid w:val="00546259"/>
    <w:rsid w:val="0054625F"/>
    <w:rsid w:val="00546D01"/>
    <w:rsid w:val="00547273"/>
    <w:rsid w:val="0054742D"/>
    <w:rsid w:val="005474EF"/>
    <w:rsid w:val="00547E76"/>
    <w:rsid w:val="00550066"/>
    <w:rsid w:val="0055029A"/>
    <w:rsid w:val="005502B1"/>
    <w:rsid w:val="00550674"/>
    <w:rsid w:val="00550B10"/>
    <w:rsid w:val="005517ED"/>
    <w:rsid w:val="00551A92"/>
    <w:rsid w:val="00552211"/>
    <w:rsid w:val="00552951"/>
    <w:rsid w:val="00552BE0"/>
    <w:rsid w:val="00552EEA"/>
    <w:rsid w:val="00552FA5"/>
    <w:rsid w:val="0055359F"/>
    <w:rsid w:val="00553AF8"/>
    <w:rsid w:val="0055430E"/>
    <w:rsid w:val="00554478"/>
    <w:rsid w:val="005544A1"/>
    <w:rsid w:val="00554804"/>
    <w:rsid w:val="00554CAF"/>
    <w:rsid w:val="00554ED3"/>
    <w:rsid w:val="00555958"/>
    <w:rsid w:val="005559E5"/>
    <w:rsid w:val="00555B4B"/>
    <w:rsid w:val="00555C5A"/>
    <w:rsid w:val="00556302"/>
    <w:rsid w:val="00556974"/>
    <w:rsid w:val="00556A04"/>
    <w:rsid w:val="00556F49"/>
    <w:rsid w:val="0055706F"/>
    <w:rsid w:val="005576AE"/>
    <w:rsid w:val="00557919"/>
    <w:rsid w:val="005579E0"/>
    <w:rsid w:val="00557ADA"/>
    <w:rsid w:val="00557B1C"/>
    <w:rsid w:val="00557DDE"/>
    <w:rsid w:val="00557F8D"/>
    <w:rsid w:val="005605DC"/>
    <w:rsid w:val="00560BED"/>
    <w:rsid w:val="00560F11"/>
    <w:rsid w:val="0056113C"/>
    <w:rsid w:val="00561873"/>
    <w:rsid w:val="005621E8"/>
    <w:rsid w:val="00562648"/>
    <w:rsid w:val="005629EE"/>
    <w:rsid w:val="00563004"/>
    <w:rsid w:val="005636AC"/>
    <w:rsid w:val="0056381B"/>
    <w:rsid w:val="005640E5"/>
    <w:rsid w:val="00564410"/>
    <w:rsid w:val="005645B3"/>
    <w:rsid w:val="00564A48"/>
    <w:rsid w:val="00564BE6"/>
    <w:rsid w:val="00564FFB"/>
    <w:rsid w:val="00565657"/>
    <w:rsid w:val="005659DD"/>
    <w:rsid w:val="00565C4C"/>
    <w:rsid w:val="0056610A"/>
    <w:rsid w:val="00566214"/>
    <w:rsid w:val="00566220"/>
    <w:rsid w:val="0056686A"/>
    <w:rsid w:val="00566A0E"/>
    <w:rsid w:val="00566A43"/>
    <w:rsid w:val="00566C27"/>
    <w:rsid w:val="0056773F"/>
    <w:rsid w:val="00567AA6"/>
    <w:rsid w:val="00567EA2"/>
    <w:rsid w:val="00567F6C"/>
    <w:rsid w:val="00570307"/>
    <w:rsid w:val="00570494"/>
    <w:rsid w:val="0057075D"/>
    <w:rsid w:val="005707D1"/>
    <w:rsid w:val="00570828"/>
    <w:rsid w:val="005709DC"/>
    <w:rsid w:val="00571025"/>
    <w:rsid w:val="00571496"/>
    <w:rsid w:val="0057149F"/>
    <w:rsid w:val="00571589"/>
    <w:rsid w:val="005716BF"/>
    <w:rsid w:val="00571775"/>
    <w:rsid w:val="005717AA"/>
    <w:rsid w:val="005719FA"/>
    <w:rsid w:val="00572711"/>
    <w:rsid w:val="00572EC4"/>
    <w:rsid w:val="005731C3"/>
    <w:rsid w:val="00573717"/>
    <w:rsid w:val="00573BE5"/>
    <w:rsid w:val="005744AE"/>
    <w:rsid w:val="0057563F"/>
    <w:rsid w:val="00575EBB"/>
    <w:rsid w:val="005762A1"/>
    <w:rsid w:val="005765DE"/>
    <w:rsid w:val="005767D1"/>
    <w:rsid w:val="005768C0"/>
    <w:rsid w:val="00576921"/>
    <w:rsid w:val="00576C29"/>
    <w:rsid w:val="00576C97"/>
    <w:rsid w:val="0057723C"/>
    <w:rsid w:val="00577BC6"/>
    <w:rsid w:val="00577EA6"/>
    <w:rsid w:val="00577FCF"/>
    <w:rsid w:val="00580471"/>
    <w:rsid w:val="005806CD"/>
    <w:rsid w:val="00580BE8"/>
    <w:rsid w:val="00581A11"/>
    <w:rsid w:val="00581FB6"/>
    <w:rsid w:val="0058202C"/>
    <w:rsid w:val="0058225B"/>
    <w:rsid w:val="005823BC"/>
    <w:rsid w:val="00582AEF"/>
    <w:rsid w:val="00582EF2"/>
    <w:rsid w:val="0058393D"/>
    <w:rsid w:val="005846F7"/>
    <w:rsid w:val="005848CF"/>
    <w:rsid w:val="00584951"/>
    <w:rsid w:val="00584C45"/>
    <w:rsid w:val="00585645"/>
    <w:rsid w:val="0058574F"/>
    <w:rsid w:val="005857AC"/>
    <w:rsid w:val="005862CB"/>
    <w:rsid w:val="005869A4"/>
    <w:rsid w:val="00587082"/>
    <w:rsid w:val="0058735A"/>
    <w:rsid w:val="005878E3"/>
    <w:rsid w:val="00590EBE"/>
    <w:rsid w:val="00591A0E"/>
    <w:rsid w:val="005924BB"/>
    <w:rsid w:val="0059278A"/>
    <w:rsid w:val="00592FB0"/>
    <w:rsid w:val="005931BC"/>
    <w:rsid w:val="005934F7"/>
    <w:rsid w:val="00593A79"/>
    <w:rsid w:val="00593B2E"/>
    <w:rsid w:val="0059437D"/>
    <w:rsid w:val="00594ADD"/>
    <w:rsid w:val="0059514D"/>
    <w:rsid w:val="00595548"/>
    <w:rsid w:val="00595616"/>
    <w:rsid w:val="00595C4F"/>
    <w:rsid w:val="00595E1B"/>
    <w:rsid w:val="00596789"/>
    <w:rsid w:val="005977E3"/>
    <w:rsid w:val="00597E0E"/>
    <w:rsid w:val="00597FE1"/>
    <w:rsid w:val="005A0370"/>
    <w:rsid w:val="005A0495"/>
    <w:rsid w:val="005A084A"/>
    <w:rsid w:val="005A0B57"/>
    <w:rsid w:val="005A10AD"/>
    <w:rsid w:val="005A1D7E"/>
    <w:rsid w:val="005A1E33"/>
    <w:rsid w:val="005A20D8"/>
    <w:rsid w:val="005A2394"/>
    <w:rsid w:val="005A349F"/>
    <w:rsid w:val="005A39F8"/>
    <w:rsid w:val="005A3DA8"/>
    <w:rsid w:val="005A4FDD"/>
    <w:rsid w:val="005A50E2"/>
    <w:rsid w:val="005A535B"/>
    <w:rsid w:val="005A5CDF"/>
    <w:rsid w:val="005A5CFB"/>
    <w:rsid w:val="005A63E4"/>
    <w:rsid w:val="005A658E"/>
    <w:rsid w:val="005A6600"/>
    <w:rsid w:val="005A708A"/>
    <w:rsid w:val="005A7838"/>
    <w:rsid w:val="005A7846"/>
    <w:rsid w:val="005A7CC3"/>
    <w:rsid w:val="005A7D19"/>
    <w:rsid w:val="005B069A"/>
    <w:rsid w:val="005B099E"/>
    <w:rsid w:val="005B0EBE"/>
    <w:rsid w:val="005B116A"/>
    <w:rsid w:val="005B1567"/>
    <w:rsid w:val="005B1C3C"/>
    <w:rsid w:val="005B1C70"/>
    <w:rsid w:val="005B2629"/>
    <w:rsid w:val="005B264C"/>
    <w:rsid w:val="005B272D"/>
    <w:rsid w:val="005B2C1D"/>
    <w:rsid w:val="005B2E23"/>
    <w:rsid w:val="005B2FE7"/>
    <w:rsid w:val="005B3996"/>
    <w:rsid w:val="005B3F3D"/>
    <w:rsid w:val="005B46D2"/>
    <w:rsid w:val="005B4E30"/>
    <w:rsid w:val="005B62B0"/>
    <w:rsid w:val="005B6914"/>
    <w:rsid w:val="005B6BB6"/>
    <w:rsid w:val="005B6BFE"/>
    <w:rsid w:val="005B6DF5"/>
    <w:rsid w:val="005B7241"/>
    <w:rsid w:val="005B73ED"/>
    <w:rsid w:val="005B757C"/>
    <w:rsid w:val="005B7644"/>
    <w:rsid w:val="005B7AB4"/>
    <w:rsid w:val="005C0014"/>
    <w:rsid w:val="005C08CA"/>
    <w:rsid w:val="005C1055"/>
    <w:rsid w:val="005C13E8"/>
    <w:rsid w:val="005C1817"/>
    <w:rsid w:val="005C1D00"/>
    <w:rsid w:val="005C2192"/>
    <w:rsid w:val="005C22DC"/>
    <w:rsid w:val="005C23E4"/>
    <w:rsid w:val="005C250A"/>
    <w:rsid w:val="005C2D72"/>
    <w:rsid w:val="005C2FEA"/>
    <w:rsid w:val="005C3578"/>
    <w:rsid w:val="005C3965"/>
    <w:rsid w:val="005C4753"/>
    <w:rsid w:val="005C47A7"/>
    <w:rsid w:val="005C4E01"/>
    <w:rsid w:val="005C4FD2"/>
    <w:rsid w:val="005C5916"/>
    <w:rsid w:val="005C59D0"/>
    <w:rsid w:val="005C5F11"/>
    <w:rsid w:val="005C653B"/>
    <w:rsid w:val="005C6D4C"/>
    <w:rsid w:val="005C6FAE"/>
    <w:rsid w:val="005C712E"/>
    <w:rsid w:val="005C7366"/>
    <w:rsid w:val="005C7CCD"/>
    <w:rsid w:val="005D014C"/>
    <w:rsid w:val="005D02E5"/>
    <w:rsid w:val="005D07EE"/>
    <w:rsid w:val="005D0949"/>
    <w:rsid w:val="005D0E6E"/>
    <w:rsid w:val="005D16F6"/>
    <w:rsid w:val="005D1BDC"/>
    <w:rsid w:val="005D1C50"/>
    <w:rsid w:val="005D272E"/>
    <w:rsid w:val="005D277B"/>
    <w:rsid w:val="005D2882"/>
    <w:rsid w:val="005D2E4B"/>
    <w:rsid w:val="005D2F50"/>
    <w:rsid w:val="005D2FB3"/>
    <w:rsid w:val="005D3463"/>
    <w:rsid w:val="005D3C32"/>
    <w:rsid w:val="005D3D87"/>
    <w:rsid w:val="005D4288"/>
    <w:rsid w:val="005D4565"/>
    <w:rsid w:val="005D45C9"/>
    <w:rsid w:val="005D49FE"/>
    <w:rsid w:val="005D573E"/>
    <w:rsid w:val="005D5F44"/>
    <w:rsid w:val="005D60AD"/>
    <w:rsid w:val="005D6203"/>
    <w:rsid w:val="005D6AE6"/>
    <w:rsid w:val="005D6E5E"/>
    <w:rsid w:val="005D7B9B"/>
    <w:rsid w:val="005D7D3B"/>
    <w:rsid w:val="005D7F95"/>
    <w:rsid w:val="005E00E9"/>
    <w:rsid w:val="005E0C3C"/>
    <w:rsid w:val="005E105E"/>
    <w:rsid w:val="005E159F"/>
    <w:rsid w:val="005E23B6"/>
    <w:rsid w:val="005E2A89"/>
    <w:rsid w:val="005E33D8"/>
    <w:rsid w:val="005E3A5D"/>
    <w:rsid w:val="005E4093"/>
    <w:rsid w:val="005E4330"/>
    <w:rsid w:val="005E4402"/>
    <w:rsid w:val="005E4960"/>
    <w:rsid w:val="005E4999"/>
    <w:rsid w:val="005E4FED"/>
    <w:rsid w:val="005E5948"/>
    <w:rsid w:val="005E5D01"/>
    <w:rsid w:val="005E61DC"/>
    <w:rsid w:val="005E6427"/>
    <w:rsid w:val="005E6DDE"/>
    <w:rsid w:val="005E6FF6"/>
    <w:rsid w:val="005E70FE"/>
    <w:rsid w:val="005E78DA"/>
    <w:rsid w:val="005E7D64"/>
    <w:rsid w:val="005F00EF"/>
    <w:rsid w:val="005F0806"/>
    <w:rsid w:val="005F080C"/>
    <w:rsid w:val="005F0EB9"/>
    <w:rsid w:val="005F12CF"/>
    <w:rsid w:val="005F12E6"/>
    <w:rsid w:val="005F2276"/>
    <w:rsid w:val="005F2279"/>
    <w:rsid w:val="005F2397"/>
    <w:rsid w:val="005F2743"/>
    <w:rsid w:val="005F2E29"/>
    <w:rsid w:val="005F3020"/>
    <w:rsid w:val="005F3287"/>
    <w:rsid w:val="005F3E91"/>
    <w:rsid w:val="005F4091"/>
    <w:rsid w:val="005F40A3"/>
    <w:rsid w:val="005F4170"/>
    <w:rsid w:val="005F4682"/>
    <w:rsid w:val="005F4EA4"/>
    <w:rsid w:val="005F500F"/>
    <w:rsid w:val="005F5C1E"/>
    <w:rsid w:val="005F5E97"/>
    <w:rsid w:val="005F657E"/>
    <w:rsid w:val="005F682A"/>
    <w:rsid w:val="005F7557"/>
    <w:rsid w:val="005F77E1"/>
    <w:rsid w:val="005F78E6"/>
    <w:rsid w:val="005F7B96"/>
    <w:rsid w:val="005F7C74"/>
    <w:rsid w:val="005F7DEB"/>
    <w:rsid w:val="0060077C"/>
    <w:rsid w:val="0060105D"/>
    <w:rsid w:val="00601226"/>
    <w:rsid w:val="006017A8"/>
    <w:rsid w:val="00601A68"/>
    <w:rsid w:val="00601B57"/>
    <w:rsid w:val="006029A9"/>
    <w:rsid w:val="006034B4"/>
    <w:rsid w:val="00603596"/>
    <w:rsid w:val="00603F43"/>
    <w:rsid w:val="00604565"/>
    <w:rsid w:val="0060484B"/>
    <w:rsid w:val="00604960"/>
    <w:rsid w:val="0060569C"/>
    <w:rsid w:val="00605960"/>
    <w:rsid w:val="00605A83"/>
    <w:rsid w:val="0060638A"/>
    <w:rsid w:val="0060677C"/>
    <w:rsid w:val="00606C1A"/>
    <w:rsid w:val="006072E9"/>
    <w:rsid w:val="006075D5"/>
    <w:rsid w:val="006077E9"/>
    <w:rsid w:val="00610174"/>
    <w:rsid w:val="00610370"/>
    <w:rsid w:val="006103D5"/>
    <w:rsid w:val="00610710"/>
    <w:rsid w:val="00610D59"/>
    <w:rsid w:val="006112B0"/>
    <w:rsid w:val="0061140C"/>
    <w:rsid w:val="00611448"/>
    <w:rsid w:val="006118FD"/>
    <w:rsid w:val="00611AAC"/>
    <w:rsid w:val="00611DD9"/>
    <w:rsid w:val="00612378"/>
    <w:rsid w:val="006130C2"/>
    <w:rsid w:val="00613505"/>
    <w:rsid w:val="00613A9D"/>
    <w:rsid w:val="00613E87"/>
    <w:rsid w:val="00614A80"/>
    <w:rsid w:val="00614BB4"/>
    <w:rsid w:val="00615043"/>
    <w:rsid w:val="006151CF"/>
    <w:rsid w:val="00615301"/>
    <w:rsid w:val="0061545D"/>
    <w:rsid w:val="00615B8F"/>
    <w:rsid w:val="00615E0B"/>
    <w:rsid w:val="00616911"/>
    <w:rsid w:val="00616AB9"/>
    <w:rsid w:val="00616AFF"/>
    <w:rsid w:val="00616B80"/>
    <w:rsid w:val="00617118"/>
    <w:rsid w:val="00617386"/>
    <w:rsid w:val="0061741B"/>
    <w:rsid w:val="00620D6B"/>
    <w:rsid w:val="00620FAD"/>
    <w:rsid w:val="006213DB"/>
    <w:rsid w:val="006214C3"/>
    <w:rsid w:val="00621732"/>
    <w:rsid w:val="00621738"/>
    <w:rsid w:val="006225E1"/>
    <w:rsid w:val="0062382B"/>
    <w:rsid w:val="0062475E"/>
    <w:rsid w:val="006248C8"/>
    <w:rsid w:val="00624D4B"/>
    <w:rsid w:val="00624D99"/>
    <w:rsid w:val="006251BB"/>
    <w:rsid w:val="0062527A"/>
    <w:rsid w:val="00625375"/>
    <w:rsid w:val="006253EB"/>
    <w:rsid w:val="0062573E"/>
    <w:rsid w:val="00625851"/>
    <w:rsid w:val="00626175"/>
    <w:rsid w:val="00626775"/>
    <w:rsid w:val="00626AF8"/>
    <w:rsid w:val="00626CA6"/>
    <w:rsid w:val="00626CD2"/>
    <w:rsid w:val="00626D29"/>
    <w:rsid w:val="00626F51"/>
    <w:rsid w:val="00627185"/>
    <w:rsid w:val="00627D97"/>
    <w:rsid w:val="00630793"/>
    <w:rsid w:val="006309F2"/>
    <w:rsid w:val="006310A4"/>
    <w:rsid w:val="00631665"/>
    <w:rsid w:val="006318DC"/>
    <w:rsid w:val="0063192E"/>
    <w:rsid w:val="00631C0A"/>
    <w:rsid w:val="00632735"/>
    <w:rsid w:val="006328DF"/>
    <w:rsid w:val="00632CFA"/>
    <w:rsid w:val="006335FF"/>
    <w:rsid w:val="00633ABF"/>
    <w:rsid w:val="0063435A"/>
    <w:rsid w:val="006357CC"/>
    <w:rsid w:val="00635BA0"/>
    <w:rsid w:val="006360B2"/>
    <w:rsid w:val="00636C6F"/>
    <w:rsid w:val="006377D7"/>
    <w:rsid w:val="00637A5E"/>
    <w:rsid w:val="00637B24"/>
    <w:rsid w:val="00637DB0"/>
    <w:rsid w:val="00637E9A"/>
    <w:rsid w:val="0064044A"/>
    <w:rsid w:val="00640640"/>
    <w:rsid w:val="00640833"/>
    <w:rsid w:val="00640A7D"/>
    <w:rsid w:val="0064115F"/>
    <w:rsid w:val="00641EDB"/>
    <w:rsid w:val="00641FF8"/>
    <w:rsid w:val="00642003"/>
    <w:rsid w:val="00642774"/>
    <w:rsid w:val="0064299A"/>
    <w:rsid w:val="0064302E"/>
    <w:rsid w:val="006431CD"/>
    <w:rsid w:val="00643482"/>
    <w:rsid w:val="00643D0D"/>
    <w:rsid w:val="00643E26"/>
    <w:rsid w:val="006448C5"/>
    <w:rsid w:val="006449EA"/>
    <w:rsid w:val="00644C3C"/>
    <w:rsid w:val="00644D4B"/>
    <w:rsid w:val="00645083"/>
    <w:rsid w:val="00645676"/>
    <w:rsid w:val="0064597F"/>
    <w:rsid w:val="00645A1D"/>
    <w:rsid w:val="00645DCF"/>
    <w:rsid w:val="006461E6"/>
    <w:rsid w:val="00646677"/>
    <w:rsid w:val="0064679C"/>
    <w:rsid w:val="00646BF7"/>
    <w:rsid w:val="006470CC"/>
    <w:rsid w:val="006479F0"/>
    <w:rsid w:val="006503E2"/>
    <w:rsid w:val="006509C3"/>
    <w:rsid w:val="00650C47"/>
    <w:rsid w:val="00651481"/>
    <w:rsid w:val="006516B5"/>
    <w:rsid w:val="00651905"/>
    <w:rsid w:val="00652062"/>
    <w:rsid w:val="006521ED"/>
    <w:rsid w:val="0065273D"/>
    <w:rsid w:val="00653BC6"/>
    <w:rsid w:val="00653E84"/>
    <w:rsid w:val="00654019"/>
    <w:rsid w:val="00654972"/>
    <w:rsid w:val="00654A6E"/>
    <w:rsid w:val="00654D45"/>
    <w:rsid w:val="0065519F"/>
    <w:rsid w:val="006556BE"/>
    <w:rsid w:val="006558C4"/>
    <w:rsid w:val="00655963"/>
    <w:rsid w:val="00656031"/>
    <w:rsid w:val="00656236"/>
    <w:rsid w:val="0065645D"/>
    <w:rsid w:val="006565DF"/>
    <w:rsid w:val="00656CE0"/>
    <w:rsid w:val="00656F45"/>
    <w:rsid w:val="0065715A"/>
    <w:rsid w:val="0065748D"/>
    <w:rsid w:val="006577DA"/>
    <w:rsid w:val="00657A86"/>
    <w:rsid w:val="00657E29"/>
    <w:rsid w:val="00657F1C"/>
    <w:rsid w:val="00660039"/>
    <w:rsid w:val="0066016B"/>
    <w:rsid w:val="0066024C"/>
    <w:rsid w:val="00660DDE"/>
    <w:rsid w:val="0066137E"/>
    <w:rsid w:val="00662812"/>
    <w:rsid w:val="00662E34"/>
    <w:rsid w:val="00662FBF"/>
    <w:rsid w:val="006631DF"/>
    <w:rsid w:val="006634A6"/>
    <w:rsid w:val="00663B4A"/>
    <w:rsid w:val="00663C82"/>
    <w:rsid w:val="00664138"/>
    <w:rsid w:val="00664721"/>
    <w:rsid w:val="006649F3"/>
    <w:rsid w:val="00664B9D"/>
    <w:rsid w:val="006663A2"/>
    <w:rsid w:val="006666B4"/>
    <w:rsid w:val="006669B5"/>
    <w:rsid w:val="006669EA"/>
    <w:rsid w:val="00666D97"/>
    <w:rsid w:val="0066739D"/>
    <w:rsid w:val="0067012E"/>
    <w:rsid w:val="0067188D"/>
    <w:rsid w:val="00671D34"/>
    <w:rsid w:val="00672232"/>
    <w:rsid w:val="006726A8"/>
    <w:rsid w:val="00672E3F"/>
    <w:rsid w:val="0067335A"/>
    <w:rsid w:val="00673CB7"/>
    <w:rsid w:val="0067444B"/>
    <w:rsid w:val="006744FD"/>
    <w:rsid w:val="0067510F"/>
    <w:rsid w:val="006756F1"/>
    <w:rsid w:val="0067585F"/>
    <w:rsid w:val="00675ACE"/>
    <w:rsid w:val="00675D35"/>
    <w:rsid w:val="00675EA8"/>
    <w:rsid w:val="00676495"/>
    <w:rsid w:val="00677161"/>
    <w:rsid w:val="006773CF"/>
    <w:rsid w:val="006778E8"/>
    <w:rsid w:val="00677984"/>
    <w:rsid w:val="00677F2D"/>
    <w:rsid w:val="00680007"/>
    <w:rsid w:val="00680A6F"/>
    <w:rsid w:val="00681035"/>
    <w:rsid w:val="0068160A"/>
    <w:rsid w:val="0068169D"/>
    <w:rsid w:val="00681B49"/>
    <w:rsid w:val="00681BC9"/>
    <w:rsid w:val="00681DBB"/>
    <w:rsid w:val="00681F87"/>
    <w:rsid w:val="00682B70"/>
    <w:rsid w:val="00682C92"/>
    <w:rsid w:val="0068427C"/>
    <w:rsid w:val="00684283"/>
    <w:rsid w:val="006844BD"/>
    <w:rsid w:val="00684C90"/>
    <w:rsid w:val="00685177"/>
    <w:rsid w:val="00685B92"/>
    <w:rsid w:val="00685FEF"/>
    <w:rsid w:val="00686160"/>
    <w:rsid w:val="00686511"/>
    <w:rsid w:val="006865B0"/>
    <w:rsid w:val="00686850"/>
    <w:rsid w:val="00686C60"/>
    <w:rsid w:val="006872F2"/>
    <w:rsid w:val="00690175"/>
    <w:rsid w:val="00690723"/>
    <w:rsid w:val="00690820"/>
    <w:rsid w:val="00690E76"/>
    <w:rsid w:val="006915A0"/>
    <w:rsid w:val="0069166A"/>
    <w:rsid w:val="006919E9"/>
    <w:rsid w:val="00692EE6"/>
    <w:rsid w:val="00693054"/>
    <w:rsid w:val="006930D7"/>
    <w:rsid w:val="006931B7"/>
    <w:rsid w:val="006934B9"/>
    <w:rsid w:val="00693A16"/>
    <w:rsid w:val="00693D8F"/>
    <w:rsid w:val="00693F6C"/>
    <w:rsid w:val="00694625"/>
    <w:rsid w:val="00694B6B"/>
    <w:rsid w:val="00694BB7"/>
    <w:rsid w:val="00694FFE"/>
    <w:rsid w:val="0069524C"/>
    <w:rsid w:val="00695537"/>
    <w:rsid w:val="00695610"/>
    <w:rsid w:val="00695F83"/>
    <w:rsid w:val="006960D2"/>
    <w:rsid w:val="00696296"/>
    <w:rsid w:val="006963F2"/>
    <w:rsid w:val="00696BF5"/>
    <w:rsid w:val="006971E0"/>
    <w:rsid w:val="0069742F"/>
    <w:rsid w:val="006979D6"/>
    <w:rsid w:val="006A1028"/>
    <w:rsid w:val="006A15E2"/>
    <w:rsid w:val="006A1AA9"/>
    <w:rsid w:val="006A2214"/>
    <w:rsid w:val="006A2A9C"/>
    <w:rsid w:val="006A326B"/>
    <w:rsid w:val="006A32EB"/>
    <w:rsid w:val="006A3505"/>
    <w:rsid w:val="006A3ACE"/>
    <w:rsid w:val="006A3D6F"/>
    <w:rsid w:val="006A4130"/>
    <w:rsid w:val="006A4417"/>
    <w:rsid w:val="006A4DCC"/>
    <w:rsid w:val="006A5DE6"/>
    <w:rsid w:val="006A6A5C"/>
    <w:rsid w:val="006A6A8C"/>
    <w:rsid w:val="006A6F66"/>
    <w:rsid w:val="006A6FAF"/>
    <w:rsid w:val="006A70F5"/>
    <w:rsid w:val="006A7297"/>
    <w:rsid w:val="006A768D"/>
    <w:rsid w:val="006A7BE3"/>
    <w:rsid w:val="006A7C51"/>
    <w:rsid w:val="006A7D04"/>
    <w:rsid w:val="006B0BB0"/>
    <w:rsid w:val="006B0BB4"/>
    <w:rsid w:val="006B0BC7"/>
    <w:rsid w:val="006B0FBF"/>
    <w:rsid w:val="006B127D"/>
    <w:rsid w:val="006B14F6"/>
    <w:rsid w:val="006B184B"/>
    <w:rsid w:val="006B1BDF"/>
    <w:rsid w:val="006B31A2"/>
    <w:rsid w:val="006B39B6"/>
    <w:rsid w:val="006B3CB6"/>
    <w:rsid w:val="006B3E9E"/>
    <w:rsid w:val="006B41EB"/>
    <w:rsid w:val="006B43EB"/>
    <w:rsid w:val="006B50F7"/>
    <w:rsid w:val="006B5147"/>
    <w:rsid w:val="006B5309"/>
    <w:rsid w:val="006B53D7"/>
    <w:rsid w:val="006B5635"/>
    <w:rsid w:val="006B58C0"/>
    <w:rsid w:val="006B5A4D"/>
    <w:rsid w:val="006B5FE9"/>
    <w:rsid w:val="006B6312"/>
    <w:rsid w:val="006B6B13"/>
    <w:rsid w:val="006B6D53"/>
    <w:rsid w:val="006B7238"/>
    <w:rsid w:val="006B72BC"/>
    <w:rsid w:val="006B73A2"/>
    <w:rsid w:val="006B7AEC"/>
    <w:rsid w:val="006B7FBA"/>
    <w:rsid w:val="006C001C"/>
    <w:rsid w:val="006C0127"/>
    <w:rsid w:val="006C0676"/>
    <w:rsid w:val="006C0FC3"/>
    <w:rsid w:val="006C1584"/>
    <w:rsid w:val="006C15B9"/>
    <w:rsid w:val="006C201A"/>
    <w:rsid w:val="006C211E"/>
    <w:rsid w:val="006C221D"/>
    <w:rsid w:val="006C2531"/>
    <w:rsid w:val="006C2AFD"/>
    <w:rsid w:val="006C343F"/>
    <w:rsid w:val="006C378B"/>
    <w:rsid w:val="006C4419"/>
    <w:rsid w:val="006C468C"/>
    <w:rsid w:val="006C4D75"/>
    <w:rsid w:val="006C4E7A"/>
    <w:rsid w:val="006C4FB7"/>
    <w:rsid w:val="006C5267"/>
    <w:rsid w:val="006C533A"/>
    <w:rsid w:val="006C549A"/>
    <w:rsid w:val="006C5638"/>
    <w:rsid w:val="006C58CD"/>
    <w:rsid w:val="006C5C5E"/>
    <w:rsid w:val="006C5F5F"/>
    <w:rsid w:val="006C61E4"/>
    <w:rsid w:val="006C6951"/>
    <w:rsid w:val="006C69AA"/>
    <w:rsid w:val="006C76C3"/>
    <w:rsid w:val="006C7958"/>
    <w:rsid w:val="006D0923"/>
    <w:rsid w:val="006D0AE7"/>
    <w:rsid w:val="006D139D"/>
    <w:rsid w:val="006D13A3"/>
    <w:rsid w:val="006D19A9"/>
    <w:rsid w:val="006D223D"/>
    <w:rsid w:val="006D23EE"/>
    <w:rsid w:val="006D24EE"/>
    <w:rsid w:val="006D2598"/>
    <w:rsid w:val="006D285D"/>
    <w:rsid w:val="006D2C57"/>
    <w:rsid w:val="006D3402"/>
    <w:rsid w:val="006D3D2B"/>
    <w:rsid w:val="006D3F88"/>
    <w:rsid w:val="006D40D1"/>
    <w:rsid w:val="006D436C"/>
    <w:rsid w:val="006D4539"/>
    <w:rsid w:val="006D47AF"/>
    <w:rsid w:val="006D4CAA"/>
    <w:rsid w:val="006D51ED"/>
    <w:rsid w:val="006D57B3"/>
    <w:rsid w:val="006D58FC"/>
    <w:rsid w:val="006D5912"/>
    <w:rsid w:val="006D6298"/>
    <w:rsid w:val="006D6B10"/>
    <w:rsid w:val="006D70E4"/>
    <w:rsid w:val="006D72B9"/>
    <w:rsid w:val="006D75E9"/>
    <w:rsid w:val="006D7673"/>
    <w:rsid w:val="006D7835"/>
    <w:rsid w:val="006D7B89"/>
    <w:rsid w:val="006D7F13"/>
    <w:rsid w:val="006E008A"/>
    <w:rsid w:val="006E083D"/>
    <w:rsid w:val="006E20A1"/>
    <w:rsid w:val="006E21DB"/>
    <w:rsid w:val="006E28C2"/>
    <w:rsid w:val="006E2AA5"/>
    <w:rsid w:val="006E2AB1"/>
    <w:rsid w:val="006E304E"/>
    <w:rsid w:val="006E3818"/>
    <w:rsid w:val="006E3C11"/>
    <w:rsid w:val="006E463A"/>
    <w:rsid w:val="006E46FE"/>
    <w:rsid w:val="006E48FC"/>
    <w:rsid w:val="006E4A62"/>
    <w:rsid w:val="006E4B70"/>
    <w:rsid w:val="006E4E1C"/>
    <w:rsid w:val="006E4F4E"/>
    <w:rsid w:val="006E5B5F"/>
    <w:rsid w:val="006E62D6"/>
    <w:rsid w:val="006E6392"/>
    <w:rsid w:val="006E69D5"/>
    <w:rsid w:val="006E793F"/>
    <w:rsid w:val="006E7DF1"/>
    <w:rsid w:val="006E7FCB"/>
    <w:rsid w:val="006F00DE"/>
    <w:rsid w:val="006F0CCA"/>
    <w:rsid w:val="006F10B2"/>
    <w:rsid w:val="006F11D4"/>
    <w:rsid w:val="006F17E6"/>
    <w:rsid w:val="006F1D89"/>
    <w:rsid w:val="006F1DC0"/>
    <w:rsid w:val="006F21C0"/>
    <w:rsid w:val="006F23AE"/>
    <w:rsid w:val="006F247A"/>
    <w:rsid w:val="006F27CD"/>
    <w:rsid w:val="006F3483"/>
    <w:rsid w:val="006F3896"/>
    <w:rsid w:val="006F40DE"/>
    <w:rsid w:val="006F60F8"/>
    <w:rsid w:val="006F62D9"/>
    <w:rsid w:val="006F6659"/>
    <w:rsid w:val="006F740E"/>
    <w:rsid w:val="006F7840"/>
    <w:rsid w:val="006F7915"/>
    <w:rsid w:val="006F7A62"/>
    <w:rsid w:val="006F7ACB"/>
    <w:rsid w:val="006F7BD8"/>
    <w:rsid w:val="006F7CB5"/>
    <w:rsid w:val="006F7FA5"/>
    <w:rsid w:val="0070036B"/>
    <w:rsid w:val="00701919"/>
    <w:rsid w:val="00702879"/>
    <w:rsid w:val="0070321D"/>
    <w:rsid w:val="00703379"/>
    <w:rsid w:val="007038CA"/>
    <w:rsid w:val="007043AE"/>
    <w:rsid w:val="007045BD"/>
    <w:rsid w:val="00704EF8"/>
    <w:rsid w:val="007050E0"/>
    <w:rsid w:val="0070560A"/>
    <w:rsid w:val="007061DD"/>
    <w:rsid w:val="0070646A"/>
    <w:rsid w:val="00707230"/>
    <w:rsid w:val="0070742C"/>
    <w:rsid w:val="00707536"/>
    <w:rsid w:val="00707B38"/>
    <w:rsid w:val="00707CC8"/>
    <w:rsid w:val="007100EF"/>
    <w:rsid w:val="007104B1"/>
    <w:rsid w:val="00711788"/>
    <w:rsid w:val="00711C04"/>
    <w:rsid w:val="00712165"/>
    <w:rsid w:val="007128E2"/>
    <w:rsid w:val="00712DE3"/>
    <w:rsid w:val="00712F32"/>
    <w:rsid w:val="0071358A"/>
    <w:rsid w:val="007135E1"/>
    <w:rsid w:val="007139C4"/>
    <w:rsid w:val="00713CA6"/>
    <w:rsid w:val="0071406D"/>
    <w:rsid w:val="0071413A"/>
    <w:rsid w:val="00714177"/>
    <w:rsid w:val="00714A50"/>
    <w:rsid w:val="0071535B"/>
    <w:rsid w:val="00715C40"/>
    <w:rsid w:val="00715DE6"/>
    <w:rsid w:val="00715FAF"/>
    <w:rsid w:val="007165A2"/>
    <w:rsid w:val="0071678E"/>
    <w:rsid w:val="00716E12"/>
    <w:rsid w:val="00716E50"/>
    <w:rsid w:val="00716F1E"/>
    <w:rsid w:val="00716F2A"/>
    <w:rsid w:val="0071756B"/>
    <w:rsid w:val="007179B7"/>
    <w:rsid w:val="00717A63"/>
    <w:rsid w:val="00717FBE"/>
    <w:rsid w:val="0072005D"/>
    <w:rsid w:val="007203A5"/>
    <w:rsid w:val="00720470"/>
    <w:rsid w:val="007206AE"/>
    <w:rsid w:val="00720930"/>
    <w:rsid w:val="00720ED5"/>
    <w:rsid w:val="00721D21"/>
    <w:rsid w:val="00721DC9"/>
    <w:rsid w:val="007220D1"/>
    <w:rsid w:val="00722455"/>
    <w:rsid w:val="00722575"/>
    <w:rsid w:val="0072287D"/>
    <w:rsid w:val="00722DDF"/>
    <w:rsid w:val="00722EF8"/>
    <w:rsid w:val="00722F93"/>
    <w:rsid w:val="00723601"/>
    <w:rsid w:val="00723A4D"/>
    <w:rsid w:val="00723AB0"/>
    <w:rsid w:val="00723B86"/>
    <w:rsid w:val="007241CF"/>
    <w:rsid w:val="007242CB"/>
    <w:rsid w:val="00724D3E"/>
    <w:rsid w:val="00724EF0"/>
    <w:rsid w:val="00725495"/>
    <w:rsid w:val="00726596"/>
    <w:rsid w:val="00726B18"/>
    <w:rsid w:val="00726EBA"/>
    <w:rsid w:val="00727FA8"/>
    <w:rsid w:val="0073031F"/>
    <w:rsid w:val="0073046A"/>
    <w:rsid w:val="00730BA9"/>
    <w:rsid w:val="00730C23"/>
    <w:rsid w:val="00730DC5"/>
    <w:rsid w:val="00730E9F"/>
    <w:rsid w:val="00731254"/>
    <w:rsid w:val="00731867"/>
    <w:rsid w:val="00731A78"/>
    <w:rsid w:val="00732045"/>
    <w:rsid w:val="007322D4"/>
    <w:rsid w:val="00732423"/>
    <w:rsid w:val="007334A7"/>
    <w:rsid w:val="0073366F"/>
    <w:rsid w:val="00733B72"/>
    <w:rsid w:val="00733DFB"/>
    <w:rsid w:val="0073453A"/>
    <w:rsid w:val="007352F5"/>
    <w:rsid w:val="007353F1"/>
    <w:rsid w:val="0073587A"/>
    <w:rsid w:val="00735ABA"/>
    <w:rsid w:val="00735FD8"/>
    <w:rsid w:val="00736A3A"/>
    <w:rsid w:val="007375E3"/>
    <w:rsid w:val="0073790F"/>
    <w:rsid w:val="00737FE7"/>
    <w:rsid w:val="007407B4"/>
    <w:rsid w:val="00740AAA"/>
    <w:rsid w:val="0074129A"/>
    <w:rsid w:val="0074164F"/>
    <w:rsid w:val="00741BA8"/>
    <w:rsid w:val="007429E2"/>
    <w:rsid w:val="00742A6E"/>
    <w:rsid w:val="00743771"/>
    <w:rsid w:val="007439F3"/>
    <w:rsid w:val="00743AD9"/>
    <w:rsid w:val="0074428E"/>
    <w:rsid w:val="007442E5"/>
    <w:rsid w:val="00744D1E"/>
    <w:rsid w:val="00744DE9"/>
    <w:rsid w:val="00744EC4"/>
    <w:rsid w:val="0074555F"/>
    <w:rsid w:val="0074581A"/>
    <w:rsid w:val="007458A2"/>
    <w:rsid w:val="00745BA9"/>
    <w:rsid w:val="00745C7B"/>
    <w:rsid w:val="00746A23"/>
    <w:rsid w:val="00746EDD"/>
    <w:rsid w:val="00747410"/>
    <w:rsid w:val="00747737"/>
    <w:rsid w:val="00747FE2"/>
    <w:rsid w:val="007500FA"/>
    <w:rsid w:val="0075030F"/>
    <w:rsid w:val="0075076A"/>
    <w:rsid w:val="00750808"/>
    <w:rsid w:val="00751386"/>
    <w:rsid w:val="00751620"/>
    <w:rsid w:val="00751710"/>
    <w:rsid w:val="0075173F"/>
    <w:rsid w:val="00751BE2"/>
    <w:rsid w:val="007521EB"/>
    <w:rsid w:val="00752208"/>
    <w:rsid w:val="007528CA"/>
    <w:rsid w:val="00752977"/>
    <w:rsid w:val="00752EF3"/>
    <w:rsid w:val="00753955"/>
    <w:rsid w:val="00753EB5"/>
    <w:rsid w:val="00754444"/>
    <w:rsid w:val="00754849"/>
    <w:rsid w:val="0075497D"/>
    <w:rsid w:val="00754F35"/>
    <w:rsid w:val="007551BB"/>
    <w:rsid w:val="00755DB8"/>
    <w:rsid w:val="0075651E"/>
    <w:rsid w:val="00756616"/>
    <w:rsid w:val="00756736"/>
    <w:rsid w:val="007568CE"/>
    <w:rsid w:val="00756BE6"/>
    <w:rsid w:val="00757229"/>
    <w:rsid w:val="00757586"/>
    <w:rsid w:val="00757634"/>
    <w:rsid w:val="00757CDF"/>
    <w:rsid w:val="00757E06"/>
    <w:rsid w:val="00757E67"/>
    <w:rsid w:val="00760260"/>
    <w:rsid w:val="00760B9A"/>
    <w:rsid w:val="00761030"/>
    <w:rsid w:val="00761BF7"/>
    <w:rsid w:val="00761FBD"/>
    <w:rsid w:val="007620D4"/>
    <w:rsid w:val="00762210"/>
    <w:rsid w:val="00762580"/>
    <w:rsid w:val="00762D6D"/>
    <w:rsid w:val="0076314D"/>
    <w:rsid w:val="007631BD"/>
    <w:rsid w:val="00763FFC"/>
    <w:rsid w:val="00764103"/>
    <w:rsid w:val="0076432D"/>
    <w:rsid w:val="00764732"/>
    <w:rsid w:val="00764B07"/>
    <w:rsid w:val="00764DE2"/>
    <w:rsid w:val="007650EA"/>
    <w:rsid w:val="00765822"/>
    <w:rsid w:val="0076589E"/>
    <w:rsid w:val="00765AC5"/>
    <w:rsid w:val="007662D1"/>
    <w:rsid w:val="007665F6"/>
    <w:rsid w:val="00766638"/>
    <w:rsid w:val="007670E1"/>
    <w:rsid w:val="00767396"/>
    <w:rsid w:val="007677B5"/>
    <w:rsid w:val="00767AF4"/>
    <w:rsid w:val="00770F32"/>
    <w:rsid w:val="007712B3"/>
    <w:rsid w:val="0077171B"/>
    <w:rsid w:val="00771859"/>
    <w:rsid w:val="007723C2"/>
    <w:rsid w:val="007724F5"/>
    <w:rsid w:val="00772D53"/>
    <w:rsid w:val="00773809"/>
    <w:rsid w:val="00774C58"/>
    <w:rsid w:val="0077501D"/>
    <w:rsid w:val="00775608"/>
    <w:rsid w:val="00775665"/>
    <w:rsid w:val="007757D5"/>
    <w:rsid w:val="00775806"/>
    <w:rsid w:val="00775AFC"/>
    <w:rsid w:val="00775B35"/>
    <w:rsid w:val="00775C9F"/>
    <w:rsid w:val="00775D88"/>
    <w:rsid w:val="007760F0"/>
    <w:rsid w:val="00776684"/>
    <w:rsid w:val="00776DCF"/>
    <w:rsid w:val="007770F0"/>
    <w:rsid w:val="007802AA"/>
    <w:rsid w:val="007802B3"/>
    <w:rsid w:val="00780BEB"/>
    <w:rsid w:val="00780DCC"/>
    <w:rsid w:val="00781323"/>
    <w:rsid w:val="007813B5"/>
    <w:rsid w:val="00781523"/>
    <w:rsid w:val="00781ADA"/>
    <w:rsid w:val="007829E9"/>
    <w:rsid w:val="00782B72"/>
    <w:rsid w:val="00783078"/>
    <w:rsid w:val="007830BF"/>
    <w:rsid w:val="007831E0"/>
    <w:rsid w:val="00783301"/>
    <w:rsid w:val="00783308"/>
    <w:rsid w:val="0078353F"/>
    <w:rsid w:val="0078375A"/>
    <w:rsid w:val="007840AE"/>
    <w:rsid w:val="00784F4B"/>
    <w:rsid w:val="0078526D"/>
    <w:rsid w:val="00785F85"/>
    <w:rsid w:val="00785FE6"/>
    <w:rsid w:val="00786613"/>
    <w:rsid w:val="007868A9"/>
    <w:rsid w:val="00786907"/>
    <w:rsid w:val="00786F66"/>
    <w:rsid w:val="007873CC"/>
    <w:rsid w:val="00787D13"/>
    <w:rsid w:val="0079005F"/>
    <w:rsid w:val="0079081E"/>
    <w:rsid w:val="0079257A"/>
    <w:rsid w:val="007929DE"/>
    <w:rsid w:val="00792A51"/>
    <w:rsid w:val="00792C34"/>
    <w:rsid w:val="0079388D"/>
    <w:rsid w:val="00793951"/>
    <w:rsid w:val="007939F0"/>
    <w:rsid w:val="00793A57"/>
    <w:rsid w:val="00793D65"/>
    <w:rsid w:val="00793E98"/>
    <w:rsid w:val="007940D2"/>
    <w:rsid w:val="0079471E"/>
    <w:rsid w:val="00794B52"/>
    <w:rsid w:val="00794F00"/>
    <w:rsid w:val="007954A5"/>
    <w:rsid w:val="0079671C"/>
    <w:rsid w:val="00797937"/>
    <w:rsid w:val="00797C59"/>
    <w:rsid w:val="00797FA0"/>
    <w:rsid w:val="007A04C9"/>
    <w:rsid w:val="007A0650"/>
    <w:rsid w:val="007A1096"/>
    <w:rsid w:val="007A1578"/>
    <w:rsid w:val="007A1AB3"/>
    <w:rsid w:val="007A1EEE"/>
    <w:rsid w:val="007A2068"/>
    <w:rsid w:val="007A26D9"/>
    <w:rsid w:val="007A2B10"/>
    <w:rsid w:val="007A2C4A"/>
    <w:rsid w:val="007A2E55"/>
    <w:rsid w:val="007A32D2"/>
    <w:rsid w:val="007A4A8C"/>
    <w:rsid w:val="007A4A9B"/>
    <w:rsid w:val="007A4DF7"/>
    <w:rsid w:val="007A52A3"/>
    <w:rsid w:val="007A531C"/>
    <w:rsid w:val="007A5662"/>
    <w:rsid w:val="007A58A4"/>
    <w:rsid w:val="007A5E5B"/>
    <w:rsid w:val="007A6206"/>
    <w:rsid w:val="007A6366"/>
    <w:rsid w:val="007A6EE7"/>
    <w:rsid w:val="007A6F64"/>
    <w:rsid w:val="007A74B9"/>
    <w:rsid w:val="007A7541"/>
    <w:rsid w:val="007A75AA"/>
    <w:rsid w:val="007A7858"/>
    <w:rsid w:val="007A7E4B"/>
    <w:rsid w:val="007B062B"/>
    <w:rsid w:val="007B065D"/>
    <w:rsid w:val="007B072C"/>
    <w:rsid w:val="007B08E2"/>
    <w:rsid w:val="007B1DFC"/>
    <w:rsid w:val="007B3A61"/>
    <w:rsid w:val="007B4AA9"/>
    <w:rsid w:val="007B5442"/>
    <w:rsid w:val="007B638C"/>
    <w:rsid w:val="007B6427"/>
    <w:rsid w:val="007B6A7D"/>
    <w:rsid w:val="007B700E"/>
    <w:rsid w:val="007B7146"/>
    <w:rsid w:val="007B7383"/>
    <w:rsid w:val="007B7BEC"/>
    <w:rsid w:val="007C0128"/>
    <w:rsid w:val="007C07BA"/>
    <w:rsid w:val="007C0D9D"/>
    <w:rsid w:val="007C17B2"/>
    <w:rsid w:val="007C1DD1"/>
    <w:rsid w:val="007C1E90"/>
    <w:rsid w:val="007C26CE"/>
    <w:rsid w:val="007C27DC"/>
    <w:rsid w:val="007C2D7F"/>
    <w:rsid w:val="007C3227"/>
    <w:rsid w:val="007C3326"/>
    <w:rsid w:val="007C3A49"/>
    <w:rsid w:val="007C411D"/>
    <w:rsid w:val="007C44A6"/>
    <w:rsid w:val="007C46DB"/>
    <w:rsid w:val="007C4DE6"/>
    <w:rsid w:val="007C4E0F"/>
    <w:rsid w:val="007C5A67"/>
    <w:rsid w:val="007C5DC8"/>
    <w:rsid w:val="007C6021"/>
    <w:rsid w:val="007C6292"/>
    <w:rsid w:val="007C65CA"/>
    <w:rsid w:val="007C66F1"/>
    <w:rsid w:val="007C6733"/>
    <w:rsid w:val="007C759B"/>
    <w:rsid w:val="007C77E1"/>
    <w:rsid w:val="007C7B1F"/>
    <w:rsid w:val="007C7B3D"/>
    <w:rsid w:val="007D03E0"/>
    <w:rsid w:val="007D050A"/>
    <w:rsid w:val="007D0A80"/>
    <w:rsid w:val="007D0BEF"/>
    <w:rsid w:val="007D0F4B"/>
    <w:rsid w:val="007D155C"/>
    <w:rsid w:val="007D1917"/>
    <w:rsid w:val="007D1C2D"/>
    <w:rsid w:val="007D2B33"/>
    <w:rsid w:val="007D2B87"/>
    <w:rsid w:val="007D2DFF"/>
    <w:rsid w:val="007D2EDE"/>
    <w:rsid w:val="007D3AC6"/>
    <w:rsid w:val="007D3B70"/>
    <w:rsid w:val="007D3D9C"/>
    <w:rsid w:val="007D4294"/>
    <w:rsid w:val="007D4CFB"/>
    <w:rsid w:val="007D4FDD"/>
    <w:rsid w:val="007D5395"/>
    <w:rsid w:val="007D5400"/>
    <w:rsid w:val="007D61F1"/>
    <w:rsid w:val="007D638D"/>
    <w:rsid w:val="007D639B"/>
    <w:rsid w:val="007D671E"/>
    <w:rsid w:val="007D717B"/>
    <w:rsid w:val="007E0014"/>
    <w:rsid w:val="007E0A6E"/>
    <w:rsid w:val="007E1540"/>
    <w:rsid w:val="007E24A9"/>
    <w:rsid w:val="007E284F"/>
    <w:rsid w:val="007E2DD7"/>
    <w:rsid w:val="007E3072"/>
    <w:rsid w:val="007E31BE"/>
    <w:rsid w:val="007E356E"/>
    <w:rsid w:val="007E3654"/>
    <w:rsid w:val="007E3656"/>
    <w:rsid w:val="007E3D46"/>
    <w:rsid w:val="007E3EA5"/>
    <w:rsid w:val="007E408A"/>
    <w:rsid w:val="007E4367"/>
    <w:rsid w:val="007E4888"/>
    <w:rsid w:val="007E4E6D"/>
    <w:rsid w:val="007E4F8D"/>
    <w:rsid w:val="007E50FA"/>
    <w:rsid w:val="007E5274"/>
    <w:rsid w:val="007E6DCD"/>
    <w:rsid w:val="007E701A"/>
    <w:rsid w:val="007E7084"/>
    <w:rsid w:val="007E7353"/>
    <w:rsid w:val="007E7F09"/>
    <w:rsid w:val="007F045C"/>
    <w:rsid w:val="007F0B34"/>
    <w:rsid w:val="007F13F8"/>
    <w:rsid w:val="007F1B66"/>
    <w:rsid w:val="007F1CEC"/>
    <w:rsid w:val="007F1F20"/>
    <w:rsid w:val="007F1F9E"/>
    <w:rsid w:val="007F2355"/>
    <w:rsid w:val="007F2831"/>
    <w:rsid w:val="007F28AB"/>
    <w:rsid w:val="007F2F91"/>
    <w:rsid w:val="007F3598"/>
    <w:rsid w:val="007F3F47"/>
    <w:rsid w:val="007F3F83"/>
    <w:rsid w:val="007F448F"/>
    <w:rsid w:val="007F4804"/>
    <w:rsid w:val="007F48CA"/>
    <w:rsid w:val="007F5690"/>
    <w:rsid w:val="007F5989"/>
    <w:rsid w:val="007F5D48"/>
    <w:rsid w:val="007F60B4"/>
    <w:rsid w:val="007F6906"/>
    <w:rsid w:val="007F69C5"/>
    <w:rsid w:val="007F6FB4"/>
    <w:rsid w:val="007F707F"/>
    <w:rsid w:val="007F7E5D"/>
    <w:rsid w:val="008001C7"/>
    <w:rsid w:val="00800E54"/>
    <w:rsid w:val="00801788"/>
    <w:rsid w:val="008018B3"/>
    <w:rsid w:val="008019B8"/>
    <w:rsid w:val="00801E46"/>
    <w:rsid w:val="00802395"/>
    <w:rsid w:val="00802BF8"/>
    <w:rsid w:val="00802C53"/>
    <w:rsid w:val="00802EAE"/>
    <w:rsid w:val="00803665"/>
    <w:rsid w:val="008036C2"/>
    <w:rsid w:val="00804088"/>
    <w:rsid w:val="0080443B"/>
    <w:rsid w:val="008048CD"/>
    <w:rsid w:val="00804E2C"/>
    <w:rsid w:val="00805AA6"/>
    <w:rsid w:val="00805B98"/>
    <w:rsid w:val="00806170"/>
    <w:rsid w:val="00806632"/>
    <w:rsid w:val="008068E8"/>
    <w:rsid w:val="00806935"/>
    <w:rsid w:val="00806A49"/>
    <w:rsid w:val="00807169"/>
    <w:rsid w:val="00807870"/>
    <w:rsid w:val="0081130E"/>
    <w:rsid w:val="00811417"/>
    <w:rsid w:val="00811504"/>
    <w:rsid w:val="008120D5"/>
    <w:rsid w:val="0081270F"/>
    <w:rsid w:val="00812A0C"/>
    <w:rsid w:val="00813886"/>
    <w:rsid w:val="00813AEF"/>
    <w:rsid w:val="00813BE5"/>
    <w:rsid w:val="00813F30"/>
    <w:rsid w:val="00814C24"/>
    <w:rsid w:val="0081540D"/>
    <w:rsid w:val="0081573B"/>
    <w:rsid w:val="008158FC"/>
    <w:rsid w:val="00815E28"/>
    <w:rsid w:val="0081655C"/>
    <w:rsid w:val="00816C50"/>
    <w:rsid w:val="00816CB2"/>
    <w:rsid w:val="008174F5"/>
    <w:rsid w:val="00817D17"/>
    <w:rsid w:val="00817FE8"/>
    <w:rsid w:val="00820389"/>
    <w:rsid w:val="0082045E"/>
    <w:rsid w:val="00820A88"/>
    <w:rsid w:val="00821370"/>
    <w:rsid w:val="008213C6"/>
    <w:rsid w:val="0082188B"/>
    <w:rsid w:val="008222E6"/>
    <w:rsid w:val="00822BDA"/>
    <w:rsid w:val="00823C36"/>
    <w:rsid w:val="00823EB1"/>
    <w:rsid w:val="00824CE0"/>
    <w:rsid w:val="00824D84"/>
    <w:rsid w:val="00825336"/>
    <w:rsid w:val="008257D2"/>
    <w:rsid w:val="00825D89"/>
    <w:rsid w:val="008260A7"/>
    <w:rsid w:val="008261FD"/>
    <w:rsid w:val="008266A8"/>
    <w:rsid w:val="00826ADE"/>
    <w:rsid w:val="00827111"/>
    <w:rsid w:val="008275EE"/>
    <w:rsid w:val="008278AF"/>
    <w:rsid w:val="008302BE"/>
    <w:rsid w:val="0083073B"/>
    <w:rsid w:val="00830AD3"/>
    <w:rsid w:val="00830E1E"/>
    <w:rsid w:val="00830E4E"/>
    <w:rsid w:val="008311EC"/>
    <w:rsid w:val="00831587"/>
    <w:rsid w:val="008316FB"/>
    <w:rsid w:val="00831997"/>
    <w:rsid w:val="0083203B"/>
    <w:rsid w:val="00832500"/>
    <w:rsid w:val="0083261B"/>
    <w:rsid w:val="00832675"/>
    <w:rsid w:val="0083350C"/>
    <w:rsid w:val="00833CD6"/>
    <w:rsid w:val="00834362"/>
    <w:rsid w:val="008343EA"/>
    <w:rsid w:val="0083479F"/>
    <w:rsid w:val="00835235"/>
    <w:rsid w:val="008355B3"/>
    <w:rsid w:val="0083696A"/>
    <w:rsid w:val="00836A99"/>
    <w:rsid w:val="00836F0F"/>
    <w:rsid w:val="00836F1B"/>
    <w:rsid w:val="0083711B"/>
    <w:rsid w:val="00837198"/>
    <w:rsid w:val="00837464"/>
    <w:rsid w:val="00837577"/>
    <w:rsid w:val="008379B7"/>
    <w:rsid w:val="00837C41"/>
    <w:rsid w:val="00840A65"/>
    <w:rsid w:val="00840AAF"/>
    <w:rsid w:val="0084156D"/>
    <w:rsid w:val="0084160A"/>
    <w:rsid w:val="00841756"/>
    <w:rsid w:val="00841AB6"/>
    <w:rsid w:val="00841BD5"/>
    <w:rsid w:val="00841CD9"/>
    <w:rsid w:val="00841EA4"/>
    <w:rsid w:val="00841EB2"/>
    <w:rsid w:val="00842244"/>
    <w:rsid w:val="00842393"/>
    <w:rsid w:val="0084255B"/>
    <w:rsid w:val="00842992"/>
    <w:rsid w:val="00842D71"/>
    <w:rsid w:val="00843249"/>
    <w:rsid w:val="008437A2"/>
    <w:rsid w:val="008437B9"/>
    <w:rsid w:val="0084427E"/>
    <w:rsid w:val="00844296"/>
    <w:rsid w:val="008446BA"/>
    <w:rsid w:val="00844D0D"/>
    <w:rsid w:val="00844D82"/>
    <w:rsid w:val="008451FF"/>
    <w:rsid w:val="00845DD2"/>
    <w:rsid w:val="008463D5"/>
    <w:rsid w:val="00846CB3"/>
    <w:rsid w:val="00846F5B"/>
    <w:rsid w:val="0084716F"/>
    <w:rsid w:val="00847209"/>
    <w:rsid w:val="00847297"/>
    <w:rsid w:val="00847413"/>
    <w:rsid w:val="00847A80"/>
    <w:rsid w:val="00847AA4"/>
    <w:rsid w:val="00847FA4"/>
    <w:rsid w:val="00850928"/>
    <w:rsid w:val="00850D78"/>
    <w:rsid w:val="0085101D"/>
    <w:rsid w:val="008512B6"/>
    <w:rsid w:val="0085143C"/>
    <w:rsid w:val="00851A6E"/>
    <w:rsid w:val="00851B9B"/>
    <w:rsid w:val="00851F39"/>
    <w:rsid w:val="008520CF"/>
    <w:rsid w:val="0085238C"/>
    <w:rsid w:val="00852CF1"/>
    <w:rsid w:val="00852DB1"/>
    <w:rsid w:val="00852E33"/>
    <w:rsid w:val="00853559"/>
    <w:rsid w:val="008536C5"/>
    <w:rsid w:val="00853AED"/>
    <w:rsid w:val="00853E11"/>
    <w:rsid w:val="00853FB0"/>
    <w:rsid w:val="00854A5D"/>
    <w:rsid w:val="008553A9"/>
    <w:rsid w:val="008560AB"/>
    <w:rsid w:val="008564CF"/>
    <w:rsid w:val="00856A39"/>
    <w:rsid w:val="008572B5"/>
    <w:rsid w:val="00857352"/>
    <w:rsid w:val="00857881"/>
    <w:rsid w:val="00857C2B"/>
    <w:rsid w:val="00857C9A"/>
    <w:rsid w:val="0086047A"/>
    <w:rsid w:val="008608D5"/>
    <w:rsid w:val="00860D6C"/>
    <w:rsid w:val="00861377"/>
    <w:rsid w:val="0086155A"/>
    <w:rsid w:val="00861886"/>
    <w:rsid w:val="00861A79"/>
    <w:rsid w:val="00861B02"/>
    <w:rsid w:val="00861B14"/>
    <w:rsid w:val="00861D6A"/>
    <w:rsid w:val="00862058"/>
    <w:rsid w:val="00862857"/>
    <w:rsid w:val="00862C53"/>
    <w:rsid w:val="00862EF5"/>
    <w:rsid w:val="00863235"/>
    <w:rsid w:val="008632BA"/>
    <w:rsid w:val="008638E9"/>
    <w:rsid w:val="00863B3D"/>
    <w:rsid w:val="00863C82"/>
    <w:rsid w:val="0086430D"/>
    <w:rsid w:val="008645D7"/>
    <w:rsid w:val="00864649"/>
    <w:rsid w:val="008648BF"/>
    <w:rsid w:val="00864EA7"/>
    <w:rsid w:val="0086508B"/>
    <w:rsid w:val="00865205"/>
    <w:rsid w:val="0086618C"/>
    <w:rsid w:val="008669E9"/>
    <w:rsid w:val="00866B0F"/>
    <w:rsid w:val="00866BE1"/>
    <w:rsid w:val="00867153"/>
    <w:rsid w:val="0087006E"/>
    <w:rsid w:val="00870CC0"/>
    <w:rsid w:val="00870F07"/>
    <w:rsid w:val="00871351"/>
    <w:rsid w:val="00871794"/>
    <w:rsid w:val="00871B78"/>
    <w:rsid w:val="0087216E"/>
    <w:rsid w:val="0087315D"/>
    <w:rsid w:val="008731FC"/>
    <w:rsid w:val="00873452"/>
    <w:rsid w:val="0087379A"/>
    <w:rsid w:val="00873CB6"/>
    <w:rsid w:val="00874F6E"/>
    <w:rsid w:val="00875ACE"/>
    <w:rsid w:val="00875C6E"/>
    <w:rsid w:val="00875CA7"/>
    <w:rsid w:val="0087612A"/>
    <w:rsid w:val="00876516"/>
    <w:rsid w:val="008769AE"/>
    <w:rsid w:val="00876DDB"/>
    <w:rsid w:val="0087754A"/>
    <w:rsid w:val="00877873"/>
    <w:rsid w:val="008779BF"/>
    <w:rsid w:val="00877B0E"/>
    <w:rsid w:val="00877D75"/>
    <w:rsid w:val="00877E61"/>
    <w:rsid w:val="0088032D"/>
    <w:rsid w:val="00880E17"/>
    <w:rsid w:val="008814C5"/>
    <w:rsid w:val="008816EB"/>
    <w:rsid w:val="00881702"/>
    <w:rsid w:val="0088191D"/>
    <w:rsid w:val="00882016"/>
    <w:rsid w:val="00882B01"/>
    <w:rsid w:val="00882B15"/>
    <w:rsid w:val="00883B50"/>
    <w:rsid w:val="00883C4D"/>
    <w:rsid w:val="00883F00"/>
    <w:rsid w:val="00883F92"/>
    <w:rsid w:val="008845BB"/>
    <w:rsid w:val="00884788"/>
    <w:rsid w:val="00884801"/>
    <w:rsid w:val="00884AF0"/>
    <w:rsid w:val="00884D48"/>
    <w:rsid w:val="00884EFF"/>
    <w:rsid w:val="008851E2"/>
    <w:rsid w:val="008851EA"/>
    <w:rsid w:val="00885455"/>
    <w:rsid w:val="008854E7"/>
    <w:rsid w:val="008857B1"/>
    <w:rsid w:val="00885DE5"/>
    <w:rsid w:val="00885E9D"/>
    <w:rsid w:val="00886119"/>
    <w:rsid w:val="00886A32"/>
    <w:rsid w:val="00886ACA"/>
    <w:rsid w:val="00886BF6"/>
    <w:rsid w:val="0088718E"/>
    <w:rsid w:val="0088782B"/>
    <w:rsid w:val="00887BB9"/>
    <w:rsid w:val="00887DCF"/>
    <w:rsid w:val="008906B8"/>
    <w:rsid w:val="00890999"/>
    <w:rsid w:val="00891167"/>
    <w:rsid w:val="00891268"/>
    <w:rsid w:val="00891863"/>
    <w:rsid w:val="00891DA2"/>
    <w:rsid w:val="0089206F"/>
    <w:rsid w:val="00892191"/>
    <w:rsid w:val="00892B10"/>
    <w:rsid w:val="00892BC4"/>
    <w:rsid w:val="00892DAE"/>
    <w:rsid w:val="00892FB8"/>
    <w:rsid w:val="008934AC"/>
    <w:rsid w:val="00893A2C"/>
    <w:rsid w:val="00893A62"/>
    <w:rsid w:val="00893D59"/>
    <w:rsid w:val="008943EB"/>
    <w:rsid w:val="0089458D"/>
    <w:rsid w:val="008949B6"/>
    <w:rsid w:val="0089509D"/>
    <w:rsid w:val="008963EC"/>
    <w:rsid w:val="0089654E"/>
    <w:rsid w:val="00896768"/>
    <w:rsid w:val="00896F84"/>
    <w:rsid w:val="00897194"/>
    <w:rsid w:val="00897450"/>
    <w:rsid w:val="008979A5"/>
    <w:rsid w:val="00897F19"/>
    <w:rsid w:val="008A0418"/>
    <w:rsid w:val="008A09A9"/>
    <w:rsid w:val="008A0ECC"/>
    <w:rsid w:val="008A0FE2"/>
    <w:rsid w:val="008A1271"/>
    <w:rsid w:val="008A130A"/>
    <w:rsid w:val="008A160B"/>
    <w:rsid w:val="008A1800"/>
    <w:rsid w:val="008A1E0E"/>
    <w:rsid w:val="008A20E9"/>
    <w:rsid w:val="008A21D0"/>
    <w:rsid w:val="008A251B"/>
    <w:rsid w:val="008A2879"/>
    <w:rsid w:val="008A315C"/>
    <w:rsid w:val="008A3506"/>
    <w:rsid w:val="008A39B2"/>
    <w:rsid w:val="008A3F4E"/>
    <w:rsid w:val="008A3FDD"/>
    <w:rsid w:val="008A43A1"/>
    <w:rsid w:val="008A44AB"/>
    <w:rsid w:val="008A48E1"/>
    <w:rsid w:val="008A4FBD"/>
    <w:rsid w:val="008A5A3A"/>
    <w:rsid w:val="008A5C8E"/>
    <w:rsid w:val="008A5DEF"/>
    <w:rsid w:val="008A603E"/>
    <w:rsid w:val="008A64E9"/>
    <w:rsid w:val="008A66B7"/>
    <w:rsid w:val="008A6954"/>
    <w:rsid w:val="008A7296"/>
    <w:rsid w:val="008A7F37"/>
    <w:rsid w:val="008B034C"/>
    <w:rsid w:val="008B035C"/>
    <w:rsid w:val="008B0511"/>
    <w:rsid w:val="008B0681"/>
    <w:rsid w:val="008B174B"/>
    <w:rsid w:val="008B18CF"/>
    <w:rsid w:val="008B1A26"/>
    <w:rsid w:val="008B1F0C"/>
    <w:rsid w:val="008B20ED"/>
    <w:rsid w:val="008B224F"/>
    <w:rsid w:val="008B228C"/>
    <w:rsid w:val="008B2C64"/>
    <w:rsid w:val="008B2F46"/>
    <w:rsid w:val="008B38CC"/>
    <w:rsid w:val="008B3B0D"/>
    <w:rsid w:val="008B3D2E"/>
    <w:rsid w:val="008B3EF0"/>
    <w:rsid w:val="008B411E"/>
    <w:rsid w:val="008B42A8"/>
    <w:rsid w:val="008B434B"/>
    <w:rsid w:val="008B453F"/>
    <w:rsid w:val="008B4858"/>
    <w:rsid w:val="008B4B73"/>
    <w:rsid w:val="008B53C7"/>
    <w:rsid w:val="008B5B98"/>
    <w:rsid w:val="008B612B"/>
    <w:rsid w:val="008B68EB"/>
    <w:rsid w:val="008B6C3C"/>
    <w:rsid w:val="008B6D81"/>
    <w:rsid w:val="008B74F7"/>
    <w:rsid w:val="008B7C3B"/>
    <w:rsid w:val="008C0288"/>
    <w:rsid w:val="008C059C"/>
    <w:rsid w:val="008C0BD4"/>
    <w:rsid w:val="008C1112"/>
    <w:rsid w:val="008C190D"/>
    <w:rsid w:val="008C1BA2"/>
    <w:rsid w:val="008C22B9"/>
    <w:rsid w:val="008C23D5"/>
    <w:rsid w:val="008C2516"/>
    <w:rsid w:val="008C2764"/>
    <w:rsid w:val="008C27D2"/>
    <w:rsid w:val="008C30ED"/>
    <w:rsid w:val="008C3D9A"/>
    <w:rsid w:val="008C4DAB"/>
    <w:rsid w:val="008C54C6"/>
    <w:rsid w:val="008C5D7C"/>
    <w:rsid w:val="008C6485"/>
    <w:rsid w:val="008C6713"/>
    <w:rsid w:val="008C6E59"/>
    <w:rsid w:val="008C730A"/>
    <w:rsid w:val="008C75B0"/>
    <w:rsid w:val="008C7F8A"/>
    <w:rsid w:val="008D00DD"/>
    <w:rsid w:val="008D0198"/>
    <w:rsid w:val="008D01D8"/>
    <w:rsid w:val="008D04AB"/>
    <w:rsid w:val="008D04AC"/>
    <w:rsid w:val="008D0C40"/>
    <w:rsid w:val="008D1130"/>
    <w:rsid w:val="008D24BD"/>
    <w:rsid w:val="008D264A"/>
    <w:rsid w:val="008D2839"/>
    <w:rsid w:val="008D2B22"/>
    <w:rsid w:val="008D2E84"/>
    <w:rsid w:val="008D3059"/>
    <w:rsid w:val="008D326F"/>
    <w:rsid w:val="008D34E3"/>
    <w:rsid w:val="008D361C"/>
    <w:rsid w:val="008D3764"/>
    <w:rsid w:val="008D3BA0"/>
    <w:rsid w:val="008D3BA8"/>
    <w:rsid w:val="008D3E6E"/>
    <w:rsid w:val="008D3FCA"/>
    <w:rsid w:val="008D4196"/>
    <w:rsid w:val="008D48BD"/>
    <w:rsid w:val="008D49C5"/>
    <w:rsid w:val="008D4CD4"/>
    <w:rsid w:val="008D4F10"/>
    <w:rsid w:val="008D5872"/>
    <w:rsid w:val="008D58E1"/>
    <w:rsid w:val="008D5A7E"/>
    <w:rsid w:val="008D6153"/>
    <w:rsid w:val="008D621E"/>
    <w:rsid w:val="008D6237"/>
    <w:rsid w:val="008D66DB"/>
    <w:rsid w:val="008D6865"/>
    <w:rsid w:val="008D6955"/>
    <w:rsid w:val="008D6C77"/>
    <w:rsid w:val="008D75F6"/>
    <w:rsid w:val="008D7912"/>
    <w:rsid w:val="008D7DA6"/>
    <w:rsid w:val="008E0048"/>
    <w:rsid w:val="008E00CD"/>
    <w:rsid w:val="008E07EB"/>
    <w:rsid w:val="008E0CDB"/>
    <w:rsid w:val="008E1250"/>
    <w:rsid w:val="008E19E0"/>
    <w:rsid w:val="008E1B85"/>
    <w:rsid w:val="008E1CD8"/>
    <w:rsid w:val="008E1FA4"/>
    <w:rsid w:val="008E21A7"/>
    <w:rsid w:val="008E26A2"/>
    <w:rsid w:val="008E26B1"/>
    <w:rsid w:val="008E328E"/>
    <w:rsid w:val="008E32FE"/>
    <w:rsid w:val="008E37DB"/>
    <w:rsid w:val="008E3800"/>
    <w:rsid w:val="008E38C1"/>
    <w:rsid w:val="008E3B9C"/>
    <w:rsid w:val="008E3DDF"/>
    <w:rsid w:val="008E4238"/>
    <w:rsid w:val="008E426B"/>
    <w:rsid w:val="008E5190"/>
    <w:rsid w:val="008E5A84"/>
    <w:rsid w:val="008E5C53"/>
    <w:rsid w:val="008E5F6F"/>
    <w:rsid w:val="008E7A36"/>
    <w:rsid w:val="008E7F76"/>
    <w:rsid w:val="008F04EA"/>
    <w:rsid w:val="008F058E"/>
    <w:rsid w:val="008F093C"/>
    <w:rsid w:val="008F0E77"/>
    <w:rsid w:val="008F1090"/>
    <w:rsid w:val="008F15DA"/>
    <w:rsid w:val="008F1802"/>
    <w:rsid w:val="008F1D94"/>
    <w:rsid w:val="008F20A3"/>
    <w:rsid w:val="008F229A"/>
    <w:rsid w:val="008F248F"/>
    <w:rsid w:val="008F27A5"/>
    <w:rsid w:val="008F2B7A"/>
    <w:rsid w:val="008F3B4C"/>
    <w:rsid w:val="008F3DE9"/>
    <w:rsid w:val="008F4024"/>
    <w:rsid w:val="008F405C"/>
    <w:rsid w:val="008F45C9"/>
    <w:rsid w:val="008F45D7"/>
    <w:rsid w:val="008F49A3"/>
    <w:rsid w:val="008F4B3E"/>
    <w:rsid w:val="008F5752"/>
    <w:rsid w:val="008F5955"/>
    <w:rsid w:val="008F5D53"/>
    <w:rsid w:val="008F5F59"/>
    <w:rsid w:val="008F603C"/>
    <w:rsid w:val="008F61CC"/>
    <w:rsid w:val="008F6CA0"/>
    <w:rsid w:val="008F723C"/>
    <w:rsid w:val="008F74FE"/>
    <w:rsid w:val="0090029D"/>
    <w:rsid w:val="0090042F"/>
    <w:rsid w:val="0090084E"/>
    <w:rsid w:val="0090088E"/>
    <w:rsid w:val="00900C27"/>
    <w:rsid w:val="009014FE"/>
    <w:rsid w:val="00901907"/>
    <w:rsid w:val="00901E37"/>
    <w:rsid w:val="00902028"/>
    <w:rsid w:val="009021D6"/>
    <w:rsid w:val="0090241A"/>
    <w:rsid w:val="00902970"/>
    <w:rsid w:val="00903623"/>
    <w:rsid w:val="00903C09"/>
    <w:rsid w:val="00903E9F"/>
    <w:rsid w:val="00904013"/>
    <w:rsid w:val="00904E9F"/>
    <w:rsid w:val="009056AD"/>
    <w:rsid w:val="009066E6"/>
    <w:rsid w:val="0090758E"/>
    <w:rsid w:val="009078AA"/>
    <w:rsid w:val="00907FA2"/>
    <w:rsid w:val="0091062F"/>
    <w:rsid w:val="009106DE"/>
    <w:rsid w:val="00910717"/>
    <w:rsid w:val="00910CEC"/>
    <w:rsid w:val="00910D43"/>
    <w:rsid w:val="00910F4E"/>
    <w:rsid w:val="0091121A"/>
    <w:rsid w:val="00911996"/>
    <w:rsid w:val="0091216D"/>
    <w:rsid w:val="00912470"/>
    <w:rsid w:val="00912903"/>
    <w:rsid w:val="0091292D"/>
    <w:rsid w:val="00912C8D"/>
    <w:rsid w:val="00912CBA"/>
    <w:rsid w:val="00912ED4"/>
    <w:rsid w:val="00913596"/>
    <w:rsid w:val="0091364F"/>
    <w:rsid w:val="0091385B"/>
    <w:rsid w:val="00913D9C"/>
    <w:rsid w:val="00913E9F"/>
    <w:rsid w:val="00913F5A"/>
    <w:rsid w:val="00914068"/>
    <w:rsid w:val="0091475B"/>
    <w:rsid w:val="009147F0"/>
    <w:rsid w:val="0091529E"/>
    <w:rsid w:val="00915637"/>
    <w:rsid w:val="00915AF2"/>
    <w:rsid w:val="00915C76"/>
    <w:rsid w:val="00915FFE"/>
    <w:rsid w:val="0091637E"/>
    <w:rsid w:val="0091651E"/>
    <w:rsid w:val="00916630"/>
    <w:rsid w:val="0091679E"/>
    <w:rsid w:val="009168B0"/>
    <w:rsid w:val="009171EC"/>
    <w:rsid w:val="0091752C"/>
    <w:rsid w:val="0091789C"/>
    <w:rsid w:val="00920B53"/>
    <w:rsid w:val="00920CF7"/>
    <w:rsid w:val="009210D7"/>
    <w:rsid w:val="0092138D"/>
    <w:rsid w:val="0092174E"/>
    <w:rsid w:val="00921AD3"/>
    <w:rsid w:val="00921AE9"/>
    <w:rsid w:val="009224D0"/>
    <w:rsid w:val="009225D8"/>
    <w:rsid w:val="00922688"/>
    <w:rsid w:val="00922828"/>
    <w:rsid w:val="009228F5"/>
    <w:rsid w:val="00922C2C"/>
    <w:rsid w:val="00922F57"/>
    <w:rsid w:val="00923000"/>
    <w:rsid w:val="00923475"/>
    <w:rsid w:val="009237DD"/>
    <w:rsid w:val="00923BD1"/>
    <w:rsid w:val="009246D0"/>
    <w:rsid w:val="00924908"/>
    <w:rsid w:val="00925182"/>
    <w:rsid w:val="009253EC"/>
    <w:rsid w:val="00925400"/>
    <w:rsid w:val="00925812"/>
    <w:rsid w:val="0092617C"/>
    <w:rsid w:val="009261A4"/>
    <w:rsid w:val="00926C40"/>
    <w:rsid w:val="00926DF3"/>
    <w:rsid w:val="00926EFB"/>
    <w:rsid w:val="00927176"/>
    <w:rsid w:val="0092752B"/>
    <w:rsid w:val="00927A7D"/>
    <w:rsid w:val="00927A7F"/>
    <w:rsid w:val="00927BB5"/>
    <w:rsid w:val="00927CA0"/>
    <w:rsid w:val="00927D71"/>
    <w:rsid w:val="00927E33"/>
    <w:rsid w:val="00930F50"/>
    <w:rsid w:val="009314AE"/>
    <w:rsid w:val="00931633"/>
    <w:rsid w:val="00931988"/>
    <w:rsid w:val="00931CD3"/>
    <w:rsid w:val="00931DF8"/>
    <w:rsid w:val="009329C8"/>
    <w:rsid w:val="00933025"/>
    <w:rsid w:val="0093376B"/>
    <w:rsid w:val="00933BF1"/>
    <w:rsid w:val="00933CD2"/>
    <w:rsid w:val="009348AE"/>
    <w:rsid w:val="00934AFC"/>
    <w:rsid w:val="00934B05"/>
    <w:rsid w:val="00935607"/>
    <w:rsid w:val="00935A6D"/>
    <w:rsid w:val="00935A9E"/>
    <w:rsid w:val="00935CBF"/>
    <w:rsid w:val="0093628A"/>
    <w:rsid w:val="009363BB"/>
    <w:rsid w:val="0093653A"/>
    <w:rsid w:val="00936776"/>
    <w:rsid w:val="00936957"/>
    <w:rsid w:val="00936D41"/>
    <w:rsid w:val="00937E35"/>
    <w:rsid w:val="00940007"/>
    <w:rsid w:val="00940387"/>
    <w:rsid w:val="00940704"/>
    <w:rsid w:val="009407DB"/>
    <w:rsid w:val="00940F5E"/>
    <w:rsid w:val="00941445"/>
    <w:rsid w:val="00941BC8"/>
    <w:rsid w:val="00941F7E"/>
    <w:rsid w:val="0094235A"/>
    <w:rsid w:val="009424AC"/>
    <w:rsid w:val="009424F3"/>
    <w:rsid w:val="00942A56"/>
    <w:rsid w:val="00943227"/>
    <w:rsid w:val="0094369D"/>
    <w:rsid w:val="00943A97"/>
    <w:rsid w:val="00943DB4"/>
    <w:rsid w:val="00945125"/>
    <w:rsid w:val="00945668"/>
    <w:rsid w:val="00946396"/>
    <w:rsid w:val="009475B2"/>
    <w:rsid w:val="00947703"/>
    <w:rsid w:val="00947875"/>
    <w:rsid w:val="00947CE8"/>
    <w:rsid w:val="00950569"/>
    <w:rsid w:val="009507F4"/>
    <w:rsid w:val="00950860"/>
    <w:rsid w:val="00950906"/>
    <w:rsid w:val="009509DA"/>
    <w:rsid w:val="00950C8F"/>
    <w:rsid w:val="00951D90"/>
    <w:rsid w:val="009520F7"/>
    <w:rsid w:val="00952379"/>
    <w:rsid w:val="00952537"/>
    <w:rsid w:val="0095262D"/>
    <w:rsid w:val="009528D4"/>
    <w:rsid w:val="00952CB6"/>
    <w:rsid w:val="00953145"/>
    <w:rsid w:val="00953EC4"/>
    <w:rsid w:val="009543AC"/>
    <w:rsid w:val="009548FA"/>
    <w:rsid w:val="0095568D"/>
    <w:rsid w:val="00955A23"/>
    <w:rsid w:val="00955B54"/>
    <w:rsid w:val="009560EF"/>
    <w:rsid w:val="0095610C"/>
    <w:rsid w:val="00956397"/>
    <w:rsid w:val="009563A2"/>
    <w:rsid w:val="0095737B"/>
    <w:rsid w:val="00957D21"/>
    <w:rsid w:val="009606E3"/>
    <w:rsid w:val="00960D12"/>
    <w:rsid w:val="00960EC4"/>
    <w:rsid w:val="00961CAE"/>
    <w:rsid w:val="00961D9E"/>
    <w:rsid w:val="0096283C"/>
    <w:rsid w:val="00962A33"/>
    <w:rsid w:val="00962E53"/>
    <w:rsid w:val="00962E97"/>
    <w:rsid w:val="0096305E"/>
    <w:rsid w:val="009630E5"/>
    <w:rsid w:val="009632DE"/>
    <w:rsid w:val="009633CD"/>
    <w:rsid w:val="009638DD"/>
    <w:rsid w:val="00963AD8"/>
    <w:rsid w:val="009642B7"/>
    <w:rsid w:val="00964F6F"/>
    <w:rsid w:val="00965123"/>
    <w:rsid w:val="009652FE"/>
    <w:rsid w:val="0096574C"/>
    <w:rsid w:val="00965858"/>
    <w:rsid w:val="0096593C"/>
    <w:rsid w:val="00965B94"/>
    <w:rsid w:val="00966219"/>
    <w:rsid w:val="00966323"/>
    <w:rsid w:val="00966A84"/>
    <w:rsid w:val="00966E91"/>
    <w:rsid w:val="0096740E"/>
    <w:rsid w:val="009676C5"/>
    <w:rsid w:val="00970331"/>
    <w:rsid w:val="00970362"/>
    <w:rsid w:val="009708C1"/>
    <w:rsid w:val="00970DEF"/>
    <w:rsid w:val="00970DFC"/>
    <w:rsid w:val="00970FC6"/>
    <w:rsid w:val="00971263"/>
    <w:rsid w:val="0097136C"/>
    <w:rsid w:val="00971BEC"/>
    <w:rsid w:val="009720DD"/>
    <w:rsid w:val="00972CFB"/>
    <w:rsid w:val="00972E62"/>
    <w:rsid w:val="00973094"/>
    <w:rsid w:val="009737D1"/>
    <w:rsid w:val="00973991"/>
    <w:rsid w:val="00973A1A"/>
    <w:rsid w:val="00973EE0"/>
    <w:rsid w:val="00973F70"/>
    <w:rsid w:val="00974637"/>
    <w:rsid w:val="0097512A"/>
    <w:rsid w:val="009758D7"/>
    <w:rsid w:val="00975901"/>
    <w:rsid w:val="0097608C"/>
    <w:rsid w:val="00976533"/>
    <w:rsid w:val="009765AA"/>
    <w:rsid w:val="00976A11"/>
    <w:rsid w:val="00976C46"/>
    <w:rsid w:val="00976DE3"/>
    <w:rsid w:val="00977719"/>
    <w:rsid w:val="00977755"/>
    <w:rsid w:val="009806A6"/>
    <w:rsid w:val="00980C94"/>
    <w:rsid w:val="00980CAF"/>
    <w:rsid w:val="00981D91"/>
    <w:rsid w:val="00982528"/>
    <w:rsid w:val="00982B40"/>
    <w:rsid w:val="00982E7A"/>
    <w:rsid w:val="00982E9F"/>
    <w:rsid w:val="0098399F"/>
    <w:rsid w:val="00983E57"/>
    <w:rsid w:val="00984732"/>
    <w:rsid w:val="0098537C"/>
    <w:rsid w:val="00986F9E"/>
    <w:rsid w:val="0098700C"/>
    <w:rsid w:val="0098759F"/>
    <w:rsid w:val="00987839"/>
    <w:rsid w:val="00987AE9"/>
    <w:rsid w:val="00987B4A"/>
    <w:rsid w:val="00987CD7"/>
    <w:rsid w:val="00987D9E"/>
    <w:rsid w:val="009912D6"/>
    <w:rsid w:val="00991A2F"/>
    <w:rsid w:val="00991AAF"/>
    <w:rsid w:val="00992C5B"/>
    <w:rsid w:val="009935C2"/>
    <w:rsid w:val="009935F5"/>
    <w:rsid w:val="009936F9"/>
    <w:rsid w:val="00993F93"/>
    <w:rsid w:val="009948C6"/>
    <w:rsid w:val="0099522E"/>
    <w:rsid w:val="00995B30"/>
    <w:rsid w:val="0099604B"/>
    <w:rsid w:val="009965EE"/>
    <w:rsid w:val="009966D3"/>
    <w:rsid w:val="00996865"/>
    <w:rsid w:val="00996C1A"/>
    <w:rsid w:val="009970D5"/>
    <w:rsid w:val="009979DA"/>
    <w:rsid w:val="00997F4B"/>
    <w:rsid w:val="009A03E8"/>
    <w:rsid w:val="009A076B"/>
    <w:rsid w:val="009A07BA"/>
    <w:rsid w:val="009A087D"/>
    <w:rsid w:val="009A08CA"/>
    <w:rsid w:val="009A0F5C"/>
    <w:rsid w:val="009A113A"/>
    <w:rsid w:val="009A1319"/>
    <w:rsid w:val="009A1DCD"/>
    <w:rsid w:val="009A2034"/>
    <w:rsid w:val="009A20AB"/>
    <w:rsid w:val="009A212E"/>
    <w:rsid w:val="009A256B"/>
    <w:rsid w:val="009A25C6"/>
    <w:rsid w:val="009A302E"/>
    <w:rsid w:val="009A3707"/>
    <w:rsid w:val="009A3746"/>
    <w:rsid w:val="009A3865"/>
    <w:rsid w:val="009A407B"/>
    <w:rsid w:val="009A5475"/>
    <w:rsid w:val="009A54B4"/>
    <w:rsid w:val="009A6165"/>
    <w:rsid w:val="009A61F2"/>
    <w:rsid w:val="009A62CE"/>
    <w:rsid w:val="009A758C"/>
    <w:rsid w:val="009A79B9"/>
    <w:rsid w:val="009B0065"/>
    <w:rsid w:val="009B0180"/>
    <w:rsid w:val="009B0DA1"/>
    <w:rsid w:val="009B1112"/>
    <w:rsid w:val="009B115D"/>
    <w:rsid w:val="009B19D9"/>
    <w:rsid w:val="009B1D6D"/>
    <w:rsid w:val="009B209B"/>
    <w:rsid w:val="009B255C"/>
    <w:rsid w:val="009B2912"/>
    <w:rsid w:val="009B2CD8"/>
    <w:rsid w:val="009B2D90"/>
    <w:rsid w:val="009B2EFA"/>
    <w:rsid w:val="009B3195"/>
    <w:rsid w:val="009B36DA"/>
    <w:rsid w:val="009B3D99"/>
    <w:rsid w:val="009B400E"/>
    <w:rsid w:val="009B422B"/>
    <w:rsid w:val="009B574F"/>
    <w:rsid w:val="009B62EB"/>
    <w:rsid w:val="009B638B"/>
    <w:rsid w:val="009B6EF6"/>
    <w:rsid w:val="009B6F79"/>
    <w:rsid w:val="009B72CD"/>
    <w:rsid w:val="009C0259"/>
    <w:rsid w:val="009C097D"/>
    <w:rsid w:val="009C0ED0"/>
    <w:rsid w:val="009C1287"/>
    <w:rsid w:val="009C170E"/>
    <w:rsid w:val="009C1811"/>
    <w:rsid w:val="009C24D3"/>
    <w:rsid w:val="009C2559"/>
    <w:rsid w:val="009C259B"/>
    <w:rsid w:val="009C2882"/>
    <w:rsid w:val="009C297F"/>
    <w:rsid w:val="009C37A8"/>
    <w:rsid w:val="009C3F1B"/>
    <w:rsid w:val="009C433E"/>
    <w:rsid w:val="009C4F52"/>
    <w:rsid w:val="009C5340"/>
    <w:rsid w:val="009C54A9"/>
    <w:rsid w:val="009C6127"/>
    <w:rsid w:val="009C665F"/>
    <w:rsid w:val="009C6A70"/>
    <w:rsid w:val="009C7573"/>
    <w:rsid w:val="009C7EBA"/>
    <w:rsid w:val="009D027C"/>
    <w:rsid w:val="009D0650"/>
    <w:rsid w:val="009D06BA"/>
    <w:rsid w:val="009D09AE"/>
    <w:rsid w:val="009D0B3E"/>
    <w:rsid w:val="009D0B5E"/>
    <w:rsid w:val="009D0BBA"/>
    <w:rsid w:val="009D0F1F"/>
    <w:rsid w:val="009D2268"/>
    <w:rsid w:val="009D23A1"/>
    <w:rsid w:val="009D23FA"/>
    <w:rsid w:val="009D295B"/>
    <w:rsid w:val="009D327F"/>
    <w:rsid w:val="009D3807"/>
    <w:rsid w:val="009D3A4A"/>
    <w:rsid w:val="009D4196"/>
    <w:rsid w:val="009D4660"/>
    <w:rsid w:val="009D490C"/>
    <w:rsid w:val="009D4AE8"/>
    <w:rsid w:val="009D51FE"/>
    <w:rsid w:val="009D5871"/>
    <w:rsid w:val="009D5E58"/>
    <w:rsid w:val="009D5F49"/>
    <w:rsid w:val="009D6041"/>
    <w:rsid w:val="009D63E8"/>
    <w:rsid w:val="009D6695"/>
    <w:rsid w:val="009D69DE"/>
    <w:rsid w:val="009D6A6E"/>
    <w:rsid w:val="009D6C99"/>
    <w:rsid w:val="009D6DC0"/>
    <w:rsid w:val="009D7381"/>
    <w:rsid w:val="009D777B"/>
    <w:rsid w:val="009E02F9"/>
    <w:rsid w:val="009E058F"/>
    <w:rsid w:val="009E0B1C"/>
    <w:rsid w:val="009E0D24"/>
    <w:rsid w:val="009E0E97"/>
    <w:rsid w:val="009E0F5E"/>
    <w:rsid w:val="009E1537"/>
    <w:rsid w:val="009E180A"/>
    <w:rsid w:val="009E1977"/>
    <w:rsid w:val="009E1C29"/>
    <w:rsid w:val="009E2EBF"/>
    <w:rsid w:val="009E3445"/>
    <w:rsid w:val="009E3861"/>
    <w:rsid w:val="009E3BED"/>
    <w:rsid w:val="009E3F2F"/>
    <w:rsid w:val="009E41DC"/>
    <w:rsid w:val="009E43FC"/>
    <w:rsid w:val="009E4B89"/>
    <w:rsid w:val="009E57A7"/>
    <w:rsid w:val="009E5B69"/>
    <w:rsid w:val="009E5BAB"/>
    <w:rsid w:val="009E5C54"/>
    <w:rsid w:val="009E5DBA"/>
    <w:rsid w:val="009E5DCB"/>
    <w:rsid w:val="009E5EA6"/>
    <w:rsid w:val="009E6C62"/>
    <w:rsid w:val="009E73B4"/>
    <w:rsid w:val="009E7755"/>
    <w:rsid w:val="009E7BBC"/>
    <w:rsid w:val="009E7BF6"/>
    <w:rsid w:val="009E7C02"/>
    <w:rsid w:val="009F04B2"/>
    <w:rsid w:val="009F0FA7"/>
    <w:rsid w:val="009F16A9"/>
    <w:rsid w:val="009F19C3"/>
    <w:rsid w:val="009F1CE1"/>
    <w:rsid w:val="009F2575"/>
    <w:rsid w:val="009F3919"/>
    <w:rsid w:val="009F3C76"/>
    <w:rsid w:val="009F3E9F"/>
    <w:rsid w:val="009F40AF"/>
    <w:rsid w:val="009F44C1"/>
    <w:rsid w:val="009F4761"/>
    <w:rsid w:val="009F49DB"/>
    <w:rsid w:val="009F4C3A"/>
    <w:rsid w:val="009F4C88"/>
    <w:rsid w:val="009F5014"/>
    <w:rsid w:val="009F5613"/>
    <w:rsid w:val="009F5946"/>
    <w:rsid w:val="009F5D5E"/>
    <w:rsid w:val="009F5E15"/>
    <w:rsid w:val="009F6430"/>
    <w:rsid w:val="009F6550"/>
    <w:rsid w:val="009F6611"/>
    <w:rsid w:val="009F6F39"/>
    <w:rsid w:val="009F7347"/>
    <w:rsid w:val="009F7352"/>
    <w:rsid w:val="009F7715"/>
    <w:rsid w:val="009F7830"/>
    <w:rsid w:val="009F7FE4"/>
    <w:rsid w:val="00A00260"/>
    <w:rsid w:val="00A00496"/>
    <w:rsid w:val="00A004E4"/>
    <w:rsid w:val="00A01030"/>
    <w:rsid w:val="00A014E2"/>
    <w:rsid w:val="00A01892"/>
    <w:rsid w:val="00A01968"/>
    <w:rsid w:val="00A02317"/>
    <w:rsid w:val="00A02541"/>
    <w:rsid w:val="00A0274F"/>
    <w:rsid w:val="00A0286A"/>
    <w:rsid w:val="00A029E3"/>
    <w:rsid w:val="00A02E4A"/>
    <w:rsid w:val="00A02F3F"/>
    <w:rsid w:val="00A0315B"/>
    <w:rsid w:val="00A037C2"/>
    <w:rsid w:val="00A03868"/>
    <w:rsid w:val="00A0412E"/>
    <w:rsid w:val="00A04540"/>
    <w:rsid w:val="00A04A84"/>
    <w:rsid w:val="00A04B0E"/>
    <w:rsid w:val="00A04D7F"/>
    <w:rsid w:val="00A04E8D"/>
    <w:rsid w:val="00A05234"/>
    <w:rsid w:val="00A05242"/>
    <w:rsid w:val="00A0538C"/>
    <w:rsid w:val="00A05438"/>
    <w:rsid w:val="00A056FB"/>
    <w:rsid w:val="00A05A2E"/>
    <w:rsid w:val="00A05C7F"/>
    <w:rsid w:val="00A05CB8"/>
    <w:rsid w:val="00A06C78"/>
    <w:rsid w:val="00A07081"/>
    <w:rsid w:val="00A074F0"/>
    <w:rsid w:val="00A07E5D"/>
    <w:rsid w:val="00A107BA"/>
    <w:rsid w:val="00A10DD0"/>
    <w:rsid w:val="00A11194"/>
    <w:rsid w:val="00A1137B"/>
    <w:rsid w:val="00A11815"/>
    <w:rsid w:val="00A11C33"/>
    <w:rsid w:val="00A12625"/>
    <w:rsid w:val="00A12BDE"/>
    <w:rsid w:val="00A12C01"/>
    <w:rsid w:val="00A12E32"/>
    <w:rsid w:val="00A130EE"/>
    <w:rsid w:val="00A14607"/>
    <w:rsid w:val="00A14806"/>
    <w:rsid w:val="00A14930"/>
    <w:rsid w:val="00A14F2D"/>
    <w:rsid w:val="00A14FDF"/>
    <w:rsid w:val="00A15108"/>
    <w:rsid w:val="00A15632"/>
    <w:rsid w:val="00A157A1"/>
    <w:rsid w:val="00A161A5"/>
    <w:rsid w:val="00A167ED"/>
    <w:rsid w:val="00A170F1"/>
    <w:rsid w:val="00A1764B"/>
    <w:rsid w:val="00A176E5"/>
    <w:rsid w:val="00A17C06"/>
    <w:rsid w:val="00A17D66"/>
    <w:rsid w:val="00A17FEA"/>
    <w:rsid w:val="00A209B2"/>
    <w:rsid w:val="00A2177F"/>
    <w:rsid w:val="00A21A8A"/>
    <w:rsid w:val="00A21EFA"/>
    <w:rsid w:val="00A22173"/>
    <w:rsid w:val="00A223C7"/>
    <w:rsid w:val="00A230DF"/>
    <w:rsid w:val="00A2330B"/>
    <w:rsid w:val="00A238E1"/>
    <w:rsid w:val="00A23911"/>
    <w:rsid w:val="00A23CF8"/>
    <w:rsid w:val="00A2403F"/>
    <w:rsid w:val="00A2418C"/>
    <w:rsid w:val="00A241D3"/>
    <w:rsid w:val="00A24A53"/>
    <w:rsid w:val="00A24EE0"/>
    <w:rsid w:val="00A25A99"/>
    <w:rsid w:val="00A25AB4"/>
    <w:rsid w:val="00A25AE3"/>
    <w:rsid w:val="00A25E04"/>
    <w:rsid w:val="00A261ED"/>
    <w:rsid w:val="00A2629B"/>
    <w:rsid w:val="00A26FF6"/>
    <w:rsid w:val="00A27826"/>
    <w:rsid w:val="00A278DE"/>
    <w:rsid w:val="00A27BA0"/>
    <w:rsid w:val="00A27FE0"/>
    <w:rsid w:val="00A30892"/>
    <w:rsid w:val="00A311EA"/>
    <w:rsid w:val="00A31F55"/>
    <w:rsid w:val="00A3231E"/>
    <w:rsid w:val="00A3259B"/>
    <w:rsid w:val="00A3294A"/>
    <w:rsid w:val="00A32996"/>
    <w:rsid w:val="00A33508"/>
    <w:rsid w:val="00A33E13"/>
    <w:rsid w:val="00A342DE"/>
    <w:rsid w:val="00A349DA"/>
    <w:rsid w:val="00A34EC6"/>
    <w:rsid w:val="00A3575A"/>
    <w:rsid w:val="00A358CE"/>
    <w:rsid w:val="00A35AD2"/>
    <w:rsid w:val="00A36363"/>
    <w:rsid w:val="00A36AD0"/>
    <w:rsid w:val="00A374A0"/>
    <w:rsid w:val="00A37530"/>
    <w:rsid w:val="00A40128"/>
    <w:rsid w:val="00A411F1"/>
    <w:rsid w:val="00A413B6"/>
    <w:rsid w:val="00A415AE"/>
    <w:rsid w:val="00A418DC"/>
    <w:rsid w:val="00A41A24"/>
    <w:rsid w:val="00A41B36"/>
    <w:rsid w:val="00A41BE7"/>
    <w:rsid w:val="00A41C15"/>
    <w:rsid w:val="00A41D3C"/>
    <w:rsid w:val="00A42194"/>
    <w:rsid w:val="00A425DB"/>
    <w:rsid w:val="00A42ABE"/>
    <w:rsid w:val="00A430CF"/>
    <w:rsid w:val="00A431F7"/>
    <w:rsid w:val="00A434F2"/>
    <w:rsid w:val="00A435B0"/>
    <w:rsid w:val="00A43A32"/>
    <w:rsid w:val="00A43A4C"/>
    <w:rsid w:val="00A43DDB"/>
    <w:rsid w:val="00A43FEF"/>
    <w:rsid w:val="00A44135"/>
    <w:rsid w:val="00A44977"/>
    <w:rsid w:val="00A4518F"/>
    <w:rsid w:val="00A4651C"/>
    <w:rsid w:val="00A4691F"/>
    <w:rsid w:val="00A46F40"/>
    <w:rsid w:val="00A4757F"/>
    <w:rsid w:val="00A4786F"/>
    <w:rsid w:val="00A4797F"/>
    <w:rsid w:val="00A50337"/>
    <w:rsid w:val="00A50DE5"/>
    <w:rsid w:val="00A512C9"/>
    <w:rsid w:val="00A512FC"/>
    <w:rsid w:val="00A5134C"/>
    <w:rsid w:val="00A518E2"/>
    <w:rsid w:val="00A519A7"/>
    <w:rsid w:val="00A51E9E"/>
    <w:rsid w:val="00A51FB5"/>
    <w:rsid w:val="00A52119"/>
    <w:rsid w:val="00A5222B"/>
    <w:rsid w:val="00A52274"/>
    <w:rsid w:val="00A5238F"/>
    <w:rsid w:val="00A528D3"/>
    <w:rsid w:val="00A5351A"/>
    <w:rsid w:val="00A53617"/>
    <w:rsid w:val="00A53C1B"/>
    <w:rsid w:val="00A541E1"/>
    <w:rsid w:val="00A545A9"/>
    <w:rsid w:val="00A54A10"/>
    <w:rsid w:val="00A54FA3"/>
    <w:rsid w:val="00A5527B"/>
    <w:rsid w:val="00A553F3"/>
    <w:rsid w:val="00A555AA"/>
    <w:rsid w:val="00A555E7"/>
    <w:rsid w:val="00A55B7B"/>
    <w:rsid w:val="00A55C57"/>
    <w:rsid w:val="00A55D37"/>
    <w:rsid w:val="00A55D82"/>
    <w:rsid w:val="00A55F5F"/>
    <w:rsid w:val="00A56033"/>
    <w:rsid w:val="00A569B2"/>
    <w:rsid w:val="00A56AFB"/>
    <w:rsid w:val="00A5703A"/>
    <w:rsid w:val="00A57232"/>
    <w:rsid w:val="00A5738A"/>
    <w:rsid w:val="00A57E82"/>
    <w:rsid w:val="00A60671"/>
    <w:rsid w:val="00A609FF"/>
    <w:rsid w:val="00A60DA5"/>
    <w:rsid w:val="00A61137"/>
    <w:rsid w:val="00A613C1"/>
    <w:rsid w:val="00A6165B"/>
    <w:rsid w:val="00A61953"/>
    <w:rsid w:val="00A61D02"/>
    <w:rsid w:val="00A621CC"/>
    <w:rsid w:val="00A62AD0"/>
    <w:rsid w:val="00A62C9E"/>
    <w:rsid w:val="00A636F9"/>
    <w:rsid w:val="00A6392B"/>
    <w:rsid w:val="00A639FD"/>
    <w:rsid w:val="00A64A18"/>
    <w:rsid w:val="00A64B4E"/>
    <w:rsid w:val="00A6500C"/>
    <w:rsid w:val="00A6563D"/>
    <w:rsid w:val="00A65BA0"/>
    <w:rsid w:val="00A661D2"/>
    <w:rsid w:val="00A66390"/>
    <w:rsid w:val="00A664B5"/>
    <w:rsid w:val="00A66766"/>
    <w:rsid w:val="00A66BB9"/>
    <w:rsid w:val="00A66D2E"/>
    <w:rsid w:val="00A674B5"/>
    <w:rsid w:val="00A678C0"/>
    <w:rsid w:val="00A679E5"/>
    <w:rsid w:val="00A67FDA"/>
    <w:rsid w:val="00A703E6"/>
    <w:rsid w:val="00A7048E"/>
    <w:rsid w:val="00A70A27"/>
    <w:rsid w:val="00A70FF4"/>
    <w:rsid w:val="00A718EE"/>
    <w:rsid w:val="00A71C09"/>
    <w:rsid w:val="00A71E24"/>
    <w:rsid w:val="00A720F3"/>
    <w:rsid w:val="00A72136"/>
    <w:rsid w:val="00A7284B"/>
    <w:rsid w:val="00A729F2"/>
    <w:rsid w:val="00A72CF3"/>
    <w:rsid w:val="00A74326"/>
    <w:rsid w:val="00A746E4"/>
    <w:rsid w:val="00A747FD"/>
    <w:rsid w:val="00A751D7"/>
    <w:rsid w:val="00A7551F"/>
    <w:rsid w:val="00A75A0C"/>
    <w:rsid w:val="00A76610"/>
    <w:rsid w:val="00A767E8"/>
    <w:rsid w:val="00A77546"/>
    <w:rsid w:val="00A776C3"/>
    <w:rsid w:val="00A77D28"/>
    <w:rsid w:val="00A803DE"/>
    <w:rsid w:val="00A80AFC"/>
    <w:rsid w:val="00A80DC2"/>
    <w:rsid w:val="00A81063"/>
    <w:rsid w:val="00A81229"/>
    <w:rsid w:val="00A81D43"/>
    <w:rsid w:val="00A82190"/>
    <w:rsid w:val="00A82D3D"/>
    <w:rsid w:val="00A83129"/>
    <w:rsid w:val="00A83B20"/>
    <w:rsid w:val="00A83ED9"/>
    <w:rsid w:val="00A84118"/>
    <w:rsid w:val="00A849FC"/>
    <w:rsid w:val="00A84D27"/>
    <w:rsid w:val="00A856D2"/>
    <w:rsid w:val="00A85791"/>
    <w:rsid w:val="00A85C24"/>
    <w:rsid w:val="00A85E94"/>
    <w:rsid w:val="00A860CB"/>
    <w:rsid w:val="00A8629D"/>
    <w:rsid w:val="00A8664D"/>
    <w:rsid w:val="00A86F94"/>
    <w:rsid w:val="00A875F1"/>
    <w:rsid w:val="00A87965"/>
    <w:rsid w:val="00A87CA3"/>
    <w:rsid w:val="00A901FE"/>
    <w:rsid w:val="00A90AA4"/>
    <w:rsid w:val="00A9185F"/>
    <w:rsid w:val="00A91AAC"/>
    <w:rsid w:val="00A91FB1"/>
    <w:rsid w:val="00A9285B"/>
    <w:rsid w:val="00A92D3D"/>
    <w:rsid w:val="00A92D92"/>
    <w:rsid w:val="00A93397"/>
    <w:rsid w:val="00A9340D"/>
    <w:rsid w:val="00A94098"/>
    <w:rsid w:val="00A94110"/>
    <w:rsid w:val="00A9469D"/>
    <w:rsid w:val="00A94847"/>
    <w:rsid w:val="00A94885"/>
    <w:rsid w:val="00A9495B"/>
    <w:rsid w:val="00A94B7F"/>
    <w:rsid w:val="00A94D08"/>
    <w:rsid w:val="00A95546"/>
    <w:rsid w:val="00A956DE"/>
    <w:rsid w:val="00A960B7"/>
    <w:rsid w:val="00A96381"/>
    <w:rsid w:val="00A963DA"/>
    <w:rsid w:val="00A96712"/>
    <w:rsid w:val="00A96BDA"/>
    <w:rsid w:val="00A96CBF"/>
    <w:rsid w:val="00A97389"/>
    <w:rsid w:val="00A9762C"/>
    <w:rsid w:val="00A9775F"/>
    <w:rsid w:val="00A978D7"/>
    <w:rsid w:val="00A97AC5"/>
    <w:rsid w:val="00A97DC6"/>
    <w:rsid w:val="00A97F4B"/>
    <w:rsid w:val="00AA01EE"/>
    <w:rsid w:val="00AA02A6"/>
    <w:rsid w:val="00AA0747"/>
    <w:rsid w:val="00AA0E46"/>
    <w:rsid w:val="00AA18E0"/>
    <w:rsid w:val="00AA1C48"/>
    <w:rsid w:val="00AA20CD"/>
    <w:rsid w:val="00AA22F0"/>
    <w:rsid w:val="00AA233E"/>
    <w:rsid w:val="00AA3172"/>
    <w:rsid w:val="00AA36FE"/>
    <w:rsid w:val="00AA3AD7"/>
    <w:rsid w:val="00AA4275"/>
    <w:rsid w:val="00AA44F1"/>
    <w:rsid w:val="00AA487A"/>
    <w:rsid w:val="00AA4918"/>
    <w:rsid w:val="00AA52E8"/>
    <w:rsid w:val="00AA52FE"/>
    <w:rsid w:val="00AA554C"/>
    <w:rsid w:val="00AA6183"/>
    <w:rsid w:val="00AA66D3"/>
    <w:rsid w:val="00AA6814"/>
    <w:rsid w:val="00AA686F"/>
    <w:rsid w:val="00AA697A"/>
    <w:rsid w:val="00AA6B38"/>
    <w:rsid w:val="00AA71B9"/>
    <w:rsid w:val="00AA78EE"/>
    <w:rsid w:val="00AA7C2E"/>
    <w:rsid w:val="00AA7CF2"/>
    <w:rsid w:val="00AB077C"/>
    <w:rsid w:val="00AB10FB"/>
    <w:rsid w:val="00AB1124"/>
    <w:rsid w:val="00AB147E"/>
    <w:rsid w:val="00AB1C7C"/>
    <w:rsid w:val="00AB21D1"/>
    <w:rsid w:val="00AB23FC"/>
    <w:rsid w:val="00AB24EF"/>
    <w:rsid w:val="00AB285B"/>
    <w:rsid w:val="00AB2E45"/>
    <w:rsid w:val="00AB2F8A"/>
    <w:rsid w:val="00AB312A"/>
    <w:rsid w:val="00AB32C2"/>
    <w:rsid w:val="00AB3D82"/>
    <w:rsid w:val="00AB4042"/>
    <w:rsid w:val="00AB40A1"/>
    <w:rsid w:val="00AB40FC"/>
    <w:rsid w:val="00AB4328"/>
    <w:rsid w:val="00AB496C"/>
    <w:rsid w:val="00AB4C0D"/>
    <w:rsid w:val="00AB4C7F"/>
    <w:rsid w:val="00AB5557"/>
    <w:rsid w:val="00AB5DE7"/>
    <w:rsid w:val="00AB64F8"/>
    <w:rsid w:val="00AB6D09"/>
    <w:rsid w:val="00AB6DD0"/>
    <w:rsid w:val="00AB7525"/>
    <w:rsid w:val="00AB764D"/>
    <w:rsid w:val="00AC02F5"/>
    <w:rsid w:val="00AC091F"/>
    <w:rsid w:val="00AC0E9E"/>
    <w:rsid w:val="00AC11C6"/>
    <w:rsid w:val="00AC229E"/>
    <w:rsid w:val="00AC27B3"/>
    <w:rsid w:val="00AC295A"/>
    <w:rsid w:val="00AC2EEE"/>
    <w:rsid w:val="00AC31CC"/>
    <w:rsid w:val="00AC3228"/>
    <w:rsid w:val="00AC353D"/>
    <w:rsid w:val="00AC3647"/>
    <w:rsid w:val="00AC386D"/>
    <w:rsid w:val="00AC3B39"/>
    <w:rsid w:val="00AC3CE1"/>
    <w:rsid w:val="00AC3DB9"/>
    <w:rsid w:val="00AC45AB"/>
    <w:rsid w:val="00AC4CB6"/>
    <w:rsid w:val="00AC4FCB"/>
    <w:rsid w:val="00AC5467"/>
    <w:rsid w:val="00AC5D4C"/>
    <w:rsid w:val="00AC63E2"/>
    <w:rsid w:val="00AC72FA"/>
    <w:rsid w:val="00AC765D"/>
    <w:rsid w:val="00AC7884"/>
    <w:rsid w:val="00AC79BE"/>
    <w:rsid w:val="00AD024F"/>
    <w:rsid w:val="00AD0D82"/>
    <w:rsid w:val="00AD153C"/>
    <w:rsid w:val="00AD199B"/>
    <w:rsid w:val="00AD1BCA"/>
    <w:rsid w:val="00AD224E"/>
    <w:rsid w:val="00AD3524"/>
    <w:rsid w:val="00AD376B"/>
    <w:rsid w:val="00AD3EAE"/>
    <w:rsid w:val="00AD3EB3"/>
    <w:rsid w:val="00AD3F33"/>
    <w:rsid w:val="00AD3F98"/>
    <w:rsid w:val="00AD49C8"/>
    <w:rsid w:val="00AD49E9"/>
    <w:rsid w:val="00AD5F54"/>
    <w:rsid w:val="00AD6C8F"/>
    <w:rsid w:val="00AD6ED0"/>
    <w:rsid w:val="00AD6FA1"/>
    <w:rsid w:val="00AD722B"/>
    <w:rsid w:val="00AD7311"/>
    <w:rsid w:val="00AD7900"/>
    <w:rsid w:val="00AD7CD6"/>
    <w:rsid w:val="00AE0C89"/>
    <w:rsid w:val="00AE189C"/>
    <w:rsid w:val="00AE1AA4"/>
    <w:rsid w:val="00AE1CA2"/>
    <w:rsid w:val="00AE20C9"/>
    <w:rsid w:val="00AE20D8"/>
    <w:rsid w:val="00AE2C8D"/>
    <w:rsid w:val="00AE3457"/>
    <w:rsid w:val="00AE42DE"/>
    <w:rsid w:val="00AE4C85"/>
    <w:rsid w:val="00AE4E5E"/>
    <w:rsid w:val="00AE5542"/>
    <w:rsid w:val="00AE570D"/>
    <w:rsid w:val="00AE63FB"/>
    <w:rsid w:val="00AE65FA"/>
    <w:rsid w:val="00AE6631"/>
    <w:rsid w:val="00AE682A"/>
    <w:rsid w:val="00AE6A90"/>
    <w:rsid w:val="00AE7DF5"/>
    <w:rsid w:val="00AF00BB"/>
    <w:rsid w:val="00AF0225"/>
    <w:rsid w:val="00AF02DB"/>
    <w:rsid w:val="00AF0B8B"/>
    <w:rsid w:val="00AF0E08"/>
    <w:rsid w:val="00AF12BA"/>
    <w:rsid w:val="00AF1540"/>
    <w:rsid w:val="00AF16D3"/>
    <w:rsid w:val="00AF1840"/>
    <w:rsid w:val="00AF1F6D"/>
    <w:rsid w:val="00AF2613"/>
    <w:rsid w:val="00AF37B9"/>
    <w:rsid w:val="00AF3812"/>
    <w:rsid w:val="00AF38EE"/>
    <w:rsid w:val="00AF3A05"/>
    <w:rsid w:val="00AF3B62"/>
    <w:rsid w:val="00AF3BB0"/>
    <w:rsid w:val="00AF4099"/>
    <w:rsid w:val="00AF410B"/>
    <w:rsid w:val="00AF43C3"/>
    <w:rsid w:val="00AF457D"/>
    <w:rsid w:val="00AF4E35"/>
    <w:rsid w:val="00AF559C"/>
    <w:rsid w:val="00AF5B81"/>
    <w:rsid w:val="00AF5F13"/>
    <w:rsid w:val="00AF6107"/>
    <w:rsid w:val="00AF616D"/>
    <w:rsid w:val="00AF65D4"/>
    <w:rsid w:val="00AF681E"/>
    <w:rsid w:val="00AF6A27"/>
    <w:rsid w:val="00AF709E"/>
    <w:rsid w:val="00AF735F"/>
    <w:rsid w:val="00AF7BA1"/>
    <w:rsid w:val="00AF7C51"/>
    <w:rsid w:val="00B009EC"/>
    <w:rsid w:val="00B00ADB"/>
    <w:rsid w:val="00B00DCA"/>
    <w:rsid w:val="00B00E95"/>
    <w:rsid w:val="00B011D2"/>
    <w:rsid w:val="00B01AA9"/>
    <w:rsid w:val="00B01C44"/>
    <w:rsid w:val="00B01D95"/>
    <w:rsid w:val="00B02477"/>
    <w:rsid w:val="00B02A2F"/>
    <w:rsid w:val="00B02CCF"/>
    <w:rsid w:val="00B03940"/>
    <w:rsid w:val="00B03DEC"/>
    <w:rsid w:val="00B03F5C"/>
    <w:rsid w:val="00B0487A"/>
    <w:rsid w:val="00B04887"/>
    <w:rsid w:val="00B04EEE"/>
    <w:rsid w:val="00B05197"/>
    <w:rsid w:val="00B052D3"/>
    <w:rsid w:val="00B05451"/>
    <w:rsid w:val="00B055C4"/>
    <w:rsid w:val="00B056CC"/>
    <w:rsid w:val="00B05A99"/>
    <w:rsid w:val="00B078DD"/>
    <w:rsid w:val="00B07D0E"/>
    <w:rsid w:val="00B07FCF"/>
    <w:rsid w:val="00B10214"/>
    <w:rsid w:val="00B1030A"/>
    <w:rsid w:val="00B10764"/>
    <w:rsid w:val="00B107A4"/>
    <w:rsid w:val="00B10851"/>
    <w:rsid w:val="00B108A3"/>
    <w:rsid w:val="00B10C6E"/>
    <w:rsid w:val="00B11170"/>
    <w:rsid w:val="00B111CB"/>
    <w:rsid w:val="00B11596"/>
    <w:rsid w:val="00B120CE"/>
    <w:rsid w:val="00B127AB"/>
    <w:rsid w:val="00B12B1D"/>
    <w:rsid w:val="00B13513"/>
    <w:rsid w:val="00B13BAA"/>
    <w:rsid w:val="00B13FF5"/>
    <w:rsid w:val="00B15D94"/>
    <w:rsid w:val="00B15F74"/>
    <w:rsid w:val="00B16019"/>
    <w:rsid w:val="00B167EE"/>
    <w:rsid w:val="00B17146"/>
    <w:rsid w:val="00B175D3"/>
    <w:rsid w:val="00B1768A"/>
    <w:rsid w:val="00B17707"/>
    <w:rsid w:val="00B17737"/>
    <w:rsid w:val="00B177BD"/>
    <w:rsid w:val="00B200A1"/>
    <w:rsid w:val="00B2087E"/>
    <w:rsid w:val="00B2114E"/>
    <w:rsid w:val="00B21DB6"/>
    <w:rsid w:val="00B21DC9"/>
    <w:rsid w:val="00B222FD"/>
    <w:rsid w:val="00B22C75"/>
    <w:rsid w:val="00B230A2"/>
    <w:rsid w:val="00B23533"/>
    <w:rsid w:val="00B23543"/>
    <w:rsid w:val="00B23A60"/>
    <w:rsid w:val="00B23A86"/>
    <w:rsid w:val="00B23C08"/>
    <w:rsid w:val="00B24468"/>
    <w:rsid w:val="00B2492D"/>
    <w:rsid w:val="00B2508F"/>
    <w:rsid w:val="00B258F5"/>
    <w:rsid w:val="00B25D4E"/>
    <w:rsid w:val="00B2628F"/>
    <w:rsid w:val="00B26760"/>
    <w:rsid w:val="00B26E8C"/>
    <w:rsid w:val="00B27C36"/>
    <w:rsid w:val="00B27F91"/>
    <w:rsid w:val="00B30A80"/>
    <w:rsid w:val="00B32DC0"/>
    <w:rsid w:val="00B33184"/>
    <w:rsid w:val="00B3338A"/>
    <w:rsid w:val="00B33546"/>
    <w:rsid w:val="00B33571"/>
    <w:rsid w:val="00B3367A"/>
    <w:rsid w:val="00B34194"/>
    <w:rsid w:val="00B34318"/>
    <w:rsid w:val="00B34A98"/>
    <w:rsid w:val="00B35AFF"/>
    <w:rsid w:val="00B35D3F"/>
    <w:rsid w:val="00B36067"/>
    <w:rsid w:val="00B3641C"/>
    <w:rsid w:val="00B364CD"/>
    <w:rsid w:val="00B36AC0"/>
    <w:rsid w:val="00B37750"/>
    <w:rsid w:val="00B40A29"/>
    <w:rsid w:val="00B41494"/>
    <w:rsid w:val="00B416BF"/>
    <w:rsid w:val="00B41A92"/>
    <w:rsid w:val="00B41E41"/>
    <w:rsid w:val="00B41E84"/>
    <w:rsid w:val="00B42565"/>
    <w:rsid w:val="00B425B7"/>
    <w:rsid w:val="00B426A0"/>
    <w:rsid w:val="00B429A4"/>
    <w:rsid w:val="00B429D1"/>
    <w:rsid w:val="00B42F57"/>
    <w:rsid w:val="00B432FF"/>
    <w:rsid w:val="00B4399A"/>
    <w:rsid w:val="00B43E87"/>
    <w:rsid w:val="00B44B61"/>
    <w:rsid w:val="00B44BA2"/>
    <w:rsid w:val="00B45274"/>
    <w:rsid w:val="00B45334"/>
    <w:rsid w:val="00B45416"/>
    <w:rsid w:val="00B4596F"/>
    <w:rsid w:val="00B4598A"/>
    <w:rsid w:val="00B459A5"/>
    <w:rsid w:val="00B45E31"/>
    <w:rsid w:val="00B45E8E"/>
    <w:rsid w:val="00B46213"/>
    <w:rsid w:val="00B46425"/>
    <w:rsid w:val="00B465E7"/>
    <w:rsid w:val="00B4663D"/>
    <w:rsid w:val="00B46853"/>
    <w:rsid w:val="00B46B9F"/>
    <w:rsid w:val="00B46DC6"/>
    <w:rsid w:val="00B46E74"/>
    <w:rsid w:val="00B46FCA"/>
    <w:rsid w:val="00B4734D"/>
    <w:rsid w:val="00B47358"/>
    <w:rsid w:val="00B4753E"/>
    <w:rsid w:val="00B504A2"/>
    <w:rsid w:val="00B50815"/>
    <w:rsid w:val="00B5089F"/>
    <w:rsid w:val="00B50D79"/>
    <w:rsid w:val="00B50E7C"/>
    <w:rsid w:val="00B5124B"/>
    <w:rsid w:val="00B515ED"/>
    <w:rsid w:val="00B51E45"/>
    <w:rsid w:val="00B51EA0"/>
    <w:rsid w:val="00B522AF"/>
    <w:rsid w:val="00B524CD"/>
    <w:rsid w:val="00B52848"/>
    <w:rsid w:val="00B53274"/>
    <w:rsid w:val="00B532EF"/>
    <w:rsid w:val="00B54866"/>
    <w:rsid w:val="00B54DC9"/>
    <w:rsid w:val="00B54E2E"/>
    <w:rsid w:val="00B553A9"/>
    <w:rsid w:val="00B55602"/>
    <w:rsid w:val="00B55907"/>
    <w:rsid w:val="00B55CE4"/>
    <w:rsid w:val="00B55E51"/>
    <w:rsid w:val="00B5653E"/>
    <w:rsid w:val="00B565D4"/>
    <w:rsid w:val="00B56721"/>
    <w:rsid w:val="00B571DE"/>
    <w:rsid w:val="00B572CD"/>
    <w:rsid w:val="00B57841"/>
    <w:rsid w:val="00B57901"/>
    <w:rsid w:val="00B601C3"/>
    <w:rsid w:val="00B60A53"/>
    <w:rsid w:val="00B623A1"/>
    <w:rsid w:val="00B62DF9"/>
    <w:rsid w:val="00B630DA"/>
    <w:rsid w:val="00B631C2"/>
    <w:rsid w:val="00B633B6"/>
    <w:rsid w:val="00B634D2"/>
    <w:rsid w:val="00B63E39"/>
    <w:rsid w:val="00B63FB9"/>
    <w:rsid w:val="00B64523"/>
    <w:rsid w:val="00B64B77"/>
    <w:rsid w:val="00B64C79"/>
    <w:rsid w:val="00B65091"/>
    <w:rsid w:val="00B6516C"/>
    <w:rsid w:val="00B65E0E"/>
    <w:rsid w:val="00B67173"/>
    <w:rsid w:val="00B6736F"/>
    <w:rsid w:val="00B67438"/>
    <w:rsid w:val="00B675DE"/>
    <w:rsid w:val="00B67D60"/>
    <w:rsid w:val="00B70812"/>
    <w:rsid w:val="00B70D74"/>
    <w:rsid w:val="00B70E4F"/>
    <w:rsid w:val="00B70F82"/>
    <w:rsid w:val="00B71281"/>
    <w:rsid w:val="00B71365"/>
    <w:rsid w:val="00B71A03"/>
    <w:rsid w:val="00B72028"/>
    <w:rsid w:val="00B72272"/>
    <w:rsid w:val="00B722B6"/>
    <w:rsid w:val="00B725D3"/>
    <w:rsid w:val="00B72D6C"/>
    <w:rsid w:val="00B733A0"/>
    <w:rsid w:val="00B7358C"/>
    <w:rsid w:val="00B73DEC"/>
    <w:rsid w:val="00B74103"/>
    <w:rsid w:val="00B7412C"/>
    <w:rsid w:val="00B74B2B"/>
    <w:rsid w:val="00B74BB7"/>
    <w:rsid w:val="00B74FEF"/>
    <w:rsid w:val="00B751B4"/>
    <w:rsid w:val="00B751C9"/>
    <w:rsid w:val="00B757AF"/>
    <w:rsid w:val="00B75976"/>
    <w:rsid w:val="00B75FC5"/>
    <w:rsid w:val="00B761B7"/>
    <w:rsid w:val="00B76501"/>
    <w:rsid w:val="00B7682B"/>
    <w:rsid w:val="00B76962"/>
    <w:rsid w:val="00B7703D"/>
    <w:rsid w:val="00B80AB8"/>
    <w:rsid w:val="00B8127D"/>
    <w:rsid w:val="00B8136F"/>
    <w:rsid w:val="00B81920"/>
    <w:rsid w:val="00B83112"/>
    <w:rsid w:val="00B83391"/>
    <w:rsid w:val="00B837D0"/>
    <w:rsid w:val="00B8395F"/>
    <w:rsid w:val="00B839D0"/>
    <w:rsid w:val="00B83CF1"/>
    <w:rsid w:val="00B83E4C"/>
    <w:rsid w:val="00B84698"/>
    <w:rsid w:val="00B84DA7"/>
    <w:rsid w:val="00B84F39"/>
    <w:rsid w:val="00B85889"/>
    <w:rsid w:val="00B85A12"/>
    <w:rsid w:val="00B8628D"/>
    <w:rsid w:val="00B86A96"/>
    <w:rsid w:val="00B86C85"/>
    <w:rsid w:val="00B86CAB"/>
    <w:rsid w:val="00B86D06"/>
    <w:rsid w:val="00B86D1B"/>
    <w:rsid w:val="00B873B3"/>
    <w:rsid w:val="00B8749B"/>
    <w:rsid w:val="00B87E39"/>
    <w:rsid w:val="00B90B07"/>
    <w:rsid w:val="00B91284"/>
    <w:rsid w:val="00B91588"/>
    <w:rsid w:val="00B91D2F"/>
    <w:rsid w:val="00B91E06"/>
    <w:rsid w:val="00B91FCC"/>
    <w:rsid w:val="00B93007"/>
    <w:rsid w:val="00B93DF6"/>
    <w:rsid w:val="00B946D6"/>
    <w:rsid w:val="00B94AE1"/>
    <w:rsid w:val="00B95D87"/>
    <w:rsid w:val="00B95F78"/>
    <w:rsid w:val="00B96498"/>
    <w:rsid w:val="00B967CB"/>
    <w:rsid w:val="00B96E88"/>
    <w:rsid w:val="00B978AF"/>
    <w:rsid w:val="00B97AFA"/>
    <w:rsid w:val="00B97B45"/>
    <w:rsid w:val="00B97E21"/>
    <w:rsid w:val="00B97F84"/>
    <w:rsid w:val="00BA01CD"/>
    <w:rsid w:val="00BA05BE"/>
    <w:rsid w:val="00BA065C"/>
    <w:rsid w:val="00BA0943"/>
    <w:rsid w:val="00BA0A10"/>
    <w:rsid w:val="00BA168F"/>
    <w:rsid w:val="00BA16DE"/>
    <w:rsid w:val="00BA1A55"/>
    <w:rsid w:val="00BA1FEC"/>
    <w:rsid w:val="00BA2796"/>
    <w:rsid w:val="00BA27AC"/>
    <w:rsid w:val="00BA2E42"/>
    <w:rsid w:val="00BA2ED0"/>
    <w:rsid w:val="00BA2FEC"/>
    <w:rsid w:val="00BA3FA3"/>
    <w:rsid w:val="00BA42F4"/>
    <w:rsid w:val="00BA42FE"/>
    <w:rsid w:val="00BA50A6"/>
    <w:rsid w:val="00BA5688"/>
    <w:rsid w:val="00BA5827"/>
    <w:rsid w:val="00BA5938"/>
    <w:rsid w:val="00BA5AE7"/>
    <w:rsid w:val="00BA5D0B"/>
    <w:rsid w:val="00BA5F74"/>
    <w:rsid w:val="00BA5FDC"/>
    <w:rsid w:val="00BA7588"/>
    <w:rsid w:val="00BA77A0"/>
    <w:rsid w:val="00BA796D"/>
    <w:rsid w:val="00BA7B8D"/>
    <w:rsid w:val="00BA7C1C"/>
    <w:rsid w:val="00BB06B3"/>
    <w:rsid w:val="00BB0740"/>
    <w:rsid w:val="00BB10AA"/>
    <w:rsid w:val="00BB160D"/>
    <w:rsid w:val="00BB1A0B"/>
    <w:rsid w:val="00BB1C0C"/>
    <w:rsid w:val="00BB20E6"/>
    <w:rsid w:val="00BB2514"/>
    <w:rsid w:val="00BB287F"/>
    <w:rsid w:val="00BB3591"/>
    <w:rsid w:val="00BB3707"/>
    <w:rsid w:val="00BB3C3B"/>
    <w:rsid w:val="00BB49FA"/>
    <w:rsid w:val="00BB4B73"/>
    <w:rsid w:val="00BB4C9D"/>
    <w:rsid w:val="00BB50C4"/>
    <w:rsid w:val="00BB5156"/>
    <w:rsid w:val="00BB6C90"/>
    <w:rsid w:val="00BB7E78"/>
    <w:rsid w:val="00BB7FA9"/>
    <w:rsid w:val="00BC06B5"/>
    <w:rsid w:val="00BC08F1"/>
    <w:rsid w:val="00BC0C24"/>
    <w:rsid w:val="00BC0E7E"/>
    <w:rsid w:val="00BC0E8E"/>
    <w:rsid w:val="00BC106C"/>
    <w:rsid w:val="00BC1361"/>
    <w:rsid w:val="00BC176F"/>
    <w:rsid w:val="00BC1EE1"/>
    <w:rsid w:val="00BC2687"/>
    <w:rsid w:val="00BC27FC"/>
    <w:rsid w:val="00BC2A28"/>
    <w:rsid w:val="00BC3E19"/>
    <w:rsid w:val="00BC5492"/>
    <w:rsid w:val="00BC54EB"/>
    <w:rsid w:val="00BC56F9"/>
    <w:rsid w:val="00BC62EC"/>
    <w:rsid w:val="00BC63A9"/>
    <w:rsid w:val="00BC6A20"/>
    <w:rsid w:val="00BC72DC"/>
    <w:rsid w:val="00BC7DB1"/>
    <w:rsid w:val="00BC7E29"/>
    <w:rsid w:val="00BC7E6A"/>
    <w:rsid w:val="00BC7FBD"/>
    <w:rsid w:val="00BC7FF3"/>
    <w:rsid w:val="00BD0514"/>
    <w:rsid w:val="00BD0D55"/>
    <w:rsid w:val="00BD12DE"/>
    <w:rsid w:val="00BD1AF0"/>
    <w:rsid w:val="00BD20DE"/>
    <w:rsid w:val="00BD288E"/>
    <w:rsid w:val="00BD28C1"/>
    <w:rsid w:val="00BD305B"/>
    <w:rsid w:val="00BD33CF"/>
    <w:rsid w:val="00BD37BE"/>
    <w:rsid w:val="00BD3840"/>
    <w:rsid w:val="00BD3ABD"/>
    <w:rsid w:val="00BD408B"/>
    <w:rsid w:val="00BD424C"/>
    <w:rsid w:val="00BD461D"/>
    <w:rsid w:val="00BD4B28"/>
    <w:rsid w:val="00BD5089"/>
    <w:rsid w:val="00BD5111"/>
    <w:rsid w:val="00BD61DC"/>
    <w:rsid w:val="00BD620B"/>
    <w:rsid w:val="00BD62AC"/>
    <w:rsid w:val="00BD68FB"/>
    <w:rsid w:val="00BD6FD4"/>
    <w:rsid w:val="00BD7129"/>
    <w:rsid w:val="00BD72CB"/>
    <w:rsid w:val="00BD7724"/>
    <w:rsid w:val="00BD7A0F"/>
    <w:rsid w:val="00BD7B5A"/>
    <w:rsid w:val="00BD7CA8"/>
    <w:rsid w:val="00BE08E2"/>
    <w:rsid w:val="00BE0BAD"/>
    <w:rsid w:val="00BE1127"/>
    <w:rsid w:val="00BE1529"/>
    <w:rsid w:val="00BE1545"/>
    <w:rsid w:val="00BE15C6"/>
    <w:rsid w:val="00BE2B08"/>
    <w:rsid w:val="00BE36FB"/>
    <w:rsid w:val="00BE387F"/>
    <w:rsid w:val="00BE41ED"/>
    <w:rsid w:val="00BE4D0E"/>
    <w:rsid w:val="00BE51F1"/>
    <w:rsid w:val="00BE589A"/>
    <w:rsid w:val="00BE5BE4"/>
    <w:rsid w:val="00BE5D23"/>
    <w:rsid w:val="00BE5F93"/>
    <w:rsid w:val="00BE64BC"/>
    <w:rsid w:val="00BE6FB1"/>
    <w:rsid w:val="00BE7085"/>
    <w:rsid w:val="00BE75DF"/>
    <w:rsid w:val="00BE7818"/>
    <w:rsid w:val="00BE7889"/>
    <w:rsid w:val="00BF067F"/>
    <w:rsid w:val="00BF06B1"/>
    <w:rsid w:val="00BF07DD"/>
    <w:rsid w:val="00BF1021"/>
    <w:rsid w:val="00BF11F6"/>
    <w:rsid w:val="00BF1688"/>
    <w:rsid w:val="00BF1F5B"/>
    <w:rsid w:val="00BF20BE"/>
    <w:rsid w:val="00BF276A"/>
    <w:rsid w:val="00BF2BEF"/>
    <w:rsid w:val="00BF2CAC"/>
    <w:rsid w:val="00BF2F49"/>
    <w:rsid w:val="00BF311C"/>
    <w:rsid w:val="00BF3340"/>
    <w:rsid w:val="00BF3A14"/>
    <w:rsid w:val="00BF3E2E"/>
    <w:rsid w:val="00BF4106"/>
    <w:rsid w:val="00BF4195"/>
    <w:rsid w:val="00BF42A3"/>
    <w:rsid w:val="00BF4305"/>
    <w:rsid w:val="00BF519A"/>
    <w:rsid w:val="00BF523A"/>
    <w:rsid w:val="00BF5514"/>
    <w:rsid w:val="00BF58CB"/>
    <w:rsid w:val="00BF6019"/>
    <w:rsid w:val="00BF61E0"/>
    <w:rsid w:val="00BF7007"/>
    <w:rsid w:val="00BF72F7"/>
    <w:rsid w:val="00BF75BD"/>
    <w:rsid w:val="00BF75C1"/>
    <w:rsid w:val="00BF7EB7"/>
    <w:rsid w:val="00C00113"/>
    <w:rsid w:val="00C0050F"/>
    <w:rsid w:val="00C00900"/>
    <w:rsid w:val="00C00B0E"/>
    <w:rsid w:val="00C00B86"/>
    <w:rsid w:val="00C01437"/>
    <w:rsid w:val="00C01C4F"/>
    <w:rsid w:val="00C02331"/>
    <w:rsid w:val="00C02A4B"/>
    <w:rsid w:val="00C02C5F"/>
    <w:rsid w:val="00C03264"/>
    <w:rsid w:val="00C03490"/>
    <w:rsid w:val="00C03926"/>
    <w:rsid w:val="00C03CA6"/>
    <w:rsid w:val="00C03E62"/>
    <w:rsid w:val="00C041A8"/>
    <w:rsid w:val="00C042A8"/>
    <w:rsid w:val="00C04CC3"/>
    <w:rsid w:val="00C04D61"/>
    <w:rsid w:val="00C053A6"/>
    <w:rsid w:val="00C057AA"/>
    <w:rsid w:val="00C05B35"/>
    <w:rsid w:val="00C05C07"/>
    <w:rsid w:val="00C05D00"/>
    <w:rsid w:val="00C05DE1"/>
    <w:rsid w:val="00C06123"/>
    <w:rsid w:val="00C0627E"/>
    <w:rsid w:val="00C07855"/>
    <w:rsid w:val="00C079CD"/>
    <w:rsid w:val="00C07C0D"/>
    <w:rsid w:val="00C07C11"/>
    <w:rsid w:val="00C07EE6"/>
    <w:rsid w:val="00C10448"/>
    <w:rsid w:val="00C10FD4"/>
    <w:rsid w:val="00C11604"/>
    <w:rsid w:val="00C1160D"/>
    <w:rsid w:val="00C12466"/>
    <w:rsid w:val="00C13675"/>
    <w:rsid w:val="00C13926"/>
    <w:rsid w:val="00C13986"/>
    <w:rsid w:val="00C13D66"/>
    <w:rsid w:val="00C14461"/>
    <w:rsid w:val="00C1450A"/>
    <w:rsid w:val="00C148BE"/>
    <w:rsid w:val="00C14937"/>
    <w:rsid w:val="00C149F4"/>
    <w:rsid w:val="00C14A11"/>
    <w:rsid w:val="00C14ED6"/>
    <w:rsid w:val="00C15334"/>
    <w:rsid w:val="00C153C5"/>
    <w:rsid w:val="00C154E2"/>
    <w:rsid w:val="00C1584A"/>
    <w:rsid w:val="00C15AF5"/>
    <w:rsid w:val="00C1616C"/>
    <w:rsid w:val="00C16377"/>
    <w:rsid w:val="00C164E0"/>
    <w:rsid w:val="00C17967"/>
    <w:rsid w:val="00C17EFC"/>
    <w:rsid w:val="00C20D29"/>
    <w:rsid w:val="00C212CF"/>
    <w:rsid w:val="00C2193B"/>
    <w:rsid w:val="00C219A1"/>
    <w:rsid w:val="00C21C0A"/>
    <w:rsid w:val="00C2291F"/>
    <w:rsid w:val="00C22995"/>
    <w:rsid w:val="00C22E67"/>
    <w:rsid w:val="00C23E36"/>
    <w:rsid w:val="00C23EA0"/>
    <w:rsid w:val="00C23FAB"/>
    <w:rsid w:val="00C2457E"/>
    <w:rsid w:val="00C24CCA"/>
    <w:rsid w:val="00C258CC"/>
    <w:rsid w:val="00C25B22"/>
    <w:rsid w:val="00C262CF"/>
    <w:rsid w:val="00C266B1"/>
    <w:rsid w:val="00C267CA"/>
    <w:rsid w:val="00C26BE1"/>
    <w:rsid w:val="00C26D41"/>
    <w:rsid w:val="00C26E2F"/>
    <w:rsid w:val="00C2726B"/>
    <w:rsid w:val="00C273A6"/>
    <w:rsid w:val="00C275EE"/>
    <w:rsid w:val="00C27A8F"/>
    <w:rsid w:val="00C27FD0"/>
    <w:rsid w:val="00C30994"/>
    <w:rsid w:val="00C309E1"/>
    <w:rsid w:val="00C30AAA"/>
    <w:rsid w:val="00C30AEA"/>
    <w:rsid w:val="00C30FE5"/>
    <w:rsid w:val="00C31252"/>
    <w:rsid w:val="00C31A9D"/>
    <w:rsid w:val="00C31C03"/>
    <w:rsid w:val="00C31D8D"/>
    <w:rsid w:val="00C32107"/>
    <w:rsid w:val="00C3293C"/>
    <w:rsid w:val="00C32D9E"/>
    <w:rsid w:val="00C3332F"/>
    <w:rsid w:val="00C33337"/>
    <w:rsid w:val="00C33874"/>
    <w:rsid w:val="00C33DFA"/>
    <w:rsid w:val="00C34085"/>
    <w:rsid w:val="00C34279"/>
    <w:rsid w:val="00C34C07"/>
    <w:rsid w:val="00C35077"/>
    <w:rsid w:val="00C3549C"/>
    <w:rsid w:val="00C35D89"/>
    <w:rsid w:val="00C36287"/>
    <w:rsid w:val="00C36681"/>
    <w:rsid w:val="00C367B4"/>
    <w:rsid w:val="00C36AB7"/>
    <w:rsid w:val="00C36E3D"/>
    <w:rsid w:val="00C36F51"/>
    <w:rsid w:val="00C373A1"/>
    <w:rsid w:val="00C377F2"/>
    <w:rsid w:val="00C37813"/>
    <w:rsid w:val="00C37E6E"/>
    <w:rsid w:val="00C40352"/>
    <w:rsid w:val="00C40899"/>
    <w:rsid w:val="00C41251"/>
    <w:rsid w:val="00C41577"/>
    <w:rsid w:val="00C41C62"/>
    <w:rsid w:val="00C41E3F"/>
    <w:rsid w:val="00C421E8"/>
    <w:rsid w:val="00C42201"/>
    <w:rsid w:val="00C4233E"/>
    <w:rsid w:val="00C42494"/>
    <w:rsid w:val="00C42DA6"/>
    <w:rsid w:val="00C42EA2"/>
    <w:rsid w:val="00C4360F"/>
    <w:rsid w:val="00C43CE6"/>
    <w:rsid w:val="00C43DF4"/>
    <w:rsid w:val="00C44536"/>
    <w:rsid w:val="00C447D3"/>
    <w:rsid w:val="00C44833"/>
    <w:rsid w:val="00C44DAD"/>
    <w:rsid w:val="00C4533E"/>
    <w:rsid w:val="00C4623F"/>
    <w:rsid w:val="00C463D4"/>
    <w:rsid w:val="00C46550"/>
    <w:rsid w:val="00C473C9"/>
    <w:rsid w:val="00C473CC"/>
    <w:rsid w:val="00C47A48"/>
    <w:rsid w:val="00C50416"/>
    <w:rsid w:val="00C511F5"/>
    <w:rsid w:val="00C516F4"/>
    <w:rsid w:val="00C51CA3"/>
    <w:rsid w:val="00C52256"/>
    <w:rsid w:val="00C52344"/>
    <w:rsid w:val="00C524F2"/>
    <w:rsid w:val="00C525E4"/>
    <w:rsid w:val="00C53323"/>
    <w:rsid w:val="00C54760"/>
    <w:rsid w:val="00C547AA"/>
    <w:rsid w:val="00C54B4A"/>
    <w:rsid w:val="00C54BB7"/>
    <w:rsid w:val="00C54CFB"/>
    <w:rsid w:val="00C55755"/>
    <w:rsid w:val="00C55772"/>
    <w:rsid w:val="00C55FBF"/>
    <w:rsid w:val="00C56B19"/>
    <w:rsid w:val="00C56FA6"/>
    <w:rsid w:val="00C573B7"/>
    <w:rsid w:val="00C603BB"/>
    <w:rsid w:val="00C603D1"/>
    <w:rsid w:val="00C605C6"/>
    <w:rsid w:val="00C606AC"/>
    <w:rsid w:val="00C60A2D"/>
    <w:rsid w:val="00C60BF8"/>
    <w:rsid w:val="00C60C69"/>
    <w:rsid w:val="00C616AD"/>
    <w:rsid w:val="00C618A5"/>
    <w:rsid w:val="00C61900"/>
    <w:rsid w:val="00C619E4"/>
    <w:rsid w:val="00C621B2"/>
    <w:rsid w:val="00C62352"/>
    <w:rsid w:val="00C6435B"/>
    <w:rsid w:val="00C64430"/>
    <w:rsid w:val="00C6481F"/>
    <w:rsid w:val="00C64DED"/>
    <w:rsid w:val="00C65061"/>
    <w:rsid w:val="00C653A0"/>
    <w:rsid w:val="00C654D9"/>
    <w:rsid w:val="00C657D0"/>
    <w:rsid w:val="00C65893"/>
    <w:rsid w:val="00C65EA7"/>
    <w:rsid w:val="00C66235"/>
    <w:rsid w:val="00C6655B"/>
    <w:rsid w:val="00C6667E"/>
    <w:rsid w:val="00C6670B"/>
    <w:rsid w:val="00C66D91"/>
    <w:rsid w:val="00C66ED5"/>
    <w:rsid w:val="00C67285"/>
    <w:rsid w:val="00C6775C"/>
    <w:rsid w:val="00C67B54"/>
    <w:rsid w:val="00C67F6E"/>
    <w:rsid w:val="00C707F6"/>
    <w:rsid w:val="00C7081B"/>
    <w:rsid w:val="00C70AAA"/>
    <w:rsid w:val="00C70E4E"/>
    <w:rsid w:val="00C714F2"/>
    <w:rsid w:val="00C71ABA"/>
    <w:rsid w:val="00C71ECA"/>
    <w:rsid w:val="00C71F9D"/>
    <w:rsid w:val="00C72012"/>
    <w:rsid w:val="00C721C2"/>
    <w:rsid w:val="00C727D2"/>
    <w:rsid w:val="00C72EE6"/>
    <w:rsid w:val="00C733B3"/>
    <w:rsid w:val="00C73CA8"/>
    <w:rsid w:val="00C74086"/>
    <w:rsid w:val="00C744B6"/>
    <w:rsid w:val="00C75B39"/>
    <w:rsid w:val="00C765FB"/>
    <w:rsid w:val="00C76816"/>
    <w:rsid w:val="00C76895"/>
    <w:rsid w:val="00C77442"/>
    <w:rsid w:val="00C80326"/>
    <w:rsid w:val="00C80584"/>
    <w:rsid w:val="00C80790"/>
    <w:rsid w:val="00C80CBD"/>
    <w:rsid w:val="00C80FAE"/>
    <w:rsid w:val="00C81086"/>
    <w:rsid w:val="00C813B8"/>
    <w:rsid w:val="00C82003"/>
    <w:rsid w:val="00C82018"/>
    <w:rsid w:val="00C8282B"/>
    <w:rsid w:val="00C828A9"/>
    <w:rsid w:val="00C83445"/>
    <w:rsid w:val="00C84133"/>
    <w:rsid w:val="00C848D7"/>
    <w:rsid w:val="00C84923"/>
    <w:rsid w:val="00C85444"/>
    <w:rsid w:val="00C8549D"/>
    <w:rsid w:val="00C85592"/>
    <w:rsid w:val="00C8611B"/>
    <w:rsid w:val="00C866C7"/>
    <w:rsid w:val="00C867EF"/>
    <w:rsid w:val="00C86B19"/>
    <w:rsid w:val="00C86E27"/>
    <w:rsid w:val="00C87932"/>
    <w:rsid w:val="00C87C39"/>
    <w:rsid w:val="00C9013C"/>
    <w:rsid w:val="00C901A6"/>
    <w:rsid w:val="00C91018"/>
    <w:rsid w:val="00C91EF6"/>
    <w:rsid w:val="00C92083"/>
    <w:rsid w:val="00C92939"/>
    <w:rsid w:val="00C92C9D"/>
    <w:rsid w:val="00C92F12"/>
    <w:rsid w:val="00C93622"/>
    <w:rsid w:val="00C93722"/>
    <w:rsid w:val="00C93B15"/>
    <w:rsid w:val="00C94930"/>
    <w:rsid w:val="00C94A21"/>
    <w:rsid w:val="00C94A51"/>
    <w:rsid w:val="00C94CCF"/>
    <w:rsid w:val="00C94F13"/>
    <w:rsid w:val="00C9514B"/>
    <w:rsid w:val="00C95A16"/>
    <w:rsid w:val="00C95B81"/>
    <w:rsid w:val="00C96C32"/>
    <w:rsid w:val="00C96D4E"/>
    <w:rsid w:val="00C96F23"/>
    <w:rsid w:val="00C97108"/>
    <w:rsid w:val="00C97233"/>
    <w:rsid w:val="00C97BAE"/>
    <w:rsid w:val="00CA03B9"/>
    <w:rsid w:val="00CA11C0"/>
    <w:rsid w:val="00CA11E1"/>
    <w:rsid w:val="00CA12A7"/>
    <w:rsid w:val="00CA141C"/>
    <w:rsid w:val="00CA2693"/>
    <w:rsid w:val="00CA28B4"/>
    <w:rsid w:val="00CA290A"/>
    <w:rsid w:val="00CA33CB"/>
    <w:rsid w:val="00CA3820"/>
    <w:rsid w:val="00CA4187"/>
    <w:rsid w:val="00CA4291"/>
    <w:rsid w:val="00CA4AD8"/>
    <w:rsid w:val="00CA4C43"/>
    <w:rsid w:val="00CA4FB5"/>
    <w:rsid w:val="00CA555B"/>
    <w:rsid w:val="00CA64C6"/>
    <w:rsid w:val="00CA696D"/>
    <w:rsid w:val="00CA6EB3"/>
    <w:rsid w:val="00CA7183"/>
    <w:rsid w:val="00CA7394"/>
    <w:rsid w:val="00CA7506"/>
    <w:rsid w:val="00CA7AA5"/>
    <w:rsid w:val="00CA7B76"/>
    <w:rsid w:val="00CB00F6"/>
    <w:rsid w:val="00CB0BC0"/>
    <w:rsid w:val="00CB0D18"/>
    <w:rsid w:val="00CB1088"/>
    <w:rsid w:val="00CB1625"/>
    <w:rsid w:val="00CB1C55"/>
    <w:rsid w:val="00CB1D19"/>
    <w:rsid w:val="00CB1F82"/>
    <w:rsid w:val="00CB28A0"/>
    <w:rsid w:val="00CB39F6"/>
    <w:rsid w:val="00CB3B2D"/>
    <w:rsid w:val="00CB3B39"/>
    <w:rsid w:val="00CB455B"/>
    <w:rsid w:val="00CB49E0"/>
    <w:rsid w:val="00CB50A7"/>
    <w:rsid w:val="00CB57B3"/>
    <w:rsid w:val="00CB57BA"/>
    <w:rsid w:val="00CB5CEF"/>
    <w:rsid w:val="00CB5F3F"/>
    <w:rsid w:val="00CB6276"/>
    <w:rsid w:val="00CB655D"/>
    <w:rsid w:val="00CB6893"/>
    <w:rsid w:val="00CB68A1"/>
    <w:rsid w:val="00CB6D0A"/>
    <w:rsid w:val="00CB71AF"/>
    <w:rsid w:val="00CB775F"/>
    <w:rsid w:val="00CB797A"/>
    <w:rsid w:val="00CB79C5"/>
    <w:rsid w:val="00CB79FC"/>
    <w:rsid w:val="00CC0440"/>
    <w:rsid w:val="00CC06EA"/>
    <w:rsid w:val="00CC085F"/>
    <w:rsid w:val="00CC0D48"/>
    <w:rsid w:val="00CC0E23"/>
    <w:rsid w:val="00CC0ED7"/>
    <w:rsid w:val="00CC1FE6"/>
    <w:rsid w:val="00CC2609"/>
    <w:rsid w:val="00CC27F9"/>
    <w:rsid w:val="00CC2904"/>
    <w:rsid w:val="00CC2DFC"/>
    <w:rsid w:val="00CC31F7"/>
    <w:rsid w:val="00CC3BA5"/>
    <w:rsid w:val="00CC3DA3"/>
    <w:rsid w:val="00CC4D4E"/>
    <w:rsid w:val="00CC56FF"/>
    <w:rsid w:val="00CC581B"/>
    <w:rsid w:val="00CC5E21"/>
    <w:rsid w:val="00CC66A8"/>
    <w:rsid w:val="00CC6AE5"/>
    <w:rsid w:val="00CC7042"/>
    <w:rsid w:val="00CD017E"/>
    <w:rsid w:val="00CD08BD"/>
    <w:rsid w:val="00CD0BEA"/>
    <w:rsid w:val="00CD0E8C"/>
    <w:rsid w:val="00CD130B"/>
    <w:rsid w:val="00CD1B0A"/>
    <w:rsid w:val="00CD1B0B"/>
    <w:rsid w:val="00CD301E"/>
    <w:rsid w:val="00CD44A8"/>
    <w:rsid w:val="00CD4C64"/>
    <w:rsid w:val="00CD526F"/>
    <w:rsid w:val="00CD5366"/>
    <w:rsid w:val="00CD5C84"/>
    <w:rsid w:val="00CD5DCE"/>
    <w:rsid w:val="00CD70AB"/>
    <w:rsid w:val="00CD7CD4"/>
    <w:rsid w:val="00CE00AC"/>
    <w:rsid w:val="00CE0328"/>
    <w:rsid w:val="00CE03C7"/>
    <w:rsid w:val="00CE0AAA"/>
    <w:rsid w:val="00CE0D6D"/>
    <w:rsid w:val="00CE0F39"/>
    <w:rsid w:val="00CE0F95"/>
    <w:rsid w:val="00CE12E3"/>
    <w:rsid w:val="00CE14C9"/>
    <w:rsid w:val="00CE19CB"/>
    <w:rsid w:val="00CE1BE3"/>
    <w:rsid w:val="00CE1EDF"/>
    <w:rsid w:val="00CE2710"/>
    <w:rsid w:val="00CE28A1"/>
    <w:rsid w:val="00CE33A8"/>
    <w:rsid w:val="00CE3C53"/>
    <w:rsid w:val="00CE4A80"/>
    <w:rsid w:val="00CE4C8B"/>
    <w:rsid w:val="00CE5012"/>
    <w:rsid w:val="00CE57B5"/>
    <w:rsid w:val="00CE5DA5"/>
    <w:rsid w:val="00CE5E14"/>
    <w:rsid w:val="00CE616F"/>
    <w:rsid w:val="00CE64B3"/>
    <w:rsid w:val="00CE65E2"/>
    <w:rsid w:val="00CE7194"/>
    <w:rsid w:val="00CE772F"/>
    <w:rsid w:val="00CE77E3"/>
    <w:rsid w:val="00CE793E"/>
    <w:rsid w:val="00CF0976"/>
    <w:rsid w:val="00CF0988"/>
    <w:rsid w:val="00CF0E9B"/>
    <w:rsid w:val="00CF13D3"/>
    <w:rsid w:val="00CF146C"/>
    <w:rsid w:val="00CF1744"/>
    <w:rsid w:val="00CF1F61"/>
    <w:rsid w:val="00CF1F68"/>
    <w:rsid w:val="00CF1FB3"/>
    <w:rsid w:val="00CF21D9"/>
    <w:rsid w:val="00CF2546"/>
    <w:rsid w:val="00CF285B"/>
    <w:rsid w:val="00CF2C23"/>
    <w:rsid w:val="00CF2DBF"/>
    <w:rsid w:val="00CF2DCE"/>
    <w:rsid w:val="00CF2FCF"/>
    <w:rsid w:val="00CF3113"/>
    <w:rsid w:val="00CF486D"/>
    <w:rsid w:val="00CF4A0C"/>
    <w:rsid w:val="00CF4FAF"/>
    <w:rsid w:val="00CF50B7"/>
    <w:rsid w:val="00CF5239"/>
    <w:rsid w:val="00CF59EE"/>
    <w:rsid w:val="00CF5CEA"/>
    <w:rsid w:val="00CF6676"/>
    <w:rsid w:val="00CF6931"/>
    <w:rsid w:val="00CF70E7"/>
    <w:rsid w:val="00CF70F6"/>
    <w:rsid w:val="00CF7860"/>
    <w:rsid w:val="00CF7CC6"/>
    <w:rsid w:val="00D00444"/>
    <w:rsid w:val="00D00917"/>
    <w:rsid w:val="00D00C0F"/>
    <w:rsid w:val="00D01565"/>
    <w:rsid w:val="00D01F50"/>
    <w:rsid w:val="00D028E3"/>
    <w:rsid w:val="00D02A57"/>
    <w:rsid w:val="00D03322"/>
    <w:rsid w:val="00D03729"/>
    <w:rsid w:val="00D03849"/>
    <w:rsid w:val="00D03F21"/>
    <w:rsid w:val="00D0401C"/>
    <w:rsid w:val="00D0415C"/>
    <w:rsid w:val="00D04689"/>
    <w:rsid w:val="00D04BE9"/>
    <w:rsid w:val="00D04C76"/>
    <w:rsid w:val="00D04CCE"/>
    <w:rsid w:val="00D04CE3"/>
    <w:rsid w:val="00D04E14"/>
    <w:rsid w:val="00D06E41"/>
    <w:rsid w:val="00D07279"/>
    <w:rsid w:val="00D072D0"/>
    <w:rsid w:val="00D0792A"/>
    <w:rsid w:val="00D07AF4"/>
    <w:rsid w:val="00D07C1A"/>
    <w:rsid w:val="00D106DC"/>
    <w:rsid w:val="00D10EF0"/>
    <w:rsid w:val="00D11093"/>
    <w:rsid w:val="00D110FF"/>
    <w:rsid w:val="00D11B45"/>
    <w:rsid w:val="00D11B68"/>
    <w:rsid w:val="00D12A23"/>
    <w:rsid w:val="00D12D7B"/>
    <w:rsid w:val="00D12DCF"/>
    <w:rsid w:val="00D130B5"/>
    <w:rsid w:val="00D13151"/>
    <w:rsid w:val="00D13777"/>
    <w:rsid w:val="00D13C45"/>
    <w:rsid w:val="00D13F7A"/>
    <w:rsid w:val="00D141F1"/>
    <w:rsid w:val="00D14281"/>
    <w:rsid w:val="00D144F3"/>
    <w:rsid w:val="00D145A2"/>
    <w:rsid w:val="00D1490E"/>
    <w:rsid w:val="00D15268"/>
    <w:rsid w:val="00D152AA"/>
    <w:rsid w:val="00D154B3"/>
    <w:rsid w:val="00D15C44"/>
    <w:rsid w:val="00D16625"/>
    <w:rsid w:val="00D173D1"/>
    <w:rsid w:val="00D17BBB"/>
    <w:rsid w:val="00D20349"/>
    <w:rsid w:val="00D20E94"/>
    <w:rsid w:val="00D20EB3"/>
    <w:rsid w:val="00D21418"/>
    <w:rsid w:val="00D21AE5"/>
    <w:rsid w:val="00D21B5E"/>
    <w:rsid w:val="00D21E9B"/>
    <w:rsid w:val="00D21EBC"/>
    <w:rsid w:val="00D220A6"/>
    <w:rsid w:val="00D22190"/>
    <w:rsid w:val="00D22CB0"/>
    <w:rsid w:val="00D235A1"/>
    <w:rsid w:val="00D2482F"/>
    <w:rsid w:val="00D248F2"/>
    <w:rsid w:val="00D24D23"/>
    <w:rsid w:val="00D24F3A"/>
    <w:rsid w:val="00D252D6"/>
    <w:rsid w:val="00D2599F"/>
    <w:rsid w:val="00D25AC1"/>
    <w:rsid w:val="00D25F42"/>
    <w:rsid w:val="00D26251"/>
    <w:rsid w:val="00D266DD"/>
    <w:rsid w:val="00D268BD"/>
    <w:rsid w:val="00D2690B"/>
    <w:rsid w:val="00D26994"/>
    <w:rsid w:val="00D26DAB"/>
    <w:rsid w:val="00D26FBC"/>
    <w:rsid w:val="00D270C0"/>
    <w:rsid w:val="00D272C2"/>
    <w:rsid w:val="00D2790D"/>
    <w:rsid w:val="00D27BA1"/>
    <w:rsid w:val="00D27CB1"/>
    <w:rsid w:val="00D27FA9"/>
    <w:rsid w:val="00D306BC"/>
    <w:rsid w:val="00D307E8"/>
    <w:rsid w:val="00D30989"/>
    <w:rsid w:val="00D30C0A"/>
    <w:rsid w:val="00D30D53"/>
    <w:rsid w:val="00D31140"/>
    <w:rsid w:val="00D31AAD"/>
    <w:rsid w:val="00D31F11"/>
    <w:rsid w:val="00D32075"/>
    <w:rsid w:val="00D323A2"/>
    <w:rsid w:val="00D3274A"/>
    <w:rsid w:val="00D3286E"/>
    <w:rsid w:val="00D32B1A"/>
    <w:rsid w:val="00D32C05"/>
    <w:rsid w:val="00D33547"/>
    <w:rsid w:val="00D33619"/>
    <w:rsid w:val="00D33D6F"/>
    <w:rsid w:val="00D33E50"/>
    <w:rsid w:val="00D33FBF"/>
    <w:rsid w:val="00D340D7"/>
    <w:rsid w:val="00D34254"/>
    <w:rsid w:val="00D34CA9"/>
    <w:rsid w:val="00D35D3F"/>
    <w:rsid w:val="00D3613D"/>
    <w:rsid w:val="00D362DF"/>
    <w:rsid w:val="00D36447"/>
    <w:rsid w:val="00D36468"/>
    <w:rsid w:val="00D36CF8"/>
    <w:rsid w:val="00D36FCB"/>
    <w:rsid w:val="00D37112"/>
    <w:rsid w:val="00D37185"/>
    <w:rsid w:val="00D37AF4"/>
    <w:rsid w:val="00D40679"/>
    <w:rsid w:val="00D40787"/>
    <w:rsid w:val="00D4101E"/>
    <w:rsid w:val="00D411B3"/>
    <w:rsid w:val="00D416A7"/>
    <w:rsid w:val="00D41BB0"/>
    <w:rsid w:val="00D4234E"/>
    <w:rsid w:val="00D42E9A"/>
    <w:rsid w:val="00D43C45"/>
    <w:rsid w:val="00D45813"/>
    <w:rsid w:val="00D4591F"/>
    <w:rsid w:val="00D45D28"/>
    <w:rsid w:val="00D45D2D"/>
    <w:rsid w:val="00D4684F"/>
    <w:rsid w:val="00D46A88"/>
    <w:rsid w:val="00D46DDD"/>
    <w:rsid w:val="00D46DFB"/>
    <w:rsid w:val="00D46E52"/>
    <w:rsid w:val="00D46FE5"/>
    <w:rsid w:val="00D4755F"/>
    <w:rsid w:val="00D47686"/>
    <w:rsid w:val="00D47C74"/>
    <w:rsid w:val="00D50055"/>
    <w:rsid w:val="00D50C71"/>
    <w:rsid w:val="00D50CBC"/>
    <w:rsid w:val="00D50F3C"/>
    <w:rsid w:val="00D516A2"/>
    <w:rsid w:val="00D5198A"/>
    <w:rsid w:val="00D52A0D"/>
    <w:rsid w:val="00D52ADA"/>
    <w:rsid w:val="00D532C1"/>
    <w:rsid w:val="00D5333C"/>
    <w:rsid w:val="00D53A61"/>
    <w:rsid w:val="00D545B0"/>
    <w:rsid w:val="00D545C5"/>
    <w:rsid w:val="00D54928"/>
    <w:rsid w:val="00D54E0B"/>
    <w:rsid w:val="00D55729"/>
    <w:rsid w:val="00D55749"/>
    <w:rsid w:val="00D5579B"/>
    <w:rsid w:val="00D570A0"/>
    <w:rsid w:val="00D571C5"/>
    <w:rsid w:val="00D57251"/>
    <w:rsid w:val="00D600A5"/>
    <w:rsid w:val="00D603C5"/>
    <w:rsid w:val="00D607D4"/>
    <w:rsid w:val="00D61290"/>
    <w:rsid w:val="00D61983"/>
    <w:rsid w:val="00D61988"/>
    <w:rsid w:val="00D61A50"/>
    <w:rsid w:val="00D61B5A"/>
    <w:rsid w:val="00D61E20"/>
    <w:rsid w:val="00D62169"/>
    <w:rsid w:val="00D628E1"/>
    <w:rsid w:val="00D62B82"/>
    <w:rsid w:val="00D62D33"/>
    <w:rsid w:val="00D62ECB"/>
    <w:rsid w:val="00D62FDE"/>
    <w:rsid w:val="00D63114"/>
    <w:rsid w:val="00D63ED1"/>
    <w:rsid w:val="00D64419"/>
    <w:rsid w:val="00D64734"/>
    <w:rsid w:val="00D647F9"/>
    <w:rsid w:val="00D64BAB"/>
    <w:rsid w:val="00D64E97"/>
    <w:rsid w:val="00D650C0"/>
    <w:rsid w:val="00D6517C"/>
    <w:rsid w:val="00D65F4C"/>
    <w:rsid w:val="00D6600C"/>
    <w:rsid w:val="00D66187"/>
    <w:rsid w:val="00D66440"/>
    <w:rsid w:val="00D66D63"/>
    <w:rsid w:val="00D66F09"/>
    <w:rsid w:val="00D67A42"/>
    <w:rsid w:val="00D67DB6"/>
    <w:rsid w:val="00D705AD"/>
    <w:rsid w:val="00D70688"/>
    <w:rsid w:val="00D70F6D"/>
    <w:rsid w:val="00D7177D"/>
    <w:rsid w:val="00D71E63"/>
    <w:rsid w:val="00D727FE"/>
    <w:rsid w:val="00D72829"/>
    <w:rsid w:val="00D72A43"/>
    <w:rsid w:val="00D72BEE"/>
    <w:rsid w:val="00D72D26"/>
    <w:rsid w:val="00D735F1"/>
    <w:rsid w:val="00D73C25"/>
    <w:rsid w:val="00D748C8"/>
    <w:rsid w:val="00D74C2B"/>
    <w:rsid w:val="00D75D0F"/>
    <w:rsid w:val="00D75E40"/>
    <w:rsid w:val="00D75EE7"/>
    <w:rsid w:val="00D76097"/>
    <w:rsid w:val="00D7621B"/>
    <w:rsid w:val="00D76243"/>
    <w:rsid w:val="00D76370"/>
    <w:rsid w:val="00D76F11"/>
    <w:rsid w:val="00D76F23"/>
    <w:rsid w:val="00D77348"/>
    <w:rsid w:val="00D774DE"/>
    <w:rsid w:val="00D77865"/>
    <w:rsid w:val="00D77D3A"/>
    <w:rsid w:val="00D8103D"/>
    <w:rsid w:val="00D81569"/>
    <w:rsid w:val="00D81E43"/>
    <w:rsid w:val="00D8335F"/>
    <w:rsid w:val="00D838EC"/>
    <w:rsid w:val="00D844FD"/>
    <w:rsid w:val="00D84806"/>
    <w:rsid w:val="00D849B1"/>
    <w:rsid w:val="00D84DD8"/>
    <w:rsid w:val="00D8537C"/>
    <w:rsid w:val="00D854DD"/>
    <w:rsid w:val="00D85823"/>
    <w:rsid w:val="00D85FAB"/>
    <w:rsid w:val="00D8653F"/>
    <w:rsid w:val="00D86623"/>
    <w:rsid w:val="00D86A7E"/>
    <w:rsid w:val="00D8704F"/>
    <w:rsid w:val="00D87742"/>
    <w:rsid w:val="00D87AA7"/>
    <w:rsid w:val="00D87B3E"/>
    <w:rsid w:val="00D87E77"/>
    <w:rsid w:val="00D90200"/>
    <w:rsid w:val="00D90C30"/>
    <w:rsid w:val="00D90F9B"/>
    <w:rsid w:val="00D91306"/>
    <w:rsid w:val="00D91683"/>
    <w:rsid w:val="00D917EB"/>
    <w:rsid w:val="00D919C5"/>
    <w:rsid w:val="00D91C8E"/>
    <w:rsid w:val="00D923D9"/>
    <w:rsid w:val="00D9250B"/>
    <w:rsid w:val="00D92D72"/>
    <w:rsid w:val="00D93AD3"/>
    <w:rsid w:val="00D93F41"/>
    <w:rsid w:val="00D940C8"/>
    <w:rsid w:val="00D95423"/>
    <w:rsid w:val="00D95829"/>
    <w:rsid w:val="00D95D49"/>
    <w:rsid w:val="00D95EE5"/>
    <w:rsid w:val="00D95FF9"/>
    <w:rsid w:val="00D9647E"/>
    <w:rsid w:val="00D964C9"/>
    <w:rsid w:val="00D969A7"/>
    <w:rsid w:val="00D974AE"/>
    <w:rsid w:val="00D974B3"/>
    <w:rsid w:val="00D974E9"/>
    <w:rsid w:val="00D9755C"/>
    <w:rsid w:val="00D97748"/>
    <w:rsid w:val="00DA02DB"/>
    <w:rsid w:val="00DA0A39"/>
    <w:rsid w:val="00DA0BDE"/>
    <w:rsid w:val="00DA0DC2"/>
    <w:rsid w:val="00DA1323"/>
    <w:rsid w:val="00DA160E"/>
    <w:rsid w:val="00DA277B"/>
    <w:rsid w:val="00DA302A"/>
    <w:rsid w:val="00DA305F"/>
    <w:rsid w:val="00DA3473"/>
    <w:rsid w:val="00DA3554"/>
    <w:rsid w:val="00DA3DD0"/>
    <w:rsid w:val="00DA4098"/>
    <w:rsid w:val="00DA45DD"/>
    <w:rsid w:val="00DA5004"/>
    <w:rsid w:val="00DA5392"/>
    <w:rsid w:val="00DA58AB"/>
    <w:rsid w:val="00DA59D4"/>
    <w:rsid w:val="00DA6111"/>
    <w:rsid w:val="00DA646B"/>
    <w:rsid w:val="00DA681D"/>
    <w:rsid w:val="00DA6843"/>
    <w:rsid w:val="00DA687F"/>
    <w:rsid w:val="00DA6D78"/>
    <w:rsid w:val="00DA7156"/>
    <w:rsid w:val="00DA77DC"/>
    <w:rsid w:val="00DA7B1B"/>
    <w:rsid w:val="00DA7C82"/>
    <w:rsid w:val="00DB02F6"/>
    <w:rsid w:val="00DB04B9"/>
    <w:rsid w:val="00DB10CD"/>
    <w:rsid w:val="00DB1364"/>
    <w:rsid w:val="00DB170B"/>
    <w:rsid w:val="00DB1D3F"/>
    <w:rsid w:val="00DB2355"/>
    <w:rsid w:val="00DB243E"/>
    <w:rsid w:val="00DB246F"/>
    <w:rsid w:val="00DB28CE"/>
    <w:rsid w:val="00DB2CA2"/>
    <w:rsid w:val="00DB34F0"/>
    <w:rsid w:val="00DB37FC"/>
    <w:rsid w:val="00DB3A3B"/>
    <w:rsid w:val="00DB3E0B"/>
    <w:rsid w:val="00DB47FB"/>
    <w:rsid w:val="00DB4A6A"/>
    <w:rsid w:val="00DB4A6C"/>
    <w:rsid w:val="00DB5122"/>
    <w:rsid w:val="00DB57EC"/>
    <w:rsid w:val="00DB5A7C"/>
    <w:rsid w:val="00DB5CD7"/>
    <w:rsid w:val="00DB606E"/>
    <w:rsid w:val="00DB6149"/>
    <w:rsid w:val="00DB6963"/>
    <w:rsid w:val="00DB6E1F"/>
    <w:rsid w:val="00DB6EA4"/>
    <w:rsid w:val="00DB70A8"/>
    <w:rsid w:val="00DB771B"/>
    <w:rsid w:val="00DB77CF"/>
    <w:rsid w:val="00DB7872"/>
    <w:rsid w:val="00DC0088"/>
    <w:rsid w:val="00DC036C"/>
    <w:rsid w:val="00DC0428"/>
    <w:rsid w:val="00DC0D73"/>
    <w:rsid w:val="00DC0F68"/>
    <w:rsid w:val="00DC10BA"/>
    <w:rsid w:val="00DC14BC"/>
    <w:rsid w:val="00DC16A3"/>
    <w:rsid w:val="00DC17B2"/>
    <w:rsid w:val="00DC17ED"/>
    <w:rsid w:val="00DC1BBB"/>
    <w:rsid w:val="00DC2000"/>
    <w:rsid w:val="00DC213E"/>
    <w:rsid w:val="00DC21E7"/>
    <w:rsid w:val="00DC2913"/>
    <w:rsid w:val="00DC29C9"/>
    <w:rsid w:val="00DC38FA"/>
    <w:rsid w:val="00DC3F80"/>
    <w:rsid w:val="00DC5086"/>
    <w:rsid w:val="00DC53C6"/>
    <w:rsid w:val="00DC6DDC"/>
    <w:rsid w:val="00DC73FC"/>
    <w:rsid w:val="00DC792E"/>
    <w:rsid w:val="00DC7BF1"/>
    <w:rsid w:val="00DC7E43"/>
    <w:rsid w:val="00DC7FAD"/>
    <w:rsid w:val="00DD03ED"/>
    <w:rsid w:val="00DD063C"/>
    <w:rsid w:val="00DD0824"/>
    <w:rsid w:val="00DD0AA6"/>
    <w:rsid w:val="00DD0BC9"/>
    <w:rsid w:val="00DD106C"/>
    <w:rsid w:val="00DD1337"/>
    <w:rsid w:val="00DD1FCC"/>
    <w:rsid w:val="00DD1FFB"/>
    <w:rsid w:val="00DD21F7"/>
    <w:rsid w:val="00DD23A2"/>
    <w:rsid w:val="00DD25BE"/>
    <w:rsid w:val="00DD2B6C"/>
    <w:rsid w:val="00DD2E15"/>
    <w:rsid w:val="00DD2F13"/>
    <w:rsid w:val="00DD305E"/>
    <w:rsid w:val="00DD3574"/>
    <w:rsid w:val="00DD36B7"/>
    <w:rsid w:val="00DD36B8"/>
    <w:rsid w:val="00DD3A73"/>
    <w:rsid w:val="00DD3D27"/>
    <w:rsid w:val="00DD3FAA"/>
    <w:rsid w:val="00DD4296"/>
    <w:rsid w:val="00DD43B8"/>
    <w:rsid w:val="00DD442D"/>
    <w:rsid w:val="00DD47FC"/>
    <w:rsid w:val="00DD4914"/>
    <w:rsid w:val="00DD4921"/>
    <w:rsid w:val="00DD4EC6"/>
    <w:rsid w:val="00DD50F4"/>
    <w:rsid w:val="00DD5339"/>
    <w:rsid w:val="00DD5420"/>
    <w:rsid w:val="00DD5A71"/>
    <w:rsid w:val="00DD5CD7"/>
    <w:rsid w:val="00DD64F9"/>
    <w:rsid w:val="00DD659B"/>
    <w:rsid w:val="00DD686E"/>
    <w:rsid w:val="00DD6FAB"/>
    <w:rsid w:val="00DD77EA"/>
    <w:rsid w:val="00DE0007"/>
    <w:rsid w:val="00DE02FA"/>
    <w:rsid w:val="00DE0BB7"/>
    <w:rsid w:val="00DE0E74"/>
    <w:rsid w:val="00DE1932"/>
    <w:rsid w:val="00DE1D84"/>
    <w:rsid w:val="00DE21B1"/>
    <w:rsid w:val="00DE25D7"/>
    <w:rsid w:val="00DE2B2E"/>
    <w:rsid w:val="00DE2D56"/>
    <w:rsid w:val="00DE36C1"/>
    <w:rsid w:val="00DE3AD7"/>
    <w:rsid w:val="00DE3BB3"/>
    <w:rsid w:val="00DE3E3F"/>
    <w:rsid w:val="00DE4007"/>
    <w:rsid w:val="00DE4B76"/>
    <w:rsid w:val="00DE4B95"/>
    <w:rsid w:val="00DE55E8"/>
    <w:rsid w:val="00DE5751"/>
    <w:rsid w:val="00DE5CEC"/>
    <w:rsid w:val="00DE63ED"/>
    <w:rsid w:val="00DE63FF"/>
    <w:rsid w:val="00DE6ABB"/>
    <w:rsid w:val="00DE6B95"/>
    <w:rsid w:val="00DE6F00"/>
    <w:rsid w:val="00DE6F20"/>
    <w:rsid w:val="00DE733D"/>
    <w:rsid w:val="00DE739F"/>
    <w:rsid w:val="00DF004A"/>
    <w:rsid w:val="00DF00C8"/>
    <w:rsid w:val="00DF06C0"/>
    <w:rsid w:val="00DF1500"/>
    <w:rsid w:val="00DF153C"/>
    <w:rsid w:val="00DF1697"/>
    <w:rsid w:val="00DF195B"/>
    <w:rsid w:val="00DF284A"/>
    <w:rsid w:val="00DF2BFE"/>
    <w:rsid w:val="00DF2C56"/>
    <w:rsid w:val="00DF2C63"/>
    <w:rsid w:val="00DF39AB"/>
    <w:rsid w:val="00DF3BBA"/>
    <w:rsid w:val="00DF3D04"/>
    <w:rsid w:val="00DF402C"/>
    <w:rsid w:val="00DF4415"/>
    <w:rsid w:val="00DF4E70"/>
    <w:rsid w:val="00DF55BA"/>
    <w:rsid w:val="00DF58FA"/>
    <w:rsid w:val="00DF6012"/>
    <w:rsid w:val="00DF6E0B"/>
    <w:rsid w:val="00DF7239"/>
    <w:rsid w:val="00DF78BE"/>
    <w:rsid w:val="00E0018D"/>
    <w:rsid w:val="00E00612"/>
    <w:rsid w:val="00E00957"/>
    <w:rsid w:val="00E01387"/>
    <w:rsid w:val="00E01413"/>
    <w:rsid w:val="00E017CF"/>
    <w:rsid w:val="00E01F2F"/>
    <w:rsid w:val="00E02785"/>
    <w:rsid w:val="00E0286E"/>
    <w:rsid w:val="00E029FC"/>
    <w:rsid w:val="00E02B4E"/>
    <w:rsid w:val="00E033BB"/>
    <w:rsid w:val="00E039CF"/>
    <w:rsid w:val="00E03B74"/>
    <w:rsid w:val="00E03BE5"/>
    <w:rsid w:val="00E03C99"/>
    <w:rsid w:val="00E048A5"/>
    <w:rsid w:val="00E04FE7"/>
    <w:rsid w:val="00E0550D"/>
    <w:rsid w:val="00E05AF0"/>
    <w:rsid w:val="00E05DB1"/>
    <w:rsid w:val="00E061EF"/>
    <w:rsid w:val="00E068EB"/>
    <w:rsid w:val="00E07003"/>
    <w:rsid w:val="00E07826"/>
    <w:rsid w:val="00E10084"/>
    <w:rsid w:val="00E1015F"/>
    <w:rsid w:val="00E1016C"/>
    <w:rsid w:val="00E10273"/>
    <w:rsid w:val="00E104CC"/>
    <w:rsid w:val="00E10F5B"/>
    <w:rsid w:val="00E113F9"/>
    <w:rsid w:val="00E122C5"/>
    <w:rsid w:val="00E1258D"/>
    <w:rsid w:val="00E126AC"/>
    <w:rsid w:val="00E12759"/>
    <w:rsid w:val="00E131A7"/>
    <w:rsid w:val="00E1356F"/>
    <w:rsid w:val="00E13735"/>
    <w:rsid w:val="00E13955"/>
    <w:rsid w:val="00E13F4A"/>
    <w:rsid w:val="00E13FB1"/>
    <w:rsid w:val="00E1420F"/>
    <w:rsid w:val="00E15796"/>
    <w:rsid w:val="00E15ADE"/>
    <w:rsid w:val="00E16546"/>
    <w:rsid w:val="00E1664B"/>
    <w:rsid w:val="00E16D8A"/>
    <w:rsid w:val="00E171B0"/>
    <w:rsid w:val="00E1754A"/>
    <w:rsid w:val="00E17766"/>
    <w:rsid w:val="00E17891"/>
    <w:rsid w:val="00E178B3"/>
    <w:rsid w:val="00E17BD2"/>
    <w:rsid w:val="00E20151"/>
    <w:rsid w:val="00E20A52"/>
    <w:rsid w:val="00E20E8B"/>
    <w:rsid w:val="00E211C9"/>
    <w:rsid w:val="00E213A1"/>
    <w:rsid w:val="00E21ABF"/>
    <w:rsid w:val="00E223E1"/>
    <w:rsid w:val="00E22ECB"/>
    <w:rsid w:val="00E232BB"/>
    <w:rsid w:val="00E237AC"/>
    <w:rsid w:val="00E239AA"/>
    <w:rsid w:val="00E23C2F"/>
    <w:rsid w:val="00E24098"/>
    <w:rsid w:val="00E24389"/>
    <w:rsid w:val="00E243FD"/>
    <w:rsid w:val="00E24731"/>
    <w:rsid w:val="00E24A76"/>
    <w:rsid w:val="00E25F33"/>
    <w:rsid w:val="00E2701F"/>
    <w:rsid w:val="00E27193"/>
    <w:rsid w:val="00E2773A"/>
    <w:rsid w:val="00E3177A"/>
    <w:rsid w:val="00E32160"/>
    <w:rsid w:val="00E32305"/>
    <w:rsid w:val="00E32306"/>
    <w:rsid w:val="00E32786"/>
    <w:rsid w:val="00E32A2B"/>
    <w:rsid w:val="00E32C50"/>
    <w:rsid w:val="00E32D7F"/>
    <w:rsid w:val="00E33757"/>
    <w:rsid w:val="00E33830"/>
    <w:rsid w:val="00E33E02"/>
    <w:rsid w:val="00E33E07"/>
    <w:rsid w:val="00E34701"/>
    <w:rsid w:val="00E34C94"/>
    <w:rsid w:val="00E3535A"/>
    <w:rsid w:val="00E356E1"/>
    <w:rsid w:val="00E35844"/>
    <w:rsid w:val="00E35ADA"/>
    <w:rsid w:val="00E361A2"/>
    <w:rsid w:val="00E36822"/>
    <w:rsid w:val="00E36A98"/>
    <w:rsid w:val="00E37612"/>
    <w:rsid w:val="00E37B57"/>
    <w:rsid w:val="00E37F80"/>
    <w:rsid w:val="00E407E4"/>
    <w:rsid w:val="00E40D01"/>
    <w:rsid w:val="00E41146"/>
    <w:rsid w:val="00E4178C"/>
    <w:rsid w:val="00E42281"/>
    <w:rsid w:val="00E42A3F"/>
    <w:rsid w:val="00E4300E"/>
    <w:rsid w:val="00E434BD"/>
    <w:rsid w:val="00E43D63"/>
    <w:rsid w:val="00E44116"/>
    <w:rsid w:val="00E44154"/>
    <w:rsid w:val="00E44374"/>
    <w:rsid w:val="00E446F5"/>
    <w:rsid w:val="00E44981"/>
    <w:rsid w:val="00E44D50"/>
    <w:rsid w:val="00E4514C"/>
    <w:rsid w:val="00E451A0"/>
    <w:rsid w:val="00E45E87"/>
    <w:rsid w:val="00E46837"/>
    <w:rsid w:val="00E470CA"/>
    <w:rsid w:val="00E47583"/>
    <w:rsid w:val="00E477E7"/>
    <w:rsid w:val="00E4799B"/>
    <w:rsid w:val="00E50B9B"/>
    <w:rsid w:val="00E521A8"/>
    <w:rsid w:val="00E521F3"/>
    <w:rsid w:val="00E527A5"/>
    <w:rsid w:val="00E52B94"/>
    <w:rsid w:val="00E52CFF"/>
    <w:rsid w:val="00E5371C"/>
    <w:rsid w:val="00E537C0"/>
    <w:rsid w:val="00E5382E"/>
    <w:rsid w:val="00E53950"/>
    <w:rsid w:val="00E546CB"/>
    <w:rsid w:val="00E54C72"/>
    <w:rsid w:val="00E54D12"/>
    <w:rsid w:val="00E55117"/>
    <w:rsid w:val="00E559C8"/>
    <w:rsid w:val="00E55BBF"/>
    <w:rsid w:val="00E55DCF"/>
    <w:rsid w:val="00E5605D"/>
    <w:rsid w:val="00E56142"/>
    <w:rsid w:val="00E565D1"/>
    <w:rsid w:val="00E57003"/>
    <w:rsid w:val="00E5712E"/>
    <w:rsid w:val="00E57647"/>
    <w:rsid w:val="00E577C1"/>
    <w:rsid w:val="00E578E3"/>
    <w:rsid w:val="00E60743"/>
    <w:rsid w:val="00E60933"/>
    <w:rsid w:val="00E60A80"/>
    <w:rsid w:val="00E610E8"/>
    <w:rsid w:val="00E614E9"/>
    <w:rsid w:val="00E6158D"/>
    <w:rsid w:val="00E61630"/>
    <w:rsid w:val="00E61BCF"/>
    <w:rsid w:val="00E62052"/>
    <w:rsid w:val="00E621D2"/>
    <w:rsid w:val="00E62B97"/>
    <w:rsid w:val="00E62C0C"/>
    <w:rsid w:val="00E62E3D"/>
    <w:rsid w:val="00E6384C"/>
    <w:rsid w:val="00E63E2E"/>
    <w:rsid w:val="00E64010"/>
    <w:rsid w:val="00E6403D"/>
    <w:rsid w:val="00E643DE"/>
    <w:rsid w:val="00E6480A"/>
    <w:rsid w:val="00E64CFB"/>
    <w:rsid w:val="00E64CFF"/>
    <w:rsid w:val="00E64E35"/>
    <w:rsid w:val="00E64EF4"/>
    <w:rsid w:val="00E650CE"/>
    <w:rsid w:val="00E65494"/>
    <w:rsid w:val="00E65805"/>
    <w:rsid w:val="00E65ECB"/>
    <w:rsid w:val="00E65F41"/>
    <w:rsid w:val="00E66060"/>
    <w:rsid w:val="00E661BD"/>
    <w:rsid w:val="00E6628E"/>
    <w:rsid w:val="00E664E5"/>
    <w:rsid w:val="00E6695B"/>
    <w:rsid w:val="00E67755"/>
    <w:rsid w:val="00E70746"/>
    <w:rsid w:val="00E70FED"/>
    <w:rsid w:val="00E7148D"/>
    <w:rsid w:val="00E7225E"/>
    <w:rsid w:val="00E72976"/>
    <w:rsid w:val="00E72A57"/>
    <w:rsid w:val="00E72DE5"/>
    <w:rsid w:val="00E733A6"/>
    <w:rsid w:val="00E7365F"/>
    <w:rsid w:val="00E736B9"/>
    <w:rsid w:val="00E73764"/>
    <w:rsid w:val="00E7398A"/>
    <w:rsid w:val="00E73A8E"/>
    <w:rsid w:val="00E73AEB"/>
    <w:rsid w:val="00E73C51"/>
    <w:rsid w:val="00E74063"/>
    <w:rsid w:val="00E75490"/>
    <w:rsid w:val="00E75E7D"/>
    <w:rsid w:val="00E7624E"/>
    <w:rsid w:val="00E765C2"/>
    <w:rsid w:val="00E76661"/>
    <w:rsid w:val="00E76803"/>
    <w:rsid w:val="00E76845"/>
    <w:rsid w:val="00E76E33"/>
    <w:rsid w:val="00E77A87"/>
    <w:rsid w:val="00E77ECD"/>
    <w:rsid w:val="00E81178"/>
    <w:rsid w:val="00E8276C"/>
    <w:rsid w:val="00E827AD"/>
    <w:rsid w:val="00E82A82"/>
    <w:rsid w:val="00E82DE9"/>
    <w:rsid w:val="00E8313F"/>
    <w:rsid w:val="00E834C8"/>
    <w:rsid w:val="00E83BAE"/>
    <w:rsid w:val="00E83D54"/>
    <w:rsid w:val="00E83EE3"/>
    <w:rsid w:val="00E8425B"/>
    <w:rsid w:val="00E84EF1"/>
    <w:rsid w:val="00E854E3"/>
    <w:rsid w:val="00E85819"/>
    <w:rsid w:val="00E85922"/>
    <w:rsid w:val="00E86389"/>
    <w:rsid w:val="00E868F4"/>
    <w:rsid w:val="00E8702D"/>
    <w:rsid w:val="00E87B49"/>
    <w:rsid w:val="00E90203"/>
    <w:rsid w:val="00E9028F"/>
    <w:rsid w:val="00E90870"/>
    <w:rsid w:val="00E90996"/>
    <w:rsid w:val="00E90AF1"/>
    <w:rsid w:val="00E90BE4"/>
    <w:rsid w:val="00E91735"/>
    <w:rsid w:val="00E91C1E"/>
    <w:rsid w:val="00E91F76"/>
    <w:rsid w:val="00E926A8"/>
    <w:rsid w:val="00E926B5"/>
    <w:rsid w:val="00E932A4"/>
    <w:rsid w:val="00E93BFF"/>
    <w:rsid w:val="00E93F80"/>
    <w:rsid w:val="00E9416D"/>
    <w:rsid w:val="00E9463E"/>
    <w:rsid w:val="00E94A74"/>
    <w:rsid w:val="00E94EEE"/>
    <w:rsid w:val="00E9524C"/>
    <w:rsid w:val="00E956DC"/>
    <w:rsid w:val="00E958BB"/>
    <w:rsid w:val="00E95AEB"/>
    <w:rsid w:val="00E95AF3"/>
    <w:rsid w:val="00E96450"/>
    <w:rsid w:val="00E96669"/>
    <w:rsid w:val="00E9721D"/>
    <w:rsid w:val="00E9724E"/>
    <w:rsid w:val="00E9763A"/>
    <w:rsid w:val="00E977B4"/>
    <w:rsid w:val="00E97AF7"/>
    <w:rsid w:val="00E97DBD"/>
    <w:rsid w:val="00EA0028"/>
    <w:rsid w:val="00EA00CD"/>
    <w:rsid w:val="00EA0270"/>
    <w:rsid w:val="00EA081E"/>
    <w:rsid w:val="00EA08DB"/>
    <w:rsid w:val="00EA0906"/>
    <w:rsid w:val="00EA0A7A"/>
    <w:rsid w:val="00EA0B6E"/>
    <w:rsid w:val="00EA0D66"/>
    <w:rsid w:val="00EA11E2"/>
    <w:rsid w:val="00EA1454"/>
    <w:rsid w:val="00EA181F"/>
    <w:rsid w:val="00EA19F8"/>
    <w:rsid w:val="00EA2371"/>
    <w:rsid w:val="00EA2689"/>
    <w:rsid w:val="00EA2BD0"/>
    <w:rsid w:val="00EA2E46"/>
    <w:rsid w:val="00EA36BE"/>
    <w:rsid w:val="00EA39F8"/>
    <w:rsid w:val="00EA3E63"/>
    <w:rsid w:val="00EA43A0"/>
    <w:rsid w:val="00EA44DB"/>
    <w:rsid w:val="00EA4913"/>
    <w:rsid w:val="00EA495A"/>
    <w:rsid w:val="00EA4EE6"/>
    <w:rsid w:val="00EA4F24"/>
    <w:rsid w:val="00EA5089"/>
    <w:rsid w:val="00EA510F"/>
    <w:rsid w:val="00EA5581"/>
    <w:rsid w:val="00EA5A57"/>
    <w:rsid w:val="00EA5AB8"/>
    <w:rsid w:val="00EA5F9A"/>
    <w:rsid w:val="00EA6230"/>
    <w:rsid w:val="00EA6367"/>
    <w:rsid w:val="00EA6753"/>
    <w:rsid w:val="00EA6D48"/>
    <w:rsid w:val="00EA6FFB"/>
    <w:rsid w:val="00EA7545"/>
    <w:rsid w:val="00EA7CD9"/>
    <w:rsid w:val="00EA7CFA"/>
    <w:rsid w:val="00EA7E52"/>
    <w:rsid w:val="00EA7F00"/>
    <w:rsid w:val="00EB0061"/>
    <w:rsid w:val="00EB0761"/>
    <w:rsid w:val="00EB1EB9"/>
    <w:rsid w:val="00EB2033"/>
    <w:rsid w:val="00EB261D"/>
    <w:rsid w:val="00EB2695"/>
    <w:rsid w:val="00EB2842"/>
    <w:rsid w:val="00EB28EE"/>
    <w:rsid w:val="00EB2B88"/>
    <w:rsid w:val="00EB3124"/>
    <w:rsid w:val="00EB3382"/>
    <w:rsid w:val="00EB390D"/>
    <w:rsid w:val="00EB3D92"/>
    <w:rsid w:val="00EB4130"/>
    <w:rsid w:val="00EB41EE"/>
    <w:rsid w:val="00EB4A0E"/>
    <w:rsid w:val="00EB4EC6"/>
    <w:rsid w:val="00EB5627"/>
    <w:rsid w:val="00EB5CD4"/>
    <w:rsid w:val="00EB5F89"/>
    <w:rsid w:val="00EB61A7"/>
    <w:rsid w:val="00EB6D23"/>
    <w:rsid w:val="00EB767D"/>
    <w:rsid w:val="00EB790D"/>
    <w:rsid w:val="00EB79FA"/>
    <w:rsid w:val="00EC083F"/>
    <w:rsid w:val="00EC0FA5"/>
    <w:rsid w:val="00EC22F0"/>
    <w:rsid w:val="00EC23CE"/>
    <w:rsid w:val="00EC284B"/>
    <w:rsid w:val="00EC2E85"/>
    <w:rsid w:val="00EC3034"/>
    <w:rsid w:val="00EC338D"/>
    <w:rsid w:val="00EC35CB"/>
    <w:rsid w:val="00EC360E"/>
    <w:rsid w:val="00EC4BB6"/>
    <w:rsid w:val="00EC4D0C"/>
    <w:rsid w:val="00EC5897"/>
    <w:rsid w:val="00EC64B0"/>
    <w:rsid w:val="00EC6BD4"/>
    <w:rsid w:val="00EC6EBC"/>
    <w:rsid w:val="00EC724C"/>
    <w:rsid w:val="00EC761F"/>
    <w:rsid w:val="00EC77AC"/>
    <w:rsid w:val="00EC7BEA"/>
    <w:rsid w:val="00EC7E1C"/>
    <w:rsid w:val="00ED027F"/>
    <w:rsid w:val="00ED0831"/>
    <w:rsid w:val="00ED0F7A"/>
    <w:rsid w:val="00ED0FCB"/>
    <w:rsid w:val="00ED13ED"/>
    <w:rsid w:val="00ED1BFF"/>
    <w:rsid w:val="00ED1D87"/>
    <w:rsid w:val="00ED1E1A"/>
    <w:rsid w:val="00ED2C8E"/>
    <w:rsid w:val="00ED2D14"/>
    <w:rsid w:val="00ED2DD3"/>
    <w:rsid w:val="00ED2F39"/>
    <w:rsid w:val="00ED34A0"/>
    <w:rsid w:val="00ED37BD"/>
    <w:rsid w:val="00ED3958"/>
    <w:rsid w:val="00ED3D74"/>
    <w:rsid w:val="00ED4155"/>
    <w:rsid w:val="00ED427B"/>
    <w:rsid w:val="00ED481B"/>
    <w:rsid w:val="00ED495D"/>
    <w:rsid w:val="00ED4BDB"/>
    <w:rsid w:val="00ED4F3C"/>
    <w:rsid w:val="00ED50AE"/>
    <w:rsid w:val="00ED55BA"/>
    <w:rsid w:val="00ED59D3"/>
    <w:rsid w:val="00ED5BAD"/>
    <w:rsid w:val="00ED5D46"/>
    <w:rsid w:val="00ED69F3"/>
    <w:rsid w:val="00ED715D"/>
    <w:rsid w:val="00EE00F8"/>
    <w:rsid w:val="00EE041E"/>
    <w:rsid w:val="00EE0526"/>
    <w:rsid w:val="00EE06AE"/>
    <w:rsid w:val="00EE06C4"/>
    <w:rsid w:val="00EE1358"/>
    <w:rsid w:val="00EE19C8"/>
    <w:rsid w:val="00EE273D"/>
    <w:rsid w:val="00EE27F0"/>
    <w:rsid w:val="00EE281D"/>
    <w:rsid w:val="00EE2A45"/>
    <w:rsid w:val="00EE33C9"/>
    <w:rsid w:val="00EE38E6"/>
    <w:rsid w:val="00EE398B"/>
    <w:rsid w:val="00EE3B4F"/>
    <w:rsid w:val="00EE4885"/>
    <w:rsid w:val="00EE4A28"/>
    <w:rsid w:val="00EE56E0"/>
    <w:rsid w:val="00EE6079"/>
    <w:rsid w:val="00EE63CB"/>
    <w:rsid w:val="00EE668E"/>
    <w:rsid w:val="00EE6932"/>
    <w:rsid w:val="00EE6B4E"/>
    <w:rsid w:val="00EE6E53"/>
    <w:rsid w:val="00EE7674"/>
    <w:rsid w:val="00EE7B99"/>
    <w:rsid w:val="00EE7CE6"/>
    <w:rsid w:val="00EE7DC5"/>
    <w:rsid w:val="00EF0B5F"/>
    <w:rsid w:val="00EF10D6"/>
    <w:rsid w:val="00EF2164"/>
    <w:rsid w:val="00EF2E67"/>
    <w:rsid w:val="00EF2E97"/>
    <w:rsid w:val="00EF2F0C"/>
    <w:rsid w:val="00EF31C4"/>
    <w:rsid w:val="00EF36E7"/>
    <w:rsid w:val="00EF377C"/>
    <w:rsid w:val="00EF3A1D"/>
    <w:rsid w:val="00EF3B7B"/>
    <w:rsid w:val="00EF3D0E"/>
    <w:rsid w:val="00EF3D63"/>
    <w:rsid w:val="00EF4811"/>
    <w:rsid w:val="00EF5413"/>
    <w:rsid w:val="00EF5690"/>
    <w:rsid w:val="00EF59E8"/>
    <w:rsid w:val="00EF6843"/>
    <w:rsid w:val="00EF6FC3"/>
    <w:rsid w:val="00EF733A"/>
    <w:rsid w:val="00EF7D5D"/>
    <w:rsid w:val="00EF7F6F"/>
    <w:rsid w:val="00F00475"/>
    <w:rsid w:val="00F00F9B"/>
    <w:rsid w:val="00F01059"/>
    <w:rsid w:val="00F01F8A"/>
    <w:rsid w:val="00F032A8"/>
    <w:rsid w:val="00F03956"/>
    <w:rsid w:val="00F03F09"/>
    <w:rsid w:val="00F04579"/>
    <w:rsid w:val="00F048CD"/>
    <w:rsid w:val="00F04D24"/>
    <w:rsid w:val="00F0536B"/>
    <w:rsid w:val="00F058DD"/>
    <w:rsid w:val="00F05C9D"/>
    <w:rsid w:val="00F05E62"/>
    <w:rsid w:val="00F070E7"/>
    <w:rsid w:val="00F071D5"/>
    <w:rsid w:val="00F076EB"/>
    <w:rsid w:val="00F07A15"/>
    <w:rsid w:val="00F07B61"/>
    <w:rsid w:val="00F07EFD"/>
    <w:rsid w:val="00F10A9F"/>
    <w:rsid w:val="00F1119D"/>
    <w:rsid w:val="00F113C9"/>
    <w:rsid w:val="00F11612"/>
    <w:rsid w:val="00F11AA7"/>
    <w:rsid w:val="00F11E36"/>
    <w:rsid w:val="00F12607"/>
    <w:rsid w:val="00F127F4"/>
    <w:rsid w:val="00F1347F"/>
    <w:rsid w:val="00F13BE3"/>
    <w:rsid w:val="00F14733"/>
    <w:rsid w:val="00F14A8A"/>
    <w:rsid w:val="00F14ADF"/>
    <w:rsid w:val="00F156A6"/>
    <w:rsid w:val="00F162AE"/>
    <w:rsid w:val="00F162C1"/>
    <w:rsid w:val="00F1635E"/>
    <w:rsid w:val="00F16839"/>
    <w:rsid w:val="00F16A92"/>
    <w:rsid w:val="00F16AB8"/>
    <w:rsid w:val="00F16FDD"/>
    <w:rsid w:val="00F173CB"/>
    <w:rsid w:val="00F17E65"/>
    <w:rsid w:val="00F202AA"/>
    <w:rsid w:val="00F2035E"/>
    <w:rsid w:val="00F20F24"/>
    <w:rsid w:val="00F2150A"/>
    <w:rsid w:val="00F221EB"/>
    <w:rsid w:val="00F224E6"/>
    <w:rsid w:val="00F22A8B"/>
    <w:rsid w:val="00F22C19"/>
    <w:rsid w:val="00F23306"/>
    <w:rsid w:val="00F237B8"/>
    <w:rsid w:val="00F2384F"/>
    <w:rsid w:val="00F23DD4"/>
    <w:rsid w:val="00F24359"/>
    <w:rsid w:val="00F246AB"/>
    <w:rsid w:val="00F24B49"/>
    <w:rsid w:val="00F252D3"/>
    <w:rsid w:val="00F253AE"/>
    <w:rsid w:val="00F2553B"/>
    <w:rsid w:val="00F2562D"/>
    <w:rsid w:val="00F25BFE"/>
    <w:rsid w:val="00F25C47"/>
    <w:rsid w:val="00F261A4"/>
    <w:rsid w:val="00F2669D"/>
    <w:rsid w:val="00F26B38"/>
    <w:rsid w:val="00F26BAC"/>
    <w:rsid w:val="00F26DAE"/>
    <w:rsid w:val="00F273E1"/>
    <w:rsid w:val="00F30236"/>
    <w:rsid w:val="00F30AA0"/>
    <w:rsid w:val="00F30BE7"/>
    <w:rsid w:val="00F30C33"/>
    <w:rsid w:val="00F313B9"/>
    <w:rsid w:val="00F31401"/>
    <w:rsid w:val="00F31E10"/>
    <w:rsid w:val="00F32112"/>
    <w:rsid w:val="00F324D9"/>
    <w:rsid w:val="00F32B60"/>
    <w:rsid w:val="00F32CC4"/>
    <w:rsid w:val="00F33645"/>
    <w:rsid w:val="00F336E9"/>
    <w:rsid w:val="00F3397F"/>
    <w:rsid w:val="00F339AD"/>
    <w:rsid w:val="00F33C63"/>
    <w:rsid w:val="00F33FD2"/>
    <w:rsid w:val="00F34456"/>
    <w:rsid w:val="00F346DA"/>
    <w:rsid w:val="00F3484D"/>
    <w:rsid w:val="00F34C5F"/>
    <w:rsid w:val="00F352EB"/>
    <w:rsid w:val="00F36083"/>
    <w:rsid w:val="00F365A3"/>
    <w:rsid w:val="00F366AF"/>
    <w:rsid w:val="00F36B24"/>
    <w:rsid w:val="00F36E9C"/>
    <w:rsid w:val="00F36F24"/>
    <w:rsid w:val="00F373AC"/>
    <w:rsid w:val="00F37515"/>
    <w:rsid w:val="00F37B68"/>
    <w:rsid w:val="00F37C01"/>
    <w:rsid w:val="00F40037"/>
    <w:rsid w:val="00F404E8"/>
    <w:rsid w:val="00F4060C"/>
    <w:rsid w:val="00F40F98"/>
    <w:rsid w:val="00F40FE8"/>
    <w:rsid w:val="00F41253"/>
    <w:rsid w:val="00F41A33"/>
    <w:rsid w:val="00F41BF4"/>
    <w:rsid w:val="00F41E59"/>
    <w:rsid w:val="00F41E9C"/>
    <w:rsid w:val="00F427FC"/>
    <w:rsid w:val="00F428E4"/>
    <w:rsid w:val="00F4424C"/>
    <w:rsid w:val="00F44F5A"/>
    <w:rsid w:val="00F45253"/>
    <w:rsid w:val="00F452B1"/>
    <w:rsid w:val="00F45E2D"/>
    <w:rsid w:val="00F46795"/>
    <w:rsid w:val="00F46FCA"/>
    <w:rsid w:val="00F4707C"/>
    <w:rsid w:val="00F476AD"/>
    <w:rsid w:val="00F47825"/>
    <w:rsid w:val="00F5023C"/>
    <w:rsid w:val="00F5062D"/>
    <w:rsid w:val="00F5069A"/>
    <w:rsid w:val="00F507D5"/>
    <w:rsid w:val="00F50C91"/>
    <w:rsid w:val="00F5102B"/>
    <w:rsid w:val="00F510E4"/>
    <w:rsid w:val="00F513BA"/>
    <w:rsid w:val="00F5149B"/>
    <w:rsid w:val="00F519D0"/>
    <w:rsid w:val="00F51F0C"/>
    <w:rsid w:val="00F5222C"/>
    <w:rsid w:val="00F52534"/>
    <w:rsid w:val="00F52690"/>
    <w:rsid w:val="00F52E1B"/>
    <w:rsid w:val="00F53123"/>
    <w:rsid w:val="00F53FC7"/>
    <w:rsid w:val="00F543E8"/>
    <w:rsid w:val="00F54755"/>
    <w:rsid w:val="00F54971"/>
    <w:rsid w:val="00F550CB"/>
    <w:rsid w:val="00F55270"/>
    <w:rsid w:val="00F5558E"/>
    <w:rsid w:val="00F558B1"/>
    <w:rsid w:val="00F56194"/>
    <w:rsid w:val="00F56BBC"/>
    <w:rsid w:val="00F57790"/>
    <w:rsid w:val="00F57CE9"/>
    <w:rsid w:val="00F57ED0"/>
    <w:rsid w:val="00F603DA"/>
    <w:rsid w:val="00F60577"/>
    <w:rsid w:val="00F60B66"/>
    <w:rsid w:val="00F6130F"/>
    <w:rsid w:val="00F615D3"/>
    <w:rsid w:val="00F61752"/>
    <w:rsid w:val="00F61862"/>
    <w:rsid w:val="00F61D65"/>
    <w:rsid w:val="00F6289C"/>
    <w:rsid w:val="00F62BD1"/>
    <w:rsid w:val="00F62E05"/>
    <w:rsid w:val="00F63316"/>
    <w:rsid w:val="00F639D6"/>
    <w:rsid w:val="00F63C82"/>
    <w:rsid w:val="00F63FE6"/>
    <w:rsid w:val="00F63FEB"/>
    <w:rsid w:val="00F640FF"/>
    <w:rsid w:val="00F64451"/>
    <w:rsid w:val="00F645E4"/>
    <w:rsid w:val="00F65431"/>
    <w:rsid w:val="00F65452"/>
    <w:rsid w:val="00F654F0"/>
    <w:rsid w:val="00F6575A"/>
    <w:rsid w:val="00F65C06"/>
    <w:rsid w:val="00F664B8"/>
    <w:rsid w:val="00F668E5"/>
    <w:rsid w:val="00F66EC2"/>
    <w:rsid w:val="00F66FBE"/>
    <w:rsid w:val="00F67560"/>
    <w:rsid w:val="00F67AA9"/>
    <w:rsid w:val="00F701D7"/>
    <w:rsid w:val="00F7176A"/>
    <w:rsid w:val="00F7301F"/>
    <w:rsid w:val="00F736E5"/>
    <w:rsid w:val="00F73F35"/>
    <w:rsid w:val="00F7438B"/>
    <w:rsid w:val="00F745DD"/>
    <w:rsid w:val="00F74E06"/>
    <w:rsid w:val="00F757CC"/>
    <w:rsid w:val="00F7581E"/>
    <w:rsid w:val="00F761B8"/>
    <w:rsid w:val="00F761C2"/>
    <w:rsid w:val="00F7655C"/>
    <w:rsid w:val="00F76BD7"/>
    <w:rsid w:val="00F77427"/>
    <w:rsid w:val="00F77435"/>
    <w:rsid w:val="00F77DB8"/>
    <w:rsid w:val="00F802D5"/>
    <w:rsid w:val="00F804D0"/>
    <w:rsid w:val="00F80CC1"/>
    <w:rsid w:val="00F80E98"/>
    <w:rsid w:val="00F819EA"/>
    <w:rsid w:val="00F820AB"/>
    <w:rsid w:val="00F82A6F"/>
    <w:rsid w:val="00F8406C"/>
    <w:rsid w:val="00F84194"/>
    <w:rsid w:val="00F846AD"/>
    <w:rsid w:val="00F85448"/>
    <w:rsid w:val="00F85C69"/>
    <w:rsid w:val="00F86390"/>
    <w:rsid w:val="00F86988"/>
    <w:rsid w:val="00F86EC8"/>
    <w:rsid w:val="00F878B4"/>
    <w:rsid w:val="00F879BD"/>
    <w:rsid w:val="00F87F6B"/>
    <w:rsid w:val="00F90366"/>
    <w:rsid w:val="00F90415"/>
    <w:rsid w:val="00F90A02"/>
    <w:rsid w:val="00F90C39"/>
    <w:rsid w:val="00F90FB0"/>
    <w:rsid w:val="00F91158"/>
    <w:rsid w:val="00F9129B"/>
    <w:rsid w:val="00F91579"/>
    <w:rsid w:val="00F91F84"/>
    <w:rsid w:val="00F93D1C"/>
    <w:rsid w:val="00F93E0F"/>
    <w:rsid w:val="00F94005"/>
    <w:rsid w:val="00F944B1"/>
    <w:rsid w:val="00F94657"/>
    <w:rsid w:val="00F94815"/>
    <w:rsid w:val="00F948FE"/>
    <w:rsid w:val="00F959C0"/>
    <w:rsid w:val="00F95C94"/>
    <w:rsid w:val="00F95D97"/>
    <w:rsid w:val="00F95F8E"/>
    <w:rsid w:val="00F96251"/>
    <w:rsid w:val="00F96C9F"/>
    <w:rsid w:val="00FA00EF"/>
    <w:rsid w:val="00FA0B0E"/>
    <w:rsid w:val="00FA1274"/>
    <w:rsid w:val="00FA13BC"/>
    <w:rsid w:val="00FA13D6"/>
    <w:rsid w:val="00FA18CB"/>
    <w:rsid w:val="00FA1BD5"/>
    <w:rsid w:val="00FA1BEE"/>
    <w:rsid w:val="00FA287E"/>
    <w:rsid w:val="00FA296D"/>
    <w:rsid w:val="00FA2A20"/>
    <w:rsid w:val="00FA2CA6"/>
    <w:rsid w:val="00FA2F5F"/>
    <w:rsid w:val="00FA34D6"/>
    <w:rsid w:val="00FA3946"/>
    <w:rsid w:val="00FA3DBA"/>
    <w:rsid w:val="00FA45F5"/>
    <w:rsid w:val="00FA50A7"/>
    <w:rsid w:val="00FA51D8"/>
    <w:rsid w:val="00FA5431"/>
    <w:rsid w:val="00FA5494"/>
    <w:rsid w:val="00FA56C7"/>
    <w:rsid w:val="00FA5757"/>
    <w:rsid w:val="00FA615C"/>
    <w:rsid w:val="00FA7907"/>
    <w:rsid w:val="00FB0332"/>
    <w:rsid w:val="00FB0984"/>
    <w:rsid w:val="00FB0E31"/>
    <w:rsid w:val="00FB0F92"/>
    <w:rsid w:val="00FB120B"/>
    <w:rsid w:val="00FB1458"/>
    <w:rsid w:val="00FB1537"/>
    <w:rsid w:val="00FB15F4"/>
    <w:rsid w:val="00FB19C5"/>
    <w:rsid w:val="00FB1CD3"/>
    <w:rsid w:val="00FB28A0"/>
    <w:rsid w:val="00FB2A6E"/>
    <w:rsid w:val="00FB2CE9"/>
    <w:rsid w:val="00FB2E98"/>
    <w:rsid w:val="00FB2F53"/>
    <w:rsid w:val="00FB32B3"/>
    <w:rsid w:val="00FB40DA"/>
    <w:rsid w:val="00FB4708"/>
    <w:rsid w:val="00FB48F0"/>
    <w:rsid w:val="00FB4B44"/>
    <w:rsid w:val="00FB4E5F"/>
    <w:rsid w:val="00FB5305"/>
    <w:rsid w:val="00FB605F"/>
    <w:rsid w:val="00FB6353"/>
    <w:rsid w:val="00FB645C"/>
    <w:rsid w:val="00FB667B"/>
    <w:rsid w:val="00FB6D0F"/>
    <w:rsid w:val="00FC0ABE"/>
    <w:rsid w:val="00FC1519"/>
    <w:rsid w:val="00FC1546"/>
    <w:rsid w:val="00FC17C8"/>
    <w:rsid w:val="00FC1BCD"/>
    <w:rsid w:val="00FC222F"/>
    <w:rsid w:val="00FC2681"/>
    <w:rsid w:val="00FC28E7"/>
    <w:rsid w:val="00FC2F72"/>
    <w:rsid w:val="00FC310D"/>
    <w:rsid w:val="00FC3599"/>
    <w:rsid w:val="00FC4205"/>
    <w:rsid w:val="00FC475C"/>
    <w:rsid w:val="00FC4DF4"/>
    <w:rsid w:val="00FC546A"/>
    <w:rsid w:val="00FC57A4"/>
    <w:rsid w:val="00FC5AB0"/>
    <w:rsid w:val="00FC5C2D"/>
    <w:rsid w:val="00FC6F27"/>
    <w:rsid w:val="00FC70A1"/>
    <w:rsid w:val="00FC787D"/>
    <w:rsid w:val="00FC794F"/>
    <w:rsid w:val="00FD0317"/>
    <w:rsid w:val="00FD066F"/>
    <w:rsid w:val="00FD1580"/>
    <w:rsid w:val="00FD1DD4"/>
    <w:rsid w:val="00FD1FDE"/>
    <w:rsid w:val="00FD2651"/>
    <w:rsid w:val="00FD2878"/>
    <w:rsid w:val="00FD39B9"/>
    <w:rsid w:val="00FD3CC6"/>
    <w:rsid w:val="00FD4616"/>
    <w:rsid w:val="00FD65BE"/>
    <w:rsid w:val="00FD6DF0"/>
    <w:rsid w:val="00FD7013"/>
    <w:rsid w:val="00FD716C"/>
    <w:rsid w:val="00FD728E"/>
    <w:rsid w:val="00FD768A"/>
    <w:rsid w:val="00FD7A37"/>
    <w:rsid w:val="00FE1B1E"/>
    <w:rsid w:val="00FE1F09"/>
    <w:rsid w:val="00FE1FD0"/>
    <w:rsid w:val="00FE2FAC"/>
    <w:rsid w:val="00FE332B"/>
    <w:rsid w:val="00FE3E2D"/>
    <w:rsid w:val="00FE40B9"/>
    <w:rsid w:val="00FE41D8"/>
    <w:rsid w:val="00FE423E"/>
    <w:rsid w:val="00FE4478"/>
    <w:rsid w:val="00FE4873"/>
    <w:rsid w:val="00FE494A"/>
    <w:rsid w:val="00FE4CCD"/>
    <w:rsid w:val="00FE4ED2"/>
    <w:rsid w:val="00FE4F03"/>
    <w:rsid w:val="00FE528A"/>
    <w:rsid w:val="00FE5384"/>
    <w:rsid w:val="00FE5FB5"/>
    <w:rsid w:val="00FE6172"/>
    <w:rsid w:val="00FE62BD"/>
    <w:rsid w:val="00FE62EA"/>
    <w:rsid w:val="00FE69A1"/>
    <w:rsid w:val="00FE6D80"/>
    <w:rsid w:val="00FE716C"/>
    <w:rsid w:val="00FE73AE"/>
    <w:rsid w:val="00FE78F4"/>
    <w:rsid w:val="00FE7AB6"/>
    <w:rsid w:val="00FE7CF8"/>
    <w:rsid w:val="00FF00ED"/>
    <w:rsid w:val="00FF05A8"/>
    <w:rsid w:val="00FF07B2"/>
    <w:rsid w:val="00FF0A93"/>
    <w:rsid w:val="00FF0D5E"/>
    <w:rsid w:val="00FF10ED"/>
    <w:rsid w:val="00FF151D"/>
    <w:rsid w:val="00FF1575"/>
    <w:rsid w:val="00FF1D12"/>
    <w:rsid w:val="00FF20A9"/>
    <w:rsid w:val="00FF26F3"/>
    <w:rsid w:val="00FF2E2F"/>
    <w:rsid w:val="00FF39EE"/>
    <w:rsid w:val="00FF3FF7"/>
    <w:rsid w:val="00FF402D"/>
    <w:rsid w:val="00FF470F"/>
    <w:rsid w:val="00FF47E1"/>
    <w:rsid w:val="00FF4A1A"/>
    <w:rsid w:val="00FF5401"/>
    <w:rsid w:val="00FF5DAE"/>
    <w:rsid w:val="00FF698F"/>
    <w:rsid w:val="00FF7289"/>
    <w:rsid w:val="00FF766E"/>
    <w:rsid w:val="00FF7E5F"/>
    <w:rsid w:val="01066A48"/>
    <w:rsid w:val="010B405F"/>
    <w:rsid w:val="011C648D"/>
    <w:rsid w:val="012A2737"/>
    <w:rsid w:val="012F41F1"/>
    <w:rsid w:val="01356180"/>
    <w:rsid w:val="01394F6B"/>
    <w:rsid w:val="014B0425"/>
    <w:rsid w:val="015679D0"/>
    <w:rsid w:val="015B4CFB"/>
    <w:rsid w:val="01626876"/>
    <w:rsid w:val="01681AFD"/>
    <w:rsid w:val="01834423"/>
    <w:rsid w:val="018B7313"/>
    <w:rsid w:val="019E36DD"/>
    <w:rsid w:val="01A5210B"/>
    <w:rsid w:val="01AA7D1B"/>
    <w:rsid w:val="01B71668"/>
    <w:rsid w:val="01D54D29"/>
    <w:rsid w:val="01E0294F"/>
    <w:rsid w:val="01F9035B"/>
    <w:rsid w:val="02296E92"/>
    <w:rsid w:val="022A2F01"/>
    <w:rsid w:val="02644D3E"/>
    <w:rsid w:val="026531C3"/>
    <w:rsid w:val="026577F7"/>
    <w:rsid w:val="02682B5D"/>
    <w:rsid w:val="02691984"/>
    <w:rsid w:val="02766859"/>
    <w:rsid w:val="028228EB"/>
    <w:rsid w:val="02881E0B"/>
    <w:rsid w:val="02940408"/>
    <w:rsid w:val="029C1C7A"/>
    <w:rsid w:val="029E1369"/>
    <w:rsid w:val="02AB08CD"/>
    <w:rsid w:val="02B068EF"/>
    <w:rsid w:val="02BD7694"/>
    <w:rsid w:val="02DA5AC9"/>
    <w:rsid w:val="02E4100B"/>
    <w:rsid w:val="02F0120E"/>
    <w:rsid w:val="030B2A3C"/>
    <w:rsid w:val="030B47EA"/>
    <w:rsid w:val="032633D2"/>
    <w:rsid w:val="03493372"/>
    <w:rsid w:val="036D37AB"/>
    <w:rsid w:val="037E765A"/>
    <w:rsid w:val="03827CB4"/>
    <w:rsid w:val="03AA4003"/>
    <w:rsid w:val="03B01748"/>
    <w:rsid w:val="03B2781F"/>
    <w:rsid w:val="03D26F22"/>
    <w:rsid w:val="03E21917"/>
    <w:rsid w:val="03E25383"/>
    <w:rsid w:val="03F37758"/>
    <w:rsid w:val="03FF60FC"/>
    <w:rsid w:val="04061F55"/>
    <w:rsid w:val="040C6A6B"/>
    <w:rsid w:val="04247911"/>
    <w:rsid w:val="043C3C30"/>
    <w:rsid w:val="043D24E3"/>
    <w:rsid w:val="04577E3C"/>
    <w:rsid w:val="047A39D5"/>
    <w:rsid w:val="047F723D"/>
    <w:rsid w:val="048D679A"/>
    <w:rsid w:val="04B36EE7"/>
    <w:rsid w:val="04BB4F43"/>
    <w:rsid w:val="04C32CFF"/>
    <w:rsid w:val="04DD352F"/>
    <w:rsid w:val="04DE1209"/>
    <w:rsid w:val="04EE6171"/>
    <w:rsid w:val="04FE4606"/>
    <w:rsid w:val="050A2F78"/>
    <w:rsid w:val="052120A3"/>
    <w:rsid w:val="05241B93"/>
    <w:rsid w:val="052B6B8D"/>
    <w:rsid w:val="0534627A"/>
    <w:rsid w:val="05490AA2"/>
    <w:rsid w:val="055B3F73"/>
    <w:rsid w:val="05610B7E"/>
    <w:rsid w:val="05815814"/>
    <w:rsid w:val="05824171"/>
    <w:rsid w:val="058F34B0"/>
    <w:rsid w:val="059E36F3"/>
    <w:rsid w:val="05C369CD"/>
    <w:rsid w:val="05C95636"/>
    <w:rsid w:val="05C96A9B"/>
    <w:rsid w:val="05DC68BD"/>
    <w:rsid w:val="05ED5A3F"/>
    <w:rsid w:val="05F2473E"/>
    <w:rsid w:val="05FE60AA"/>
    <w:rsid w:val="06084F90"/>
    <w:rsid w:val="060C65BB"/>
    <w:rsid w:val="06250A5D"/>
    <w:rsid w:val="06254635"/>
    <w:rsid w:val="063D2F0C"/>
    <w:rsid w:val="0644186E"/>
    <w:rsid w:val="06752E5A"/>
    <w:rsid w:val="067601CC"/>
    <w:rsid w:val="06AA15D2"/>
    <w:rsid w:val="06AA71B0"/>
    <w:rsid w:val="06B04525"/>
    <w:rsid w:val="06C158EB"/>
    <w:rsid w:val="06C726BC"/>
    <w:rsid w:val="06E36073"/>
    <w:rsid w:val="06F8206B"/>
    <w:rsid w:val="073A559C"/>
    <w:rsid w:val="0742052D"/>
    <w:rsid w:val="0753648D"/>
    <w:rsid w:val="075524D7"/>
    <w:rsid w:val="07612A84"/>
    <w:rsid w:val="076B7765"/>
    <w:rsid w:val="0780081E"/>
    <w:rsid w:val="07A0485F"/>
    <w:rsid w:val="07B74F40"/>
    <w:rsid w:val="07D433FC"/>
    <w:rsid w:val="07ED63A2"/>
    <w:rsid w:val="07EF67B0"/>
    <w:rsid w:val="07F92E63"/>
    <w:rsid w:val="080D4B60"/>
    <w:rsid w:val="081D2FF5"/>
    <w:rsid w:val="082F2D28"/>
    <w:rsid w:val="0845254C"/>
    <w:rsid w:val="08510EF1"/>
    <w:rsid w:val="085E53BC"/>
    <w:rsid w:val="08600BAC"/>
    <w:rsid w:val="086769CF"/>
    <w:rsid w:val="087E0780"/>
    <w:rsid w:val="089E4A85"/>
    <w:rsid w:val="08A76D63"/>
    <w:rsid w:val="08C0130C"/>
    <w:rsid w:val="08E05768"/>
    <w:rsid w:val="0926237D"/>
    <w:rsid w:val="093E76C7"/>
    <w:rsid w:val="097364C6"/>
    <w:rsid w:val="09964F4E"/>
    <w:rsid w:val="09A552C3"/>
    <w:rsid w:val="09AE1167"/>
    <w:rsid w:val="09B25A16"/>
    <w:rsid w:val="09D875D7"/>
    <w:rsid w:val="09D91DD6"/>
    <w:rsid w:val="09D92F4C"/>
    <w:rsid w:val="09F9036F"/>
    <w:rsid w:val="09FE29B2"/>
    <w:rsid w:val="0A0D0E47"/>
    <w:rsid w:val="0A4707FD"/>
    <w:rsid w:val="0A56212A"/>
    <w:rsid w:val="0A5D1DCF"/>
    <w:rsid w:val="0A5F3D87"/>
    <w:rsid w:val="0A633624"/>
    <w:rsid w:val="0A690774"/>
    <w:rsid w:val="0A8A5582"/>
    <w:rsid w:val="0AB63356"/>
    <w:rsid w:val="0AC33063"/>
    <w:rsid w:val="0AC459AA"/>
    <w:rsid w:val="0AD57BB7"/>
    <w:rsid w:val="0AF3628F"/>
    <w:rsid w:val="0B004B49"/>
    <w:rsid w:val="0B082438"/>
    <w:rsid w:val="0B224A1D"/>
    <w:rsid w:val="0B2C789D"/>
    <w:rsid w:val="0B2D2456"/>
    <w:rsid w:val="0B3F6E6A"/>
    <w:rsid w:val="0B626F71"/>
    <w:rsid w:val="0B8545A2"/>
    <w:rsid w:val="0B872078"/>
    <w:rsid w:val="0B9730BE"/>
    <w:rsid w:val="0BAF60ED"/>
    <w:rsid w:val="0BB36EDB"/>
    <w:rsid w:val="0BBC0D77"/>
    <w:rsid w:val="0BDE186E"/>
    <w:rsid w:val="0BED0F30"/>
    <w:rsid w:val="0BF0144A"/>
    <w:rsid w:val="0BF202F5"/>
    <w:rsid w:val="0C2E023B"/>
    <w:rsid w:val="0C5D77DB"/>
    <w:rsid w:val="0C67530F"/>
    <w:rsid w:val="0C6C454B"/>
    <w:rsid w:val="0C7B653C"/>
    <w:rsid w:val="0C80184A"/>
    <w:rsid w:val="0C923886"/>
    <w:rsid w:val="0CAB6BA9"/>
    <w:rsid w:val="0CB437FC"/>
    <w:rsid w:val="0CE20620"/>
    <w:rsid w:val="0CE340E1"/>
    <w:rsid w:val="0CE97F9C"/>
    <w:rsid w:val="0CFD2186"/>
    <w:rsid w:val="0D004C93"/>
    <w:rsid w:val="0D336E17"/>
    <w:rsid w:val="0D4D493C"/>
    <w:rsid w:val="0D4E3C51"/>
    <w:rsid w:val="0D5E3708"/>
    <w:rsid w:val="0D654CDF"/>
    <w:rsid w:val="0D7B64B7"/>
    <w:rsid w:val="0D7D17C9"/>
    <w:rsid w:val="0D8A5763"/>
    <w:rsid w:val="0D95362E"/>
    <w:rsid w:val="0DA0500B"/>
    <w:rsid w:val="0DA864B6"/>
    <w:rsid w:val="0DAF3E29"/>
    <w:rsid w:val="0DB5782C"/>
    <w:rsid w:val="0DBA3094"/>
    <w:rsid w:val="0DBE7CA4"/>
    <w:rsid w:val="0DBF6485"/>
    <w:rsid w:val="0DC42165"/>
    <w:rsid w:val="0DCD726B"/>
    <w:rsid w:val="0DD51A35"/>
    <w:rsid w:val="0DDA7292"/>
    <w:rsid w:val="0DEA1BCB"/>
    <w:rsid w:val="0DFA1D87"/>
    <w:rsid w:val="0E0F7496"/>
    <w:rsid w:val="0E3C1CFB"/>
    <w:rsid w:val="0E4C705A"/>
    <w:rsid w:val="0E5306B0"/>
    <w:rsid w:val="0E614144"/>
    <w:rsid w:val="0E6A4ABA"/>
    <w:rsid w:val="0E821C25"/>
    <w:rsid w:val="0E906EDB"/>
    <w:rsid w:val="0EA0672E"/>
    <w:rsid w:val="0EAC36C6"/>
    <w:rsid w:val="0EB65F51"/>
    <w:rsid w:val="0EBB5316"/>
    <w:rsid w:val="0EBF468D"/>
    <w:rsid w:val="0EC46679"/>
    <w:rsid w:val="0ED75112"/>
    <w:rsid w:val="0EDA02D8"/>
    <w:rsid w:val="0EE228A3"/>
    <w:rsid w:val="0EE61C82"/>
    <w:rsid w:val="0F087E2F"/>
    <w:rsid w:val="0F40031E"/>
    <w:rsid w:val="0F5D63CD"/>
    <w:rsid w:val="0F602BAD"/>
    <w:rsid w:val="0F683AC1"/>
    <w:rsid w:val="0F711E78"/>
    <w:rsid w:val="0F792EFA"/>
    <w:rsid w:val="0F800CBE"/>
    <w:rsid w:val="0F8C3C88"/>
    <w:rsid w:val="0FAD6D8F"/>
    <w:rsid w:val="0FB12738"/>
    <w:rsid w:val="0FBD0C1A"/>
    <w:rsid w:val="0FCF00E5"/>
    <w:rsid w:val="0FDF247F"/>
    <w:rsid w:val="0FE4089C"/>
    <w:rsid w:val="0FED112E"/>
    <w:rsid w:val="100D1BA1"/>
    <w:rsid w:val="10392996"/>
    <w:rsid w:val="10524FBD"/>
    <w:rsid w:val="105E7F9C"/>
    <w:rsid w:val="106663EC"/>
    <w:rsid w:val="10785A6B"/>
    <w:rsid w:val="108D4A90"/>
    <w:rsid w:val="10957B0B"/>
    <w:rsid w:val="109E3F80"/>
    <w:rsid w:val="10A62FD4"/>
    <w:rsid w:val="10A835F9"/>
    <w:rsid w:val="10B262A5"/>
    <w:rsid w:val="10B849B9"/>
    <w:rsid w:val="10C17D43"/>
    <w:rsid w:val="10CC55B8"/>
    <w:rsid w:val="10DC7F0A"/>
    <w:rsid w:val="10E36DA6"/>
    <w:rsid w:val="10E83395"/>
    <w:rsid w:val="11050ACA"/>
    <w:rsid w:val="110C00AB"/>
    <w:rsid w:val="110E54AF"/>
    <w:rsid w:val="113427EC"/>
    <w:rsid w:val="115D50E1"/>
    <w:rsid w:val="115E4FD3"/>
    <w:rsid w:val="116457F1"/>
    <w:rsid w:val="11693A62"/>
    <w:rsid w:val="116F1883"/>
    <w:rsid w:val="11712CA1"/>
    <w:rsid w:val="11823EC9"/>
    <w:rsid w:val="119A3908"/>
    <w:rsid w:val="119F4A7B"/>
    <w:rsid w:val="11AB53A0"/>
    <w:rsid w:val="11C314B3"/>
    <w:rsid w:val="11E35E9B"/>
    <w:rsid w:val="12111BB1"/>
    <w:rsid w:val="121C5A6C"/>
    <w:rsid w:val="12392C0C"/>
    <w:rsid w:val="12543AB7"/>
    <w:rsid w:val="1267258A"/>
    <w:rsid w:val="12786835"/>
    <w:rsid w:val="127E27F8"/>
    <w:rsid w:val="12843C71"/>
    <w:rsid w:val="12B10F0A"/>
    <w:rsid w:val="12B5009E"/>
    <w:rsid w:val="12B502CE"/>
    <w:rsid w:val="12B614F8"/>
    <w:rsid w:val="12B80A95"/>
    <w:rsid w:val="12BD755D"/>
    <w:rsid w:val="12BE0E61"/>
    <w:rsid w:val="12C855FD"/>
    <w:rsid w:val="12C85FED"/>
    <w:rsid w:val="12EA441C"/>
    <w:rsid w:val="12F42BA4"/>
    <w:rsid w:val="12F6459D"/>
    <w:rsid w:val="12FF1B8E"/>
    <w:rsid w:val="13010ECD"/>
    <w:rsid w:val="131B6383"/>
    <w:rsid w:val="131E40C5"/>
    <w:rsid w:val="13397585"/>
    <w:rsid w:val="134F427F"/>
    <w:rsid w:val="13533D6F"/>
    <w:rsid w:val="1354114C"/>
    <w:rsid w:val="1358555C"/>
    <w:rsid w:val="13806709"/>
    <w:rsid w:val="13A66595"/>
    <w:rsid w:val="13A82FE2"/>
    <w:rsid w:val="13B32A60"/>
    <w:rsid w:val="13BD38DE"/>
    <w:rsid w:val="13D6026A"/>
    <w:rsid w:val="13DC01A4"/>
    <w:rsid w:val="13EF7DF0"/>
    <w:rsid w:val="13F5080D"/>
    <w:rsid w:val="140B464A"/>
    <w:rsid w:val="143771ED"/>
    <w:rsid w:val="143D5703"/>
    <w:rsid w:val="14435965"/>
    <w:rsid w:val="14467430"/>
    <w:rsid w:val="145B75D5"/>
    <w:rsid w:val="147321EF"/>
    <w:rsid w:val="147541B9"/>
    <w:rsid w:val="148443FC"/>
    <w:rsid w:val="148F527B"/>
    <w:rsid w:val="14A105BC"/>
    <w:rsid w:val="14AF5839"/>
    <w:rsid w:val="14C667C2"/>
    <w:rsid w:val="14F6743B"/>
    <w:rsid w:val="15014014"/>
    <w:rsid w:val="152A0AFF"/>
    <w:rsid w:val="152D239E"/>
    <w:rsid w:val="153B2D0D"/>
    <w:rsid w:val="15415E49"/>
    <w:rsid w:val="15485429"/>
    <w:rsid w:val="15572A1D"/>
    <w:rsid w:val="156C1FFA"/>
    <w:rsid w:val="158A3AB7"/>
    <w:rsid w:val="15A379A5"/>
    <w:rsid w:val="15AA5FB6"/>
    <w:rsid w:val="15AA7E92"/>
    <w:rsid w:val="15B531CD"/>
    <w:rsid w:val="15B83A6F"/>
    <w:rsid w:val="15CB6C24"/>
    <w:rsid w:val="16105F47"/>
    <w:rsid w:val="16253B1A"/>
    <w:rsid w:val="162B0FD3"/>
    <w:rsid w:val="162B28D3"/>
    <w:rsid w:val="16585B40"/>
    <w:rsid w:val="165A5414"/>
    <w:rsid w:val="165D6396"/>
    <w:rsid w:val="165F772E"/>
    <w:rsid w:val="1667041C"/>
    <w:rsid w:val="16753FFC"/>
    <w:rsid w:val="168626AD"/>
    <w:rsid w:val="16B62169"/>
    <w:rsid w:val="16BA3D49"/>
    <w:rsid w:val="16C534EA"/>
    <w:rsid w:val="16C94348"/>
    <w:rsid w:val="16D92461"/>
    <w:rsid w:val="17143815"/>
    <w:rsid w:val="1719094D"/>
    <w:rsid w:val="17253C74"/>
    <w:rsid w:val="17255A22"/>
    <w:rsid w:val="17273EF3"/>
    <w:rsid w:val="172B4755"/>
    <w:rsid w:val="17326391"/>
    <w:rsid w:val="17357B21"/>
    <w:rsid w:val="17396DA3"/>
    <w:rsid w:val="17441723"/>
    <w:rsid w:val="176D1177"/>
    <w:rsid w:val="177C5C8A"/>
    <w:rsid w:val="17836BED"/>
    <w:rsid w:val="17874E87"/>
    <w:rsid w:val="17A4103D"/>
    <w:rsid w:val="17C63AED"/>
    <w:rsid w:val="17DD454F"/>
    <w:rsid w:val="17E5229C"/>
    <w:rsid w:val="17EC76E1"/>
    <w:rsid w:val="17F5020E"/>
    <w:rsid w:val="181E7414"/>
    <w:rsid w:val="18205602"/>
    <w:rsid w:val="18314B9E"/>
    <w:rsid w:val="18360C0A"/>
    <w:rsid w:val="18412489"/>
    <w:rsid w:val="1844012A"/>
    <w:rsid w:val="1857704F"/>
    <w:rsid w:val="18661881"/>
    <w:rsid w:val="18756535"/>
    <w:rsid w:val="187B73E7"/>
    <w:rsid w:val="187F73B4"/>
    <w:rsid w:val="18822A00"/>
    <w:rsid w:val="18882132"/>
    <w:rsid w:val="1895052F"/>
    <w:rsid w:val="189819F6"/>
    <w:rsid w:val="18AB1F57"/>
    <w:rsid w:val="18BF5A03"/>
    <w:rsid w:val="18C33745"/>
    <w:rsid w:val="18DE232D"/>
    <w:rsid w:val="18E41886"/>
    <w:rsid w:val="18E84F59"/>
    <w:rsid w:val="18F20563"/>
    <w:rsid w:val="18F71640"/>
    <w:rsid w:val="18FA4C8D"/>
    <w:rsid w:val="19134866"/>
    <w:rsid w:val="192B3098"/>
    <w:rsid w:val="19433422"/>
    <w:rsid w:val="19434886"/>
    <w:rsid w:val="19605863"/>
    <w:rsid w:val="19744A3F"/>
    <w:rsid w:val="19762D5E"/>
    <w:rsid w:val="197E7ECA"/>
    <w:rsid w:val="19816F78"/>
    <w:rsid w:val="198662E0"/>
    <w:rsid w:val="1987004C"/>
    <w:rsid w:val="198C4FA5"/>
    <w:rsid w:val="19965EDA"/>
    <w:rsid w:val="19AB0B3F"/>
    <w:rsid w:val="19B17A41"/>
    <w:rsid w:val="19D124FD"/>
    <w:rsid w:val="19D95654"/>
    <w:rsid w:val="19E41BC5"/>
    <w:rsid w:val="19EB4819"/>
    <w:rsid w:val="1A062C54"/>
    <w:rsid w:val="1A1B4D24"/>
    <w:rsid w:val="1A2069A5"/>
    <w:rsid w:val="1A312CFB"/>
    <w:rsid w:val="1A5328A6"/>
    <w:rsid w:val="1A5756B2"/>
    <w:rsid w:val="1A605112"/>
    <w:rsid w:val="1A770CB3"/>
    <w:rsid w:val="1A882CBF"/>
    <w:rsid w:val="1A8B2040"/>
    <w:rsid w:val="1A8C2C04"/>
    <w:rsid w:val="1A956B0D"/>
    <w:rsid w:val="1A96581C"/>
    <w:rsid w:val="1AA41354"/>
    <w:rsid w:val="1AB5530F"/>
    <w:rsid w:val="1AC6751C"/>
    <w:rsid w:val="1AD70FD0"/>
    <w:rsid w:val="1ADD144E"/>
    <w:rsid w:val="1AE6371B"/>
    <w:rsid w:val="1AFB1DB8"/>
    <w:rsid w:val="1B0D00A7"/>
    <w:rsid w:val="1B102C0F"/>
    <w:rsid w:val="1B193ED6"/>
    <w:rsid w:val="1B395F40"/>
    <w:rsid w:val="1B3F6C40"/>
    <w:rsid w:val="1B4D70DD"/>
    <w:rsid w:val="1B4E43DA"/>
    <w:rsid w:val="1B656D35"/>
    <w:rsid w:val="1B742AD4"/>
    <w:rsid w:val="1B930E6D"/>
    <w:rsid w:val="1BA9104C"/>
    <w:rsid w:val="1BBE01F3"/>
    <w:rsid w:val="1BC33076"/>
    <w:rsid w:val="1BC63297"/>
    <w:rsid w:val="1BD73C5B"/>
    <w:rsid w:val="1BE60FCB"/>
    <w:rsid w:val="1BF74147"/>
    <w:rsid w:val="1BFC97B3"/>
    <w:rsid w:val="1BFD436D"/>
    <w:rsid w:val="1BFF533C"/>
    <w:rsid w:val="1C1224A8"/>
    <w:rsid w:val="1C3E1334"/>
    <w:rsid w:val="1C3F4C65"/>
    <w:rsid w:val="1C3F7586"/>
    <w:rsid w:val="1C4032FE"/>
    <w:rsid w:val="1C533032"/>
    <w:rsid w:val="1CAC44F0"/>
    <w:rsid w:val="1CB37E88"/>
    <w:rsid w:val="1CC17F9B"/>
    <w:rsid w:val="1CC21F65"/>
    <w:rsid w:val="1CE343B6"/>
    <w:rsid w:val="1CE75528"/>
    <w:rsid w:val="1CE9295D"/>
    <w:rsid w:val="1CF73FD7"/>
    <w:rsid w:val="1CFE64A4"/>
    <w:rsid w:val="1D010312"/>
    <w:rsid w:val="1D182257"/>
    <w:rsid w:val="1D1A5FA5"/>
    <w:rsid w:val="1D2F4447"/>
    <w:rsid w:val="1D356E0A"/>
    <w:rsid w:val="1D4D7A81"/>
    <w:rsid w:val="1D646B79"/>
    <w:rsid w:val="1D7A5AEE"/>
    <w:rsid w:val="1D8B05A9"/>
    <w:rsid w:val="1D8D60CF"/>
    <w:rsid w:val="1D9E200C"/>
    <w:rsid w:val="1DAA4ED3"/>
    <w:rsid w:val="1DD11B67"/>
    <w:rsid w:val="1DD309C6"/>
    <w:rsid w:val="1DD4386E"/>
    <w:rsid w:val="1DE1641B"/>
    <w:rsid w:val="1DE76FE8"/>
    <w:rsid w:val="1DEF28E6"/>
    <w:rsid w:val="1DF44011"/>
    <w:rsid w:val="1E0C6A6D"/>
    <w:rsid w:val="1E274223"/>
    <w:rsid w:val="1E397B1B"/>
    <w:rsid w:val="1E3E386E"/>
    <w:rsid w:val="1E3F1F09"/>
    <w:rsid w:val="1E4222FF"/>
    <w:rsid w:val="1E4470D6"/>
    <w:rsid w:val="1E5F25A1"/>
    <w:rsid w:val="1E764DE1"/>
    <w:rsid w:val="1E835639"/>
    <w:rsid w:val="1E857EA3"/>
    <w:rsid w:val="1E873CC8"/>
    <w:rsid w:val="1E9A274A"/>
    <w:rsid w:val="1E9D2342"/>
    <w:rsid w:val="1E9E60BA"/>
    <w:rsid w:val="1EA100CB"/>
    <w:rsid w:val="1EAA3349"/>
    <w:rsid w:val="1EAB0F03"/>
    <w:rsid w:val="1EB1123D"/>
    <w:rsid w:val="1EBA4F9C"/>
    <w:rsid w:val="1ED85A70"/>
    <w:rsid w:val="1ED9332D"/>
    <w:rsid w:val="1ED971B0"/>
    <w:rsid w:val="1EEC1AB0"/>
    <w:rsid w:val="1F1835D3"/>
    <w:rsid w:val="1F226CEB"/>
    <w:rsid w:val="1F244811"/>
    <w:rsid w:val="1F520E6A"/>
    <w:rsid w:val="1F6B1DB4"/>
    <w:rsid w:val="1FA25B41"/>
    <w:rsid w:val="1FA6737F"/>
    <w:rsid w:val="1FBA3A30"/>
    <w:rsid w:val="1FD82771"/>
    <w:rsid w:val="1FE14D52"/>
    <w:rsid w:val="1FE636D6"/>
    <w:rsid w:val="1FEF532E"/>
    <w:rsid w:val="201B7843"/>
    <w:rsid w:val="2027280B"/>
    <w:rsid w:val="202E4EF7"/>
    <w:rsid w:val="202F473A"/>
    <w:rsid w:val="2059673D"/>
    <w:rsid w:val="20741056"/>
    <w:rsid w:val="209B3F61"/>
    <w:rsid w:val="209C2837"/>
    <w:rsid w:val="20AF0CAD"/>
    <w:rsid w:val="20B41122"/>
    <w:rsid w:val="20C444FE"/>
    <w:rsid w:val="20CE0ED9"/>
    <w:rsid w:val="20DA6138"/>
    <w:rsid w:val="20E73D48"/>
    <w:rsid w:val="20FF52AD"/>
    <w:rsid w:val="21091F11"/>
    <w:rsid w:val="211F00B5"/>
    <w:rsid w:val="212D20A3"/>
    <w:rsid w:val="213C0409"/>
    <w:rsid w:val="21567D40"/>
    <w:rsid w:val="217A61F3"/>
    <w:rsid w:val="21B209BC"/>
    <w:rsid w:val="21B225A8"/>
    <w:rsid w:val="21B26104"/>
    <w:rsid w:val="21C36564"/>
    <w:rsid w:val="21D26F0C"/>
    <w:rsid w:val="21E55BA0"/>
    <w:rsid w:val="21EE56B5"/>
    <w:rsid w:val="21F13335"/>
    <w:rsid w:val="21F71674"/>
    <w:rsid w:val="21FA5D86"/>
    <w:rsid w:val="2212611A"/>
    <w:rsid w:val="22140B6D"/>
    <w:rsid w:val="22466E2B"/>
    <w:rsid w:val="2271516D"/>
    <w:rsid w:val="22A94D5A"/>
    <w:rsid w:val="22BA7990"/>
    <w:rsid w:val="22BF217E"/>
    <w:rsid w:val="22CE3412"/>
    <w:rsid w:val="22E542B8"/>
    <w:rsid w:val="22EA1706"/>
    <w:rsid w:val="22F716D2"/>
    <w:rsid w:val="22F8048F"/>
    <w:rsid w:val="2318468D"/>
    <w:rsid w:val="23226648"/>
    <w:rsid w:val="23313284"/>
    <w:rsid w:val="234036AD"/>
    <w:rsid w:val="235A3986"/>
    <w:rsid w:val="23627FFE"/>
    <w:rsid w:val="236A4208"/>
    <w:rsid w:val="23775858"/>
    <w:rsid w:val="23776020"/>
    <w:rsid w:val="23863CED"/>
    <w:rsid w:val="238735C1"/>
    <w:rsid w:val="23950076"/>
    <w:rsid w:val="23A221A9"/>
    <w:rsid w:val="23AB3753"/>
    <w:rsid w:val="23AD1279"/>
    <w:rsid w:val="23AD74CB"/>
    <w:rsid w:val="23BD0BA4"/>
    <w:rsid w:val="23BF59E6"/>
    <w:rsid w:val="23CF02C2"/>
    <w:rsid w:val="23D200C8"/>
    <w:rsid w:val="23DA2052"/>
    <w:rsid w:val="240211E5"/>
    <w:rsid w:val="24036BEC"/>
    <w:rsid w:val="24076F7B"/>
    <w:rsid w:val="241412F8"/>
    <w:rsid w:val="24284DA4"/>
    <w:rsid w:val="243674C1"/>
    <w:rsid w:val="243B64CA"/>
    <w:rsid w:val="243C084F"/>
    <w:rsid w:val="244C0C09"/>
    <w:rsid w:val="24656E9A"/>
    <w:rsid w:val="248C237A"/>
    <w:rsid w:val="24AE34FB"/>
    <w:rsid w:val="24B17ABD"/>
    <w:rsid w:val="24B623B0"/>
    <w:rsid w:val="24BD373E"/>
    <w:rsid w:val="24C206F0"/>
    <w:rsid w:val="24CD56C8"/>
    <w:rsid w:val="24D420C8"/>
    <w:rsid w:val="24E000F6"/>
    <w:rsid w:val="25063A63"/>
    <w:rsid w:val="250F1AC0"/>
    <w:rsid w:val="252537E7"/>
    <w:rsid w:val="2562197E"/>
    <w:rsid w:val="25780D44"/>
    <w:rsid w:val="25920B1C"/>
    <w:rsid w:val="25AE752B"/>
    <w:rsid w:val="25BB1EE5"/>
    <w:rsid w:val="25BF79A7"/>
    <w:rsid w:val="25C40AFC"/>
    <w:rsid w:val="25C6149A"/>
    <w:rsid w:val="25CB1E8B"/>
    <w:rsid w:val="25D41F0B"/>
    <w:rsid w:val="25F56F08"/>
    <w:rsid w:val="261849A4"/>
    <w:rsid w:val="262670C1"/>
    <w:rsid w:val="26517773"/>
    <w:rsid w:val="265C4AD2"/>
    <w:rsid w:val="266165C3"/>
    <w:rsid w:val="26753BA5"/>
    <w:rsid w:val="26870241"/>
    <w:rsid w:val="269E134D"/>
    <w:rsid w:val="26A56238"/>
    <w:rsid w:val="26A66F85"/>
    <w:rsid w:val="26BC58D3"/>
    <w:rsid w:val="26C2328E"/>
    <w:rsid w:val="26D134D1"/>
    <w:rsid w:val="26DA121C"/>
    <w:rsid w:val="26DF4B02"/>
    <w:rsid w:val="26FD6605"/>
    <w:rsid w:val="27083FF7"/>
    <w:rsid w:val="270F3FF9"/>
    <w:rsid w:val="27161FF7"/>
    <w:rsid w:val="271746FA"/>
    <w:rsid w:val="272265CB"/>
    <w:rsid w:val="27237C85"/>
    <w:rsid w:val="27342114"/>
    <w:rsid w:val="273D46C2"/>
    <w:rsid w:val="274D6B11"/>
    <w:rsid w:val="274E333D"/>
    <w:rsid w:val="27582655"/>
    <w:rsid w:val="276E0D20"/>
    <w:rsid w:val="27934A7C"/>
    <w:rsid w:val="27B050E0"/>
    <w:rsid w:val="27B52BE1"/>
    <w:rsid w:val="27BE1AB7"/>
    <w:rsid w:val="27BE49F3"/>
    <w:rsid w:val="27DB3365"/>
    <w:rsid w:val="27E45486"/>
    <w:rsid w:val="27E707C8"/>
    <w:rsid w:val="27F27A9D"/>
    <w:rsid w:val="27F427FC"/>
    <w:rsid w:val="27FD02F5"/>
    <w:rsid w:val="281954D5"/>
    <w:rsid w:val="281A0EA7"/>
    <w:rsid w:val="284C00F1"/>
    <w:rsid w:val="288F0965"/>
    <w:rsid w:val="28AE4A7C"/>
    <w:rsid w:val="28B27332"/>
    <w:rsid w:val="28D91536"/>
    <w:rsid w:val="28E574B1"/>
    <w:rsid w:val="28F506B3"/>
    <w:rsid w:val="28FD00DB"/>
    <w:rsid w:val="290F52ED"/>
    <w:rsid w:val="29316C68"/>
    <w:rsid w:val="293C093C"/>
    <w:rsid w:val="293F7DDD"/>
    <w:rsid w:val="29473EF5"/>
    <w:rsid w:val="296F5223"/>
    <w:rsid w:val="29702DE9"/>
    <w:rsid w:val="29706F07"/>
    <w:rsid w:val="298567F4"/>
    <w:rsid w:val="298C4CCF"/>
    <w:rsid w:val="29990898"/>
    <w:rsid w:val="29A66470"/>
    <w:rsid w:val="29AA1DB7"/>
    <w:rsid w:val="29AB4179"/>
    <w:rsid w:val="29B04B0F"/>
    <w:rsid w:val="29B54369"/>
    <w:rsid w:val="29B570DA"/>
    <w:rsid w:val="29BF1D06"/>
    <w:rsid w:val="29CC3486"/>
    <w:rsid w:val="29F47AC1"/>
    <w:rsid w:val="2A0D0D28"/>
    <w:rsid w:val="2A1D516F"/>
    <w:rsid w:val="2A2337F6"/>
    <w:rsid w:val="2A25006E"/>
    <w:rsid w:val="2A443FBA"/>
    <w:rsid w:val="2A481335"/>
    <w:rsid w:val="2A5D6DC6"/>
    <w:rsid w:val="2A70053D"/>
    <w:rsid w:val="2A7228D5"/>
    <w:rsid w:val="2A766B21"/>
    <w:rsid w:val="2A8B1460"/>
    <w:rsid w:val="2A995D3E"/>
    <w:rsid w:val="2AAB4039"/>
    <w:rsid w:val="2AB426C0"/>
    <w:rsid w:val="2ABC4E3A"/>
    <w:rsid w:val="2AC9624A"/>
    <w:rsid w:val="2ACF27DE"/>
    <w:rsid w:val="2AD0584D"/>
    <w:rsid w:val="2AEF03C9"/>
    <w:rsid w:val="2AFA693D"/>
    <w:rsid w:val="2AFC4649"/>
    <w:rsid w:val="2AFD5F18"/>
    <w:rsid w:val="2B02288F"/>
    <w:rsid w:val="2B172C77"/>
    <w:rsid w:val="2B1B2E31"/>
    <w:rsid w:val="2B2D7C5C"/>
    <w:rsid w:val="2B381666"/>
    <w:rsid w:val="2B3E30FF"/>
    <w:rsid w:val="2B413597"/>
    <w:rsid w:val="2B506281"/>
    <w:rsid w:val="2B684B96"/>
    <w:rsid w:val="2B685527"/>
    <w:rsid w:val="2B6861CE"/>
    <w:rsid w:val="2B6A1C77"/>
    <w:rsid w:val="2B75183D"/>
    <w:rsid w:val="2B7B3A0B"/>
    <w:rsid w:val="2B7E52A9"/>
    <w:rsid w:val="2B7F5652"/>
    <w:rsid w:val="2B97559C"/>
    <w:rsid w:val="2BAB6731"/>
    <w:rsid w:val="2BDC3473"/>
    <w:rsid w:val="2BE141C6"/>
    <w:rsid w:val="2BE51D5A"/>
    <w:rsid w:val="2BEF7F55"/>
    <w:rsid w:val="2BF1633B"/>
    <w:rsid w:val="2BF92B45"/>
    <w:rsid w:val="2C0D5453"/>
    <w:rsid w:val="2C251BC9"/>
    <w:rsid w:val="2C267E1B"/>
    <w:rsid w:val="2C4452B3"/>
    <w:rsid w:val="2C453E07"/>
    <w:rsid w:val="2C482B06"/>
    <w:rsid w:val="2C7654F2"/>
    <w:rsid w:val="2C7C5C8D"/>
    <w:rsid w:val="2C884632"/>
    <w:rsid w:val="2C9D2348"/>
    <w:rsid w:val="2CAA34BC"/>
    <w:rsid w:val="2CB201D5"/>
    <w:rsid w:val="2CBE33EE"/>
    <w:rsid w:val="2CD51841"/>
    <w:rsid w:val="2CD922F6"/>
    <w:rsid w:val="2CDF6EF0"/>
    <w:rsid w:val="2CFE35A6"/>
    <w:rsid w:val="2D050128"/>
    <w:rsid w:val="2D0A7F84"/>
    <w:rsid w:val="2D0C0AEB"/>
    <w:rsid w:val="2D0F7A74"/>
    <w:rsid w:val="2D1E0AF2"/>
    <w:rsid w:val="2D1E2C0E"/>
    <w:rsid w:val="2D210AEC"/>
    <w:rsid w:val="2D2F3C20"/>
    <w:rsid w:val="2D391008"/>
    <w:rsid w:val="2D3C71CA"/>
    <w:rsid w:val="2D3F788A"/>
    <w:rsid w:val="2D4F666C"/>
    <w:rsid w:val="2D700F57"/>
    <w:rsid w:val="2D984D48"/>
    <w:rsid w:val="2DD000BA"/>
    <w:rsid w:val="2DE97352"/>
    <w:rsid w:val="2DEA131C"/>
    <w:rsid w:val="2DEA30CA"/>
    <w:rsid w:val="2DED523C"/>
    <w:rsid w:val="2E01669F"/>
    <w:rsid w:val="2E0221C2"/>
    <w:rsid w:val="2E141EF5"/>
    <w:rsid w:val="2E3031D3"/>
    <w:rsid w:val="2E344345"/>
    <w:rsid w:val="2E3B1AF8"/>
    <w:rsid w:val="2E532A1D"/>
    <w:rsid w:val="2E64456D"/>
    <w:rsid w:val="2E7B1F74"/>
    <w:rsid w:val="2E7D6405"/>
    <w:rsid w:val="2E89545C"/>
    <w:rsid w:val="2E921798"/>
    <w:rsid w:val="2EB523E6"/>
    <w:rsid w:val="2EB76CD3"/>
    <w:rsid w:val="2EC456C9"/>
    <w:rsid w:val="2EF37D5C"/>
    <w:rsid w:val="2EFF1945"/>
    <w:rsid w:val="2F1E585C"/>
    <w:rsid w:val="2F32767D"/>
    <w:rsid w:val="2F3D54FA"/>
    <w:rsid w:val="2F644370"/>
    <w:rsid w:val="2F667785"/>
    <w:rsid w:val="2F6C0A89"/>
    <w:rsid w:val="2F824F24"/>
    <w:rsid w:val="2F872C58"/>
    <w:rsid w:val="2F8C6F25"/>
    <w:rsid w:val="2F8E72E6"/>
    <w:rsid w:val="2FCA6D0F"/>
    <w:rsid w:val="2FCF7117"/>
    <w:rsid w:val="2FD302BA"/>
    <w:rsid w:val="2FDB716E"/>
    <w:rsid w:val="2FE853E7"/>
    <w:rsid w:val="2FED349E"/>
    <w:rsid w:val="2FED431C"/>
    <w:rsid w:val="2FF6957B"/>
    <w:rsid w:val="300246FB"/>
    <w:rsid w:val="300B5777"/>
    <w:rsid w:val="300F1EE7"/>
    <w:rsid w:val="301D32E3"/>
    <w:rsid w:val="30354AD0"/>
    <w:rsid w:val="303837B5"/>
    <w:rsid w:val="3038636F"/>
    <w:rsid w:val="303B7587"/>
    <w:rsid w:val="304D2675"/>
    <w:rsid w:val="30705B08"/>
    <w:rsid w:val="30875B6C"/>
    <w:rsid w:val="30890DFB"/>
    <w:rsid w:val="30910652"/>
    <w:rsid w:val="30A4242C"/>
    <w:rsid w:val="30A612CD"/>
    <w:rsid w:val="30CB71E3"/>
    <w:rsid w:val="30D53237"/>
    <w:rsid w:val="30DB4046"/>
    <w:rsid w:val="30EC0F07"/>
    <w:rsid w:val="30F46739"/>
    <w:rsid w:val="30F469A9"/>
    <w:rsid w:val="30F776C7"/>
    <w:rsid w:val="310F049B"/>
    <w:rsid w:val="31152BCA"/>
    <w:rsid w:val="311C17EC"/>
    <w:rsid w:val="311F308B"/>
    <w:rsid w:val="312468F3"/>
    <w:rsid w:val="313F7CF4"/>
    <w:rsid w:val="31644F41"/>
    <w:rsid w:val="31717D8A"/>
    <w:rsid w:val="31B163D9"/>
    <w:rsid w:val="31B930AC"/>
    <w:rsid w:val="31B9703B"/>
    <w:rsid w:val="31BB2A1F"/>
    <w:rsid w:val="31F77B64"/>
    <w:rsid w:val="32174412"/>
    <w:rsid w:val="322062E7"/>
    <w:rsid w:val="322E1428"/>
    <w:rsid w:val="32311998"/>
    <w:rsid w:val="32411DD2"/>
    <w:rsid w:val="32512BD6"/>
    <w:rsid w:val="32594392"/>
    <w:rsid w:val="325D3E6B"/>
    <w:rsid w:val="326A6D25"/>
    <w:rsid w:val="326B5300"/>
    <w:rsid w:val="326F3B9E"/>
    <w:rsid w:val="32700042"/>
    <w:rsid w:val="32721408"/>
    <w:rsid w:val="32737B32"/>
    <w:rsid w:val="3276317E"/>
    <w:rsid w:val="327A0BC1"/>
    <w:rsid w:val="32827D75"/>
    <w:rsid w:val="328475D2"/>
    <w:rsid w:val="32955B80"/>
    <w:rsid w:val="329A50BF"/>
    <w:rsid w:val="32B12C9E"/>
    <w:rsid w:val="32B75C71"/>
    <w:rsid w:val="32BA750F"/>
    <w:rsid w:val="32CE2798"/>
    <w:rsid w:val="32E20814"/>
    <w:rsid w:val="32E97DF4"/>
    <w:rsid w:val="32EB1CC0"/>
    <w:rsid w:val="32EF1CA3"/>
    <w:rsid w:val="32FE52DA"/>
    <w:rsid w:val="33092244"/>
    <w:rsid w:val="33223BBD"/>
    <w:rsid w:val="33254D78"/>
    <w:rsid w:val="333077D1"/>
    <w:rsid w:val="335A484E"/>
    <w:rsid w:val="336C1A01"/>
    <w:rsid w:val="3371728B"/>
    <w:rsid w:val="337B4C2D"/>
    <w:rsid w:val="33A81699"/>
    <w:rsid w:val="33AE45E0"/>
    <w:rsid w:val="33AF52F5"/>
    <w:rsid w:val="33B511BE"/>
    <w:rsid w:val="33B97EAA"/>
    <w:rsid w:val="33BB1533"/>
    <w:rsid w:val="33C97EE6"/>
    <w:rsid w:val="33D76BE2"/>
    <w:rsid w:val="33E820DE"/>
    <w:rsid w:val="33F52B8E"/>
    <w:rsid w:val="340622E0"/>
    <w:rsid w:val="34183AF5"/>
    <w:rsid w:val="341C6EF0"/>
    <w:rsid w:val="34210420"/>
    <w:rsid w:val="342B17CD"/>
    <w:rsid w:val="344F1ED9"/>
    <w:rsid w:val="34781430"/>
    <w:rsid w:val="347D07F4"/>
    <w:rsid w:val="348C0A37"/>
    <w:rsid w:val="34A64C7B"/>
    <w:rsid w:val="34A72900"/>
    <w:rsid w:val="34B6203A"/>
    <w:rsid w:val="34CA064D"/>
    <w:rsid w:val="34DC6725"/>
    <w:rsid w:val="34E260AF"/>
    <w:rsid w:val="34EB5A9A"/>
    <w:rsid w:val="34EC7728"/>
    <w:rsid w:val="34ED1251"/>
    <w:rsid w:val="34F52E5A"/>
    <w:rsid w:val="34F76A97"/>
    <w:rsid w:val="350F034E"/>
    <w:rsid w:val="351A2C01"/>
    <w:rsid w:val="351C3641"/>
    <w:rsid w:val="352944D8"/>
    <w:rsid w:val="353EF3A8"/>
    <w:rsid w:val="357D08F7"/>
    <w:rsid w:val="35A52F54"/>
    <w:rsid w:val="35A67C17"/>
    <w:rsid w:val="35B13A6F"/>
    <w:rsid w:val="35C7560E"/>
    <w:rsid w:val="35E508A6"/>
    <w:rsid w:val="35EB37AB"/>
    <w:rsid w:val="35F76384"/>
    <w:rsid w:val="36054F45"/>
    <w:rsid w:val="36064819"/>
    <w:rsid w:val="3607406A"/>
    <w:rsid w:val="361227CF"/>
    <w:rsid w:val="361909F0"/>
    <w:rsid w:val="36330786"/>
    <w:rsid w:val="363E3EFB"/>
    <w:rsid w:val="36525CC9"/>
    <w:rsid w:val="3656754F"/>
    <w:rsid w:val="36744061"/>
    <w:rsid w:val="36897924"/>
    <w:rsid w:val="369167D9"/>
    <w:rsid w:val="36981915"/>
    <w:rsid w:val="36A02288"/>
    <w:rsid w:val="36B10C29"/>
    <w:rsid w:val="36CA1CEB"/>
    <w:rsid w:val="36DF1167"/>
    <w:rsid w:val="36E24999"/>
    <w:rsid w:val="36E25286"/>
    <w:rsid w:val="36FE5B80"/>
    <w:rsid w:val="37097C53"/>
    <w:rsid w:val="37164F30"/>
    <w:rsid w:val="371927CF"/>
    <w:rsid w:val="37227431"/>
    <w:rsid w:val="372720E1"/>
    <w:rsid w:val="372E5DD5"/>
    <w:rsid w:val="375021F0"/>
    <w:rsid w:val="376E2676"/>
    <w:rsid w:val="37734BA9"/>
    <w:rsid w:val="3784633D"/>
    <w:rsid w:val="378E7EC0"/>
    <w:rsid w:val="378E7F9A"/>
    <w:rsid w:val="379876F3"/>
    <w:rsid w:val="37A461DA"/>
    <w:rsid w:val="37AB61B9"/>
    <w:rsid w:val="37B27E6D"/>
    <w:rsid w:val="37B54749"/>
    <w:rsid w:val="37B55B04"/>
    <w:rsid w:val="37B60596"/>
    <w:rsid w:val="37C8399F"/>
    <w:rsid w:val="37CB5D1A"/>
    <w:rsid w:val="37EF8249"/>
    <w:rsid w:val="37F45271"/>
    <w:rsid w:val="37F5E358"/>
    <w:rsid w:val="37F708BD"/>
    <w:rsid w:val="37F94635"/>
    <w:rsid w:val="37FFF590"/>
    <w:rsid w:val="38033706"/>
    <w:rsid w:val="38077186"/>
    <w:rsid w:val="380B007E"/>
    <w:rsid w:val="380D2724"/>
    <w:rsid w:val="3821593A"/>
    <w:rsid w:val="38226006"/>
    <w:rsid w:val="38312021"/>
    <w:rsid w:val="384F09EF"/>
    <w:rsid w:val="38600A43"/>
    <w:rsid w:val="388B16F6"/>
    <w:rsid w:val="38DD610C"/>
    <w:rsid w:val="39074B30"/>
    <w:rsid w:val="392456E2"/>
    <w:rsid w:val="39355ABC"/>
    <w:rsid w:val="39377644"/>
    <w:rsid w:val="394E2A70"/>
    <w:rsid w:val="395F4326"/>
    <w:rsid w:val="39642C2F"/>
    <w:rsid w:val="396D2376"/>
    <w:rsid w:val="39841075"/>
    <w:rsid w:val="39972053"/>
    <w:rsid w:val="399B1BC3"/>
    <w:rsid w:val="399E2FDD"/>
    <w:rsid w:val="39B12CEE"/>
    <w:rsid w:val="39B32F0A"/>
    <w:rsid w:val="39C83177"/>
    <w:rsid w:val="39CA501E"/>
    <w:rsid w:val="39CC4CFB"/>
    <w:rsid w:val="39D00241"/>
    <w:rsid w:val="39D37108"/>
    <w:rsid w:val="39E37E84"/>
    <w:rsid w:val="39E906DA"/>
    <w:rsid w:val="39F5707E"/>
    <w:rsid w:val="39FD5F33"/>
    <w:rsid w:val="3A175598"/>
    <w:rsid w:val="3A1B42E7"/>
    <w:rsid w:val="3A5E6A83"/>
    <w:rsid w:val="3A823885"/>
    <w:rsid w:val="3A8616B7"/>
    <w:rsid w:val="3A9BE441"/>
    <w:rsid w:val="3AB008BC"/>
    <w:rsid w:val="3AB02FA5"/>
    <w:rsid w:val="3ABB004A"/>
    <w:rsid w:val="3AD2116E"/>
    <w:rsid w:val="3AD64D11"/>
    <w:rsid w:val="3AD75AC1"/>
    <w:rsid w:val="3AEA6A92"/>
    <w:rsid w:val="3AF9494C"/>
    <w:rsid w:val="3B007303"/>
    <w:rsid w:val="3B255741"/>
    <w:rsid w:val="3B3A1B15"/>
    <w:rsid w:val="3B3B2BDD"/>
    <w:rsid w:val="3B4176D5"/>
    <w:rsid w:val="3B450C3B"/>
    <w:rsid w:val="3B712735"/>
    <w:rsid w:val="3B865C42"/>
    <w:rsid w:val="3B903C31"/>
    <w:rsid w:val="3B9A34B8"/>
    <w:rsid w:val="3BA1535B"/>
    <w:rsid w:val="3BA92C60"/>
    <w:rsid w:val="3BBF5B96"/>
    <w:rsid w:val="3BF21AC7"/>
    <w:rsid w:val="3BFF41E4"/>
    <w:rsid w:val="3C0473A2"/>
    <w:rsid w:val="3C0D4A80"/>
    <w:rsid w:val="3C0E0A2E"/>
    <w:rsid w:val="3C0E791A"/>
    <w:rsid w:val="3C1934F8"/>
    <w:rsid w:val="3C1A7270"/>
    <w:rsid w:val="3C1E1CA2"/>
    <w:rsid w:val="3C2123AD"/>
    <w:rsid w:val="3C272229"/>
    <w:rsid w:val="3C4C6BE0"/>
    <w:rsid w:val="3C504A40"/>
    <w:rsid w:val="3C544530"/>
    <w:rsid w:val="3C601C11"/>
    <w:rsid w:val="3C6329C5"/>
    <w:rsid w:val="3C6D55F2"/>
    <w:rsid w:val="3C7D7AB1"/>
    <w:rsid w:val="3C880E9F"/>
    <w:rsid w:val="3C974F39"/>
    <w:rsid w:val="3C9F4E99"/>
    <w:rsid w:val="3CAD1E92"/>
    <w:rsid w:val="3CBC3E83"/>
    <w:rsid w:val="3CE33B06"/>
    <w:rsid w:val="3CEA6C43"/>
    <w:rsid w:val="3CED04E1"/>
    <w:rsid w:val="3D06093C"/>
    <w:rsid w:val="3D065F95"/>
    <w:rsid w:val="3D156576"/>
    <w:rsid w:val="3D1A3AF9"/>
    <w:rsid w:val="3D2C5FA7"/>
    <w:rsid w:val="3D5C55C8"/>
    <w:rsid w:val="3D622C7D"/>
    <w:rsid w:val="3D85696B"/>
    <w:rsid w:val="3D94095C"/>
    <w:rsid w:val="3DD671C7"/>
    <w:rsid w:val="3DF02037"/>
    <w:rsid w:val="3DF056A5"/>
    <w:rsid w:val="3E063608"/>
    <w:rsid w:val="3E0C3A1B"/>
    <w:rsid w:val="3E0E0B3C"/>
    <w:rsid w:val="3E192CD0"/>
    <w:rsid w:val="3E240E6D"/>
    <w:rsid w:val="3E2E615A"/>
    <w:rsid w:val="3E346C2D"/>
    <w:rsid w:val="3E394D0F"/>
    <w:rsid w:val="3E3C611B"/>
    <w:rsid w:val="3E407AAF"/>
    <w:rsid w:val="3E526A98"/>
    <w:rsid w:val="3E546BFA"/>
    <w:rsid w:val="3E5FB277"/>
    <w:rsid w:val="3E605861"/>
    <w:rsid w:val="3E646581"/>
    <w:rsid w:val="3E7770AF"/>
    <w:rsid w:val="3E7D063E"/>
    <w:rsid w:val="3E7FEF47"/>
    <w:rsid w:val="3E810672"/>
    <w:rsid w:val="3E846583"/>
    <w:rsid w:val="3E94742E"/>
    <w:rsid w:val="3E9B59D5"/>
    <w:rsid w:val="3EE31B9B"/>
    <w:rsid w:val="3EEB74AB"/>
    <w:rsid w:val="3EEF0196"/>
    <w:rsid w:val="3EFFCD8D"/>
    <w:rsid w:val="3F097239"/>
    <w:rsid w:val="3F4563B2"/>
    <w:rsid w:val="3F4FEB5F"/>
    <w:rsid w:val="3F5900B0"/>
    <w:rsid w:val="3F5F2F6A"/>
    <w:rsid w:val="3F7E1716"/>
    <w:rsid w:val="3F7E8306"/>
    <w:rsid w:val="3F850146"/>
    <w:rsid w:val="3F9966FE"/>
    <w:rsid w:val="3FA05CDE"/>
    <w:rsid w:val="3FA56E51"/>
    <w:rsid w:val="3FAD7ED9"/>
    <w:rsid w:val="3FC27A03"/>
    <w:rsid w:val="3FC624D0"/>
    <w:rsid w:val="3FD57736"/>
    <w:rsid w:val="3FE61B1E"/>
    <w:rsid w:val="3FEE724D"/>
    <w:rsid w:val="3FFB1566"/>
    <w:rsid w:val="3FFDE553"/>
    <w:rsid w:val="3FFF1438"/>
    <w:rsid w:val="3FFF47B3"/>
    <w:rsid w:val="3FFFF2B8"/>
    <w:rsid w:val="40026051"/>
    <w:rsid w:val="40073668"/>
    <w:rsid w:val="402448CC"/>
    <w:rsid w:val="40257618"/>
    <w:rsid w:val="40363146"/>
    <w:rsid w:val="404C4300"/>
    <w:rsid w:val="40835244"/>
    <w:rsid w:val="40853889"/>
    <w:rsid w:val="408A4342"/>
    <w:rsid w:val="408E36C8"/>
    <w:rsid w:val="40947203"/>
    <w:rsid w:val="40955CBE"/>
    <w:rsid w:val="409F65F7"/>
    <w:rsid w:val="40AD2461"/>
    <w:rsid w:val="40C33A32"/>
    <w:rsid w:val="40C81049"/>
    <w:rsid w:val="40CD48B1"/>
    <w:rsid w:val="40D10C49"/>
    <w:rsid w:val="40E334F0"/>
    <w:rsid w:val="40E53645"/>
    <w:rsid w:val="40E952E6"/>
    <w:rsid w:val="40F462E2"/>
    <w:rsid w:val="40F64D19"/>
    <w:rsid w:val="40F815A3"/>
    <w:rsid w:val="40FE5131"/>
    <w:rsid w:val="410652F1"/>
    <w:rsid w:val="41140732"/>
    <w:rsid w:val="41171FD0"/>
    <w:rsid w:val="41306914"/>
    <w:rsid w:val="413E43D5"/>
    <w:rsid w:val="41405083"/>
    <w:rsid w:val="414136E7"/>
    <w:rsid w:val="41555CCB"/>
    <w:rsid w:val="416E7B84"/>
    <w:rsid w:val="418A4550"/>
    <w:rsid w:val="418B2184"/>
    <w:rsid w:val="418D5DEE"/>
    <w:rsid w:val="41A9438E"/>
    <w:rsid w:val="41A970CC"/>
    <w:rsid w:val="41AA68AB"/>
    <w:rsid w:val="41BC16CD"/>
    <w:rsid w:val="41C007E7"/>
    <w:rsid w:val="41D9565A"/>
    <w:rsid w:val="41DF489C"/>
    <w:rsid w:val="41E2258F"/>
    <w:rsid w:val="41E935DD"/>
    <w:rsid w:val="420936C7"/>
    <w:rsid w:val="42186000"/>
    <w:rsid w:val="424366FB"/>
    <w:rsid w:val="42447A1F"/>
    <w:rsid w:val="424566C9"/>
    <w:rsid w:val="424B3CDF"/>
    <w:rsid w:val="424C7A58"/>
    <w:rsid w:val="42531F93"/>
    <w:rsid w:val="42595F8D"/>
    <w:rsid w:val="425D30F6"/>
    <w:rsid w:val="425E6E0D"/>
    <w:rsid w:val="42607A93"/>
    <w:rsid w:val="4278617C"/>
    <w:rsid w:val="42892A5A"/>
    <w:rsid w:val="428C42F8"/>
    <w:rsid w:val="429A1461"/>
    <w:rsid w:val="429B2A93"/>
    <w:rsid w:val="42B77A4D"/>
    <w:rsid w:val="42BA0E65"/>
    <w:rsid w:val="42D57A4D"/>
    <w:rsid w:val="42E25F2C"/>
    <w:rsid w:val="42F12EE6"/>
    <w:rsid w:val="430E2901"/>
    <w:rsid w:val="43193545"/>
    <w:rsid w:val="43244531"/>
    <w:rsid w:val="432E5A45"/>
    <w:rsid w:val="43344580"/>
    <w:rsid w:val="43374264"/>
    <w:rsid w:val="433B6E80"/>
    <w:rsid w:val="43454BD3"/>
    <w:rsid w:val="435567A4"/>
    <w:rsid w:val="43796A37"/>
    <w:rsid w:val="437C160B"/>
    <w:rsid w:val="437E00E5"/>
    <w:rsid w:val="43820C99"/>
    <w:rsid w:val="4391606A"/>
    <w:rsid w:val="43917E18"/>
    <w:rsid w:val="43976E6B"/>
    <w:rsid w:val="43A8151C"/>
    <w:rsid w:val="43BE27BD"/>
    <w:rsid w:val="43C55D14"/>
    <w:rsid w:val="43DA7D60"/>
    <w:rsid w:val="43EA5BA3"/>
    <w:rsid w:val="44031621"/>
    <w:rsid w:val="440F5161"/>
    <w:rsid w:val="441255F7"/>
    <w:rsid w:val="441E50D8"/>
    <w:rsid w:val="441F72F5"/>
    <w:rsid w:val="44316F05"/>
    <w:rsid w:val="445D514A"/>
    <w:rsid w:val="449D459A"/>
    <w:rsid w:val="44B57975"/>
    <w:rsid w:val="44BC2C73"/>
    <w:rsid w:val="44BF2763"/>
    <w:rsid w:val="44ED34BD"/>
    <w:rsid w:val="44F43746"/>
    <w:rsid w:val="44FD3270"/>
    <w:rsid w:val="45010FCD"/>
    <w:rsid w:val="45053FCB"/>
    <w:rsid w:val="45074E29"/>
    <w:rsid w:val="451F3201"/>
    <w:rsid w:val="451F7901"/>
    <w:rsid w:val="4525618A"/>
    <w:rsid w:val="452B604A"/>
    <w:rsid w:val="452D64A2"/>
    <w:rsid w:val="45316955"/>
    <w:rsid w:val="455D7455"/>
    <w:rsid w:val="4565155C"/>
    <w:rsid w:val="456D6663"/>
    <w:rsid w:val="45703598"/>
    <w:rsid w:val="45790B64"/>
    <w:rsid w:val="458D460F"/>
    <w:rsid w:val="45905EAD"/>
    <w:rsid w:val="45AD2EBD"/>
    <w:rsid w:val="45BAA86A"/>
    <w:rsid w:val="45CC2736"/>
    <w:rsid w:val="45CE1B56"/>
    <w:rsid w:val="45F75F2C"/>
    <w:rsid w:val="460268E5"/>
    <w:rsid w:val="46072D4B"/>
    <w:rsid w:val="460C7C2A"/>
    <w:rsid w:val="461E13DB"/>
    <w:rsid w:val="462907DC"/>
    <w:rsid w:val="46476EB4"/>
    <w:rsid w:val="464F5D68"/>
    <w:rsid w:val="46511AE0"/>
    <w:rsid w:val="46794B93"/>
    <w:rsid w:val="467B2000"/>
    <w:rsid w:val="46827E0C"/>
    <w:rsid w:val="46933EA7"/>
    <w:rsid w:val="46976762"/>
    <w:rsid w:val="469C2F73"/>
    <w:rsid w:val="46A52C10"/>
    <w:rsid w:val="46B662D7"/>
    <w:rsid w:val="46C95B1B"/>
    <w:rsid w:val="46CC1167"/>
    <w:rsid w:val="46D5BBA1"/>
    <w:rsid w:val="46F4261E"/>
    <w:rsid w:val="472C45CF"/>
    <w:rsid w:val="472C6E30"/>
    <w:rsid w:val="472D42FC"/>
    <w:rsid w:val="47385B27"/>
    <w:rsid w:val="473A4323"/>
    <w:rsid w:val="474F611B"/>
    <w:rsid w:val="476D46F8"/>
    <w:rsid w:val="477049DE"/>
    <w:rsid w:val="478F54FD"/>
    <w:rsid w:val="479B712F"/>
    <w:rsid w:val="47BA4D65"/>
    <w:rsid w:val="47BB1907"/>
    <w:rsid w:val="47C40755"/>
    <w:rsid w:val="47D00CE9"/>
    <w:rsid w:val="47DB23EB"/>
    <w:rsid w:val="47E0504E"/>
    <w:rsid w:val="47E726FC"/>
    <w:rsid w:val="48136F98"/>
    <w:rsid w:val="48194704"/>
    <w:rsid w:val="482C45B3"/>
    <w:rsid w:val="482C75B5"/>
    <w:rsid w:val="483D40CA"/>
    <w:rsid w:val="485F45DF"/>
    <w:rsid w:val="48806042"/>
    <w:rsid w:val="48816465"/>
    <w:rsid w:val="48892A3A"/>
    <w:rsid w:val="4892506D"/>
    <w:rsid w:val="48A405ED"/>
    <w:rsid w:val="48AC1250"/>
    <w:rsid w:val="48CB5B7A"/>
    <w:rsid w:val="48D83DF3"/>
    <w:rsid w:val="48DC337B"/>
    <w:rsid w:val="48E93727"/>
    <w:rsid w:val="49007411"/>
    <w:rsid w:val="491B6D65"/>
    <w:rsid w:val="491D3EFC"/>
    <w:rsid w:val="491F5EC6"/>
    <w:rsid w:val="492359B6"/>
    <w:rsid w:val="492C39F6"/>
    <w:rsid w:val="495042D1"/>
    <w:rsid w:val="4964591B"/>
    <w:rsid w:val="49661A60"/>
    <w:rsid w:val="496D7EA7"/>
    <w:rsid w:val="497F1F6E"/>
    <w:rsid w:val="499441BE"/>
    <w:rsid w:val="499E1BAD"/>
    <w:rsid w:val="49B20AE8"/>
    <w:rsid w:val="49D35547"/>
    <w:rsid w:val="49E35596"/>
    <w:rsid w:val="49E8450A"/>
    <w:rsid w:val="49F26968"/>
    <w:rsid w:val="49F64E79"/>
    <w:rsid w:val="49FF7D8C"/>
    <w:rsid w:val="4A1607B0"/>
    <w:rsid w:val="4A1A0D66"/>
    <w:rsid w:val="4A1F1DDA"/>
    <w:rsid w:val="4A2A68D0"/>
    <w:rsid w:val="4A3C6604"/>
    <w:rsid w:val="4A3E37F2"/>
    <w:rsid w:val="4A4007C5"/>
    <w:rsid w:val="4A4345FF"/>
    <w:rsid w:val="4A496D4D"/>
    <w:rsid w:val="4A4D1C37"/>
    <w:rsid w:val="4A66524F"/>
    <w:rsid w:val="4A677B24"/>
    <w:rsid w:val="4A696166"/>
    <w:rsid w:val="4A875AD1"/>
    <w:rsid w:val="4A8A51B8"/>
    <w:rsid w:val="4A8A736F"/>
    <w:rsid w:val="4AA54657"/>
    <w:rsid w:val="4AAE5336"/>
    <w:rsid w:val="4AB90BD0"/>
    <w:rsid w:val="4ACF7454"/>
    <w:rsid w:val="4B1C090F"/>
    <w:rsid w:val="4B1C19A1"/>
    <w:rsid w:val="4B1D5C32"/>
    <w:rsid w:val="4B207100"/>
    <w:rsid w:val="4B2B2AA8"/>
    <w:rsid w:val="4B332DD2"/>
    <w:rsid w:val="4B360E38"/>
    <w:rsid w:val="4B512F9D"/>
    <w:rsid w:val="4B702A09"/>
    <w:rsid w:val="4B7536A0"/>
    <w:rsid w:val="4B796E4E"/>
    <w:rsid w:val="4B8802CF"/>
    <w:rsid w:val="4B920BD1"/>
    <w:rsid w:val="4B931125"/>
    <w:rsid w:val="4B9F1417"/>
    <w:rsid w:val="4BD05255"/>
    <w:rsid w:val="4BE5675F"/>
    <w:rsid w:val="4C0E6AEB"/>
    <w:rsid w:val="4C1965D2"/>
    <w:rsid w:val="4C1E0414"/>
    <w:rsid w:val="4C2537F3"/>
    <w:rsid w:val="4C456C4F"/>
    <w:rsid w:val="4C4A3198"/>
    <w:rsid w:val="4C4D2D4A"/>
    <w:rsid w:val="4C612351"/>
    <w:rsid w:val="4C87625C"/>
    <w:rsid w:val="4C8D553B"/>
    <w:rsid w:val="4C936EA1"/>
    <w:rsid w:val="4C987DD0"/>
    <w:rsid w:val="4C9A5513"/>
    <w:rsid w:val="4C9B3AB5"/>
    <w:rsid w:val="4CB46925"/>
    <w:rsid w:val="4CBE77A4"/>
    <w:rsid w:val="4CD4593A"/>
    <w:rsid w:val="4CDD40CE"/>
    <w:rsid w:val="4CE83769"/>
    <w:rsid w:val="4CEC7012"/>
    <w:rsid w:val="4CF81259"/>
    <w:rsid w:val="4CFA4C80"/>
    <w:rsid w:val="4CFC309A"/>
    <w:rsid w:val="4D0C15C0"/>
    <w:rsid w:val="4D1C13E2"/>
    <w:rsid w:val="4D3A48F2"/>
    <w:rsid w:val="4D3E34ED"/>
    <w:rsid w:val="4D453A21"/>
    <w:rsid w:val="4D537EEC"/>
    <w:rsid w:val="4D6F24E5"/>
    <w:rsid w:val="4D751410"/>
    <w:rsid w:val="4D834C75"/>
    <w:rsid w:val="4D873A45"/>
    <w:rsid w:val="4D9054F2"/>
    <w:rsid w:val="4DA7667B"/>
    <w:rsid w:val="4DBD5809"/>
    <w:rsid w:val="4DCC2B7D"/>
    <w:rsid w:val="4DCC2D4C"/>
    <w:rsid w:val="4DCF1001"/>
    <w:rsid w:val="4DE374C2"/>
    <w:rsid w:val="4E1B1403"/>
    <w:rsid w:val="4E20282E"/>
    <w:rsid w:val="4E393586"/>
    <w:rsid w:val="4E5F9ACD"/>
    <w:rsid w:val="4E761A7B"/>
    <w:rsid w:val="4E775E78"/>
    <w:rsid w:val="4E853BE2"/>
    <w:rsid w:val="4E922C96"/>
    <w:rsid w:val="4EB9521D"/>
    <w:rsid w:val="4EBE3A8B"/>
    <w:rsid w:val="4EC07803"/>
    <w:rsid w:val="4EC2357B"/>
    <w:rsid w:val="4EC254B1"/>
    <w:rsid w:val="4EEA72EB"/>
    <w:rsid w:val="4EF31303"/>
    <w:rsid w:val="4EF83441"/>
    <w:rsid w:val="4F0403F5"/>
    <w:rsid w:val="4F0564C4"/>
    <w:rsid w:val="4F0C47F7"/>
    <w:rsid w:val="4F297D2E"/>
    <w:rsid w:val="4F340B5A"/>
    <w:rsid w:val="4F561F16"/>
    <w:rsid w:val="4F583E81"/>
    <w:rsid w:val="4F6C23EE"/>
    <w:rsid w:val="4F6F3BE3"/>
    <w:rsid w:val="4F7F82C8"/>
    <w:rsid w:val="4F822EA8"/>
    <w:rsid w:val="4F895E47"/>
    <w:rsid w:val="4F8C2BC5"/>
    <w:rsid w:val="4F994F65"/>
    <w:rsid w:val="4F9A62A6"/>
    <w:rsid w:val="4FAF1A72"/>
    <w:rsid w:val="4FB116B7"/>
    <w:rsid w:val="4FB1324F"/>
    <w:rsid w:val="4FBB3F6A"/>
    <w:rsid w:val="4FC12AD9"/>
    <w:rsid w:val="4FD317B8"/>
    <w:rsid w:val="4FD33566"/>
    <w:rsid w:val="4FF35CDD"/>
    <w:rsid w:val="50025863"/>
    <w:rsid w:val="50033E4B"/>
    <w:rsid w:val="50081462"/>
    <w:rsid w:val="50212524"/>
    <w:rsid w:val="502618E8"/>
    <w:rsid w:val="502B41F8"/>
    <w:rsid w:val="50302EC4"/>
    <w:rsid w:val="503E1327"/>
    <w:rsid w:val="50412E5C"/>
    <w:rsid w:val="505D7677"/>
    <w:rsid w:val="505F1C1B"/>
    <w:rsid w:val="50653A19"/>
    <w:rsid w:val="50670E19"/>
    <w:rsid w:val="508807F5"/>
    <w:rsid w:val="508F1B83"/>
    <w:rsid w:val="509D107E"/>
    <w:rsid w:val="50A849F3"/>
    <w:rsid w:val="50B14A21"/>
    <w:rsid w:val="50B52314"/>
    <w:rsid w:val="50C64E79"/>
    <w:rsid w:val="50D81E80"/>
    <w:rsid w:val="50E0418D"/>
    <w:rsid w:val="50FE120C"/>
    <w:rsid w:val="510E1E6E"/>
    <w:rsid w:val="51143E36"/>
    <w:rsid w:val="51186A8E"/>
    <w:rsid w:val="513220D6"/>
    <w:rsid w:val="5142064A"/>
    <w:rsid w:val="5147420C"/>
    <w:rsid w:val="516E3547"/>
    <w:rsid w:val="51753909"/>
    <w:rsid w:val="51870AAC"/>
    <w:rsid w:val="519247FD"/>
    <w:rsid w:val="519B1982"/>
    <w:rsid w:val="51A52CE0"/>
    <w:rsid w:val="51A73BDA"/>
    <w:rsid w:val="51AD1D79"/>
    <w:rsid w:val="51BD2EC4"/>
    <w:rsid w:val="51C106A3"/>
    <w:rsid w:val="51C91AA0"/>
    <w:rsid w:val="51E50D05"/>
    <w:rsid w:val="51F53C68"/>
    <w:rsid w:val="51FD005F"/>
    <w:rsid w:val="5217598C"/>
    <w:rsid w:val="521E71D4"/>
    <w:rsid w:val="524C1BBE"/>
    <w:rsid w:val="524E5126"/>
    <w:rsid w:val="5256365E"/>
    <w:rsid w:val="52911BE2"/>
    <w:rsid w:val="52950FA7"/>
    <w:rsid w:val="529E3DA2"/>
    <w:rsid w:val="52AF02BB"/>
    <w:rsid w:val="52BC29D7"/>
    <w:rsid w:val="52BE00B7"/>
    <w:rsid w:val="52CB30AD"/>
    <w:rsid w:val="52D243B8"/>
    <w:rsid w:val="52D737A7"/>
    <w:rsid w:val="52EA01DE"/>
    <w:rsid w:val="52EE3536"/>
    <w:rsid w:val="530131B5"/>
    <w:rsid w:val="53085941"/>
    <w:rsid w:val="530C74BB"/>
    <w:rsid w:val="531C2A8B"/>
    <w:rsid w:val="532365B3"/>
    <w:rsid w:val="532540D9"/>
    <w:rsid w:val="532C1654"/>
    <w:rsid w:val="53397B84"/>
    <w:rsid w:val="533C08D5"/>
    <w:rsid w:val="53714B69"/>
    <w:rsid w:val="538A0688"/>
    <w:rsid w:val="539570E9"/>
    <w:rsid w:val="53A14DE6"/>
    <w:rsid w:val="53B13BBE"/>
    <w:rsid w:val="53B813F1"/>
    <w:rsid w:val="53C02053"/>
    <w:rsid w:val="53D53D51"/>
    <w:rsid w:val="53D76CA1"/>
    <w:rsid w:val="53DC23AC"/>
    <w:rsid w:val="53E915AA"/>
    <w:rsid w:val="53F046E7"/>
    <w:rsid w:val="53F87C5F"/>
    <w:rsid w:val="53FFBA93"/>
    <w:rsid w:val="54010074"/>
    <w:rsid w:val="540463E4"/>
    <w:rsid w:val="540B1521"/>
    <w:rsid w:val="541013A8"/>
    <w:rsid w:val="5411465D"/>
    <w:rsid w:val="54132EAD"/>
    <w:rsid w:val="54136CB2"/>
    <w:rsid w:val="54185AC6"/>
    <w:rsid w:val="541A5C08"/>
    <w:rsid w:val="543732CE"/>
    <w:rsid w:val="54387E3C"/>
    <w:rsid w:val="5439699D"/>
    <w:rsid w:val="5447632D"/>
    <w:rsid w:val="544A27A4"/>
    <w:rsid w:val="54624E60"/>
    <w:rsid w:val="546B1FBF"/>
    <w:rsid w:val="54776BB6"/>
    <w:rsid w:val="547A5773"/>
    <w:rsid w:val="54BD3790"/>
    <w:rsid w:val="54C406B8"/>
    <w:rsid w:val="54C46B74"/>
    <w:rsid w:val="54F30A12"/>
    <w:rsid w:val="54F71DA5"/>
    <w:rsid w:val="54FC7E8F"/>
    <w:rsid w:val="54FF095A"/>
    <w:rsid w:val="54FF18CF"/>
    <w:rsid w:val="55182ABF"/>
    <w:rsid w:val="5521784A"/>
    <w:rsid w:val="552446FF"/>
    <w:rsid w:val="552A3813"/>
    <w:rsid w:val="552C79A0"/>
    <w:rsid w:val="552E468F"/>
    <w:rsid w:val="55327237"/>
    <w:rsid w:val="55475308"/>
    <w:rsid w:val="55525286"/>
    <w:rsid w:val="555F71DF"/>
    <w:rsid w:val="5560066F"/>
    <w:rsid w:val="556248C5"/>
    <w:rsid w:val="55644382"/>
    <w:rsid w:val="557C1C84"/>
    <w:rsid w:val="55A7171D"/>
    <w:rsid w:val="55A810AB"/>
    <w:rsid w:val="55B37A8E"/>
    <w:rsid w:val="55B81234"/>
    <w:rsid w:val="55C677BA"/>
    <w:rsid w:val="55CC16CA"/>
    <w:rsid w:val="55D350CD"/>
    <w:rsid w:val="55DD10C5"/>
    <w:rsid w:val="55E77D6B"/>
    <w:rsid w:val="55FFAC89"/>
    <w:rsid w:val="56026953"/>
    <w:rsid w:val="560B3A5A"/>
    <w:rsid w:val="561F5757"/>
    <w:rsid w:val="562029C7"/>
    <w:rsid w:val="56214FAF"/>
    <w:rsid w:val="562543F0"/>
    <w:rsid w:val="56312CCE"/>
    <w:rsid w:val="56354B02"/>
    <w:rsid w:val="563B3162"/>
    <w:rsid w:val="563D0A47"/>
    <w:rsid w:val="563F7C0C"/>
    <w:rsid w:val="56497296"/>
    <w:rsid w:val="565D01C5"/>
    <w:rsid w:val="56674A08"/>
    <w:rsid w:val="56764C4B"/>
    <w:rsid w:val="568F6711"/>
    <w:rsid w:val="56A079A9"/>
    <w:rsid w:val="56A32DB9"/>
    <w:rsid w:val="56C41E5B"/>
    <w:rsid w:val="56C9121F"/>
    <w:rsid w:val="5708703C"/>
    <w:rsid w:val="57122BC6"/>
    <w:rsid w:val="571B7084"/>
    <w:rsid w:val="571F0E7E"/>
    <w:rsid w:val="571F4202"/>
    <w:rsid w:val="574A1F01"/>
    <w:rsid w:val="574B3523"/>
    <w:rsid w:val="575069A0"/>
    <w:rsid w:val="57527578"/>
    <w:rsid w:val="57543A8A"/>
    <w:rsid w:val="57900337"/>
    <w:rsid w:val="57A06424"/>
    <w:rsid w:val="57A31A70"/>
    <w:rsid w:val="57AE6CDB"/>
    <w:rsid w:val="57CC55D4"/>
    <w:rsid w:val="57D22553"/>
    <w:rsid w:val="57DCF7B9"/>
    <w:rsid w:val="57E74053"/>
    <w:rsid w:val="57EF4ED2"/>
    <w:rsid w:val="58083E73"/>
    <w:rsid w:val="58095CBB"/>
    <w:rsid w:val="581A12F1"/>
    <w:rsid w:val="58491D9C"/>
    <w:rsid w:val="584B43EA"/>
    <w:rsid w:val="58584F50"/>
    <w:rsid w:val="585D3A23"/>
    <w:rsid w:val="5875340D"/>
    <w:rsid w:val="58830BD1"/>
    <w:rsid w:val="58AB7F08"/>
    <w:rsid w:val="58B51ABE"/>
    <w:rsid w:val="58CA7BFC"/>
    <w:rsid w:val="58CC2235"/>
    <w:rsid w:val="58D726E2"/>
    <w:rsid w:val="58DE74A8"/>
    <w:rsid w:val="58FB7741"/>
    <w:rsid w:val="58FF717A"/>
    <w:rsid w:val="591164D8"/>
    <w:rsid w:val="5911798C"/>
    <w:rsid w:val="59141773"/>
    <w:rsid w:val="59254E33"/>
    <w:rsid w:val="595654C7"/>
    <w:rsid w:val="59650ED0"/>
    <w:rsid w:val="59747FB5"/>
    <w:rsid w:val="597C07CB"/>
    <w:rsid w:val="59883E35"/>
    <w:rsid w:val="59AE2782"/>
    <w:rsid w:val="59BC4730"/>
    <w:rsid w:val="59CC52AE"/>
    <w:rsid w:val="59CF3918"/>
    <w:rsid w:val="59D70EEC"/>
    <w:rsid w:val="59DB3743"/>
    <w:rsid w:val="59FB3DE5"/>
    <w:rsid w:val="5A0802B0"/>
    <w:rsid w:val="5A180741"/>
    <w:rsid w:val="5A1F5D26"/>
    <w:rsid w:val="5A6000EC"/>
    <w:rsid w:val="5A621D42"/>
    <w:rsid w:val="5A6978B4"/>
    <w:rsid w:val="5A6F6F32"/>
    <w:rsid w:val="5A7871E4"/>
    <w:rsid w:val="5A863549"/>
    <w:rsid w:val="5A904647"/>
    <w:rsid w:val="5AB62C0C"/>
    <w:rsid w:val="5AB81CD6"/>
    <w:rsid w:val="5ABD034B"/>
    <w:rsid w:val="5AC10B8B"/>
    <w:rsid w:val="5ACE7B7D"/>
    <w:rsid w:val="5AD96620"/>
    <w:rsid w:val="5AD9663A"/>
    <w:rsid w:val="5AFA72D3"/>
    <w:rsid w:val="5B0171D9"/>
    <w:rsid w:val="5B0D5B7E"/>
    <w:rsid w:val="5B1656A4"/>
    <w:rsid w:val="5B184523"/>
    <w:rsid w:val="5B1E34AF"/>
    <w:rsid w:val="5B2B24A8"/>
    <w:rsid w:val="5B2E4D4E"/>
    <w:rsid w:val="5B3071B4"/>
    <w:rsid w:val="5B4A0F56"/>
    <w:rsid w:val="5B4E4D05"/>
    <w:rsid w:val="5B615ECA"/>
    <w:rsid w:val="5B6643D1"/>
    <w:rsid w:val="5B6A5872"/>
    <w:rsid w:val="5B75680C"/>
    <w:rsid w:val="5B957F9B"/>
    <w:rsid w:val="5B9C016D"/>
    <w:rsid w:val="5B9C6F02"/>
    <w:rsid w:val="5BA5225B"/>
    <w:rsid w:val="5BB701E0"/>
    <w:rsid w:val="5BBB1A7E"/>
    <w:rsid w:val="5BC30933"/>
    <w:rsid w:val="5BC3479C"/>
    <w:rsid w:val="5BC677E4"/>
    <w:rsid w:val="5BDB7A2A"/>
    <w:rsid w:val="5BDD7C46"/>
    <w:rsid w:val="5BE54D4D"/>
    <w:rsid w:val="5BEF797A"/>
    <w:rsid w:val="5BF44F90"/>
    <w:rsid w:val="5BFE3B70"/>
    <w:rsid w:val="5BFE5E0F"/>
    <w:rsid w:val="5C0B7B8B"/>
    <w:rsid w:val="5C1D4D9C"/>
    <w:rsid w:val="5C316D4F"/>
    <w:rsid w:val="5C453698"/>
    <w:rsid w:val="5C4952DC"/>
    <w:rsid w:val="5C5F52A8"/>
    <w:rsid w:val="5C6840F9"/>
    <w:rsid w:val="5C6914DA"/>
    <w:rsid w:val="5C6F1771"/>
    <w:rsid w:val="5C734107"/>
    <w:rsid w:val="5C803E80"/>
    <w:rsid w:val="5C836C09"/>
    <w:rsid w:val="5CA249EC"/>
    <w:rsid w:val="5CA81C74"/>
    <w:rsid w:val="5CCB4C27"/>
    <w:rsid w:val="5CCD6CE9"/>
    <w:rsid w:val="5CD352CC"/>
    <w:rsid w:val="5CD66444"/>
    <w:rsid w:val="5D0B6AC7"/>
    <w:rsid w:val="5D1077D0"/>
    <w:rsid w:val="5D170F36"/>
    <w:rsid w:val="5D235B2D"/>
    <w:rsid w:val="5D2C42B6"/>
    <w:rsid w:val="5D4E550A"/>
    <w:rsid w:val="5D5977A1"/>
    <w:rsid w:val="5D6202CF"/>
    <w:rsid w:val="5D631612"/>
    <w:rsid w:val="5D6865A8"/>
    <w:rsid w:val="5D690026"/>
    <w:rsid w:val="5D7E42DB"/>
    <w:rsid w:val="5D806ACF"/>
    <w:rsid w:val="5DAC7409"/>
    <w:rsid w:val="5DBE16BF"/>
    <w:rsid w:val="5DBE6625"/>
    <w:rsid w:val="5DD15589"/>
    <w:rsid w:val="5DD80AD4"/>
    <w:rsid w:val="5DDF2B73"/>
    <w:rsid w:val="5DDFB761"/>
    <w:rsid w:val="5DE74DAC"/>
    <w:rsid w:val="5DEE707D"/>
    <w:rsid w:val="5DF70D68"/>
    <w:rsid w:val="5DF9773E"/>
    <w:rsid w:val="5DFE779A"/>
    <w:rsid w:val="5DFF8921"/>
    <w:rsid w:val="5E070005"/>
    <w:rsid w:val="5E1735BE"/>
    <w:rsid w:val="5E1A4B89"/>
    <w:rsid w:val="5E1E4546"/>
    <w:rsid w:val="5E53552F"/>
    <w:rsid w:val="5E6E00E1"/>
    <w:rsid w:val="5E7136B3"/>
    <w:rsid w:val="5E8E7DE6"/>
    <w:rsid w:val="5EA2309B"/>
    <w:rsid w:val="5EA762EA"/>
    <w:rsid w:val="5ED13367"/>
    <w:rsid w:val="5ED428FD"/>
    <w:rsid w:val="5ED510A9"/>
    <w:rsid w:val="5F003FAE"/>
    <w:rsid w:val="5F132D32"/>
    <w:rsid w:val="5F225970"/>
    <w:rsid w:val="5F2636B2"/>
    <w:rsid w:val="5F2A7D2E"/>
    <w:rsid w:val="5F357D99"/>
    <w:rsid w:val="5F630463"/>
    <w:rsid w:val="5F655379"/>
    <w:rsid w:val="5F685A79"/>
    <w:rsid w:val="5F8BEFF7"/>
    <w:rsid w:val="5F8C44EB"/>
    <w:rsid w:val="5FA5323E"/>
    <w:rsid w:val="5FAB1A8A"/>
    <w:rsid w:val="5FBA0F5B"/>
    <w:rsid w:val="5FC133DB"/>
    <w:rsid w:val="5FC37153"/>
    <w:rsid w:val="5FC52ECB"/>
    <w:rsid w:val="5FE17DE2"/>
    <w:rsid w:val="5FE50020"/>
    <w:rsid w:val="5FFA3AEF"/>
    <w:rsid w:val="5FFF69FB"/>
    <w:rsid w:val="600B4656"/>
    <w:rsid w:val="602E3A77"/>
    <w:rsid w:val="60384044"/>
    <w:rsid w:val="603A1E29"/>
    <w:rsid w:val="6047263F"/>
    <w:rsid w:val="60636240"/>
    <w:rsid w:val="60762418"/>
    <w:rsid w:val="60894626"/>
    <w:rsid w:val="60A15960"/>
    <w:rsid w:val="60AD570E"/>
    <w:rsid w:val="60B50B60"/>
    <w:rsid w:val="60C32316"/>
    <w:rsid w:val="60DF1D6B"/>
    <w:rsid w:val="60E8429D"/>
    <w:rsid w:val="60E86021"/>
    <w:rsid w:val="60F65306"/>
    <w:rsid w:val="60FC0604"/>
    <w:rsid w:val="61040E8A"/>
    <w:rsid w:val="61167757"/>
    <w:rsid w:val="611F03B9"/>
    <w:rsid w:val="612A50B6"/>
    <w:rsid w:val="61952D71"/>
    <w:rsid w:val="61972660"/>
    <w:rsid w:val="61974D16"/>
    <w:rsid w:val="61AB6314"/>
    <w:rsid w:val="61AD00BB"/>
    <w:rsid w:val="61C20E57"/>
    <w:rsid w:val="61C64A0E"/>
    <w:rsid w:val="61C97008"/>
    <w:rsid w:val="61CD42B9"/>
    <w:rsid w:val="61CE2C4D"/>
    <w:rsid w:val="61D27B22"/>
    <w:rsid w:val="61D74257"/>
    <w:rsid w:val="61DD8755"/>
    <w:rsid w:val="61E80B41"/>
    <w:rsid w:val="62031E5C"/>
    <w:rsid w:val="6216587D"/>
    <w:rsid w:val="622639C9"/>
    <w:rsid w:val="62266366"/>
    <w:rsid w:val="622A5268"/>
    <w:rsid w:val="62371209"/>
    <w:rsid w:val="623B56C7"/>
    <w:rsid w:val="625C563D"/>
    <w:rsid w:val="62652744"/>
    <w:rsid w:val="626C056E"/>
    <w:rsid w:val="626D33A6"/>
    <w:rsid w:val="627F632D"/>
    <w:rsid w:val="6286459E"/>
    <w:rsid w:val="628D3B8B"/>
    <w:rsid w:val="62944DD7"/>
    <w:rsid w:val="629E372B"/>
    <w:rsid w:val="62A2168A"/>
    <w:rsid w:val="62BB4C4F"/>
    <w:rsid w:val="62C36615"/>
    <w:rsid w:val="62D228D2"/>
    <w:rsid w:val="62D732D3"/>
    <w:rsid w:val="62E47B0C"/>
    <w:rsid w:val="62FC621D"/>
    <w:rsid w:val="63002443"/>
    <w:rsid w:val="6305222F"/>
    <w:rsid w:val="630E23DF"/>
    <w:rsid w:val="63116442"/>
    <w:rsid w:val="63251ED3"/>
    <w:rsid w:val="633839B4"/>
    <w:rsid w:val="633B489B"/>
    <w:rsid w:val="633C31B7"/>
    <w:rsid w:val="63624764"/>
    <w:rsid w:val="63770981"/>
    <w:rsid w:val="63804284"/>
    <w:rsid w:val="638D3391"/>
    <w:rsid w:val="63B2503C"/>
    <w:rsid w:val="63CC15CF"/>
    <w:rsid w:val="63CF256B"/>
    <w:rsid w:val="63D538F9"/>
    <w:rsid w:val="63EC1C8C"/>
    <w:rsid w:val="63F436D7"/>
    <w:rsid w:val="63FD2DF9"/>
    <w:rsid w:val="640104C5"/>
    <w:rsid w:val="64086F8F"/>
    <w:rsid w:val="64217405"/>
    <w:rsid w:val="64237F3A"/>
    <w:rsid w:val="64281C7B"/>
    <w:rsid w:val="64305E20"/>
    <w:rsid w:val="64370110"/>
    <w:rsid w:val="6450009D"/>
    <w:rsid w:val="64520AA6"/>
    <w:rsid w:val="64565C67"/>
    <w:rsid w:val="646F3058"/>
    <w:rsid w:val="647635E8"/>
    <w:rsid w:val="647B7AB7"/>
    <w:rsid w:val="649C61C5"/>
    <w:rsid w:val="64B928D3"/>
    <w:rsid w:val="64C17540"/>
    <w:rsid w:val="64CD45D0"/>
    <w:rsid w:val="64DB0A9B"/>
    <w:rsid w:val="64E9783C"/>
    <w:rsid w:val="64EF1B97"/>
    <w:rsid w:val="64F2692F"/>
    <w:rsid w:val="650351B7"/>
    <w:rsid w:val="65110D9C"/>
    <w:rsid w:val="65214543"/>
    <w:rsid w:val="652C579B"/>
    <w:rsid w:val="65314B5F"/>
    <w:rsid w:val="65730180"/>
    <w:rsid w:val="65855C01"/>
    <w:rsid w:val="658B3096"/>
    <w:rsid w:val="65A643B8"/>
    <w:rsid w:val="65D33E68"/>
    <w:rsid w:val="65E3735C"/>
    <w:rsid w:val="65F05019"/>
    <w:rsid w:val="65F46C17"/>
    <w:rsid w:val="65F932F3"/>
    <w:rsid w:val="660E4EA0"/>
    <w:rsid w:val="66117F9E"/>
    <w:rsid w:val="662128BB"/>
    <w:rsid w:val="667B5BF2"/>
    <w:rsid w:val="667C1E0A"/>
    <w:rsid w:val="668D432D"/>
    <w:rsid w:val="6691500C"/>
    <w:rsid w:val="66B96AB0"/>
    <w:rsid w:val="66BE0674"/>
    <w:rsid w:val="66C20BF8"/>
    <w:rsid w:val="66C30D22"/>
    <w:rsid w:val="66F60230"/>
    <w:rsid w:val="66FB71D3"/>
    <w:rsid w:val="66FD3C4C"/>
    <w:rsid w:val="6701765E"/>
    <w:rsid w:val="6717D5B9"/>
    <w:rsid w:val="671C3B65"/>
    <w:rsid w:val="67230B75"/>
    <w:rsid w:val="6727621A"/>
    <w:rsid w:val="672B4028"/>
    <w:rsid w:val="672C3830"/>
    <w:rsid w:val="674C7A2E"/>
    <w:rsid w:val="674D307F"/>
    <w:rsid w:val="6750598C"/>
    <w:rsid w:val="67696AA4"/>
    <w:rsid w:val="676A6106"/>
    <w:rsid w:val="677D408C"/>
    <w:rsid w:val="678B628A"/>
    <w:rsid w:val="67A535E2"/>
    <w:rsid w:val="67AE2DE9"/>
    <w:rsid w:val="67B90B02"/>
    <w:rsid w:val="67C71A8B"/>
    <w:rsid w:val="67CC6A09"/>
    <w:rsid w:val="67D27C72"/>
    <w:rsid w:val="67DB6ABA"/>
    <w:rsid w:val="67E97E33"/>
    <w:rsid w:val="67EA2859"/>
    <w:rsid w:val="67EF78EE"/>
    <w:rsid w:val="67F636F3"/>
    <w:rsid w:val="681123DD"/>
    <w:rsid w:val="681349F0"/>
    <w:rsid w:val="681D6B78"/>
    <w:rsid w:val="681E1F09"/>
    <w:rsid w:val="683055A2"/>
    <w:rsid w:val="683B5D9D"/>
    <w:rsid w:val="6863685D"/>
    <w:rsid w:val="68680414"/>
    <w:rsid w:val="687F5BE1"/>
    <w:rsid w:val="68A84E00"/>
    <w:rsid w:val="68AF5695"/>
    <w:rsid w:val="68B00491"/>
    <w:rsid w:val="68BA4832"/>
    <w:rsid w:val="68E5638C"/>
    <w:rsid w:val="6901172D"/>
    <w:rsid w:val="6903064C"/>
    <w:rsid w:val="690617EC"/>
    <w:rsid w:val="69064247"/>
    <w:rsid w:val="6914436E"/>
    <w:rsid w:val="6928371F"/>
    <w:rsid w:val="692C6117"/>
    <w:rsid w:val="693410C2"/>
    <w:rsid w:val="693D5B23"/>
    <w:rsid w:val="6942558D"/>
    <w:rsid w:val="69562DE6"/>
    <w:rsid w:val="695C51F6"/>
    <w:rsid w:val="695F6364"/>
    <w:rsid w:val="69653029"/>
    <w:rsid w:val="69696964"/>
    <w:rsid w:val="696F5122"/>
    <w:rsid w:val="69951B60"/>
    <w:rsid w:val="699A6B0B"/>
    <w:rsid w:val="699E4CE4"/>
    <w:rsid w:val="699E55FC"/>
    <w:rsid w:val="69CB5582"/>
    <w:rsid w:val="69CF1892"/>
    <w:rsid w:val="69DF571D"/>
    <w:rsid w:val="69E8587B"/>
    <w:rsid w:val="69F75A58"/>
    <w:rsid w:val="69FD6030"/>
    <w:rsid w:val="6A2133F4"/>
    <w:rsid w:val="6A2471B2"/>
    <w:rsid w:val="6A2475B2"/>
    <w:rsid w:val="6A2E22B3"/>
    <w:rsid w:val="6A441CD6"/>
    <w:rsid w:val="6A4642A6"/>
    <w:rsid w:val="6A4D16D9"/>
    <w:rsid w:val="6A5C442C"/>
    <w:rsid w:val="6A6634FD"/>
    <w:rsid w:val="6A667059"/>
    <w:rsid w:val="6A6E4160"/>
    <w:rsid w:val="6A70612A"/>
    <w:rsid w:val="6A995655"/>
    <w:rsid w:val="6A9A00D2"/>
    <w:rsid w:val="6A9C25BA"/>
    <w:rsid w:val="6AA17A2D"/>
    <w:rsid w:val="6AA22A19"/>
    <w:rsid w:val="6AA43D4C"/>
    <w:rsid w:val="6ABA69B3"/>
    <w:rsid w:val="6AC6507C"/>
    <w:rsid w:val="6ACD0E40"/>
    <w:rsid w:val="6AD00976"/>
    <w:rsid w:val="6AE56B21"/>
    <w:rsid w:val="6AFB1E97"/>
    <w:rsid w:val="6AFB3C45"/>
    <w:rsid w:val="6AFC6323"/>
    <w:rsid w:val="6B15087C"/>
    <w:rsid w:val="6B225676"/>
    <w:rsid w:val="6B36165F"/>
    <w:rsid w:val="6B4A3E09"/>
    <w:rsid w:val="6B5D1465"/>
    <w:rsid w:val="6B6720AC"/>
    <w:rsid w:val="6B6A2B79"/>
    <w:rsid w:val="6B8D1D5E"/>
    <w:rsid w:val="6B911907"/>
    <w:rsid w:val="6B9D1BDF"/>
    <w:rsid w:val="6B9D4CFC"/>
    <w:rsid w:val="6BB32772"/>
    <w:rsid w:val="6BCC55E2"/>
    <w:rsid w:val="6BDC6668"/>
    <w:rsid w:val="6BDD60CB"/>
    <w:rsid w:val="6BE43241"/>
    <w:rsid w:val="6BE67F52"/>
    <w:rsid w:val="6BE928D5"/>
    <w:rsid w:val="6BF54B38"/>
    <w:rsid w:val="6BFA3EFD"/>
    <w:rsid w:val="6C050A2F"/>
    <w:rsid w:val="6C057548"/>
    <w:rsid w:val="6C0B55A7"/>
    <w:rsid w:val="6C1953D9"/>
    <w:rsid w:val="6C264455"/>
    <w:rsid w:val="6C2D11BB"/>
    <w:rsid w:val="6C2E3BA6"/>
    <w:rsid w:val="6C331BE8"/>
    <w:rsid w:val="6C492150"/>
    <w:rsid w:val="6C4B512C"/>
    <w:rsid w:val="6C532E82"/>
    <w:rsid w:val="6C547262"/>
    <w:rsid w:val="6C5A2BED"/>
    <w:rsid w:val="6C7C0DB6"/>
    <w:rsid w:val="6C9205D9"/>
    <w:rsid w:val="6C942252"/>
    <w:rsid w:val="6C964580"/>
    <w:rsid w:val="6CA42732"/>
    <w:rsid w:val="6CBE63AB"/>
    <w:rsid w:val="6CC9154D"/>
    <w:rsid w:val="6CD3474E"/>
    <w:rsid w:val="6CDA3D2E"/>
    <w:rsid w:val="6CE515C0"/>
    <w:rsid w:val="6CE70CF1"/>
    <w:rsid w:val="6CEF6A74"/>
    <w:rsid w:val="6CF03552"/>
    <w:rsid w:val="6CFA680C"/>
    <w:rsid w:val="6D0B2CCB"/>
    <w:rsid w:val="6D0F5783"/>
    <w:rsid w:val="6D227D46"/>
    <w:rsid w:val="6D2334B1"/>
    <w:rsid w:val="6D3972B7"/>
    <w:rsid w:val="6D5358B5"/>
    <w:rsid w:val="6D5E63FE"/>
    <w:rsid w:val="6D683C9A"/>
    <w:rsid w:val="6D6A2E83"/>
    <w:rsid w:val="6D765805"/>
    <w:rsid w:val="6D9973E8"/>
    <w:rsid w:val="6DB24ECA"/>
    <w:rsid w:val="6DC24EEE"/>
    <w:rsid w:val="6DD32C57"/>
    <w:rsid w:val="6DE36758"/>
    <w:rsid w:val="6DF73C87"/>
    <w:rsid w:val="6E0528D1"/>
    <w:rsid w:val="6E0A1AA0"/>
    <w:rsid w:val="6E0C7F17"/>
    <w:rsid w:val="6E0F1506"/>
    <w:rsid w:val="6E0F1600"/>
    <w:rsid w:val="6E125B9F"/>
    <w:rsid w:val="6E15300C"/>
    <w:rsid w:val="6E282B12"/>
    <w:rsid w:val="6E2D1367"/>
    <w:rsid w:val="6E3062F6"/>
    <w:rsid w:val="6E3C26AA"/>
    <w:rsid w:val="6E4C47B8"/>
    <w:rsid w:val="6E557C30"/>
    <w:rsid w:val="6E5813AF"/>
    <w:rsid w:val="6E5A09BE"/>
    <w:rsid w:val="6E5F7D81"/>
    <w:rsid w:val="6E65461F"/>
    <w:rsid w:val="6E753D0F"/>
    <w:rsid w:val="6E7B6E4B"/>
    <w:rsid w:val="6E810DD8"/>
    <w:rsid w:val="6E8421A4"/>
    <w:rsid w:val="6E8757F0"/>
    <w:rsid w:val="6E895767"/>
    <w:rsid w:val="6E8D727B"/>
    <w:rsid w:val="6E8F6CF8"/>
    <w:rsid w:val="6E97E25B"/>
    <w:rsid w:val="6E9C74ED"/>
    <w:rsid w:val="6EA3353E"/>
    <w:rsid w:val="6EB24C7E"/>
    <w:rsid w:val="6EB648B0"/>
    <w:rsid w:val="6EB756E3"/>
    <w:rsid w:val="6EBE3702"/>
    <w:rsid w:val="6EBF086F"/>
    <w:rsid w:val="6ECB7DD2"/>
    <w:rsid w:val="6ECC1A22"/>
    <w:rsid w:val="6ECF0AEB"/>
    <w:rsid w:val="6ED36C87"/>
    <w:rsid w:val="6EE113A4"/>
    <w:rsid w:val="6EE13152"/>
    <w:rsid w:val="6EE22149"/>
    <w:rsid w:val="6EFE3B94"/>
    <w:rsid w:val="6F082DD5"/>
    <w:rsid w:val="6F120E2D"/>
    <w:rsid w:val="6F1961B7"/>
    <w:rsid w:val="6F1A49D2"/>
    <w:rsid w:val="6F282F87"/>
    <w:rsid w:val="6F3040D9"/>
    <w:rsid w:val="6F370FC4"/>
    <w:rsid w:val="6F374857"/>
    <w:rsid w:val="6F444C4D"/>
    <w:rsid w:val="6F509D67"/>
    <w:rsid w:val="6F5778B8"/>
    <w:rsid w:val="6F57ED37"/>
    <w:rsid w:val="6F5C6481"/>
    <w:rsid w:val="6F6515CA"/>
    <w:rsid w:val="6F7FEFD2"/>
    <w:rsid w:val="6F9D46C4"/>
    <w:rsid w:val="6FAF1138"/>
    <w:rsid w:val="6FB24AEE"/>
    <w:rsid w:val="6FC565D0"/>
    <w:rsid w:val="6FCC795E"/>
    <w:rsid w:val="6FE078AE"/>
    <w:rsid w:val="6FE7DC57"/>
    <w:rsid w:val="6FEA24DA"/>
    <w:rsid w:val="6FEF0566"/>
    <w:rsid w:val="6FF13F65"/>
    <w:rsid w:val="70016CD4"/>
    <w:rsid w:val="700D0467"/>
    <w:rsid w:val="701444D6"/>
    <w:rsid w:val="701F03D6"/>
    <w:rsid w:val="701F3778"/>
    <w:rsid w:val="70381498"/>
    <w:rsid w:val="70521CC5"/>
    <w:rsid w:val="7053007F"/>
    <w:rsid w:val="70612299"/>
    <w:rsid w:val="70621E82"/>
    <w:rsid w:val="70865678"/>
    <w:rsid w:val="7091592B"/>
    <w:rsid w:val="709E5383"/>
    <w:rsid w:val="70B07280"/>
    <w:rsid w:val="70B553D6"/>
    <w:rsid w:val="70BF6DDD"/>
    <w:rsid w:val="70C73F46"/>
    <w:rsid w:val="70CB5E68"/>
    <w:rsid w:val="70E60EF4"/>
    <w:rsid w:val="70EC1A9D"/>
    <w:rsid w:val="70F52C1D"/>
    <w:rsid w:val="70FC02D9"/>
    <w:rsid w:val="710068A2"/>
    <w:rsid w:val="71174B27"/>
    <w:rsid w:val="711900EA"/>
    <w:rsid w:val="711F23A8"/>
    <w:rsid w:val="71374D25"/>
    <w:rsid w:val="716D33C3"/>
    <w:rsid w:val="716E77F6"/>
    <w:rsid w:val="7174037B"/>
    <w:rsid w:val="717E2EDA"/>
    <w:rsid w:val="718B01E9"/>
    <w:rsid w:val="71950F82"/>
    <w:rsid w:val="71954C28"/>
    <w:rsid w:val="71960DA0"/>
    <w:rsid w:val="719F0565"/>
    <w:rsid w:val="71AC1ECE"/>
    <w:rsid w:val="71DD7EF8"/>
    <w:rsid w:val="71DE07CA"/>
    <w:rsid w:val="71E80C9B"/>
    <w:rsid w:val="71F25676"/>
    <w:rsid w:val="720F6A1C"/>
    <w:rsid w:val="721B697B"/>
    <w:rsid w:val="721F2C81"/>
    <w:rsid w:val="723143F0"/>
    <w:rsid w:val="72343EE1"/>
    <w:rsid w:val="72401538"/>
    <w:rsid w:val="724C2FD8"/>
    <w:rsid w:val="726B45A5"/>
    <w:rsid w:val="727D0A6C"/>
    <w:rsid w:val="7280201C"/>
    <w:rsid w:val="728D4981"/>
    <w:rsid w:val="72AE5A41"/>
    <w:rsid w:val="72C466B3"/>
    <w:rsid w:val="72DF4844"/>
    <w:rsid w:val="72EB6332"/>
    <w:rsid w:val="72F85948"/>
    <w:rsid w:val="72FE109E"/>
    <w:rsid w:val="73005B71"/>
    <w:rsid w:val="730B69EF"/>
    <w:rsid w:val="73117D7E"/>
    <w:rsid w:val="73192DBD"/>
    <w:rsid w:val="73257087"/>
    <w:rsid w:val="73284FC8"/>
    <w:rsid w:val="73482E59"/>
    <w:rsid w:val="735472BF"/>
    <w:rsid w:val="73566A07"/>
    <w:rsid w:val="735D7079"/>
    <w:rsid w:val="735EF325"/>
    <w:rsid w:val="736B748E"/>
    <w:rsid w:val="736D7B83"/>
    <w:rsid w:val="73832A2A"/>
    <w:rsid w:val="738C5EDB"/>
    <w:rsid w:val="739C3AEB"/>
    <w:rsid w:val="739D1444"/>
    <w:rsid w:val="73A20DD8"/>
    <w:rsid w:val="73A545C6"/>
    <w:rsid w:val="73B27F5D"/>
    <w:rsid w:val="73B7540A"/>
    <w:rsid w:val="73D75019"/>
    <w:rsid w:val="73EC4A73"/>
    <w:rsid w:val="73F138A2"/>
    <w:rsid w:val="73FE68C1"/>
    <w:rsid w:val="740F7140"/>
    <w:rsid w:val="74296810"/>
    <w:rsid w:val="742A10F7"/>
    <w:rsid w:val="744D66E7"/>
    <w:rsid w:val="74561EEC"/>
    <w:rsid w:val="745F3497"/>
    <w:rsid w:val="74716D26"/>
    <w:rsid w:val="7476433D"/>
    <w:rsid w:val="747A5361"/>
    <w:rsid w:val="74822CE1"/>
    <w:rsid w:val="74842D04"/>
    <w:rsid w:val="749265A0"/>
    <w:rsid w:val="74CD3797"/>
    <w:rsid w:val="74DA48CB"/>
    <w:rsid w:val="74DC73EF"/>
    <w:rsid w:val="74EC39C2"/>
    <w:rsid w:val="74F51705"/>
    <w:rsid w:val="750B3A89"/>
    <w:rsid w:val="75142BB9"/>
    <w:rsid w:val="751B2757"/>
    <w:rsid w:val="7529740C"/>
    <w:rsid w:val="752B3379"/>
    <w:rsid w:val="752D7368"/>
    <w:rsid w:val="752E2E69"/>
    <w:rsid w:val="752E708E"/>
    <w:rsid w:val="7548217D"/>
    <w:rsid w:val="755521A4"/>
    <w:rsid w:val="75572F9E"/>
    <w:rsid w:val="755E006E"/>
    <w:rsid w:val="75603572"/>
    <w:rsid w:val="75624C21"/>
    <w:rsid w:val="756736DE"/>
    <w:rsid w:val="756920F3"/>
    <w:rsid w:val="756C144F"/>
    <w:rsid w:val="756E5C1E"/>
    <w:rsid w:val="75752846"/>
    <w:rsid w:val="75774810"/>
    <w:rsid w:val="75864A53"/>
    <w:rsid w:val="75994786"/>
    <w:rsid w:val="759D0301"/>
    <w:rsid w:val="75BA5E05"/>
    <w:rsid w:val="75CC50D8"/>
    <w:rsid w:val="75D364A6"/>
    <w:rsid w:val="75D532E5"/>
    <w:rsid w:val="75D565E1"/>
    <w:rsid w:val="75E4177A"/>
    <w:rsid w:val="75E46A7C"/>
    <w:rsid w:val="75E82942"/>
    <w:rsid w:val="75EA4FE2"/>
    <w:rsid w:val="75F419BD"/>
    <w:rsid w:val="75F756C1"/>
    <w:rsid w:val="75FBB8ED"/>
    <w:rsid w:val="764010A6"/>
    <w:rsid w:val="76420240"/>
    <w:rsid w:val="7642A0F7"/>
    <w:rsid w:val="764F64BE"/>
    <w:rsid w:val="76500BBD"/>
    <w:rsid w:val="765B4CB0"/>
    <w:rsid w:val="76607443"/>
    <w:rsid w:val="766703E1"/>
    <w:rsid w:val="76805946"/>
    <w:rsid w:val="76824A15"/>
    <w:rsid w:val="7684289A"/>
    <w:rsid w:val="76936B67"/>
    <w:rsid w:val="7695615E"/>
    <w:rsid w:val="769E6DD5"/>
    <w:rsid w:val="76A21419"/>
    <w:rsid w:val="76BE4A5D"/>
    <w:rsid w:val="76CA582B"/>
    <w:rsid w:val="76D7B687"/>
    <w:rsid w:val="76DB492B"/>
    <w:rsid w:val="76E02050"/>
    <w:rsid w:val="76F8372F"/>
    <w:rsid w:val="76FBFD22"/>
    <w:rsid w:val="77060EB2"/>
    <w:rsid w:val="77167266"/>
    <w:rsid w:val="771C1FEB"/>
    <w:rsid w:val="776977CA"/>
    <w:rsid w:val="776A376D"/>
    <w:rsid w:val="778803DD"/>
    <w:rsid w:val="77911EBF"/>
    <w:rsid w:val="779F4AA8"/>
    <w:rsid w:val="77A15B74"/>
    <w:rsid w:val="77D00208"/>
    <w:rsid w:val="77D777E8"/>
    <w:rsid w:val="77DD657D"/>
    <w:rsid w:val="77E10FB5"/>
    <w:rsid w:val="77FE579A"/>
    <w:rsid w:val="77FF0B68"/>
    <w:rsid w:val="781520BE"/>
    <w:rsid w:val="78174FAF"/>
    <w:rsid w:val="781F4B34"/>
    <w:rsid w:val="7820118F"/>
    <w:rsid w:val="78240B10"/>
    <w:rsid w:val="783562BD"/>
    <w:rsid w:val="783C61CC"/>
    <w:rsid w:val="783D6EAB"/>
    <w:rsid w:val="78476152"/>
    <w:rsid w:val="7854217F"/>
    <w:rsid w:val="785B6A6A"/>
    <w:rsid w:val="78613928"/>
    <w:rsid w:val="78692BE3"/>
    <w:rsid w:val="786C542E"/>
    <w:rsid w:val="787C3EEC"/>
    <w:rsid w:val="787D0ACA"/>
    <w:rsid w:val="78A07BDA"/>
    <w:rsid w:val="78A72E41"/>
    <w:rsid w:val="78A86866"/>
    <w:rsid w:val="78B33DAE"/>
    <w:rsid w:val="78BF05B7"/>
    <w:rsid w:val="78FA4794"/>
    <w:rsid w:val="79013413"/>
    <w:rsid w:val="791B1956"/>
    <w:rsid w:val="792918C8"/>
    <w:rsid w:val="793C599E"/>
    <w:rsid w:val="79433C2F"/>
    <w:rsid w:val="79493204"/>
    <w:rsid w:val="794C71C1"/>
    <w:rsid w:val="795209AA"/>
    <w:rsid w:val="79520AB6"/>
    <w:rsid w:val="795409C4"/>
    <w:rsid w:val="796055BB"/>
    <w:rsid w:val="79627585"/>
    <w:rsid w:val="7968510F"/>
    <w:rsid w:val="796A3D1A"/>
    <w:rsid w:val="79720162"/>
    <w:rsid w:val="79725EB9"/>
    <w:rsid w:val="79782905"/>
    <w:rsid w:val="797E5A30"/>
    <w:rsid w:val="798504CD"/>
    <w:rsid w:val="79863274"/>
    <w:rsid w:val="798E2128"/>
    <w:rsid w:val="79A16F81"/>
    <w:rsid w:val="79DB21D8"/>
    <w:rsid w:val="79ED0E09"/>
    <w:rsid w:val="79F37E22"/>
    <w:rsid w:val="79F44B96"/>
    <w:rsid w:val="7A0826C3"/>
    <w:rsid w:val="7A1268B5"/>
    <w:rsid w:val="7A150C24"/>
    <w:rsid w:val="7A3A7E3A"/>
    <w:rsid w:val="7A4A1CE7"/>
    <w:rsid w:val="7A4A24AE"/>
    <w:rsid w:val="7A6303B8"/>
    <w:rsid w:val="7A6D7F90"/>
    <w:rsid w:val="7A7237F8"/>
    <w:rsid w:val="7A766F95"/>
    <w:rsid w:val="7A855985"/>
    <w:rsid w:val="7A8E6191"/>
    <w:rsid w:val="7AA44971"/>
    <w:rsid w:val="7AA87774"/>
    <w:rsid w:val="7AB67B85"/>
    <w:rsid w:val="7AD25AA2"/>
    <w:rsid w:val="7ADC69BD"/>
    <w:rsid w:val="7AE667FA"/>
    <w:rsid w:val="7AEF6BF7"/>
    <w:rsid w:val="7AF01EF2"/>
    <w:rsid w:val="7B050267"/>
    <w:rsid w:val="7B0C77A9"/>
    <w:rsid w:val="7B2A40D3"/>
    <w:rsid w:val="7B2B457B"/>
    <w:rsid w:val="7B3F7B7E"/>
    <w:rsid w:val="7B580807"/>
    <w:rsid w:val="7B59396A"/>
    <w:rsid w:val="7B5B0730"/>
    <w:rsid w:val="7B7B747B"/>
    <w:rsid w:val="7B810197"/>
    <w:rsid w:val="7B936D21"/>
    <w:rsid w:val="7B937989"/>
    <w:rsid w:val="7B9FAF6A"/>
    <w:rsid w:val="7BA466FE"/>
    <w:rsid w:val="7BAC7B1D"/>
    <w:rsid w:val="7BAD7059"/>
    <w:rsid w:val="7BB22DC5"/>
    <w:rsid w:val="7BB265A2"/>
    <w:rsid w:val="7BBB89C9"/>
    <w:rsid w:val="7BBD4F64"/>
    <w:rsid w:val="7BC07C13"/>
    <w:rsid w:val="7BD06666"/>
    <w:rsid w:val="7BE15E8E"/>
    <w:rsid w:val="7BEB32F5"/>
    <w:rsid w:val="7BEDF631"/>
    <w:rsid w:val="7BEF2263"/>
    <w:rsid w:val="7BF3C58C"/>
    <w:rsid w:val="7BF40FB0"/>
    <w:rsid w:val="7BFD8117"/>
    <w:rsid w:val="7BFE1C08"/>
    <w:rsid w:val="7BFF8C59"/>
    <w:rsid w:val="7C0004DA"/>
    <w:rsid w:val="7C0B7A60"/>
    <w:rsid w:val="7C1745DC"/>
    <w:rsid w:val="7C1B2096"/>
    <w:rsid w:val="7C2470D1"/>
    <w:rsid w:val="7C4864CC"/>
    <w:rsid w:val="7C541407"/>
    <w:rsid w:val="7C5AB00C"/>
    <w:rsid w:val="7C774431"/>
    <w:rsid w:val="7C7C270C"/>
    <w:rsid w:val="7C8427B5"/>
    <w:rsid w:val="7C883F5E"/>
    <w:rsid w:val="7C8B0BA1"/>
    <w:rsid w:val="7C8B6DF3"/>
    <w:rsid w:val="7C95709F"/>
    <w:rsid w:val="7CB41EA6"/>
    <w:rsid w:val="7CB6091C"/>
    <w:rsid w:val="7CCC3693"/>
    <w:rsid w:val="7CDD36D3"/>
    <w:rsid w:val="7CEB7367"/>
    <w:rsid w:val="7CEC6BBF"/>
    <w:rsid w:val="7CF43F15"/>
    <w:rsid w:val="7D01278A"/>
    <w:rsid w:val="7D0561C2"/>
    <w:rsid w:val="7D1144D5"/>
    <w:rsid w:val="7D1F05B4"/>
    <w:rsid w:val="7D1F1BB1"/>
    <w:rsid w:val="7D255394"/>
    <w:rsid w:val="7D39684F"/>
    <w:rsid w:val="7D3A0CA2"/>
    <w:rsid w:val="7D425C9E"/>
    <w:rsid w:val="7D4E7C03"/>
    <w:rsid w:val="7D512ABA"/>
    <w:rsid w:val="7D536D48"/>
    <w:rsid w:val="7D613B1A"/>
    <w:rsid w:val="7D6A4C5A"/>
    <w:rsid w:val="7D777F72"/>
    <w:rsid w:val="7D9B2297"/>
    <w:rsid w:val="7DA92657"/>
    <w:rsid w:val="7DBDEEC2"/>
    <w:rsid w:val="7DC22550"/>
    <w:rsid w:val="7DC600E3"/>
    <w:rsid w:val="7DC75C09"/>
    <w:rsid w:val="7DDA1C06"/>
    <w:rsid w:val="7DED97B3"/>
    <w:rsid w:val="7DF01A15"/>
    <w:rsid w:val="7DF4658E"/>
    <w:rsid w:val="7E02604D"/>
    <w:rsid w:val="7E045A45"/>
    <w:rsid w:val="7E1001D8"/>
    <w:rsid w:val="7E100ADF"/>
    <w:rsid w:val="7E234BB9"/>
    <w:rsid w:val="7E2D6BC0"/>
    <w:rsid w:val="7E522BF5"/>
    <w:rsid w:val="7E5356EF"/>
    <w:rsid w:val="7E8458A8"/>
    <w:rsid w:val="7E881AE3"/>
    <w:rsid w:val="7E9C7095"/>
    <w:rsid w:val="7EAB72D9"/>
    <w:rsid w:val="7EBE525E"/>
    <w:rsid w:val="7EDF0647"/>
    <w:rsid w:val="7EE45AB3"/>
    <w:rsid w:val="7EEF28BC"/>
    <w:rsid w:val="7EF203A8"/>
    <w:rsid w:val="7EF43A0A"/>
    <w:rsid w:val="7EF67919"/>
    <w:rsid w:val="7EF7251E"/>
    <w:rsid w:val="7EFF7A60"/>
    <w:rsid w:val="7F007624"/>
    <w:rsid w:val="7F1B26B0"/>
    <w:rsid w:val="7F2B084F"/>
    <w:rsid w:val="7F2ED789"/>
    <w:rsid w:val="7F3834E8"/>
    <w:rsid w:val="7F3EFF83"/>
    <w:rsid w:val="7F444186"/>
    <w:rsid w:val="7F4D0390"/>
    <w:rsid w:val="7F6D5DE3"/>
    <w:rsid w:val="7F707C50"/>
    <w:rsid w:val="7F724B08"/>
    <w:rsid w:val="7F7973D7"/>
    <w:rsid w:val="7F945708"/>
    <w:rsid w:val="7FA51F7A"/>
    <w:rsid w:val="7FB71DAC"/>
    <w:rsid w:val="7FB72C15"/>
    <w:rsid w:val="7FCEBDE3"/>
    <w:rsid w:val="7FCF48BE"/>
    <w:rsid w:val="7FD30895"/>
    <w:rsid w:val="7FD428CC"/>
    <w:rsid w:val="7FE73A8E"/>
    <w:rsid w:val="7FED1E7B"/>
    <w:rsid w:val="7FEF9FDB"/>
    <w:rsid w:val="7FF6DF7C"/>
    <w:rsid w:val="7FF7CE71"/>
    <w:rsid w:val="7FF899A2"/>
    <w:rsid w:val="7FFB2DB5"/>
    <w:rsid w:val="8FF7666A"/>
    <w:rsid w:val="90F58AA5"/>
    <w:rsid w:val="9672CE72"/>
    <w:rsid w:val="96878433"/>
    <w:rsid w:val="972CF5EF"/>
    <w:rsid w:val="9CFF7867"/>
    <w:rsid w:val="9DE777AA"/>
    <w:rsid w:val="9DFD998F"/>
    <w:rsid w:val="9FB747F1"/>
    <w:rsid w:val="9FEB3BC0"/>
    <w:rsid w:val="A3EFD38E"/>
    <w:rsid w:val="A96DB0E7"/>
    <w:rsid w:val="A97F2394"/>
    <w:rsid w:val="AEF7C879"/>
    <w:rsid w:val="AF3F3BA2"/>
    <w:rsid w:val="B3F33AEE"/>
    <w:rsid w:val="B657963C"/>
    <w:rsid w:val="B6F6FB96"/>
    <w:rsid w:val="B74F83F2"/>
    <w:rsid w:val="B7E76112"/>
    <w:rsid w:val="BB7F132B"/>
    <w:rsid w:val="BE97FEA0"/>
    <w:rsid w:val="BEDF794C"/>
    <w:rsid w:val="BEFD47FE"/>
    <w:rsid w:val="BEFF680A"/>
    <w:rsid w:val="BF653A70"/>
    <w:rsid w:val="BFAAC91A"/>
    <w:rsid w:val="BFDBE951"/>
    <w:rsid w:val="BFF9A746"/>
    <w:rsid w:val="BFFEF036"/>
    <w:rsid w:val="C77FF386"/>
    <w:rsid w:val="CA1E1780"/>
    <w:rsid w:val="CE5FD7A4"/>
    <w:rsid w:val="D5ECF978"/>
    <w:rsid w:val="D7F7678A"/>
    <w:rsid w:val="D97F3F17"/>
    <w:rsid w:val="DAE50A03"/>
    <w:rsid w:val="DEE7347B"/>
    <w:rsid w:val="DEFE2A29"/>
    <w:rsid w:val="DF5FCEC7"/>
    <w:rsid w:val="DF7F1D61"/>
    <w:rsid w:val="E37DA637"/>
    <w:rsid w:val="E6FF12D7"/>
    <w:rsid w:val="E77BAC5D"/>
    <w:rsid w:val="E78606E4"/>
    <w:rsid w:val="E7FDB0B0"/>
    <w:rsid w:val="E967ECD5"/>
    <w:rsid w:val="E9DFC007"/>
    <w:rsid w:val="EBBFA269"/>
    <w:rsid w:val="EBE55504"/>
    <w:rsid w:val="EEAA455B"/>
    <w:rsid w:val="EEBB75A0"/>
    <w:rsid w:val="EF493B6D"/>
    <w:rsid w:val="EF4F5E75"/>
    <w:rsid w:val="EFA7CBEC"/>
    <w:rsid w:val="EFBF0ABF"/>
    <w:rsid w:val="EFCBC81E"/>
    <w:rsid w:val="EFCF9712"/>
    <w:rsid w:val="F2FB0C6B"/>
    <w:rsid w:val="F34D8D38"/>
    <w:rsid w:val="F37DF2F5"/>
    <w:rsid w:val="F3F75527"/>
    <w:rsid w:val="F5F70001"/>
    <w:rsid w:val="F6DF8191"/>
    <w:rsid w:val="F7347476"/>
    <w:rsid w:val="F793A1A1"/>
    <w:rsid w:val="F7B5E95C"/>
    <w:rsid w:val="F7BBABA5"/>
    <w:rsid w:val="F7D718B6"/>
    <w:rsid w:val="F938FB84"/>
    <w:rsid w:val="F9574173"/>
    <w:rsid w:val="F9FC5AFC"/>
    <w:rsid w:val="FA8B0522"/>
    <w:rsid w:val="FAEF5B60"/>
    <w:rsid w:val="FB7E8607"/>
    <w:rsid w:val="FBE730AB"/>
    <w:rsid w:val="FBF3FFEF"/>
    <w:rsid w:val="FBF7F6FF"/>
    <w:rsid w:val="FBFE2BF1"/>
    <w:rsid w:val="FBFFC981"/>
    <w:rsid w:val="FBFFCE1A"/>
    <w:rsid w:val="FBFFD729"/>
    <w:rsid w:val="FC7E0980"/>
    <w:rsid w:val="FCB9B9C2"/>
    <w:rsid w:val="FD3A1C7A"/>
    <w:rsid w:val="FD5F9F42"/>
    <w:rsid w:val="FD8F77DE"/>
    <w:rsid w:val="FDCFA477"/>
    <w:rsid w:val="FDF7A2A4"/>
    <w:rsid w:val="FDFE5C3A"/>
    <w:rsid w:val="FE9362F8"/>
    <w:rsid w:val="FE97F632"/>
    <w:rsid w:val="FF67C0EE"/>
    <w:rsid w:val="FF6FB00D"/>
    <w:rsid w:val="FF876B11"/>
    <w:rsid w:val="FF985FE2"/>
    <w:rsid w:val="FFBE5829"/>
    <w:rsid w:val="FFCBE1A3"/>
    <w:rsid w:val="FFD574FF"/>
    <w:rsid w:val="FFDB7017"/>
    <w:rsid w:val="FFDFBBAE"/>
    <w:rsid w:val="FFDFEB57"/>
    <w:rsid w:val="FFE0B1E8"/>
    <w:rsid w:val="FFE3CD5C"/>
    <w:rsid w:val="FFEDFE8B"/>
    <w:rsid w:val="FFF5970C"/>
    <w:rsid w:val="FFF733EB"/>
    <w:rsid w:val="FFF7CEB1"/>
    <w:rsid w:val="FFFB18A2"/>
    <w:rsid w:val="FFFDBE7B"/>
    <w:rsid w:val="FFFDDE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39" w:semiHidden="0" w:name="toc 1"/>
    <w:lsdException w:qFormat="1" w:unhideWhenUsed="0" w:uiPriority="39" w:semiHidden="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6"/>
    <w:qFormat/>
    <w:uiPriority w:val="0"/>
    <w:pPr>
      <w:keepNext/>
      <w:keepLines/>
      <w:numPr>
        <w:ilvl w:val="0"/>
        <w:numId w:val="1"/>
      </w:numPr>
      <w:spacing w:before="340" w:after="330" w:line="578" w:lineRule="auto"/>
      <w:outlineLvl w:val="0"/>
    </w:pPr>
    <w:rPr>
      <w:rFonts w:ascii="Calibri" w:hAnsi="Calibri"/>
      <w:b/>
      <w:bCs/>
      <w:kern w:val="44"/>
      <w:sz w:val="44"/>
      <w:szCs w:val="44"/>
    </w:rPr>
  </w:style>
  <w:style w:type="paragraph" w:styleId="6">
    <w:name w:val="heading 2"/>
    <w:basedOn w:val="1"/>
    <w:next w:val="1"/>
    <w:link w:val="77"/>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7">
    <w:name w:val="heading 3"/>
    <w:basedOn w:val="1"/>
    <w:next w:val="1"/>
    <w:link w:val="78"/>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79"/>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80"/>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8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82"/>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83"/>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84"/>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5">
    <w:name w:val="Default Paragraph Font"/>
    <w:semiHidden/>
    <w:qFormat/>
    <w:uiPriority w:val="0"/>
  </w:style>
  <w:style w:type="table" w:default="1" w:styleId="6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link w:val="75"/>
    <w:qFormat/>
    <w:uiPriority w:val="0"/>
    <w:pPr>
      <w:snapToGrid w:val="0"/>
      <w:spacing w:after="120" w:line="360" w:lineRule="auto"/>
      <w:ind w:left="420" w:firstLine="420"/>
    </w:pPr>
    <w:rPr>
      <w:rFonts w:ascii="Tahoma" w:hAnsi="Tahoma"/>
      <w:b w:val="0"/>
      <w:bCs w:val="0"/>
      <w:kern w:val="0"/>
      <w:sz w:val="28"/>
      <w:shd w:val="clear" w:color="auto" w:fill="auto"/>
    </w:rPr>
  </w:style>
  <w:style w:type="paragraph" w:styleId="3">
    <w:name w:val="Body Text Indent"/>
    <w:basedOn w:val="1"/>
    <w:next w:val="2"/>
    <w:link w:val="74"/>
    <w:qFormat/>
    <w:uiPriority w:val="0"/>
    <w:pPr>
      <w:spacing w:line="460" w:lineRule="exact"/>
      <w:ind w:firstLine="482" w:firstLineChars="200"/>
    </w:pPr>
    <w:rPr>
      <w:b/>
      <w:bCs/>
      <w:sz w:val="24"/>
      <w:shd w:val="clear" w:color="auto" w:fill="CCCCCC"/>
    </w:rPr>
  </w:style>
  <w:style w:type="paragraph" w:customStyle="1" w:styleId="4">
    <w:name w:val="xl53"/>
    <w:next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Times New Roman"/>
      <w:b/>
      <w:bCs/>
      <w:lang w:val="en-US" w:eastAsia="zh-CN" w:bidi="ar-SA"/>
    </w:rPr>
  </w:style>
  <w:style w:type="paragraph" w:styleId="14">
    <w:name w:val="toc 7"/>
    <w:basedOn w:val="1"/>
    <w:next w:val="1"/>
    <w:semiHidden/>
    <w:qFormat/>
    <w:uiPriority w:val="0"/>
    <w:pPr>
      <w:ind w:left="2520" w:leftChars="1200"/>
    </w:pPr>
  </w:style>
  <w:style w:type="paragraph" w:styleId="15">
    <w:name w:val="index 8"/>
    <w:basedOn w:val="1"/>
    <w:next w:val="1"/>
    <w:semiHidden/>
    <w:qFormat/>
    <w:uiPriority w:val="0"/>
    <w:pPr>
      <w:ind w:left="1400" w:leftChars="1400"/>
    </w:pPr>
  </w:style>
  <w:style w:type="paragraph" w:styleId="16">
    <w:name w:val="List Number"/>
    <w:basedOn w:val="1"/>
    <w:uiPriority w:val="0"/>
    <w:pPr>
      <w:tabs>
        <w:tab w:val="left" w:pos="360"/>
      </w:tabs>
      <w:ind w:left="360" w:hanging="360" w:hangingChars="200"/>
    </w:pPr>
  </w:style>
  <w:style w:type="paragraph" w:styleId="17">
    <w:name w:val="Normal Indent"/>
    <w:basedOn w:val="1"/>
    <w:link w:val="85"/>
    <w:qFormat/>
    <w:uiPriority w:val="0"/>
    <w:pPr>
      <w:ind w:firstLine="420" w:firstLineChars="200"/>
    </w:pPr>
    <w:rPr>
      <w:sz w:val="28"/>
      <w:szCs w:val="20"/>
    </w:rPr>
  </w:style>
  <w:style w:type="paragraph" w:styleId="18">
    <w:name w:val="caption"/>
    <w:basedOn w:val="1"/>
    <w:next w:val="1"/>
    <w:qFormat/>
    <w:uiPriority w:val="0"/>
    <w:pPr>
      <w:suppressLineNumbers/>
      <w:spacing w:before="120" w:after="120"/>
    </w:pPr>
    <w:rPr>
      <w:rFonts w:cs="Mangal"/>
      <w:i/>
      <w:iCs/>
      <w:color w:val="00000A"/>
      <w:kern w:val="0"/>
      <w:sz w:val="24"/>
    </w:rPr>
  </w:style>
  <w:style w:type="paragraph" w:styleId="19">
    <w:name w:val="index 5"/>
    <w:basedOn w:val="1"/>
    <w:next w:val="1"/>
    <w:semiHidden/>
    <w:qFormat/>
    <w:uiPriority w:val="0"/>
    <w:pPr>
      <w:ind w:left="800" w:leftChars="800"/>
    </w:pPr>
  </w:style>
  <w:style w:type="paragraph" w:styleId="20">
    <w:name w:val="List Bullet"/>
    <w:basedOn w:val="21"/>
    <w:uiPriority w:val="0"/>
    <w:pPr>
      <w:widowControl/>
      <w:tabs>
        <w:tab w:val="left" w:pos="360"/>
        <w:tab w:val="left" w:pos="420"/>
      </w:tabs>
      <w:adjustRightInd/>
      <w:snapToGrid/>
      <w:ind w:left="360" w:right="720" w:hanging="360"/>
    </w:pPr>
    <w:rPr>
      <w:rFonts w:ascii="Garamond" w:hAnsi="Garamond"/>
      <w:kern w:val="0"/>
      <w:sz w:val="24"/>
      <w:szCs w:val="20"/>
    </w:rPr>
  </w:style>
  <w:style w:type="paragraph" w:styleId="21">
    <w:name w:val="List"/>
    <w:basedOn w:val="1"/>
    <w:uiPriority w:val="0"/>
    <w:pPr>
      <w:tabs>
        <w:tab w:val="left" w:pos="420"/>
      </w:tabs>
      <w:adjustRightInd w:val="0"/>
      <w:snapToGrid w:val="0"/>
      <w:spacing w:line="300" w:lineRule="auto"/>
      <w:ind w:left="840" w:hanging="420"/>
    </w:pPr>
    <w:rPr>
      <w:rFonts w:ascii="Times New Roman" w:hAnsi="Times New Roman"/>
    </w:rPr>
  </w:style>
  <w:style w:type="paragraph" w:styleId="22">
    <w:name w:val="Document Map"/>
    <w:basedOn w:val="1"/>
    <w:link w:val="86"/>
    <w:semiHidden/>
    <w:qFormat/>
    <w:uiPriority w:val="0"/>
    <w:pPr>
      <w:shd w:val="clear" w:color="auto" w:fill="000080"/>
    </w:pPr>
  </w:style>
  <w:style w:type="paragraph" w:styleId="2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4">
    <w:name w:val="annotation text"/>
    <w:basedOn w:val="1"/>
    <w:link w:val="87"/>
    <w:semiHidden/>
    <w:qFormat/>
    <w:uiPriority w:val="0"/>
    <w:pPr>
      <w:jc w:val="left"/>
    </w:pPr>
    <w:rPr>
      <w:szCs w:val="22"/>
    </w:rPr>
  </w:style>
  <w:style w:type="paragraph" w:styleId="25">
    <w:name w:val="index 6"/>
    <w:basedOn w:val="1"/>
    <w:next w:val="1"/>
    <w:semiHidden/>
    <w:qFormat/>
    <w:uiPriority w:val="0"/>
    <w:pPr>
      <w:ind w:left="1000" w:leftChars="1000"/>
    </w:pPr>
  </w:style>
  <w:style w:type="paragraph" w:styleId="26">
    <w:name w:val="Salutation"/>
    <w:basedOn w:val="1"/>
    <w:next w:val="1"/>
    <w:link w:val="88"/>
    <w:qFormat/>
    <w:uiPriority w:val="0"/>
    <w:pPr>
      <w:tabs>
        <w:tab w:val="left" w:pos="600"/>
      </w:tabs>
    </w:pPr>
    <w:rPr>
      <w:sz w:val="24"/>
    </w:rPr>
  </w:style>
  <w:style w:type="paragraph" w:styleId="27">
    <w:name w:val="Body Text 3"/>
    <w:basedOn w:val="1"/>
    <w:link w:val="89"/>
    <w:qFormat/>
    <w:uiPriority w:val="0"/>
    <w:pPr>
      <w:spacing w:after="120" w:line="360" w:lineRule="auto"/>
    </w:pPr>
    <w:rPr>
      <w:kern w:val="0"/>
      <w:sz w:val="16"/>
      <w:szCs w:val="16"/>
    </w:rPr>
  </w:style>
  <w:style w:type="paragraph" w:styleId="28">
    <w:name w:val="Body Text"/>
    <w:basedOn w:val="1"/>
    <w:next w:val="29"/>
    <w:link w:val="90"/>
    <w:qFormat/>
    <w:uiPriority w:val="0"/>
    <w:pPr>
      <w:jc w:val="center"/>
    </w:pPr>
    <w:rPr>
      <w:rFonts w:ascii="宋体" w:hAnsi="宋体"/>
      <w:b/>
      <w:bCs/>
      <w:color w:val="000000"/>
      <w:sz w:val="72"/>
      <w:szCs w:val="20"/>
    </w:rPr>
  </w:style>
  <w:style w:type="paragraph" w:styleId="29">
    <w:name w:val="Body Text First Indent"/>
    <w:basedOn w:val="28"/>
    <w:next w:val="1"/>
    <w:link w:val="91"/>
    <w:qFormat/>
    <w:uiPriority w:val="0"/>
    <w:pPr>
      <w:spacing w:line="360" w:lineRule="auto"/>
      <w:ind w:firstLine="425"/>
      <w:jc w:val="both"/>
    </w:pPr>
    <w:rPr>
      <w:rFonts w:ascii="Times New Roman" w:hAnsi="Times New Roman"/>
      <w:b w:val="0"/>
      <w:bCs w:val="0"/>
      <w:color w:val="auto"/>
      <w:kern w:val="0"/>
      <w:sz w:val="24"/>
    </w:rPr>
  </w:style>
  <w:style w:type="paragraph" w:styleId="30">
    <w:name w:val="List 2"/>
    <w:basedOn w:val="1"/>
    <w:qFormat/>
    <w:uiPriority w:val="0"/>
    <w:pPr>
      <w:widowControl/>
      <w:ind w:left="100" w:leftChars="200" w:hanging="200" w:hangingChars="200"/>
      <w:jc w:val="left"/>
    </w:pPr>
    <w:rPr>
      <w:rFonts w:ascii="Times New Roman" w:hAnsi="Times New Roman"/>
      <w:kern w:val="0"/>
      <w:szCs w:val="20"/>
    </w:rPr>
  </w:style>
  <w:style w:type="paragraph" w:styleId="31">
    <w:name w:val="Block Text"/>
    <w:basedOn w:val="1"/>
    <w:qFormat/>
    <w:uiPriority w:val="0"/>
    <w:pPr>
      <w:autoSpaceDE w:val="0"/>
      <w:autoSpaceDN w:val="0"/>
      <w:adjustRightInd w:val="0"/>
      <w:spacing w:after="120"/>
      <w:ind w:left="1440" w:leftChars="700" w:right="1440" w:rightChars="700"/>
      <w:jc w:val="left"/>
    </w:pPr>
    <w:rPr>
      <w:rFonts w:ascii="宋体" w:hAnsi="Times New Roman"/>
      <w:kern w:val="0"/>
      <w:sz w:val="24"/>
    </w:rPr>
  </w:style>
  <w:style w:type="paragraph" w:styleId="32">
    <w:name w:val="index 4"/>
    <w:basedOn w:val="1"/>
    <w:next w:val="1"/>
    <w:semiHidden/>
    <w:qFormat/>
    <w:uiPriority w:val="0"/>
    <w:pPr>
      <w:ind w:left="600" w:leftChars="600"/>
    </w:pPr>
  </w:style>
  <w:style w:type="paragraph" w:styleId="33">
    <w:name w:val="toc 5"/>
    <w:basedOn w:val="1"/>
    <w:next w:val="1"/>
    <w:semiHidden/>
    <w:qFormat/>
    <w:uiPriority w:val="0"/>
    <w:pPr>
      <w:ind w:left="1680" w:leftChars="800"/>
    </w:pPr>
  </w:style>
  <w:style w:type="paragraph" w:styleId="34">
    <w:name w:val="toc 3"/>
    <w:basedOn w:val="1"/>
    <w:next w:val="1"/>
    <w:semiHidden/>
    <w:qFormat/>
    <w:uiPriority w:val="0"/>
    <w:pPr>
      <w:ind w:left="840" w:leftChars="400"/>
    </w:pPr>
  </w:style>
  <w:style w:type="paragraph" w:styleId="35">
    <w:name w:val="Plain Text"/>
    <w:basedOn w:val="1"/>
    <w:next w:val="1"/>
    <w:link w:val="92"/>
    <w:qFormat/>
    <w:uiPriority w:val="0"/>
    <w:rPr>
      <w:rFonts w:ascii="宋体" w:hAnsi="Courier New" w:cs="Courier New"/>
      <w:szCs w:val="21"/>
    </w:rPr>
  </w:style>
  <w:style w:type="paragraph" w:styleId="36">
    <w:name w:val="toc 8"/>
    <w:basedOn w:val="1"/>
    <w:next w:val="1"/>
    <w:semiHidden/>
    <w:uiPriority w:val="0"/>
    <w:pPr>
      <w:ind w:left="2940" w:leftChars="1400"/>
    </w:pPr>
  </w:style>
  <w:style w:type="paragraph" w:styleId="37">
    <w:name w:val="index 3"/>
    <w:basedOn w:val="1"/>
    <w:next w:val="1"/>
    <w:semiHidden/>
    <w:qFormat/>
    <w:uiPriority w:val="0"/>
    <w:pPr>
      <w:ind w:left="400" w:leftChars="400"/>
    </w:pPr>
  </w:style>
  <w:style w:type="paragraph" w:styleId="38">
    <w:name w:val="Date"/>
    <w:basedOn w:val="1"/>
    <w:next w:val="1"/>
    <w:link w:val="93"/>
    <w:qFormat/>
    <w:uiPriority w:val="0"/>
    <w:pPr>
      <w:ind w:left="100" w:leftChars="2500"/>
    </w:pPr>
    <w:rPr>
      <w:rFonts w:ascii="Calibri" w:hAnsi="Calibri"/>
    </w:rPr>
  </w:style>
  <w:style w:type="paragraph" w:styleId="39">
    <w:name w:val="Body Text Indent 2"/>
    <w:basedOn w:val="1"/>
    <w:link w:val="94"/>
    <w:qFormat/>
    <w:uiPriority w:val="0"/>
    <w:pPr>
      <w:spacing w:line="360" w:lineRule="auto"/>
      <w:ind w:firstLine="480"/>
    </w:pPr>
    <w:rPr>
      <w:rFonts w:ascii="宋体" w:eastAsia="新宋体"/>
      <w:sz w:val="24"/>
      <w:szCs w:val="20"/>
    </w:rPr>
  </w:style>
  <w:style w:type="paragraph" w:styleId="40">
    <w:name w:val="endnote text"/>
    <w:basedOn w:val="1"/>
    <w:link w:val="95"/>
    <w:qFormat/>
    <w:uiPriority w:val="0"/>
    <w:pPr>
      <w:adjustRightInd w:val="0"/>
      <w:spacing w:line="315" w:lineRule="atLeast"/>
      <w:ind w:firstLine="425"/>
      <w:jc w:val="left"/>
      <w:textAlignment w:val="baseline"/>
    </w:pPr>
    <w:rPr>
      <w:rFonts w:ascii="宋体"/>
      <w:kern w:val="0"/>
      <w:sz w:val="24"/>
      <w:szCs w:val="20"/>
    </w:rPr>
  </w:style>
  <w:style w:type="paragraph" w:styleId="41">
    <w:name w:val="Balloon Text"/>
    <w:basedOn w:val="1"/>
    <w:link w:val="96"/>
    <w:semiHidden/>
    <w:qFormat/>
    <w:uiPriority w:val="0"/>
    <w:rPr>
      <w:sz w:val="18"/>
      <w:szCs w:val="18"/>
    </w:rPr>
  </w:style>
  <w:style w:type="paragraph" w:styleId="42">
    <w:name w:val="footer"/>
    <w:basedOn w:val="1"/>
    <w:link w:val="97"/>
    <w:qFormat/>
    <w:uiPriority w:val="0"/>
    <w:pPr>
      <w:tabs>
        <w:tab w:val="center" w:pos="4153"/>
        <w:tab w:val="right" w:pos="8306"/>
      </w:tabs>
      <w:snapToGrid w:val="0"/>
      <w:jc w:val="left"/>
    </w:pPr>
    <w:rPr>
      <w:sz w:val="18"/>
      <w:szCs w:val="18"/>
    </w:rPr>
  </w:style>
  <w:style w:type="paragraph" w:styleId="43">
    <w:name w:val="header"/>
    <w:basedOn w:val="1"/>
    <w:link w:val="98"/>
    <w:qFormat/>
    <w:uiPriority w:val="0"/>
    <w:pPr>
      <w:pBdr>
        <w:bottom w:val="single" w:color="auto" w:sz="6" w:space="1"/>
      </w:pBdr>
      <w:tabs>
        <w:tab w:val="center" w:pos="4153"/>
        <w:tab w:val="right" w:pos="8306"/>
      </w:tabs>
      <w:snapToGrid w:val="0"/>
      <w:jc w:val="center"/>
    </w:pPr>
    <w:rPr>
      <w:sz w:val="18"/>
      <w:szCs w:val="18"/>
    </w:rPr>
  </w:style>
  <w:style w:type="paragraph" w:styleId="44">
    <w:name w:val="toc 1"/>
    <w:basedOn w:val="1"/>
    <w:next w:val="1"/>
    <w:uiPriority w:val="39"/>
    <w:pPr>
      <w:tabs>
        <w:tab w:val="right" w:leader="dot" w:pos="9344"/>
      </w:tabs>
      <w:spacing w:line="460" w:lineRule="exact"/>
    </w:pPr>
    <w:rPr>
      <w:rFonts w:ascii="宋体" w:hAnsi="宋体"/>
      <w:b/>
      <w:bCs/>
      <w:color w:val="000000"/>
      <w:sz w:val="28"/>
      <w:szCs w:val="30"/>
    </w:rPr>
  </w:style>
  <w:style w:type="paragraph" w:styleId="45">
    <w:name w:val="toc 4"/>
    <w:basedOn w:val="1"/>
    <w:next w:val="1"/>
    <w:semiHidden/>
    <w:uiPriority w:val="0"/>
    <w:pPr>
      <w:ind w:left="1260" w:leftChars="600"/>
    </w:pPr>
  </w:style>
  <w:style w:type="paragraph" w:styleId="46">
    <w:name w:val="index heading"/>
    <w:basedOn w:val="1"/>
    <w:next w:val="47"/>
    <w:semiHidden/>
    <w:qFormat/>
    <w:uiPriority w:val="0"/>
  </w:style>
  <w:style w:type="paragraph" w:styleId="47">
    <w:name w:val="index 1"/>
    <w:basedOn w:val="1"/>
    <w:next w:val="1"/>
    <w:semiHidden/>
    <w:qFormat/>
    <w:uiPriority w:val="0"/>
    <w:pPr>
      <w:spacing w:line="560" w:lineRule="exact"/>
    </w:pPr>
    <w:rPr>
      <w:sz w:val="28"/>
    </w:rPr>
  </w:style>
  <w:style w:type="paragraph" w:styleId="48">
    <w:name w:val="footnote text"/>
    <w:basedOn w:val="1"/>
    <w:link w:val="99"/>
    <w:qFormat/>
    <w:uiPriority w:val="0"/>
    <w:pPr>
      <w:snapToGrid w:val="0"/>
      <w:spacing w:line="360" w:lineRule="auto"/>
      <w:jc w:val="left"/>
    </w:pPr>
    <w:rPr>
      <w:kern w:val="0"/>
      <w:sz w:val="18"/>
      <w:szCs w:val="18"/>
    </w:rPr>
  </w:style>
  <w:style w:type="paragraph" w:styleId="49">
    <w:name w:val="toc 6"/>
    <w:basedOn w:val="1"/>
    <w:next w:val="1"/>
    <w:semiHidden/>
    <w:qFormat/>
    <w:uiPriority w:val="0"/>
    <w:pPr>
      <w:ind w:left="2100" w:leftChars="1000"/>
    </w:pPr>
  </w:style>
  <w:style w:type="paragraph" w:styleId="50">
    <w:name w:val="Body Text Indent 3"/>
    <w:basedOn w:val="1"/>
    <w:link w:val="100"/>
    <w:qFormat/>
    <w:uiPriority w:val="0"/>
    <w:pPr>
      <w:spacing w:after="120"/>
      <w:ind w:left="420" w:leftChars="200"/>
    </w:pPr>
    <w:rPr>
      <w:sz w:val="16"/>
      <w:szCs w:val="16"/>
    </w:rPr>
  </w:style>
  <w:style w:type="paragraph" w:styleId="51">
    <w:name w:val="index 7"/>
    <w:basedOn w:val="1"/>
    <w:next w:val="1"/>
    <w:semiHidden/>
    <w:qFormat/>
    <w:uiPriority w:val="0"/>
    <w:pPr>
      <w:ind w:left="1200" w:leftChars="1200"/>
    </w:pPr>
  </w:style>
  <w:style w:type="paragraph" w:styleId="52">
    <w:name w:val="index 9"/>
    <w:basedOn w:val="1"/>
    <w:next w:val="1"/>
    <w:semiHidden/>
    <w:qFormat/>
    <w:uiPriority w:val="0"/>
    <w:pPr>
      <w:ind w:left="1600" w:leftChars="1600"/>
    </w:pPr>
  </w:style>
  <w:style w:type="paragraph" w:styleId="53">
    <w:name w:val="table of figures"/>
    <w:basedOn w:val="1"/>
    <w:next w:val="1"/>
    <w:semiHidden/>
    <w:qFormat/>
    <w:uiPriority w:val="0"/>
    <w:pPr>
      <w:spacing w:line="560" w:lineRule="exact"/>
    </w:pPr>
    <w:rPr>
      <w:b/>
      <w:sz w:val="28"/>
    </w:rPr>
  </w:style>
  <w:style w:type="paragraph" w:styleId="54">
    <w:name w:val="toc 2"/>
    <w:basedOn w:val="1"/>
    <w:next w:val="1"/>
    <w:qFormat/>
    <w:uiPriority w:val="39"/>
    <w:pPr>
      <w:spacing w:line="400" w:lineRule="exact"/>
      <w:ind w:left="200" w:leftChars="200"/>
    </w:pPr>
    <w:rPr>
      <w:sz w:val="24"/>
    </w:rPr>
  </w:style>
  <w:style w:type="paragraph" w:styleId="55">
    <w:name w:val="toc 9"/>
    <w:basedOn w:val="1"/>
    <w:next w:val="1"/>
    <w:semiHidden/>
    <w:qFormat/>
    <w:uiPriority w:val="0"/>
    <w:pPr>
      <w:ind w:left="3360" w:leftChars="1600"/>
    </w:pPr>
  </w:style>
  <w:style w:type="paragraph" w:styleId="56">
    <w:name w:val="Body Text 2"/>
    <w:basedOn w:val="1"/>
    <w:link w:val="101"/>
    <w:uiPriority w:val="0"/>
    <w:pPr>
      <w:spacing w:after="120" w:line="480" w:lineRule="auto"/>
    </w:pPr>
  </w:style>
  <w:style w:type="paragraph" w:styleId="5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58">
    <w:name w:val="HTML Preformatted"/>
    <w:basedOn w:val="1"/>
    <w:link w:val="1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paragraph" w:styleId="5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0">
    <w:name w:val="index 2"/>
    <w:basedOn w:val="1"/>
    <w:next w:val="1"/>
    <w:semiHidden/>
    <w:qFormat/>
    <w:uiPriority w:val="0"/>
    <w:pPr>
      <w:spacing w:line="560" w:lineRule="exact"/>
      <w:ind w:left="200" w:leftChars="200"/>
    </w:pPr>
    <w:rPr>
      <w:sz w:val="28"/>
    </w:rPr>
  </w:style>
  <w:style w:type="paragraph" w:styleId="61">
    <w:name w:val="Title"/>
    <w:basedOn w:val="1"/>
    <w:next w:val="1"/>
    <w:link w:val="103"/>
    <w:qFormat/>
    <w:uiPriority w:val="0"/>
    <w:pPr>
      <w:tabs>
        <w:tab w:val="left" w:pos="420"/>
      </w:tabs>
      <w:adjustRightInd w:val="0"/>
      <w:spacing w:before="120" w:line="360" w:lineRule="auto"/>
      <w:ind w:left="420" w:hanging="420"/>
      <w:textAlignment w:val="baseline"/>
    </w:pPr>
    <w:rPr>
      <w:rFonts w:ascii="Calibri" w:hAnsi="Calibri" w:eastAsia="隶书_GB2312"/>
      <w:b/>
      <w:kern w:val="0"/>
      <w:sz w:val="48"/>
      <w:szCs w:val="20"/>
    </w:rPr>
  </w:style>
  <w:style w:type="paragraph" w:styleId="62">
    <w:name w:val="annotation subject"/>
    <w:basedOn w:val="24"/>
    <w:next w:val="24"/>
    <w:link w:val="104"/>
    <w:uiPriority w:val="0"/>
    <w:rPr>
      <w:rFonts w:ascii="宋体" w:hAnsi="宋体"/>
      <w:b/>
      <w:bCs/>
      <w:sz w:val="28"/>
      <w:szCs w:val="28"/>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uiPriority w:val="0"/>
  </w:style>
  <w:style w:type="character" w:styleId="69">
    <w:name w:val="FollowedHyperlink"/>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annotation reference"/>
    <w:qFormat/>
    <w:uiPriority w:val="0"/>
    <w:rPr>
      <w:sz w:val="21"/>
      <w:szCs w:val="21"/>
    </w:rPr>
  </w:style>
  <w:style w:type="character" w:styleId="73">
    <w:name w:val="HTML Cite"/>
    <w:qFormat/>
    <w:uiPriority w:val="0"/>
  </w:style>
  <w:style w:type="character" w:customStyle="1" w:styleId="74">
    <w:name w:val="正文文本缩进 Char3"/>
    <w:link w:val="3"/>
    <w:qFormat/>
    <w:uiPriority w:val="0"/>
    <w:rPr>
      <w:rFonts w:eastAsia="宋体"/>
      <w:b/>
      <w:bCs/>
      <w:kern w:val="2"/>
      <w:sz w:val="24"/>
      <w:szCs w:val="24"/>
      <w:shd w:val="clear" w:color="auto" w:fill="CCCCCC"/>
      <w:lang w:val="en-US" w:eastAsia="zh-CN" w:bidi="ar-SA"/>
    </w:rPr>
  </w:style>
  <w:style w:type="character" w:customStyle="1" w:styleId="75">
    <w:name w:val="正文首行缩进 2 Char1"/>
    <w:link w:val="2"/>
    <w:qFormat/>
    <w:uiPriority w:val="0"/>
    <w:rPr>
      <w:rFonts w:ascii="Tahoma" w:hAnsi="Tahoma" w:eastAsia="宋体"/>
      <w:sz w:val="28"/>
      <w:szCs w:val="24"/>
      <w:lang w:bidi="ar-SA"/>
    </w:rPr>
  </w:style>
  <w:style w:type="character" w:customStyle="1" w:styleId="76">
    <w:name w:val="标题 1 Char1"/>
    <w:link w:val="5"/>
    <w:qFormat/>
    <w:uiPriority w:val="0"/>
    <w:rPr>
      <w:rFonts w:ascii="Calibri" w:hAnsi="Calibri" w:eastAsia="宋体"/>
      <w:b/>
      <w:bCs/>
      <w:kern w:val="44"/>
      <w:sz w:val="44"/>
      <w:szCs w:val="44"/>
      <w:lang w:val="en-US" w:eastAsia="zh-CN" w:bidi="ar-SA"/>
    </w:rPr>
  </w:style>
  <w:style w:type="character" w:customStyle="1" w:styleId="77">
    <w:name w:val="标题 2 Char1"/>
    <w:link w:val="6"/>
    <w:qFormat/>
    <w:uiPriority w:val="0"/>
    <w:rPr>
      <w:rFonts w:ascii="Arial" w:hAnsi="Arial" w:eastAsia="黑体"/>
      <w:b/>
      <w:bCs/>
      <w:kern w:val="2"/>
      <w:sz w:val="32"/>
      <w:szCs w:val="32"/>
      <w:lang w:val="en-US" w:eastAsia="zh-CN" w:bidi="ar-SA"/>
    </w:rPr>
  </w:style>
  <w:style w:type="character" w:customStyle="1" w:styleId="78">
    <w:name w:val="标题 3 Char2"/>
    <w:link w:val="7"/>
    <w:qFormat/>
    <w:uiPriority w:val="0"/>
    <w:rPr>
      <w:rFonts w:eastAsia="宋体"/>
      <w:b/>
      <w:bCs/>
      <w:kern w:val="2"/>
      <w:sz w:val="32"/>
      <w:szCs w:val="32"/>
      <w:lang w:val="en-US" w:eastAsia="zh-CN" w:bidi="ar-SA"/>
    </w:rPr>
  </w:style>
  <w:style w:type="character" w:customStyle="1" w:styleId="79">
    <w:name w:val="标题 4 Char1"/>
    <w:link w:val="8"/>
    <w:qFormat/>
    <w:uiPriority w:val="0"/>
    <w:rPr>
      <w:rFonts w:ascii="Arial" w:hAnsi="Arial" w:eastAsia="黑体"/>
      <w:b/>
      <w:bCs/>
      <w:kern w:val="2"/>
      <w:sz w:val="28"/>
      <w:szCs w:val="28"/>
      <w:lang w:val="en-US" w:eastAsia="zh-CN" w:bidi="ar-SA"/>
    </w:rPr>
  </w:style>
  <w:style w:type="character" w:customStyle="1" w:styleId="80">
    <w:name w:val="标题 5 Char1"/>
    <w:link w:val="9"/>
    <w:qFormat/>
    <w:uiPriority w:val="0"/>
    <w:rPr>
      <w:rFonts w:eastAsia="宋体"/>
      <w:b/>
      <w:bCs/>
      <w:kern w:val="2"/>
      <w:sz w:val="28"/>
      <w:szCs w:val="28"/>
      <w:lang w:val="en-US" w:eastAsia="zh-CN" w:bidi="ar-SA"/>
    </w:rPr>
  </w:style>
  <w:style w:type="character" w:customStyle="1" w:styleId="81">
    <w:name w:val="标题 6 Char1"/>
    <w:link w:val="10"/>
    <w:qFormat/>
    <w:uiPriority w:val="0"/>
    <w:rPr>
      <w:rFonts w:ascii="Arial" w:hAnsi="Arial" w:eastAsia="黑体"/>
      <w:b/>
      <w:bCs/>
      <w:kern w:val="2"/>
      <w:sz w:val="24"/>
      <w:szCs w:val="24"/>
      <w:lang w:val="en-US" w:eastAsia="zh-CN" w:bidi="ar-SA"/>
    </w:rPr>
  </w:style>
  <w:style w:type="character" w:customStyle="1" w:styleId="82">
    <w:name w:val="标题 7 Char1"/>
    <w:link w:val="11"/>
    <w:qFormat/>
    <w:uiPriority w:val="0"/>
    <w:rPr>
      <w:rFonts w:eastAsia="宋体"/>
      <w:b/>
      <w:bCs/>
      <w:kern w:val="2"/>
      <w:sz w:val="24"/>
      <w:szCs w:val="24"/>
      <w:lang w:val="en-US" w:eastAsia="zh-CN" w:bidi="ar-SA"/>
    </w:rPr>
  </w:style>
  <w:style w:type="character" w:customStyle="1" w:styleId="83">
    <w:name w:val="标题 8 Char1"/>
    <w:link w:val="12"/>
    <w:qFormat/>
    <w:uiPriority w:val="0"/>
    <w:rPr>
      <w:rFonts w:ascii="Arial" w:hAnsi="Arial" w:eastAsia="黑体"/>
      <w:kern w:val="2"/>
      <w:sz w:val="24"/>
      <w:szCs w:val="24"/>
      <w:lang w:val="en-US" w:eastAsia="zh-CN" w:bidi="ar-SA"/>
    </w:rPr>
  </w:style>
  <w:style w:type="character" w:customStyle="1" w:styleId="84">
    <w:name w:val="标题 9 Char1"/>
    <w:link w:val="13"/>
    <w:qFormat/>
    <w:uiPriority w:val="0"/>
    <w:rPr>
      <w:rFonts w:ascii="Arial" w:hAnsi="Arial" w:eastAsia="黑体"/>
      <w:kern w:val="2"/>
      <w:sz w:val="21"/>
      <w:szCs w:val="21"/>
      <w:lang w:val="en-US" w:eastAsia="zh-CN" w:bidi="ar-SA"/>
    </w:rPr>
  </w:style>
  <w:style w:type="character" w:customStyle="1" w:styleId="85">
    <w:name w:val="正文缩进 Char1"/>
    <w:link w:val="17"/>
    <w:qFormat/>
    <w:uiPriority w:val="0"/>
    <w:rPr>
      <w:rFonts w:eastAsia="宋体"/>
      <w:kern w:val="2"/>
      <w:sz w:val="28"/>
      <w:lang w:val="en-US" w:eastAsia="zh-CN" w:bidi="ar-SA"/>
    </w:rPr>
  </w:style>
  <w:style w:type="character" w:customStyle="1" w:styleId="86">
    <w:name w:val="文档结构图 Char1"/>
    <w:link w:val="22"/>
    <w:qFormat/>
    <w:uiPriority w:val="0"/>
    <w:rPr>
      <w:rFonts w:eastAsia="宋体"/>
      <w:kern w:val="2"/>
      <w:sz w:val="21"/>
      <w:szCs w:val="24"/>
      <w:lang w:val="en-US" w:eastAsia="zh-CN" w:bidi="ar-SA"/>
    </w:rPr>
  </w:style>
  <w:style w:type="character" w:customStyle="1" w:styleId="87">
    <w:name w:val="批注文字 Char1"/>
    <w:link w:val="24"/>
    <w:semiHidden/>
    <w:uiPriority w:val="0"/>
    <w:rPr>
      <w:rFonts w:eastAsia="宋体"/>
      <w:kern w:val="2"/>
      <w:sz w:val="21"/>
      <w:szCs w:val="22"/>
      <w:lang w:val="en-US" w:eastAsia="zh-CN" w:bidi="ar-SA"/>
    </w:rPr>
  </w:style>
  <w:style w:type="character" w:customStyle="1" w:styleId="88">
    <w:name w:val="称呼 Char"/>
    <w:link w:val="26"/>
    <w:qFormat/>
    <w:uiPriority w:val="0"/>
    <w:rPr>
      <w:rFonts w:ascii="Calibri" w:hAnsi="Calibri" w:eastAsia="宋体"/>
      <w:kern w:val="2"/>
      <w:sz w:val="24"/>
      <w:szCs w:val="24"/>
      <w:lang w:val="en-US" w:eastAsia="zh-CN" w:bidi="ar-SA"/>
    </w:rPr>
  </w:style>
  <w:style w:type="character" w:customStyle="1" w:styleId="89">
    <w:name w:val="正文文本 3 Char2"/>
    <w:link w:val="27"/>
    <w:qFormat/>
    <w:uiPriority w:val="0"/>
    <w:rPr>
      <w:rFonts w:eastAsia="宋体"/>
      <w:sz w:val="16"/>
      <w:szCs w:val="16"/>
      <w:lang w:bidi="ar-SA"/>
    </w:rPr>
  </w:style>
  <w:style w:type="character" w:customStyle="1" w:styleId="90">
    <w:name w:val="正文文本 Char1"/>
    <w:link w:val="28"/>
    <w:qFormat/>
    <w:uiPriority w:val="0"/>
    <w:rPr>
      <w:rFonts w:ascii="宋体" w:hAnsi="宋体" w:eastAsia="宋体"/>
      <w:b/>
      <w:bCs/>
      <w:color w:val="000000"/>
      <w:kern w:val="2"/>
      <w:sz w:val="72"/>
      <w:lang w:val="en-US" w:eastAsia="zh-CN" w:bidi="ar-SA"/>
    </w:rPr>
  </w:style>
  <w:style w:type="character" w:customStyle="1" w:styleId="91">
    <w:name w:val="正文首行缩进 Char1"/>
    <w:link w:val="29"/>
    <w:uiPriority w:val="0"/>
    <w:rPr>
      <w:rFonts w:eastAsia="宋体"/>
      <w:sz w:val="24"/>
      <w:lang w:bidi="ar-SA"/>
    </w:rPr>
  </w:style>
  <w:style w:type="character" w:customStyle="1" w:styleId="92">
    <w:name w:val="纯文本 Char"/>
    <w:link w:val="35"/>
    <w:uiPriority w:val="0"/>
    <w:rPr>
      <w:rFonts w:ascii="宋体" w:hAnsi="Courier New" w:eastAsia="宋体" w:cs="Courier New"/>
      <w:kern w:val="2"/>
      <w:sz w:val="21"/>
      <w:szCs w:val="21"/>
      <w:lang w:val="en-US" w:eastAsia="zh-CN" w:bidi="ar-SA"/>
    </w:rPr>
  </w:style>
  <w:style w:type="character" w:customStyle="1" w:styleId="93">
    <w:name w:val="日期 Char"/>
    <w:link w:val="38"/>
    <w:qFormat/>
    <w:uiPriority w:val="0"/>
    <w:rPr>
      <w:rFonts w:ascii="Calibri" w:hAnsi="Calibri" w:eastAsia="宋体"/>
      <w:kern w:val="2"/>
      <w:sz w:val="21"/>
      <w:szCs w:val="24"/>
      <w:lang w:val="en-US" w:eastAsia="zh-CN" w:bidi="ar-SA"/>
    </w:rPr>
  </w:style>
  <w:style w:type="character" w:customStyle="1" w:styleId="94">
    <w:name w:val="正文文本缩进 2 Char1"/>
    <w:link w:val="39"/>
    <w:qFormat/>
    <w:uiPriority w:val="0"/>
    <w:rPr>
      <w:rFonts w:ascii="宋体" w:eastAsia="新宋体"/>
      <w:kern w:val="2"/>
      <w:sz w:val="24"/>
      <w:lang w:val="en-US" w:eastAsia="zh-CN" w:bidi="ar-SA"/>
    </w:rPr>
  </w:style>
  <w:style w:type="character" w:customStyle="1" w:styleId="95">
    <w:name w:val="尾注文本 Char2"/>
    <w:link w:val="40"/>
    <w:qFormat/>
    <w:uiPriority w:val="0"/>
    <w:rPr>
      <w:rFonts w:ascii="宋体" w:eastAsia="宋体"/>
      <w:sz w:val="24"/>
      <w:lang w:bidi="ar-SA"/>
    </w:rPr>
  </w:style>
  <w:style w:type="character" w:customStyle="1" w:styleId="96">
    <w:name w:val="批注框文本 Char1"/>
    <w:link w:val="41"/>
    <w:qFormat/>
    <w:uiPriority w:val="0"/>
    <w:rPr>
      <w:rFonts w:eastAsia="宋体"/>
      <w:kern w:val="2"/>
      <w:sz w:val="18"/>
      <w:szCs w:val="18"/>
      <w:lang w:val="en-US" w:eastAsia="zh-CN" w:bidi="ar-SA"/>
    </w:rPr>
  </w:style>
  <w:style w:type="character" w:customStyle="1" w:styleId="97">
    <w:name w:val="页脚 Char1"/>
    <w:link w:val="42"/>
    <w:qFormat/>
    <w:uiPriority w:val="0"/>
    <w:rPr>
      <w:rFonts w:eastAsia="宋体"/>
      <w:kern w:val="2"/>
      <w:sz w:val="18"/>
      <w:szCs w:val="18"/>
      <w:lang w:val="en-US" w:eastAsia="zh-CN" w:bidi="ar-SA"/>
    </w:rPr>
  </w:style>
  <w:style w:type="character" w:customStyle="1" w:styleId="98">
    <w:name w:val="页眉 Char2"/>
    <w:link w:val="43"/>
    <w:qFormat/>
    <w:uiPriority w:val="0"/>
    <w:rPr>
      <w:rFonts w:eastAsia="宋体"/>
      <w:kern w:val="2"/>
      <w:sz w:val="18"/>
      <w:szCs w:val="18"/>
      <w:lang w:val="en-US" w:eastAsia="zh-CN" w:bidi="ar-SA"/>
    </w:rPr>
  </w:style>
  <w:style w:type="character" w:customStyle="1" w:styleId="99">
    <w:name w:val="脚注文本 Char1"/>
    <w:link w:val="48"/>
    <w:qFormat/>
    <w:uiPriority w:val="0"/>
    <w:rPr>
      <w:rFonts w:eastAsia="宋体"/>
      <w:sz w:val="18"/>
      <w:szCs w:val="18"/>
      <w:lang w:bidi="ar-SA"/>
    </w:rPr>
  </w:style>
  <w:style w:type="character" w:customStyle="1" w:styleId="100">
    <w:name w:val="正文文本缩进 3 Char1"/>
    <w:link w:val="50"/>
    <w:qFormat/>
    <w:uiPriority w:val="0"/>
    <w:rPr>
      <w:rFonts w:eastAsia="宋体"/>
      <w:kern w:val="2"/>
      <w:sz w:val="16"/>
      <w:szCs w:val="16"/>
      <w:lang w:val="en-US" w:eastAsia="zh-CN" w:bidi="ar-SA"/>
    </w:rPr>
  </w:style>
  <w:style w:type="character" w:customStyle="1" w:styleId="101">
    <w:name w:val="正文文本 2 Char"/>
    <w:link w:val="56"/>
    <w:qFormat/>
    <w:uiPriority w:val="0"/>
    <w:rPr>
      <w:rFonts w:ascii="Calibri" w:hAnsi="Calibri" w:eastAsia="宋体"/>
      <w:kern w:val="2"/>
      <w:sz w:val="21"/>
      <w:szCs w:val="24"/>
      <w:lang w:val="en-US" w:eastAsia="zh-CN" w:bidi="ar-SA"/>
    </w:rPr>
  </w:style>
  <w:style w:type="character" w:customStyle="1" w:styleId="102">
    <w:name w:val="HTML 预设格式 Char2"/>
    <w:link w:val="58"/>
    <w:qFormat/>
    <w:uiPriority w:val="0"/>
    <w:rPr>
      <w:rFonts w:ascii="Arial" w:hAnsi="Arial" w:eastAsia="宋体"/>
      <w:sz w:val="24"/>
      <w:lang w:bidi="ar-SA"/>
    </w:rPr>
  </w:style>
  <w:style w:type="character" w:customStyle="1" w:styleId="103">
    <w:name w:val="标题 Char"/>
    <w:link w:val="61"/>
    <w:qFormat/>
    <w:uiPriority w:val="0"/>
    <w:rPr>
      <w:rFonts w:ascii="Calibri" w:hAnsi="Calibri" w:eastAsia="隶书_GB2312"/>
      <w:b/>
      <w:sz w:val="48"/>
      <w:lang w:bidi="ar-SA"/>
    </w:rPr>
  </w:style>
  <w:style w:type="character" w:customStyle="1" w:styleId="104">
    <w:name w:val="批注主题 Char2"/>
    <w:link w:val="62"/>
    <w:qFormat/>
    <w:uiPriority w:val="0"/>
    <w:rPr>
      <w:rFonts w:ascii="宋体" w:hAnsi="宋体" w:eastAsia="宋体"/>
      <w:b/>
      <w:bCs/>
      <w:kern w:val="2"/>
      <w:sz w:val="28"/>
      <w:szCs w:val="28"/>
      <w:lang w:val="en-US" w:eastAsia="zh-CN" w:bidi="ar-SA"/>
    </w:rPr>
  </w:style>
  <w:style w:type="character" w:customStyle="1" w:styleId="105">
    <w:name w:val="Char Char14"/>
    <w:qFormat/>
    <w:uiPriority w:val="0"/>
    <w:rPr>
      <w:rFonts w:eastAsia="宋体"/>
      <w:lang w:val="en-US" w:eastAsia="zh-CN" w:bidi="ar-SA"/>
    </w:rPr>
  </w:style>
  <w:style w:type="character" w:customStyle="1" w:styleId="106">
    <w:name w:val="纯文本 字符1"/>
    <w:qFormat/>
    <w:uiPriority w:val="0"/>
    <w:rPr>
      <w:rFonts w:ascii="宋体" w:hAnsi="Courier New" w:eastAsia="宋体" w:cs="Courier New"/>
      <w:kern w:val="2"/>
      <w:sz w:val="21"/>
      <w:szCs w:val="21"/>
      <w:lang w:val="en-US" w:eastAsia="zh-CN" w:bidi="ar-SA"/>
    </w:rPr>
  </w:style>
  <w:style w:type="character" w:customStyle="1" w:styleId="107">
    <w:name w:val=" Char Char30"/>
    <w:qFormat/>
    <w:uiPriority w:val="0"/>
    <w:rPr>
      <w:rFonts w:eastAsia="宋体"/>
      <w:b/>
      <w:bCs/>
      <w:kern w:val="2"/>
      <w:sz w:val="32"/>
      <w:szCs w:val="32"/>
      <w:lang w:val="en-US" w:eastAsia="zh-CN" w:bidi="ar-SA"/>
    </w:rPr>
  </w:style>
  <w:style w:type="character" w:customStyle="1" w:styleId="108">
    <w:name w:val=" Char Char32"/>
    <w:qFormat/>
    <w:uiPriority w:val="0"/>
    <w:rPr>
      <w:rFonts w:eastAsia="宋体"/>
      <w:b/>
      <w:bCs/>
      <w:kern w:val="44"/>
      <w:sz w:val="44"/>
      <w:szCs w:val="44"/>
      <w:lang w:val="en-US" w:eastAsia="zh-CN" w:bidi="ar-SA"/>
    </w:rPr>
  </w:style>
  <w:style w:type="character" w:customStyle="1" w:styleId="109">
    <w:name w:val="p105"/>
    <w:qFormat/>
    <w:uiPriority w:val="0"/>
  </w:style>
  <w:style w:type="character" w:customStyle="1" w:styleId="110">
    <w:name w:val="纯文本 Char3"/>
    <w:qFormat/>
    <w:uiPriority w:val="0"/>
    <w:rPr>
      <w:rFonts w:ascii="宋体" w:hAnsi="Courier New" w:eastAsia="宋体" w:cs="Courier New"/>
    </w:rPr>
  </w:style>
  <w:style w:type="character" w:customStyle="1" w:styleId="111">
    <w:name w:val=" Char Char Char Char Char"/>
    <w:uiPriority w:val="0"/>
    <w:rPr>
      <w:rFonts w:eastAsia="宋体"/>
      <w:kern w:val="2"/>
      <w:sz w:val="21"/>
      <w:lang w:val="en-US" w:eastAsia="zh-CN" w:bidi="ar-SA"/>
    </w:rPr>
  </w:style>
  <w:style w:type="character" w:customStyle="1" w:styleId="112">
    <w:name w:val="font21"/>
    <w:qFormat/>
    <w:uiPriority w:val="0"/>
    <w:rPr>
      <w:rFonts w:hint="eastAsia" w:ascii="宋体" w:hAnsi="宋体" w:eastAsia="宋体" w:cs="宋体"/>
      <w:color w:val="000000"/>
      <w:sz w:val="24"/>
      <w:szCs w:val="24"/>
      <w:u w:val="none"/>
    </w:rPr>
  </w:style>
  <w:style w:type="character" w:customStyle="1" w:styleId="113">
    <w:name w:val="尾注文本 Char"/>
    <w:qFormat/>
    <w:uiPriority w:val="0"/>
    <w:rPr>
      <w:szCs w:val="24"/>
    </w:rPr>
  </w:style>
  <w:style w:type="character" w:customStyle="1" w:styleId="114">
    <w:name w:val="正文文本缩进 3 Char"/>
    <w:qFormat/>
    <w:uiPriority w:val="0"/>
    <w:rPr>
      <w:rFonts w:ascii="Times New Roman" w:hAnsi="Times New Roman" w:eastAsia="宋体" w:cs="Times New Roman"/>
      <w:sz w:val="16"/>
      <w:szCs w:val="16"/>
      <w:lang w:val="zh-CN" w:eastAsia="zh-CN"/>
    </w:rPr>
  </w:style>
  <w:style w:type="character" w:customStyle="1" w:styleId="115">
    <w:name w:val="my正文 Char"/>
    <w:link w:val="116"/>
    <w:qFormat/>
    <w:uiPriority w:val="0"/>
    <w:rPr>
      <w:rFonts w:ascii="宋体" w:hAnsi="宋体" w:eastAsia="宋体"/>
      <w:sz w:val="24"/>
      <w:szCs w:val="24"/>
      <w:lang w:bidi="ar-SA"/>
    </w:rPr>
  </w:style>
  <w:style w:type="paragraph" w:customStyle="1" w:styleId="116">
    <w:name w:val="my正文"/>
    <w:basedOn w:val="3"/>
    <w:link w:val="115"/>
    <w:qFormat/>
    <w:uiPriority w:val="0"/>
    <w:pPr>
      <w:spacing w:beforeLines="50" w:line="360" w:lineRule="auto"/>
      <w:ind w:firstLine="540" w:firstLineChars="225"/>
    </w:pPr>
    <w:rPr>
      <w:rFonts w:ascii="宋体" w:hAnsi="宋体"/>
      <w:b w:val="0"/>
      <w:bCs w:val="0"/>
      <w:kern w:val="0"/>
      <w:shd w:val="clear" w:color="auto" w:fill="auto"/>
    </w:rPr>
  </w:style>
  <w:style w:type="character" w:customStyle="1" w:styleId="117">
    <w:name w:val="页眉 Char"/>
    <w:qFormat/>
    <w:uiPriority w:val="0"/>
    <w:rPr>
      <w:sz w:val="18"/>
      <w:szCs w:val="18"/>
    </w:rPr>
  </w:style>
  <w:style w:type="character" w:customStyle="1" w:styleId="118">
    <w:name w:val=" Char Char10"/>
    <w:qFormat/>
    <w:uiPriority w:val="0"/>
    <w:rPr>
      <w:rFonts w:eastAsia="宋体"/>
      <w:lang w:bidi="ar-SA"/>
    </w:rPr>
  </w:style>
  <w:style w:type="character" w:customStyle="1" w:styleId="119">
    <w:name w:val="Heading 2 Char"/>
    <w:semiHidden/>
    <w:qFormat/>
    <w:locked/>
    <w:uiPriority w:val="0"/>
    <w:rPr>
      <w:rFonts w:ascii="Cambria" w:hAnsi="Cambria" w:eastAsia="宋体" w:cs="Times New Roman"/>
      <w:b/>
      <w:bCs/>
      <w:sz w:val="32"/>
      <w:szCs w:val="32"/>
    </w:rPr>
  </w:style>
  <w:style w:type="character" w:customStyle="1" w:styleId="120">
    <w:name w:val="DAS正文 Char Char"/>
    <w:qFormat/>
    <w:uiPriority w:val="0"/>
    <w:rPr>
      <w:rFonts w:ascii="Verdana" w:hAnsi="Verdana" w:eastAsia="宋体"/>
      <w:kern w:val="2"/>
      <w:sz w:val="21"/>
      <w:szCs w:val="21"/>
      <w:lang w:val="en-US" w:eastAsia="zh-CN" w:bidi="ar-SA"/>
    </w:rPr>
  </w:style>
  <w:style w:type="character" w:customStyle="1" w:styleId="121">
    <w:name w:val="标题 2 Char"/>
    <w:qFormat/>
    <w:uiPriority w:val="0"/>
    <w:rPr>
      <w:rFonts w:ascii="Calibri Light" w:hAnsi="Calibri Light" w:eastAsia="宋体" w:cs="Times New Roman"/>
      <w:b/>
      <w:bCs/>
      <w:sz w:val="32"/>
      <w:szCs w:val="32"/>
    </w:rPr>
  </w:style>
  <w:style w:type="character" w:customStyle="1" w:styleId="122">
    <w:name w:val="标题 7 Char"/>
    <w:qFormat/>
    <w:uiPriority w:val="0"/>
    <w:rPr>
      <w:rFonts w:ascii="Times New Roman" w:hAnsi="Times New Roman" w:eastAsia="宋体" w:cs="Times New Roman"/>
      <w:b/>
      <w:bCs/>
      <w:sz w:val="24"/>
      <w:szCs w:val="24"/>
      <w:lang w:val="zh-CN" w:eastAsia="zh-CN"/>
    </w:rPr>
  </w:style>
  <w:style w:type="character" w:customStyle="1" w:styleId="123">
    <w:name w:val="纯文本 Char1"/>
    <w:qFormat/>
    <w:uiPriority w:val="0"/>
    <w:rPr>
      <w:rFonts w:ascii="宋体" w:hAnsi="Courier New" w:eastAsia="宋体" w:cs="Courier New"/>
    </w:rPr>
  </w:style>
  <w:style w:type="character" w:customStyle="1" w:styleId="124">
    <w:name w:val="页眉 Char1"/>
    <w:qFormat/>
    <w:uiPriority w:val="0"/>
    <w:rPr>
      <w:rFonts w:eastAsia="宋体"/>
      <w:sz w:val="18"/>
      <w:szCs w:val="18"/>
    </w:rPr>
  </w:style>
  <w:style w:type="character" w:customStyle="1" w:styleId="125">
    <w:name w:val="列出段落 Char"/>
    <w:link w:val="126"/>
    <w:qFormat/>
    <w:uiPriority w:val="0"/>
    <w:rPr>
      <w:rFonts w:ascii="Calibri" w:hAnsi="Calibri" w:eastAsia="宋体"/>
      <w:kern w:val="2"/>
      <w:sz w:val="21"/>
      <w:szCs w:val="22"/>
      <w:lang w:val="en-US" w:eastAsia="zh-CN" w:bidi="ar-SA"/>
    </w:rPr>
  </w:style>
  <w:style w:type="paragraph" w:styleId="126">
    <w:name w:val="List Paragraph"/>
    <w:basedOn w:val="1"/>
    <w:link w:val="125"/>
    <w:qFormat/>
    <w:uiPriority w:val="0"/>
    <w:pPr>
      <w:ind w:firstLine="420" w:firstLineChars="200"/>
    </w:pPr>
    <w:rPr>
      <w:rFonts w:ascii="Calibri" w:hAnsi="Calibri"/>
      <w:szCs w:val="22"/>
    </w:rPr>
  </w:style>
  <w:style w:type="character" w:customStyle="1" w:styleId="127">
    <w:name w:val="常规 Char"/>
    <w:link w:val="128"/>
    <w:qFormat/>
    <w:uiPriority w:val="0"/>
    <w:rPr>
      <w:rFonts w:eastAsia="宋体"/>
      <w:szCs w:val="21"/>
      <w:lang w:bidi="ar-SA"/>
    </w:rPr>
  </w:style>
  <w:style w:type="paragraph" w:customStyle="1" w:styleId="128">
    <w:name w:val="常规"/>
    <w:basedOn w:val="1"/>
    <w:link w:val="127"/>
    <w:qFormat/>
    <w:uiPriority w:val="0"/>
    <w:pPr>
      <w:spacing w:beforeLines="100" w:afterLines="100"/>
      <w:ind w:left="1134"/>
    </w:pPr>
    <w:rPr>
      <w:kern w:val="0"/>
      <w:sz w:val="20"/>
      <w:szCs w:val="21"/>
    </w:rPr>
  </w:style>
  <w:style w:type="character" w:customStyle="1" w:styleId="129">
    <w:name w:val=" Char Char28"/>
    <w:qFormat/>
    <w:uiPriority w:val="0"/>
    <w:rPr>
      <w:rFonts w:ascii="Arial" w:hAnsi="Arial" w:eastAsia="黑体"/>
      <w:b/>
      <w:bCs/>
      <w:kern w:val="2"/>
      <w:sz w:val="32"/>
      <w:szCs w:val="32"/>
      <w:lang w:val="en-US" w:eastAsia="zh-CN" w:bidi="ar-SA"/>
    </w:rPr>
  </w:style>
  <w:style w:type="character" w:customStyle="1" w:styleId="130">
    <w:name w:val="3级标题 Char"/>
    <w:link w:val="131"/>
    <w:qFormat/>
    <w:uiPriority w:val="0"/>
    <w:rPr>
      <w:rFonts w:ascii="Arial" w:hAnsi="Arial" w:eastAsia="黑体"/>
      <w:b/>
      <w:sz w:val="26"/>
      <w:szCs w:val="28"/>
      <w:lang w:bidi="ar-SA"/>
    </w:rPr>
  </w:style>
  <w:style w:type="paragraph" w:customStyle="1" w:styleId="131">
    <w:name w:val="3级标题"/>
    <w:basedOn w:val="1"/>
    <w:link w:val="130"/>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132">
    <w:name w:val="Body Char"/>
    <w:link w:val="133"/>
    <w:qFormat/>
    <w:uiPriority w:val="0"/>
    <w:rPr>
      <w:rFonts w:ascii="Arial" w:hAnsi="Arial" w:eastAsia="宋体"/>
      <w:color w:val="000000"/>
      <w:szCs w:val="24"/>
      <w:lang w:val="en-US" w:eastAsia="zh-CN" w:bidi="ar-SA"/>
    </w:rPr>
  </w:style>
  <w:style w:type="paragraph" w:customStyle="1" w:styleId="133">
    <w:name w:val="Body"/>
    <w:basedOn w:val="1"/>
    <w:link w:val="132"/>
    <w:qFormat/>
    <w:uiPriority w:val="0"/>
    <w:pPr>
      <w:widowControl/>
      <w:tabs>
        <w:tab w:val="left" w:pos="9255"/>
      </w:tabs>
      <w:spacing w:line="360" w:lineRule="auto"/>
      <w:ind w:firstLine="315" w:firstLineChars="150"/>
      <w:jc w:val="center"/>
    </w:pPr>
    <w:rPr>
      <w:rFonts w:ascii="Arial" w:hAnsi="Arial"/>
      <w:color w:val="000000"/>
      <w:kern w:val="0"/>
      <w:sz w:val="20"/>
    </w:rPr>
  </w:style>
  <w:style w:type="character" w:customStyle="1" w:styleId="134">
    <w:name w:val=" Char Char31"/>
    <w:uiPriority w:val="0"/>
    <w:rPr>
      <w:rFonts w:ascii="Arial" w:hAnsi="Arial" w:eastAsia="黑体"/>
      <w:b/>
      <w:bCs/>
      <w:kern w:val="2"/>
      <w:sz w:val="32"/>
      <w:szCs w:val="32"/>
      <w:lang w:val="en-US" w:eastAsia="zh-CN" w:bidi="ar-SA"/>
    </w:rPr>
  </w:style>
  <w:style w:type="character" w:customStyle="1" w:styleId="135">
    <w:name w:val="标题 4 Char"/>
    <w:qFormat/>
    <w:uiPriority w:val="0"/>
    <w:rPr>
      <w:rFonts w:ascii="Arial" w:hAnsi="Arial" w:eastAsia="黑体" w:cs="Times New Roman"/>
      <w:b/>
      <w:bCs/>
      <w:sz w:val="28"/>
      <w:szCs w:val="28"/>
      <w:lang w:val="zh-CN" w:eastAsia="zh-CN"/>
    </w:rPr>
  </w:style>
  <w:style w:type="character" w:customStyle="1" w:styleId="136">
    <w:name w:val="普通文字 Char Char1"/>
    <w:qFormat/>
    <w:uiPriority w:val="0"/>
    <w:rPr>
      <w:rFonts w:ascii="宋体" w:hAnsi="Courier New" w:eastAsia="宋体" w:cs="Courier New"/>
      <w:kern w:val="2"/>
      <w:sz w:val="21"/>
      <w:szCs w:val="21"/>
      <w:lang w:val="en-US" w:eastAsia="zh-CN" w:bidi="ar-SA"/>
    </w:rPr>
  </w:style>
  <w:style w:type="character" w:customStyle="1" w:styleId="137">
    <w:name w:val="纯文本 字符"/>
    <w:qFormat/>
    <w:uiPriority w:val="0"/>
    <w:rPr>
      <w:rFonts w:ascii="宋体" w:hAnsi="Courier New" w:eastAsia="宋体" w:cs="Courier New"/>
      <w:kern w:val="2"/>
      <w:sz w:val="21"/>
      <w:szCs w:val="21"/>
      <w:lang w:val="en-US" w:eastAsia="zh-CN" w:bidi="ar-SA"/>
    </w:rPr>
  </w:style>
  <w:style w:type="character" w:customStyle="1" w:styleId="138">
    <w:name w:val=" Char Char27"/>
    <w:qFormat/>
    <w:uiPriority w:val="0"/>
    <w:rPr>
      <w:rFonts w:eastAsia="宋体"/>
      <w:b/>
      <w:bCs/>
      <w:kern w:val="2"/>
      <w:sz w:val="28"/>
      <w:szCs w:val="28"/>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正文文本缩进 Char"/>
    <w:qFormat/>
    <w:uiPriority w:val="0"/>
    <w:rPr>
      <w:kern w:val="2"/>
      <w:sz w:val="21"/>
      <w:szCs w:val="24"/>
    </w:rPr>
  </w:style>
  <w:style w:type="character" w:customStyle="1" w:styleId="141">
    <w:name w:val="脚注文本 Char"/>
    <w:uiPriority w:val="0"/>
    <w:rPr>
      <w:rFonts w:eastAsia="宋体"/>
      <w:sz w:val="18"/>
      <w:szCs w:val="18"/>
    </w:rPr>
  </w:style>
  <w:style w:type="character" w:customStyle="1" w:styleId="142">
    <w:name w:val="正文文本缩进 2 Char"/>
    <w:qFormat/>
    <w:uiPriority w:val="0"/>
    <w:rPr>
      <w:rFonts w:ascii="宋体" w:eastAsia="新宋体"/>
      <w:sz w:val="24"/>
    </w:rPr>
  </w:style>
  <w:style w:type="character" w:customStyle="1" w:styleId="143">
    <w:name w:val="普通文字1 Char2"/>
    <w:qFormat/>
    <w:uiPriority w:val="0"/>
    <w:rPr>
      <w:rFonts w:ascii="宋体" w:hAnsi="Courier New" w:eastAsia="宋体"/>
      <w:lang w:bidi="ar-SA"/>
    </w:rPr>
  </w:style>
  <w:style w:type="character" w:customStyle="1" w:styleId="144">
    <w:name w:val="列表段落 字符"/>
    <w:link w:val="145"/>
    <w:qFormat/>
    <w:uiPriority w:val="0"/>
    <w:rPr>
      <w:kern w:val="2"/>
      <w:sz w:val="21"/>
      <w:szCs w:val="24"/>
      <w:lang w:bidi="ar-SA"/>
    </w:rPr>
  </w:style>
  <w:style w:type="paragraph" w:customStyle="1" w:styleId="145">
    <w:name w:val="List Paragraph11"/>
    <w:basedOn w:val="1"/>
    <w:link w:val="144"/>
    <w:qFormat/>
    <w:uiPriority w:val="0"/>
    <w:pPr>
      <w:ind w:firstLine="420" w:firstLineChars="200"/>
    </w:pPr>
  </w:style>
  <w:style w:type="character" w:customStyle="1" w:styleId="146">
    <w:name w:val="Char Char29"/>
    <w:qFormat/>
    <w:uiPriority w:val="0"/>
    <w:rPr>
      <w:b/>
      <w:bCs/>
      <w:kern w:val="2"/>
      <w:sz w:val="32"/>
      <w:szCs w:val="32"/>
    </w:rPr>
  </w:style>
  <w:style w:type="character" w:customStyle="1" w:styleId="147">
    <w:name w:val="标题 3 Char"/>
    <w:qFormat/>
    <w:uiPriority w:val="0"/>
    <w:rPr>
      <w:b/>
      <w:bCs/>
      <w:sz w:val="32"/>
      <w:szCs w:val="32"/>
    </w:rPr>
  </w:style>
  <w:style w:type="character" w:customStyle="1" w:styleId="148">
    <w:name w:val="Figure Description Char"/>
    <w:link w:val="149"/>
    <w:qFormat/>
    <w:uiPriority w:val="0"/>
    <w:rPr>
      <w:rFonts w:ascii="Calibri" w:hAnsi="Calibri" w:eastAsia="宋体"/>
      <w:sz w:val="18"/>
      <w:szCs w:val="24"/>
      <w:lang w:eastAsia="en-US" w:bidi="en-US"/>
    </w:rPr>
  </w:style>
  <w:style w:type="paragraph" w:customStyle="1" w:styleId="149">
    <w:name w:val="Figure Description"/>
    <w:basedOn w:val="150"/>
    <w:next w:val="1"/>
    <w:link w:val="148"/>
    <w:qFormat/>
    <w:uiPriority w:val="0"/>
    <w:pPr>
      <w:tabs>
        <w:tab w:val="left" w:pos="0"/>
      </w:tabs>
      <w:ind w:left="1554" w:hanging="420"/>
    </w:pPr>
    <w:rPr>
      <w:sz w:val="18"/>
    </w:rPr>
  </w:style>
  <w:style w:type="paragraph" w:customStyle="1" w:styleId="150">
    <w:name w:val="Figure"/>
    <w:basedOn w:val="1"/>
    <w:next w:val="149"/>
    <w:link w:val="151"/>
    <w:qFormat/>
    <w:uiPriority w:val="0"/>
    <w:pPr>
      <w:keepNext/>
      <w:keepLines/>
      <w:widowControl/>
      <w:jc w:val="center"/>
    </w:pPr>
    <w:rPr>
      <w:rFonts w:ascii="Calibri" w:hAnsi="Calibri"/>
      <w:kern w:val="0"/>
      <w:sz w:val="24"/>
      <w:lang w:eastAsia="en-US" w:bidi="en-US"/>
    </w:rPr>
  </w:style>
  <w:style w:type="character" w:customStyle="1" w:styleId="151">
    <w:name w:val="Figure Char"/>
    <w:link w:val="150"/>
    <w:qFormat/>
    <w:uiPriority w:val="0"/>
    <w:rPr>
      <w:rFonts w:ascii="Calibri" w:hAnsi="Calibri" w:eastAsia="宋体"/>
      <w:sz w:val="24"/>
      <w:szCs w:val="24"/>
      <w:lang w:eastAsia="en-US" w:bidi="en-US"/>
    </w:rPr>
  </w:style>
  <w:style w:type="character" w:customStyle="1" w:styleId="152">
    <w:name w:val="尾注文本 Char1"/>
    <w:qFormat/>
    <w:uiPriority w:val="0"/>
    <w:rPr>
      <w:rFonts w:ascii="Times New Roman" w:hAnsi="Times New Roman" w:eastAsia="宋体" w:cs="Times New Roman"/>
      <w:szCs w:val="24"/>
    </w:rPr>
  </w:style>
  <w:style w:type="character" w:customStyle="1" w:styleId="153">
    <w:name w:val="样式 正文缩进 + 首行缩进:  2 字符 Char"/>
    <w:link w:val="154"/>
    <w:qFormat/>
    <w:uiPriority w:val="0"/>
    <w:rPr>
      <w:rFonts w:eastAsia="宋体"/>
      <w:sz w:val="24"/>
      <w:lang w:bidi="ar-SA"/>
    </w:rPr>
  </w:style>
  <w:style w:type="paragraph" w:customStyle="1" w:styleId="154">
    <w:name w:val="样式 正文缩进 + 首行缩进:  2 字符"/>
    <w:basedOn w:val="17"/>
    <w:link w:val="153"/>
    <w:qFormat/>
    <w:uiPriority w:val="0"/>
    <w:pPr>
      <w:spacing w:afterLines="50" w:line="360" w:lineRule="auto"/>
      <w:ind w:firstLine="200"/>
      <w:jc w:val="left"/>
    </w:pPr>
    <w:rPr>
      <w:kern w:val="0"/>
      <w:sz w:val="24"/>
    </w:rPr>
  </w:style>
  <w:style w:type="character" w:customStyle="1" w:styleId="155">
    <w:name w:val="正文文字 Char Char2"/>
    <w:uiPriority w:val="0"/>
    <w:rPr>
      <w:rFonts w:ascii="宋体" w:hAnsi="宋体" w:eastAsia="宋体"/>
      <w:b/>
      <w:bCs/>
      <w:color w:val="000000"/>
      <w:kern w:val="2"/>
      <w:sz w:val="72"/>
      <w:lang w:val="en-US" w:eastAsia="zh-CN" w:bidi="ar-SA"/>
    </w:rPr>
  </w:style>
  <w:style w:type="character" w:customStyle="1" w:styleId="156">
    <w:name w:val="表格 Char Char"/>
    <w:link w:val="157"/>
    <w:qFormat/>
    <w:uiPriority w:val="0"/>
    <w:rPr>
      <w:rFonts w:ascii="宋体" w:hAnsi="宋体" w:eastAsia="宋体"/>
      <w:color w:val="000000"/>
      <w:sz w:val="24"/>
      <w:lang w:bidi="ar-SA"/>
    </w:rPr>
  </w:style>
  <w:style w:type="paragraph" w:customStyle="1" w:styleId="157">
    <w:name w:val="表格"/>
    <w:basedOn w:val="1"/>
    <w:link w:val="156"/>
    <w:uiPriority w:val="0"/>
    <w:pPr>
      <w:autoSpaceDE w:val="0"/>
      <w:autoSpaceDN w:val="0"/>
      <w:adjustRightInd w:val="0"/>
      <w:jc w:val="center"/>
    </w:pPr>
    <w:rPr>
      <w:rFonts w:ascii="宋体" w:hAnsi="宋体"/>
      <w:color w:val="000000"/>
      <w:kern w:val="0"/>
      <w:sz w:val="24"/>
      <w:szCs w:val="20"/>
    </w:rPr>
  </w:style>
  <w:style w:type="character" w:customStyle="1" w:styleId="158">
    <w:name w:val="body tesx Char"/>
    <w:uiPriority w:val="0"/>
    <w:rPr>
      <w:rFonts w:ascii="宋体" w:hAnsi="宋体" w:eastAsia="宋体"/>
      <w:b/>
      <w:bCs/>
      <w:color w:val="000000"/>
      <w:kern w:val="2"/>
      <w:sz w:val="72"/>
      <w:lang w:val="en-US" w:eastAsia="zh-CN" w:bidi="ar-SA"/>
    </w:rPr>
  </w:style>
  <w:style w:type="character" w:customStyle="1" w:styleId="159">
    <w:name w:val="正文2 Char"/>
    <w:link w:val="160"/>
    <w:uiPriority w:val="0"/>
    <w:rPr>
      <w:rFonts w:eastAsia="宋体"/>
      <w:kern w:val="2"/>
      <w:sz w:val="24"/>
      <w:lang w:val="en-US" w:eastAsia="zh-CN" w:bidi="ar-SA"/>
    </w:rPr>
  </w:style>
  <w:style w:type="paragraph" w:customStyle="1" w:styleId="160">
    <w:name w:val="正文2"/>
    <w:basedOn w:val="1"/>
    <w:link w:val="159"/>
    <w:uiPriority w:val="0"/>
    <w:pPr>
      <w:spacing w:before="156" w:line="360" w:lineRule="auto"/>
      <w:ind w:firstLine="510" w:firstLineChars="200"/>
    </w:pPr>
    <w:rPr>
      <w:sz w:val="24"/>
      <w:szCs w:val="20"/>
    </w:rPr>
  </w:style>
  <w:style w:type="character" w:customStyle="1" w:styleId="161">
    <w:name w:val="2nd level Char"/>
    <w:qFormat/>
    <w:uiPriority w:val="0"/>
    <w:rPr>
      <w:rFonts w:ascii="Arial" w:hAnsi="Arial" w:eastAsia="黑体"/>
      <w:b/>
      <w:bCs/>
      <w:kern w:val="2"/>
      <w:sz w:val="32"/>
      <w:szCs w:val="32"/>
      <w:lang w:val="en-US" w:eastAsia="zh-CN" w:bidi="ar-SA"/>
    </w:rPr>
  </w:style>
  <w:style w:type="character" w:customStyle="1" w:styleId="162">
    <w:name w:val="Char Char18"/>
    <w:uiPriority w:val="0"/>
    <w:rPr>
      <w:rFonts w:eastAsia="宋体"/>
      <w:spacing w:val="12"/>
      <w:kern w:val="2"/>
      <w:sz w:val="18"/>
      <w:lang w:val="en-US" w:eastAsia="zh-CN" w:bidi="ar-SA"/>
    </w:rPr>
  </w:style>
  <w:style w:type="character" w:customStyle="1" w:styleId="163">
    <w:name w:val="￥正文 Char"/>
    <w:link w:val="164"/>
    <w:uiPriority w:val="0"/>
    <w:rPr>
      <w:rFonts w:ascii="Calibri" w:hAnsi="Calibri" w:eastAsia="宋体"/>
      <w:sz w:val="24"/>
      <w:lang w:bidi="ar-SA"/>
    </w:rPr>
  </w:style>
  <w:style w:type="paragraph" w:customStyle="1" w:styleId="164">
    <w:name w:val="￥正文"/>
    <w:basedOn w:val="1"/>
    <w:link w:val="163"/>
    <w:qFormat/>
    <w:uiPriority w:val="0"/>
    <w:pPr>
      <w:spacing w:line="360" w:lineRule="auto"/>
      <w:ind w:firstLine="200" w:firstLineChars="200"/>
    </w:pPr>
    <w:rPr>
      <w:rFonts w:ascii="Calibri" w:hAnsi="Calibri"/>
      <w:kern w:val="0"/>
      <w:sz w:val="24"/>
      <w:szCs w:val="20"/>
    </w:rPr>
  </w:style>
  <w:style w:type="character" w:customStyle="1" w:styleId="165">
    <w:name w:val="Char Char Char Char Char"/>
    <w:uiPriority w:val="0"/>
    <w:rPr>
      <w:rFonts w:eastAsia="宋体"/>
      <w:kern w:val="2"/>
      <w:sz w:val="21"/>
      <w:lang w:val="en-US" w:eastAsia="zh-CN" w:bidi="ar-SA"/>
    </w:rPr>
  </w:style>
  <w:style w:type="character" w:customStyle="1" w:styleId="166">
    <w:name w:val="表格名称 Char"/>
    <w:link w:val="167"/>
    <w:uiPriority w:val="0"/>
    <w:rPr>
      <w:rFonts w:ascii="宋体" w:hAnsi="宋体" w:eastAsia="宋体"/>
      <w:b/>
      <w:kern w:val="2"/>
      <w:sz w:val="24"/>
      <w:szCs w:val="21"/>
      <w:lang w:val="en-US" w:eastAsia="zh-CN" w:bidi="ar-SA"/>
    </w:rPr>
  </w:style>
  <w:style w:type="paragraph" w:customStyle="1" w:styleId="167">
    <w:name w:val="表格名称"/>
    <w:basedOn w:val="126"/>
    <w:link w:val="166"/>
    <w:uiPriority w:val="0"/>
    <w:pPr>
      <w:spacing w:line="360" w:lineRule="auto"/>
      <w:ind w:left="2940" w:firstLine="0" w:firstLineChars="0"/>
      <w:jc w:val="center"/>
    </w:pPr>
    <w:rPr>
      <w:rFonts w:ascii="宋体" w:hAnsi="宋体"/>
      <w:b/>
      <w:sz w:val="24"/>
      <w:szCs w:val="21"/>
    </w:rPr>
  </w:style>
  <w:style w:type="character" w:customStyle="1" w:styleId="168">
    <w:name w:val="Char Char10"/>
    <w:qFormat/>
    <w:uiPriority w:val="0"/>
    <w:rPr>
      <w:rFonts w:eastAsia="宋体"/>
      <w:lang w:bidi="ar-SA"/>
    </w:rPr>
  </w:style>
  <w:style w:type="character" w:customStyle="1" w:styleId="169">
    <w:name w:val=" Char Char26"/>
    <w:qFormat/>
    <w:uiPriority w:val="0"/>
    <w:rPr>
      <w:rFonts w:ascii="Arial" w:hAnsi="Arial" w:eastAsia="黑体"/>
      <w:b/>
      <w:bCs/>
      <w:kern w:val="2"/>
      <w:sz w:val="24"/>
      <w:szCs w:val="24"/>
      <w:lang w:val="en-US" w:eastAsia="zh-CN" w:bidi="ar-SA"/>
    </w:rPr>
  </w:style>
  <w:style w:type="character" w:customStyle="1" w:styleId="170">
    <w:name w:val="样式20 Char"/>
    <w:link w:val="171"/>
    <w:qFormat/>
    <w:uiPriority w:val="0"/>
    <w:rPr>
      <w:rFonts w:ascii="Arial" w:hAnsi="Arial" w:eastAsia="宋体"/>
      <w:b/>
      <w:bCs/>
      <w:sz w:val="30"/>
      <w:szCs w:val="30"/>
      <w:lang w:bidi="ar-SA"/>
    </w:rPr>
  </w:style>
  <w:style w:type="paragraph" w:customStyle="1" w:styleId="171">
    <w:name w:val="样式20"/>
    <w:basedOn w:val="6"/>
    <w:link w:val="170"/>
    <w:qFormat/>
    <w:uiPriority w:val="0"/>
    <w:pPr>
      <w:numPr>
        <w:ilvl w:val="0"/>
        <w:numId w:val="0"/>
      </w:numPr>
      <w:ind w:left="567" w:hanging="567"/>
    </w:pPr>
    <w:rPr>
      <w:rFonts w:eastAsia="宋体"/>
      <w:kern w:val="0"/>
      <w:sz w:val="30"/>
      <w:szCs w:val="30"/>
    </w:rPr>
  </w:style>
  <w:style w:type="character" w:customStyle="1" w:styleId="172">
    <w:name w:val="样式4 Char Char"/>
    <w:link w:val="173"/>
    <w:qFormat/>
    <w:uiPriority w:val="0"/>
    <w:rPr>
      <w:rFonts w:eastAsia="宋体"/>
      <w:color w:val="000000"/>
      <w:sz w:val="24"/>
      <w:szCs w:val="24"/>
      <w:lang w:bidi="ar-SA"/>
    </w:rPr>
  </w:style>
  <w:style w:type="paragraph" w:customStyle="1" w:styleId="173">
    <w:name w:val="样式4 Char"/>
    <w:basedOn w:val="1"/>
    <w:link w:val="172"/>
    <w:qFormat/>
    <w:uiPriority w:val="0"/>
    <w:pPr>
      <w:widowControl/>
      <w:spacing w:beforeLines="50" w:afterLines="50" w:line="360" w:lineRule="auto"/>
      <w:ind w:firstLine="480" w:firstLineChars="200"/>
      <w:jc w:val="left"/>
    </w:pPr>
    <w:rPr>
      <w:color w:val="000000"/>
      <w:kern w:val="0"/>
      <w:sz w:val="24"/>
    </w:rPr>
  </w:style>
  <w:style w:type="character" w:customStyle="1" w:styleId="174">
    <w:name w:val="批注框文本 Char"/>
    <w:semiHidden/>
    <w:uiPriority w:val="0"/>
    <w:rPr>
      <w:rFonts w:eastAsia="宋体"/>
      <w:kern w:val="2"/>
      <w:sz w:val="18"/>
      <w:szCs w:val="18"/>
      <w:lang w:val="en-US" w:eastAsia="zh-CN" w:bidi="ar-SA"/>
    </w:rPr>
  </w:style>
  <w:style w:type="character" w:customStyle="1" w:styleId="175">
    <w:name w:val="Char Char15"/>
    <w:qFormat/>
    <w:uiPriority w:val="0"/>
    <w:rPr>
      <w:rFonts w:ascii="宋体" w:hAnsi="Courier New" w:eastAsia="宋体"/>
      <w:sz w:val="21"/>
      <w:szCs w:val="21"/>
      <w:lang w:val="en-US" w:eastAsia="zh-CN" w:bidi="ar-SA"/>
    </w:rPr>
  </w:style>
  <w:style w:type="character" w:customStyle="1" w:styleId="176">
    <w:name w:val="Char Char11"/>
    <w:qFormat/>
    <w:uiPriority w:val="0"/>
    <w:rPr>
      <w:kern w:val="2"/>
      <w:sz w:val="18"/>
      <w:szCs w:val="18"/>
    </w:rPr>
  </w:style>
  <w:style w:type="character" w:customStyle="1" w:styleId="177">
    <w:name w:val="页脚 Char"/>
    <w:qFormat/>
    <w:uiPriority w:val="0"/>
    <w:rPr>
      <w:sz w:val="18"/>
      <w:szCs w:val="18"/>
    </w:rPr>
  </w:style>
  <w:style w:type="character" w:customStyle="1" w:styleId="178">
    <w:name w:val="style61"/>
    <w:qFormat/>
    <w:uiPriority w:val="0"/>
    <w:rPr>
      <w:b/>
      <w:bCs/>
    </w:rPr>
  </w:style>
  <w:style w:type="character" w:customStyle="1" w:styleId="179">
    <w:name w:val="weby11"/>
    <w:qFormat/>
    <w:uiPriority w:val="0"/>
    <w:rPr>
      <w:sz w:val="18"/>
      <w:szCs w:val="18"/>
    </w:rPr>
  </w:style>
  <w:style w:type="character" w:customStyle="1" w:styleId="180">
    <w:name w:val="title1"/>
    <w:qFormat/>
    <w:uiPriority w:val="0"/>
    <w:rPr>
      <w:rFonts w:hint="eastAsia" w:ascii="宋体" w:hAnsi="宋体" w:eastAsia="宋体"/>
      <w:b/>
      <w:bCs/>
      <w:sz w:val="22"/>
      <w:szCs w:val="22"/>
    </w:rPr>
  </w:style>
  <w:style w:type="character" w:customStyle="1" w:styleId="181">
    <w:name w:val="正文（绿盟科技） Char"/>
    <w:link w:val="182"/>
    <w:qFormat/>
    <w:locked/>
    <w:uiPriority w:val="0"/>
    <w:rPr>
      <w:rFonts w:eastAsia="Times New Roman"/>
      <w:kern w:val="2"/>
      <w:sz w:val="21"/>
      <w:szCs w:val="21"/>
      <w:lang w:val="en-US" w:eastAsia="zh-CN" w:bidi="ar-SA"/>
    </w:rPr>
  </w:style>
  <w:style w:type="paragraph" w:customStyle="1" w:styleId="182">
    <w:name w:val="正文（绿盟科技）"/>
    <w:link w:val="181"/>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183">
    <w:name w:val="样式23 Char"/>
    <w:link w:val="184"/>
    <w:qFormat/>
    <w:uiPriority w:val="0"/>
    <w:rPr>
      <w:rFonts w:ascii="Arial" w:hAnsi="Arial" w:eastAsia="黑体"/>
      <w:b/>
      <w:sz w:val="24"/>
      <w:szCs w:val="30"/>
      <w:lang w:bidi="ar-SA"/>
    </w:rPr>
  </w:style>
  <w:style w:type="paragraph" w:customStyle="1" w:styleId="184">
    <w:name w:val="样式23"/>
    <w:basedOn w:val="1"/>
    <w:link w:val="183"/>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185">
    <w:name w:val="Char Char"/>
    <w:qFormat/>
    <w:uiPriority w:val="0"/>
    <w:rPr>
      <w:kern w:val="2"/>
      <w:sz w:val="18"/>
      <w:szCs w:val="18"/>
    </w:rPr>
  </w:style>
  <w:style w:type="character" w:customStyle="1" w:styleId="186">
    <w:name w:val="图形名称 Char"/>
    <w:link w:val="187"/>
    <w:qFormat/>
    <w:uiPriority w:val="0"/>
    <w:rPr>
      <w:rFonts w:ascii="宋体" w:hAnsi="宋体" w:eastAsia="宋体"/>
      <w:b/>
      <w:kern w:val="2"/>
      <w:sz w:val="24"/>
      <w:szCs w:val="21"/>
      <w:lang w:val="en-US" w:eastAsia="zh-CN" w:bidi="ar-SA"/>
    </w:rPr>
  </w:style>
  <w:style w:type="paragraph" w:customStyle="1" w:styleId="187">
    <w:name w:val="图形名称"/>
    <w:basedOn w:val="167"/>
    <w:link w:val="186"/>
    <w:qFormat/>
    <w:uiPriority w:val="0"/>
    <w:pPr>
      <w:ind w:left="420" w:hanging="420"/>
    </w:pPr>
  </w:style>
  <w:style w:type="character" w:customStyle="1" w:styleId="188">
    <w:name w:val="标题 Char1"/>
    <w:qFormat/>
    <w:uiPriority w:val="0"/>
    <w:rPr>
      <w:rFonts w:ascii="Calibri Light" w:hAnsi="Calibri Light" w:eastAsia="宋体" w:cs="Times New Roman"/>
      <w:b/>
      <w:bCs/>
      <w:sz w:val="32"/>
      <w:szCs w:val="32"/>
    </w:rPr>
  </w:style>
  <w:style w:type="character" w:customStyle="1" w:styleId="189">
    <w:name w:val=" Char Char29"/>
    <w:qFormat/>
    <w:uiPriority w:val="0"/>
    <w:rPr>
      <w:b/>
      <w:bCs/>
      <w:kern w:val="2"/>
      <w:sz w:val="32"/>
      <w:szCs w:val="32"/>
    </w:rPr>
  </w:style>
  <w:style w:type="character" w:customStyle="1" w:styleId="190">
    <w:name w:val="Char Char13"/>
    <w:uiPriority w:val="0"/>
    <w:rPr>
      <w:sz w:val="18"/>
      <w:szCs w:val="18"/>
      <w:lang w:bidi="ar-SA"/>
    </w:rPr>
  </w:style>
  <w:style w:type="character" w:customStyle="1" w:styleId="191">
    <w:name w:val="批注主题 Char1"/>
    <w:qFormat/>
    <w:uiPriority w:val="0"/>
    <w:rPr>
      <w:b/>
      <w:bCs/>
    </w:rPr>
  </w:style>
  <w:style w:type="character" w:customStyle="1" w:styleId="192">
    <w:name w:val="批注文字 Char"/>
    <w:qFormat/>
    <w:uiPriority w:val="0"/>
    <w:rPr>
      <w:rFonts w:ascii="Times New Roman" w:hAnsi="Times New Roman" w:eastAsia="宋体" w:cs="Times New Roman"/>
      <w:szCs w:val="24"/>
    </w:rPr>
  </w:style>
  <w:style w:type="character" w:customStyle="1" w:styleId="193">
    <w:name w:val="正文缩进 Char"/>
    <w:uiPriority w:val="0"/>
    <w:rPr>
      <w:rFonts w:ascii="Times New Roman" w:hAnsi="Times New Roman" w:eastAsia="宋体" w:cs="Times New Roman"/>
      <w:sz w:val="28"/>
      <w:szCs w:val="20"/>
      <w:lang w:val="zh-CN" w:eastAsia="zh-CN"/>
    </w:rPr>
  </w:style>
  <w:style w:type="character" w:customStyle="1" w:styleId="194">
    <w:name w:val="font01"/>
    <w:qFormat/>
    <w:uiPriority w:val="0"/>
    <w:rPr>
      <w:rFonts w:hint="default" w:ascii="Arial" w:hAnsi="Arial" w:cs="Arial"/>
      <w:color w:val="000000"/>
      <w:sz w:val="24"/>
      <w:szCs w:val="24"/>
      <w:u w:val="none"/>
    </w:rPr>
  </w:style>
  <w:style w:type="character" w:customStyle="1" w:styleId="195">
    <w:name w:val="HTML 预设格式 Char"/>
    <w:qFormat/>
    <w:uiPriority w:val="0"/>
    <w:rPr>
      <w:rFonts w:ascii="黑体" w:hAnsi="Courier New" w:eastAsia="黑体"/>
    </w:rPr>
  </w:style>
  <w:style w:type="character" w:customStyle="1" w:styleId="196">
    <w:name w:val="正文缩进2格 Char Char"/>
    <w:qFormat/>
    <w:uiPriority w:val="0"/>
    <w:rPr>
      <w:rFonts w:ascii="仿宋_GB2312" w:hAnsi="宋体" w:eastAsia="仿宋_GB2312"/>
      <w:sz w:val="31"/>
      <w:szCs w:val="28"/>
    </w:rPr>
  </w:style>
  <w:style w:type="character" w:customStyle="1" w:styleId="197">
    <w:name w:val="批注主题 Char"/>
    <w:qFormat/>
    <w:uiPriority w:val="0"/>
    <w:rPr>
      <w:b/>
      <w:bCs/>
      <w:szCs w:val="24"/>
    </w:rPr>
  </w:style>
  <w:style w:type="character" w:customStyle="1" w:styleId="198">
    <w:name w:val="标题 9 Char"/>
    <w:qFormat/>
    <w:uiPriority w:val="0"/>
    <w:rPr>
      <w:rFonts w:ascii="Arial" w:hAnsi="Arial" w:eastAsia="黑体" w:cs="Times New Roman"/>
      <w:lang w:val="zh-CN" w:eastAsia="zh-CN"/>
    </w:rPr>
  </w:style>
  <w:style w:type="character" w:customStyle="1" w:styleId="199">
    <w:name w:val="普通文字 Char Char4"/>
    <w:qFormat/>
    <w:uiPriority w:val="0"/>
    <w:rPr>
      <w:rFonts w:ascii="宋体" w:hAnsi="Courier New" w:eastAsia="宋体" w:cs="Courier New"/>
      <w:kern w:val="2"/>
      <w:sz w:val="21"/>
      <w:szCs w:val="21"/>
      <w:lang w:val="en-US" w:eastAsia="zh-CN" w:bidi="ar-SA"/>
    </w:rPr>
  </w:style>
  <w:style w:type="character" w:customStyle="1" w:styleId="200">
    <w:name w:val="正文文本 3 Char"/>
    <w:qFormat/>
    <w:uiPriority w:val="0"/>
    <w:rPr>
      <w:rFonts w:ascii="宋体"/>
      <w:b/>
      <w:bCs/>
      <w:color w:val="3366FF"/>
      <w:sz w:val="52"/>
      <w:szCs w:val="52"/>
      <w:lang w:val="zh-CN"/>
    </w:rPr>
  </w:style>
  <w:style w:type="character" w:customStyle="1" w:styleId="201">
    <w:name w:val="f141"/>
    <w:qFormat/>
    <w:uiPriority w:val="0"/>
    <w:rPr>
      <w:sz w:val="21"/>
      <w:szCs w:val="21"/>
    </w:rPr>
  </w:style>
  <w:style w:type="character" w:customStyle="1" w:styleId="202">
    <w:name w:val="正文文本 Char2"/>
    <w:qFormat/>
    <w:uiPriority w:val="0"/>
    <w:rPr>
      <w:rFonts w:ascii="宋体" w:hAnsi="宋体"/>
      <w:b/>
      <w:bCs/>
      <w:color w:val="000000"/>
      <w:kern w:val="2"/>
      <w:sz w:val="72"/>
    </w:rPr>
  </w:style>
  <w:style w:type="character" w:customStyle="1" w:styleId="203">
    <w:name w:val="普通文字 Char Char3"/>
    <w:qFormat/>
    <w:uiPriority w:val="0"/>
    <w:rPr>
      <w:rFonts w:ascii="宋体" w:hAnsi="Courier New" w:eastAsia="宋体" w:cs="Courier New"/>
      <w:kern w:val="2"/>
      <w:sz w:val="21"/>
      <w:szCs w:val="21"/>
      <w:lang w:val="en-US" w:eastAsia="zh-CN" w:bidi="ar-SA"/>
    </w:rPr>
  </w:style>
  <w:style w:type="character" w:customStyle="1" w:styleId="204">
    <w:name w:val="标题 6 Char"/>
    <w:qFormat/>
    <w:uiPriority w:val="0"/>
    <w:rPr>
      <w:rFonts w:ascii="Arial" w:hAnsi="Arial" w:eastAsia="黑体" w:cs="Times New Roman"/>
      <w:b/>
      <w:bCs/>
      <w:sz w:val="24"/>
      <w:szCs w:val="24"/>
      <w:lang w:val="zh-CN" w:eastAsia="zh-CN"/>
    </w:rPr>
  </w:style>
  <w:style w:type="character" w:customStyle="1" w:styleId="205">
    <w:name w:val=" Char Char11"/>
    <w:qFormat/>
    <w:uiPriority w:val="0"/>
    <w:rPr>
      <w:rFonts w:eastAsia="宋体"/>
      <w:kern w:val="2"/>
      <w:sz w:val="28"/>
      <w:lang w:val="en-US" w:eastAsia="zh-CN" w:bidi="ar-SA"/>
    </w:rPr>
  </w:style>
  <w:style w:type="character" w:customStyle="1" w:styleId="206">
    <w:name w:val="标题 5 Char"/>
    <w:qFormat/>
    <w:uiPriority w:val="0"/>
    <w:rPr>
      <w:rFonts w:ascii="Times New Roman" w:hAnsi="Times New Roman" w:eastAsia="宋体" w:cs="Times New Roman"/>
      <w:b/>
      <w:bCs/>
      <w:sz w:val="28"/>
      <w:szCs w:val="28"/>
      <w:lang w:val="zh-CN" w:eastAsia="zh-CN"/>
    </w:rPr>
  </w:style>
  <w:style w:type="character" w:customStyle="1" w:styleId="207">
    <w:name w:val="页脚2 Char Char"/>
    <w:link w:val="208"/>
    <w:qFormat/>
    <w:uiPriority w:val="0"/>
    <w:rPr>
      <w:rFonts w:ascii="宋体" w:hAnsi="宋体"/>
      <w:sz w:val="18"/>
      <w:szCs w:val="18"/>
      <w:lang w:bidi="ar-SA"/>
    </w:rPr>
  </w:style>
  <w:style w:type="paragraph" w:customStyle="1" w:styleId="208">
    <w:name w:val="页脚2"/>
    <w:basedOn w:val="1"/>
    <w:link w:val="207"/>
    <w:qFormat/>
    <w:uiPriority w:val="0"/>
    <w:pPr>
      <w:widowControl/>
      <w:pBdr>
        <w:top w:val="single" w:color="auto" w:sz="6" w:space="0"/>
      </w:pBdr>
      <w:jc w:val="right"/>
      <w:textAlignment w:val="center"/>
    </w:pPr>
    <w:rPr>
      <w:rFonts w:ascii="宋体" w:hAnsi="宋体"/>
      <w:kern w:val="0"/>
      <w:sz w:val="18"/>
      <w:szCs w:val="18"/>
    </w:rPr>
  </w:style>
  <w:style w:type="character" w:customStyle="1" w:styleId="209">
    <w:name w:val="md"/>
    <w:qFormat/>
    <w:uiPriority w:val="0"/>
  </w:style>
  <w:style w:type="character" w:customStyle="1" w:styleId="210">
    <w:name w:val="标题 8 Char"/>
    <w:qFormat/>
    <w:uiPriority w:val="0"/>
    <w:rPr>
      <w:rFonts w:ascii="Arial" w:hAnsi="Arial" w:eastAsia="黑体" w:cs="Times New Roman"/>
      <w:sz w:val="24"/>
      <w:szCs w:val="24"/>
      <w:lang w:val="zh-CN" w:eastAsia="zh-CN"/>
    </w:rPr>
  </w:style>
  <w:style w:type="character" w:customStyle="1" w:styleId="211">
    <w:name w:val="正文文本 Char"/>
    <w:qFormat/>
    <w:uiPriority w:val="0"/>
    <w:rPr>
      <w:rFonts w:ascii="宋体" w:hAnsi="宋体" w:eastAsia="宋体"/>
      <w:b/>
      <w:bCs/>
      <w:color w:val="000000"/>
      <w:sz w:val="72"/>
    </w:rPr>
  </w:style>
  <w:style w:type="character" w:customStyle="1" w:styleId="212">
    <w:name w:val="正文文本 3 Char1"/>
    <w:qFormat/>
    <w:uiPriority w:val="0"/>
    <w:rPr>
      <w:rFonts w:ascii="Times New Roman" w:hAnsi="Times New Roman" w:eastAsia="宋体" w:cs="Times New Roman"/>
      <w:sz w:val="16"/>
      <w:szCs w:val="16"/>
    </w:rPr>
  </w:style>
  <w:style w:type="character" w:customStyle="1" w:styleId="213">
    <w:name w:val="正文首行缩进 2 Char"/>
    <w:qFormat/>
    <w:uiPriority w:val="0"/>
    <w:rPr>
      <w:rFonts w:ascii="Tahoma" w:hAnsi="Tahoma" w:eastAsia="宋体"/>
      <w:sz w:val="28"/>
      <w:szCs w:val="24"/>
    </w:rPr>
  </w:style>
  <w:style w:type="character" w:customStyle="1" w:styleId="214">
    <w:name w:val="正文文本缩进 Char1"/>
    <w:semiHidden/>
    <w:qFormat/>
    <w:uiPriority w:val="0"/>
  </w:style>
  <w:style w:type="character" w:customStyle="1" w:styleId="215">
    <w:name w:val="Item List Char"/>
    <w:link w:val="216"/>
    <w:qFormat/>
    <w:uiPriority w:val="0"/>
    <w:rPr>
      <w:rFonts w:eastAsia="宋体"/>
      <w:szCs w:val="24"/>
      <w:lang w:bidi="ar-SA"/>
    </w:rPr>
  </w:style>
  <w:style w:type="paragraph" w:customStyle="1" w:styleId="216">
    <w:name w:val="Item List"/>
    <w:basedOn w:val="1"/>
    <w:link w:val="215"/>
    <w:qFormat/>
    <w:uiPriority w:val="0"/>
    <w:pPr>
      <w:tabs>
        <w:tab w:val="left" w:pos="420"/>
        <w:tab w:val="left" w:pos="720"/>
      </w:tabs>
      <w:snapToGrid w:val="0"/>
      <w:spacing w:afterLines="50"/>
      <w:ind w:left="720" w:hanging="360"/>
      <w:jc w:val="left"/>
    </w:pPr>
    <w:rPr>
      <w:kern w:val="0"/>
      <w:sz w:val="20"/>
    </w:rPr>
  </w:style>
  <w:style w:type="character" w:customStyle="1" w:styleId="217">
    <w:name w:val="HTML 预设格式 Char1"/>
    <w:qFormat/>
    <w:uiPriority w:val="0"/>
    <w:rPr>
      <w:rFonts w:ascii="Courier New" w:hAnsi="Courier New" w:eastAsia="宋体" w:cs="Courier New"/>
      <w:sz w:val="20"/>
      <w:szCs w:val="20"/>
    </w:rPr>
  </w:style>
  <w:style w:type="character" w:customStyle="1" w:styleId="218">
    <w:name w:val="文档结构图 Char"/>
    <w:qFormat/>
    <w:uiPriority w:val="0"/>
    <w:rPr>
      <w:rFonts w:ascii="Times New Roman" w:hAnsi="Times New Roman" w:eastAsia="宋体" w:cs="Times New Roman"/>
      <w:kern w:val="0"/>
      <w:sz w:val="20"/>
      <w:szCs w:val="24"/>
      <w:shd w:val="clear" w:color="auto" w:fill="000080"/>
    </w:rPr>
  </w:style>
  <w:style w:type="character" w:customStyle="1" w:styleId="219">
    <w:name w:val="Char Char2"/>
    <w:qFormat/>
    <w:uiPriority w:val="0"/>
    <w:rPr>
      <w:rFonts w:ascii="宋体" w:hAnsi="宋体" w:eastAsia="宋体"/>
      <w:lang w:val="en-US" w:eastAsia="zh-CN" w:bidi="ar-SA"/>
    </w:rPr>
  </w:style>
  <w:style w:type="character" w:customStyle="1" w:styleId="220">
    <w:name w:val="日期 Char1"/>
    <w:uiPriority w:val="0"/>
    <w:rPr>
      <w:rFonts w:ascii="Times New Roman" w:hAnsi="Times New Roman" w:eastAsia="宋体" w:cs="Times New Roman"/>
      <w:szCs w:val="24"/>
    </w:rPr>
  </w:style>
  <w:style w:type="character" w:customStyle="1" w:styleId="221">
    <w:name w:val="正文缩进2格 Char"/>
    <w:link w:val="222"/>
    <w:uiPriority w:val="0"/>
    <w:rPr>
      <w:rFonts w:ascii="仿宋_GB2312" w:hAnsi="宋体" w:eastAsia="仿宋_GB2312"/>
      <w:sz w:val="31"/>
      <w:szCs w:val="28"/>
      <w:lang w:bidi="ar-SA"/>
    </w:rPr>
  </w:style>
  <w:style w:type="paragraph" w:customStyle="1" w:styleId="222">
    <w:name w:val="正文缩进2格"/>
    <w:basedOn w:val="1"/>
    <w:link w:val="221"/>
    <w:qFormat/>
    <w:uiPriority w:val="0"/>
    <w:pPr>
      <w:spacing w:after="120" w:line="600" w:lineRule="exact"/>
      <w:ind w:firstLine="639" w:firstLineChars="206"/>
    </w:pPr>
    <w:rPr>
      <w:rFonts w:ascii="仿宋_GB2312" w:hAnsi="宋体" w:eastAsia="仿宋_GB2312"/>
      <w:kern w:val="0"/>
      <w:sz w:val="31"/>
      <w:szCs w:val="28"/>
    </w:rPr>
  </w:style>
  <w:style w:type="character" w:customStyle="1" w:styleId="223">
    <w:name w:val="样式21 Char"/>
    <w:link w:val="224"/>
    <w:qFormat/>
    <w:uiPriority w:val="0"/>
    <w:rPr>
      <w:rFonts w:ascii="Arial" w:hAnsi="Arial" w:eastAsia="宋体"/>
      <w:b/>
      <w:sz w:val="28"/>
      <w:szCs w:val="28"/>
      <w:lang w:bidi="ar-SA"/>
    </w:rPr>
  </w:style>
  <w:style w:type="paragraph" w:customStyle="1" w:styleId="224">
    <w:name w:val="样式21"/>
    <w:basedOn w:val="7"/>
    <w:link w:val="223"/>
    <w:qFormat/>
    <w:uiPriority w:val="0"/>
    <w:pPr>
      <w:numPr>
        <w:ilvl w:val="0"/>
        <w:numId w:val="0"/>
      </w:numPr>
      <w:tabs>
        <w:tab w:val="left" w:pos="851"/>
      </w:tabs>
      <w:ind w:left="709" w:hanging="709"/>
    </w:pPr>
    <w:rPr>
      <w:rFonts w:ascii="Arial" w:hAnsi="Arial"/>
      <w:bCs w:val="0"/>
      <w:kern w:val="0"/>
      <w:sz w:val="28"/>
      <w:szCs w:val="28"/>
    </w:rPr>
  </w:style>
  <w:style w:type="character" w:customStyle="1" w:styleId="225">
    <w:name w:val="正文首行缩进 Char"/>
    <w:qFormat/>
    <w:uiPriority w:val="0"/>
    <w:rPr>
      <w:rFonts w:ascii="Times New Roman" w:hAnsi="Times New Roman" w:cs="Times New Roman"/>
      <w:kern w:val="0"/>
      <w:sz w:val="20"/>
      <w:szCs w:val="20"/>
    </w:rPr>
  </w:style>
  <w:style w:type="character" w:customStyle="1" w:styleId="226">
    <w:name w:val="标题 3 Char1"/>
    <w:qFormat/>
    <w:uiPriority w:val="0"/>
    <w:rPr>
      <w:rFonts w:ascii="Calibri Light" w:hAnsi="Calibri Light" w:cs="Times New Roman"/>
      <w:b/>
      <w:bCs/>
      <w:sz w:val="30"/>
      <w:szCs w:val="32"/>
      <w:lang w:val="zh-CN" w:eastAsia="zh-CN"/>
    </w:rPr>
  </w:style>
  <w:style w:type="character" w:customStyle="1" w:styleId="227">
    <w:name w:val="Char Char6"/>
    <w:qFormat/>
    <w:uiPriority w:val="0"/>
    <w:rPr>
      <w:sz w:val="21"/>
    </w:rPr>
  </w:style>
  <w:style w:type="character" w:customStyle="1" w:styleId="228">
    <w:name w:val="Book Title"/>
    <w:qFormat/>
    <w:uiPriority w:val="0"/>
    <w:rPr>
      <w:rFonts w:cs="Times New Roman"/>
      <w:b/>
      <w:bCs/>
      <w:smallCaps/>
      <w:spacing w:val="5"/>
    </w:rPr>
  </w:style>
  <w:style w:type="character" w:customStyle="1" w:styleId="229">
    <w:name w:val="标题 1 Char"/>
    <w:qFormat/>
    <w:uiPriority w:val="0"/>
    <w:rPr>
      <w:rFonts w:ascii="Calibri" w:hAnsi="Calibri" w:eastAsia="宋体" w:cs="Times New Roman"/>
      <w:b/>
      <w:bCs/>
      <w:kern w:val="44"/>
      <w:sz w:val="44"/>
      <w:szCs w:val="44"/>
    </w:rPr>
  </w:style>
  <w:style w:type="character" w:customStyle="1" w:styleId="230">
    <w:name w:val="正文文本缩进 Char2"/>
    <w:uiPriority w:val="0"/>
    <w:rPr>
      <w:rFonts w:eastAsia="宋体"/>
      <w:b/>
      <w:bCs/>
      <w:sz w:val="24"/>
      <w:szCs w:val="24"/>
    </w:rPr>
  </w:style>
  <w:style w:type="character" w:customStyle="1" w:styleId="231">
    <w:name w:val="keyfeatures1"/>
    <w:qFormat/>
    <w:uiPriority w:val="0"/>
    <w:rPr>
      <w:rFonts w:hint="default" w:ascii="Arial" w:hAnsi="Arial" w:cs="Arial"/>
      <w:color w:val="003366"/>
      <w:sz w:val="17"/>
      <w:szCs w:val="17"/>
      <w:u w:val="none"/>
    </w:rPr>
  </w:style>
  <w:style w:type="character" w:customStyle="1" w:styleId="232">
    <w:name w:val="正文文字 Char Char"/>
    <w:qFormat/>
    <w:uiPriority w:val="0"/>
    <w:rPr>
      <w:rFonts w:ascii="宋体" w:hAnsi="宋体"/>
      <w:b/>
      <w:bCs/>
      <w:color w:val="000000"/>
      <w:kern w:val="2"/>
      <w:sz w:val="72"/>
    </w:rPr>
  </w:style>
  <w:style w:type="character" w:customStyle="1" w:styleId="233">
    <w:name w:val="标题 5（无编号）（绿盟科技） Char"/>
    <w:link w:val="234"/>
    <w:qFormat/>
    <w:uiPriority w:val="0"/>
    <w:rPr>
      <w:rFonts w:ascii="Arial" w:hAnsi="Arial" w:eastAsia="黑体"/>
      <w:b/>
      <w:sz w:val="24"/>
      <w:szCs w:val="28"/>
      <w:lang w:bidi="ar-SA"/>
    </w:rPr>
  </w:style>
  <w:style w:type="paragraph" w:customStyle="1" w:styleId="234">
    <w:name w:val="标题 5（无编号）（绿盟科技）"/>
    <w:basedOn w:val="9"/>
    <w:link w:val="233"/>
    <w:qFormat/>
    <w:uiPriority w:val="0"/>
    <w:pPr>
      <w:numPr>
        <w:ilvl w:val="0"/>
        <w:numId w:val="0"/>
      </w:numPr>
      <w:tabs>
        <w:tab w:val="left" w:pos="1232"/>
      </w:tabs>
      <w:spacing w:after="156" w:line="377" w:lineRule="auto"/>
      <w:jc w:val="left"/>
    </w:pPr>
    <w:rPr>
      <w:rFonts w:ascii="Arial" w:hAnsi="Arial" w:eastAsia="黑体"/>
      <w:bCs w:val="0"/>
      <w:kern w:val="0"/>
      <w:sz w:val="24"/>
    </w:rPr>
  </w:style>
  <w:style w:type="character" w:customStyle="1" w:styleId="235">
    <w:name w:val="Char Char17"/>
    <w:qFormat/>
    <w:uiPriority w:val="0"/>
    <w:rPr>
      <w:kern w:val="2"/>
      <w:sz w:val="18"/>
      <w:szCs w:val="18"/>
    </w:rPr>
  </w:style>
  <w:style w:type="character" w:customStyle="1" w:styleId="236">
    <w:name w:val="Char Char5"/>
    <w:qFormat/>
    <w:uiPriority w:val="0"/>
    <w:rPr>
      <w:b/>
      <w:bCs/>
      <w:sz w:val="21"/>
    </w:rPr>
  </w:style>
  <w:style w:type="character" w:customStyle="1" w:styleId="237">
    <w:name w:val="哈哈正文 Char"/>
    <w:link w:val="238"/>
    <w:qFormat/>
    <w:uiPriority w:val="0"/>
    <w:rPr>
      <w:rFonts w:ascii="宋体" w:hAnsi="宋体"/>
      <w:sz w:val="24"/>
      <w:lang w:bidi="ar-SA"/>
    </w:rPr>
  </w:style>
  <w:style w:type="paragraph" w:customStyle="1" w:styleId="238">
    <w:name w:val="哈哈正文"/>
    <w:basedOn w:val="1"/>
    <w:link w:val="237"/>
    <w:qFormat/>
    <w:uiPriority w:val="0"/>
    <w:pPr>
      <w:spacing w:line="360" w:lineRule="auto"/>
      <w:ind w:firstLine="200" w:firstLineChars="200"/>
    </w:pPr>
    <w:rPr>
      <w:rFonts w:ascii="宋体" w:hAnsi="宋体"/>
      <w:kern w:val="0"/>
      <w:sz w:val="24"/>
      <w:szCs w:val="20"/>
    </w:rPr>
  </w:style>
  <w:style w:type="character" w:customStyle="1" w:styleId="239">
    <w:name w:val="Char Char1"/>
    <w:qFormat/>
    <w:uiPriority w:val="0"/>
    <w:rPr>
      <w:rFonts w:ascii="Arial" w:hAnsi="Arial" w:eastAsia="宋体"/>
      <w:b/>
      <w:bCs/>
      <w:kern w:val="2"/>
      <w:sz w:val="28"/>
      <w:szCs w:val="28"/>
      <w:lang w:val="en-US" w:eastAsia="zh-CN" w:bidi="ar-SA"/>
    </w:rPr>
  </w:style>
  <w:style w:type="character" w:customStyle="1" w:styleId="240">
    <w:name w:val=" Char Char13"/>
    <w:qFormat/>
    <w:uiPriority w:val="0"/>
    <w:rPr>
      <w:sz w:val="18"/>
      <w:szCs w:val="18"/>
      <w:lang w:bidi="ar-SA"/>
    </w:rPr>
  </w:style>
  <w:style w:type="paragraph" w:customStyle="1" w:styleId="241">
    <w:name w:val="技术响应2"/>
    <w:basedOn w:val="1"/>
    <w:qFormat/>
    <w:uiPriority w:val="0"/>
    <w:pPr>
      <w:tabs>
        <w:tab w:val="left" w:pos="420"/>
      </w:tabs>
      <w:ind w:left="420" w:hanging="420"/>
    </w:pPr>
    <w:rPr>
      <w:rFonts w:ascii="宋体" w:hAnsi="宋体"/>
      <w:b/>
      <w:bCs/>
      <w:szCs w:val="20"/>
    </w:rPr>
  </w:style>
  <w:style w:type="paragraph" w:customStyle="1" w:styleId="242">
    <w:name w:val="正文（缩进）"/>
    <w:basedOn w:val="1"/>
    <w:qFormat/>
    <w:uiPriority w:val="0"/>
    <w:pPr>
      <w:spacing w:beforeLines="50" w:afterLines="50" w:line="360" w:lineRule="auto"/>
      <w:ind w:firstLine="480" w:firstLineChars="200"/>
    </w:pPr>
    <w:rPr>
      <w:rFonts w:ascii="Times New Roman" w:hAnsi="Times New Roman"/>
      <w:sz w:val="24"/>
    </w:rPr>
  </w:style>
  <w:style w:type="paragraph" w:customStyle="1" w:styleId="243">
    <w:name w:val="题注5"/>
    <w:basedOn w:val="1"/>
    <w:next w:val="18"/>
    <w:qFormat/>
    <w:uiPriority w:val="0"/>
    <w:pPr>
      <w:jc w:val="center"/>
    </w:pPr>
    <w:rPr>
      <w:rFonts w:ascii="Times New Roman" w:hAnsi="Times New Roman"/>
      <w:b/>
      <w:color w:val="000000"/>
      <w:sz w:val="24"/>
      <w:szCs w:val="21"/>
    </w:rPr>
  </w:style>
  <w:style w:type="paragraph" w:customStyle="1" w:styleId="244">
    <w:name w:val="_Style 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5">
    <w:name w:val="标题 7 New"/>
    <w:basedOn w:val="1"/>
    <w:next w:val="1"/>
    <w:qFormat/>
    <w:uiPriority w:val="0"/>
    <w:pPr>
      <w:keepNext/>
      <w:keepLines/>
      <w:widowControl/>
      <w:tabs>
        <w:tab w:val="left" w:pos="2520"/>
      </w:tabs>
      <w:spacing w:before="240" w:after="64" w:line="317" w:lineRule="auto"/>
      <w:ind w:left="1296" w:hanging="1296"/>
      <w:jc w:val="left"/>
      <w:outlineLvl w:val="6"/>
    </w:pPr>
    <w:rPr>
      <w:b/>
      <w:kern w:val="0"/>
      <w:sz w:val="24"/>
      <w:szCs w:val="20"/>
    </w:rPr>
  </w:style>
  <w:style w:type="paragraph" w:customStyle="1" w:styleId="246">
    <w:name w:val="图"/>
    <w:basedOn w:val="1"/>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247">
    <w:name w:val="正文缩进1"/>
    <w:basedOn w:val="1"/>
    <w:next w:val="3"/>
    <w:qFormat/>
    <w:uiPriority w:val="0"/>
    <w:pPr>
      <w:autoSpaceDE w:val="0"/>
      <w:autoSpaceDN w:val="0"/>
      <w:adjustRightInd w:val="0"/>
      <w:snapToGrid w:val="0"/>
      <w:spacing w:after="120" w:line="360" w:lineRule="auto"/>
      <w:ind w:left="420" w:leftChars="200" w:firstLine="480" w:firstLineChars="200"/>
    </w:pPr>
    <w:rPr>
      <w:rFonts w:ascii="Times New Roman" w:hAnsi="Times New Roman"/>
      <w:sz w:val="24"/>
      <w:szCs w:val="21"/>
    </w:rPr>
  </w:style>
  <w:style w:type="paragraph" w:customStyle="1" w:styleId="248">
    <w:name w:val="Char Char1 Char Char Char Char Char Char"/>
    <w:basedOn w:val="1"/>
    <w:qFormat/>
    <w:uiPriority w:val="0"/>
    <w:rPr>
      <w:rFonts w:ascii="Times New Roman" w:hAnsi="Times New Roman"/>
      <w:sz w:val="36"/>
    </w:rPr>
  </w:style>
  <w:style w:type="paragraph" w:customStyle="1" w:styleId="249">
    <w:name w:val="List Paragraph1"/>
    <w:basedOn w:val="1"/>
    <w:qFormat/>
    <w:uiPriority w:val="0"/>
    <w:pPr>
      <w:ind w:firstLine="420" w:firstLineChars="200"/>
    </w:pPr>
  </w:style>
  <w:style w:type="paragraph" w:customStyle="1" w:styleId="250">
    <w:name w:val="办公自动化专用标题"/>
    <w:basedOn w:val="61"/>
    <w:qFormat/>
    <w:uiPriority w:val="0"/>
    <w:pPr>
      <w:tabs>
        <w:tab w:val="clear" w:pos="420"/>
      </w:tabs>
      <w:adjustRightInd/>
      <w:spacing w:before="240" w:after="60" w:line="560" w:lineRule="atLeast"/>
      <w:ind w:left="0" w:firstLine="0"/>
      <w:jc w:val="center"/>
      <w:textAlignment w:val="auto"/>
      <w:outlineLvl w:val="0"/>
    </w:pPr>
    <w:rPr>
      <w:rFonts w:ascii="宋体" w:hAnsi="Arial" w:eastAsia="宋体"/>
      <w:sz w:val="44"/>
    </w:rPr>
  </w:style>
  <w:style w:type="paragraph" w:customStyle="1" w:styleId="251">
    <w:name w:val="封面_项目建设单位"/>
    <w:basedOn w:val="35"/>
    <w:qFormat/>
    <w:uiPriority w:val="0"/>
    <w:pPr>
      <w:autoSpaceDE w:val="0"/>
      <w:autoSpaceDN w:val="0"/>
      <w:adjustRightInd w:val="0"/>
      <w:spacing w:line="240" w:lineRule="atLeast"/>
      <w:ind w:firstLine="425"/>
      <w:jc w:val="distribute"/>
    </w:pPr>
    <w:rPr>
      <w:rFonts w:ascii="Arial" w:hAnsi="Arial" w:eastAsia="黑体" w:cs="Times New Roman"/>
      <w:color w:val="000000"/>
      <w:kern w:val="0"/>
      <w:sz w:val="32"/>
      <w:szCs w:val="20"/>
    </w:rPr>
  </w:style>
  <w:style w:type="paragraph" w:customStyle="1" w:styleId="2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53">
    <w:name w:val="需求书2"/>
    <w:basedOn w:val="1"/>
    <w:qFormat/>
    <w:uiPriority w:val="0"/>
    <w:rPr>
      <w:rFonts w:ascii="宋体" w:hAnsi="宋体"/>
      <w:spacing w:val="10"/>
      <w:sz w:val="18"/>
      <w:szCs w:val="20"/>
    </w:rPr>
  </w:style>
  <w:style w:type="paragraph" w:customStyle="1" w:styleId="254">
    <w:name w:val="段"/>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255">
    <w:name w:val="样式2"/>
    <w:basedOn w:val="6"/>
    <w:qFormat/>
    <w:uiPriority w:val="0"/>
    <w:pPr>
      <w:keepLines w:val="0"/>
      <w:numPr>
        <w:ilvl w:val="0"/>
        <w:numId w:val="0"/>
      </w:numPr>
      <w:spacing w:before="0" w:after="0" w:line="360" w:lineRule="auto"/>
      <w:ind w:left="567" w:hanging="567"/>
      <w:jc w:val="left"/>
    </w:pPr>
    <w:rPr>
      <w:rFonts w:ascii="宋体" w:hAnsi="宋体" w:eastAsia="宋体"/>
      <w:bCs w:val="0"/>
      <w:szCs w:val="24"/>
    </w:rPr>
  </w:style>
  <w:style w:type="paragraph" w:customStyle="1" w:styleId="256">
    <w:name w:val="TOC 标题1"/>
    <w:basedOn w:val="5"/>
    <w:next w:val="1"/>
    <w:unhideWhenUsed/>
    <w:qFormat/>
    <w:uiPriority w:val="0"/>
    <w:pPr>
      <w:widowControl/>
      <w:numPr>
        <w:ilvl w:val="0"/>
        <w:numId w:val="0"/>
      </w:numPr>
      <w:spacing w:before="240" w:after="0" w:line="259" w:lineRule="auto"/>
      <w:jc w:val="left"/>
      <w:outlineLvl w:val="9"/>
    </w:pPr>
    <w:rPr>
      <w:rFonts w:ascii="Calibri Light" w:hAnsi="Calibri Light"/>
      <w:b w:val="0"/>
      <w:bCs w:val="0"/>
      <w:color w:val="2E75B5"/>
      <w:kern w:val="0"/>
      <w:sz w:val="32"/>
      <w:szCs w:val="32"/>
    </w:rPr>
  </w:style>
  <w:style w:type="paragraph" w:customStyle="1" w:styleId="257">
    <w:name w:val="Char Char2 Char"/>
    <w:basedOn w:val="1"/>
    <w:qFormat/>
    <w:uiPriority w:val="0"/>
    <w:rPr>
      <w:rFonts w:ascii="宋体" w:hAnsi="宋体"/>
      <w:b/>
      <w:sz w:val="28"/>
      <w:szCs w:val="28"/>
    </w:rPr>
  </w:style>
  <w:style w:type="paragraph" w:customStyle="1" w:styleId="258">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59">
    <w:name w:val="样式 标题 2H2sect 1.2HD2h2Level 2 Topic Heading2Header 2head..."/>
    <w:basedOn w:val="6"/>
    <w:qFormat/>
    <w:uiPriority w:val="0"/>
    <w:pPr>
      <w:numPr>
        <w:ilvl w:val="0"/>
        <w:numId w:val="0"/>
      </w:numPr>
      <w:spacing w:line="413" w:lineRule="auto"/>
    </w:pPr>
    <w:rPr>
      <w:rFonts w:ascii="Times New Roman" w:hAnsi="Times New Roman"/>
      <w:b w:val="0"/>
      <w:sz w:val="30"/>
      <w:szCs w:val="30"/>
    </w:rPr>
  </w:style>
  <w:style w:type="paragraph" w:customStyle="1" w:styleId="260">
    <w:name w:val="标题5"/>
    <w:basedOn w:val="17"/>
    <w:next w:val="17"/>
    <w:qFormat/>
    <w:uiPriority w:val="0"/>
    <w:pPr>
      <w:spacing w:line="360" w:lineRule="auto"/>
      <w:ind w:firstLine="0" w:firstLineChars="0"/>
    </w:pPr>
    <w:rPr>
      <w:bCs/>
      <w:kern w:val="0"/>
      <w:sz w:val="30"/>
    </w:rPr>
  </w:style>
  <w:style w:type="paragraph" w:customStyle="1" w:styleId="261">
    <w:name w:val="技术响应1"/>
    <w:basedOn w:val="1"/>
    <w:qFormat/>
    <w:uiPriority w:val="0"/>
    <w:pPr>
      <w:widowControl/>
      <w:spacing w:line="360" w:lineRule="auto"/>
      <w:ind w:firstLine="588"/>
      <w:jc w:val="center"/>
    </w:pPr>
    <w:rPr>
      <w:rFonts w:ascii="宋体" w:hAnsi="Times New Roman"/>
      <w:b/>
      <w:kern w:val="0"/>
      <w:sz w:val="28"/>
      <w:szCs w:val="20"/>
    </w:rPr>
  </w:style>
  <w:style w:type="paragraph" w:customStyle="1" w:styleId="262">
    <w:name w:val="4"/>
    <w:basedOn w:val="22"/>
    <w:qFormat/>
    <w:uiPriority w:val="0"/>
    <w:rPr>
      <w:rFonts w:ascii="Tahoma" w:hAnsi="Tahoma"/>
      <w:sz w:val="24"/>
    </w:rPr>
  </w:style>
  <w:style w:type="paragraph" w:customStyle="1" w:styleId="263">
    <w:name w:val="正文缩进 New"/>
    <w:basedOn w:val="1"/>
    <w:qFormat/>
    <w:uiPriority w:val="0"/>
    <w:pPr>
      <w:adjustRightInd w:val="0"/>
      <w:ind w:firstLine="420"/>
      <w:textAlignment w:val="baseline"/>
    </w:pPr>
    <w:rPr>
      <w:rFonts w:ascii="Times New Roman" w:hAnsi="Times New Roman" w:eastAsia="楷体_GB2312"/>
      <w:szCs w:val="20"/>
    </w:rPr>
  </w:style>
  <w:style w:type="paragraph" w:customStyle="1" w:styleId="264">
    <w:name w:val="_Style 2"/>
    <w:basedOn w:val="1"/>
    <w:qFormat/>
    <w:uiPriority w:val="0"/>
  </w:style>
  <w:style w:type="paragraph" w:customStyle="1" w:styleId="265">
    <w:name w:val="本文正文"/>
    <w:basedOn w:val="1"/>
    <w:qFormat/>
    <w:uiPriority w:val="0"/>
    <w:pPr>
      <w:snapToGrid w:val="0"/>
      <w:spacing w:line="480" w:lineRule="exact"/>
      <w:ind w:firstLine="200"/>
    </w:pPr>
    <w:rPr>
      <w:kern w:val="0"/>
      <w:sz w:val="28"/>
      <w:szCs w:val="22"/>
    </w:rPr>
  </w:style>
  <w:style w:type="paragraph" w:customStyle="1" w:styleId="266">
    <w:name w:val="DAS正文"/>
    <w:basedOn w:val="1"/>
    <w:qFormat/>
    <w:uiPriority w:val="0"/>
    <w:pPr>
      <w:spacing w:line="360" w:lineRule="exact"/>
    </w:pPr>
    <w:rPr>
      <w:rFonts w:ascii="Verdana" w:hAnsi="Verdana"/>
      <w:szCs w:val="21"/>
    </w:rPr>
  </w:style>
  <w:style w:type="paragraph" w:customStyle="1" w:styleId="267">
    <w:name w:val="表头"/>
    <w:basedOn w:val="18"/>
    <w:qFormat/>
    <w:uiPriority w:val="0"/>
    <w:pPr>
      <w:keepNext/>
      <w:keepLines/>
      <w:widowControl/>
      <w:suppressLineNumbers w:val="0"/>
      <w:spacing w:line="300" w:lineRule="auto"/>
      <w:jc w:val="center"/>
      <w:textAlignment w:val="baseline"/>
    </w:pPr>
    <w:rPr>
      <w:rFonts w:ascii="Arial" w:hAnsi="Arial" w:eastAsia="黑体" w:cs="Times New Roman"/>
      <w:i w:val="0"/>
      <w:iCs w:val="0"/>
      <w:color w:val="auto"/>
      <w:sz w:val="21"/>
      <w:szCs w:val="20"/>
    </w:rPr>
  </w:style>
  <w:style w:type="paragraph" w:customStyle="1" w:styleId="268">
    <w:name w:val=" Char Char Char Char Char Char"/>
    <w:basedOn w:val="22"/>
    <w:qFormat/>
    <w:uiPriority w:val="0"/>
    <w:rPr>
      <w:rFonts w:ascii="Tahoma" w:hAnsi="Tahoma"/>
      <w:sz w:val="24"/>
    </w:rPr>
  </w:style>
  <w:style w:type="paragraph" w:customStyle="1" w:styleId="269">
    <w:name w:val="列出段落11"/>
    <w:basedOn w:val="1"/>
    <w:qFormat/>
    <w:uiPriority w:val="0"/>
    <w:pPr>
      <w:ind w:firstLine="420" w:firstLineChars="200"/>
    </w:pPr>
    <w:rPr>
      <w:szCs w:val="22"/>
    </w:rPr>
  </w:style>
  <w:style w:type="paragraph" w:customStyle="1" w:styleId="270">
    <w:name w:val="标题51 Char Char Char"/>
    <w:basedOn w:val="9"/>
    <w:next w:val="9"/>
    <w:qFormat/>
    <w:uiPriority w:val="0"/>
    <w:pPr>
      <w:numPr>
        <w:ilvl w:val="0"/>
        <w:numId w:val="0"/>
      </w:numPr>
      <w:tabs>
        <w:tab w:val="left" w:pos="1307"/>
      </w:tabs>
      <w:spacing w:beforeLines="50" w:after="120" w:line="360" w:lineRule="auto"/>
      <w:ind w:left="1307" w:hanging="992"/>
    </w:pPr>
    <w:rPr>
      <w:rFonts w:ascii="Tahoma" w:hAnsi="Tahoma" w:eastAsia="黑体"/>
      <w:b w:val="0"/>
      <w:color w:val="000000"/>
      <w:sz w:val="24"/>
      <w:szCs w:val="20"/>
    </w:rPr>
  </w:style>
  <w:style w:type="paragraph" w:customStyle="1" w:styleId="271">
    <w:name w:val="正文居中"/>
    <w:basedOn w:val="1"/>
    <w:next w:val="1"/>
    <w:qFormat/>
    <w:uiPriority w:val="0"/>
    <w:pPr>
      <w:adjustRightInd w:val="0"/>
      <w:snapToGrid w:val="0"/>
      <w:spacing w:line="300" w:lineRule="auto"/>
      <w:jc w:val="center"/>
    </w:pPr>
    <w:rPr>
      <w:rFonts w:ascii="Times New Roman" w:hAnsi="Times New Roman"/>
    </w:rPr>
  </w:style>
  <w:style w:type="paragraph" w:customStyle="1" w:styleId="272">
    <w:name w:val="标题 3.5"/>
    <w:basedOn w:val="7"/>
    <w:qFormat/>
    <w:uiPriority w:val="0"/>
    <w:pPr>
      <w:keepNext w:val="0"/>
      <w:keepLines w:val="0"/>
      <w:numPr>
        <w:ilvl w:val="0"/>
        <w:numId w:val="0"/>
      </w:numPr>
      <w:tabs>
        <w:tab w:val="left" w:pos="720"/>
      </w:tabs>
      <w:spacing w:before="0" w:after="0" w:line="600" w:lineRule="exact"/>
      <w:outlineLvl w:val="9"/>
    </w:pPr>
    <w:rPr>
      <w:rFonts w:ascii="Times New Roman" w:hAnsi="Times New Roman" w:eastAsia="仿宋_GB2312"/>
      <w:b w:val="0"/>
      <w:bCs w:val="0"/>
      <w:sz w:val="31"/>
      <w:szCs w:val="24"/>
      <w:lang w:val="zh-CN"/>
    </w:rPr>
  </w:style>
  <w:style w:type="paragraph" w:customStyle="1" w:styleId="273">
    <w:name w:val="Char1 Char Char Char"/>
    <w:basedOn w:val="1"/>
    <w:uiPriority w:val="0"/>
    <w:rPr>
      <w:rFonts w:ascii="Tahoma" w:hAnsi="Tahoma"/>
      <w:sz w:val="24"/>
      <w:szCs w:val="20"/>
    </w:rPr>
  </w:style>
  <w:style w:type="paragraph" w:customStyle="1" w:styleId="274">
    <w:name w:val="Char Char Char Char Char Char Char"/>
    <w:basedOn w:val="1"/>
    <w:qFormat/>
    <w:uiPriority w:val="0"/>
    <w:rPr>
      <w:rFonts w:ascii="Times New Roman" w:hAnsi="Times New Roman"/>
      <w:szCs w:val="21"/>
    </w:rPr>
  </w:style>
  <w:style w:type="paragraph" w:customStyle="1" w:styleId="275">
    <w:name w:val="样式 表格名称 + 两端对齐"/>
    <w:basedOn w:val="167"/>
    <w:qFormat/>
    <w:uiPriority w:val="0"/>
    <w:pPr>
      <w:ind w:left="984" w:hanging="420"/>
      <w:jc w:val="both"/>
    </w:pPr>
    <w:rPr>
      <w:rFonts w:cs="宋体"/>
      <w:bCs/>
      <w:sz w:val="21"/>
      <w:szCs w:val="20"/>
    </w:rPr>
  </w:style>
  <w:style w:type="paragraph" w:customStyle="1" w:styleId="276">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277">
    <w:name w:val="正文文本缩进1"/>
    <w:basedOn w:val="1"/>
    <w:next w:val="1"/>
    <w:qFormat/>
    <w:uiPriority w:val="0"/>
    <w:pPr>
      <w:ind w:left="420" w:leftChars="200"/>
    </w:pPr>
  </w:style>
  <w:style w:type="paragraph" w:customStyle="1" w:styleId="278">
    <w:name w:val="日期右"/>
    <w:basedOn w:val="38"/>
    <w:qFormat/>
    <w:uiPriority w:val="0"/>
    <w:pPr>
      <w:spacing w:line="600" w:lineRule="exact"/>
      <w:ind w:left="0" w:leftChars="0"/>
      <w:jc w:val="right"/>
    </w:pPr>
    <w:rPr>
      <w:rFonts w:eastAsia="仿宋_GB2312"/>
      <w:sz w:val="31"/>
    </w:rPr>
  </w:style>
  <w:style w:type="paragraph" w:customStyle="1" w:styleId="279">
    <w:name w:val="正文无缩进"/>
    <w:basedOn w:val="222"/>
    <w:qFormat/>
    <w:uiPriority w:val="0"/>
    <w:pPr>
      <w:spacing w:after="0"/>
      <w:ind w:firstLine="0" w:firstLineChars="0"/>
    </w:pPr>
    <w:rPr>
      <w:kern w:val="2"/>
      <w:lang w:val="en-US" w:eastAsia="zh-CN"/>
    </w:rPr>
  </w:style>
  <w:style w:type="paragraph" w:customStyle="1" w:styleId="280">
    <w:name w:val="题注4"/>
    <w:basedOn w:val="1"/>
    <w:next w:val="18"/>
    <w:qFormat/>
    <w:uiPriority w:val="0"/>
    <w:pPr>
      <w:ind w:left="-132" w:leftChars="-64" w:right="-105" w:rightChars="-50" w:hanging="2"/>
      <w:jc w:val="center"/>
    </w:pPr>
    <w:rPr>
      <w:rFonts w:ascii="Times New Roman" w:hAnsi="Times New Roman"/>
      <w:b/>
      <w:color w:val="FF0000"/>
      <w:szCs w:val="21"/>
      <w:lang w:val="en-GB"/>
    </w:rPr>
  </w:style>
  <w:style w:type="paragraph" w:customStyle="1" w:styleId="281">
    <w:name w:val="表中文字"/>
    <w:basedOn w:val="1"/>
    <w:qFormat/>
    <w:uiPriority w:val="0"/>
    <w:pPr>
      <w:autoSpaceDE w:val="0"/>
      <w:autoSpaceDN w:val="0"/>
      <w:adjustRightInd w:val="0"/>
      <w:spacing w:line="400" w:lineRule="atLeast"/>
      <w:ind w:left="35" w:leftChars="14" w:hanging="1"/>
      <w:jc w:val="center"/>
      <w:textAlignment w:val="baseline"/>
    </w:pPr>
    <w:rPr>
      <w:rFonts w:ascii="Verdana" w:hAnsi="Verdana"/>
      <w:kern w:val="0"/>
      <w:szCs w:val="28"/>
    </w:rPr>
  </w:style>
  <w:style w:type="paragraph" w:customStyle="1" w:styleId="282">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83">
    <w:name w:val="样式 正文2 + 仿宋_GB2312 黑色 段前: 0 磅 行距: 固定值 23 磅"/>
    <w:basedOn w:val="160"/>
    <w:qFormat/>
    <w:uiPriority w:val="0"/>
    <w:pPr>
      <w:spacing w:before="0" w:line="360" w:lineRule="exact"/>
      <w:ind w:left="-51" w:leftChars="-51" w:firstLine="0" w:firstLineChars="0"/>
    </w:pPr>
    <w:rPr>
      <w:rFonts w:ascii="仿宋_GB2312" w:hAnsi="仿宋_GB2312" w:eastAsia="仿宋_GB2312" w:cs="宋体"/>
      <w:color w:val="000000"/>
    </w:rPr>
  </w:style>
  <w:style w:type="paragraph" w:customStyle="1" w:styleId="284">
    <w:name w:val="图注"/>
    <w:basedOn w:val="17"/>
    <w:qFormat/>
    <w:uiPriority w:val="0"/>
    <w:pPr>
      <w:spacing w:line="360" w:lineRule="auto"/>
      <w:ind w:firstLine="0" w:firstLineChars="0"/>
      <w:jc w:val="center"/>
    </w:pPr>
    <w:rPr>
      <w:rFonts w:ascii="宋体" w:hAnsi="宋体"/>
      <w:kern w:val="0"/>
      <w:sz w:val="24"/>
      <w:szCs w:val="24"/>
    </w:rPr>
  </w:style>
  <w:style w:type="paragraph" w:customStyle="1" w:styleId="285">
    <w:name w:val="表格名"/>
    <w:basedOn w:val="126"/>
    <w:qFormat/>
    <w:uiPriority w:val="0"/>
    <w:pPr>
      <w:spacing w:line="360" w:lineRule="auto"/>
      <w:ind w:left="420" w:firstLine="0" w:firstLineChars="0"/>
      <w:jc w:val="center"/>
    </w:pPr>
    <w:rPr>
      <w:rFonts w:ascii="宋体" w:hAnsi="宋体"/>
      <w:b/>
      <w:kern w:val="0"/>
      <w:szCs w:val="21"/>
    </w:rPr>
  </w:style>
  <w:style w:type="paragraph" w:customStyle="1" w:styleId="286">
    <w:name w:val="Char"/>
    <w:basedOn w:val="1"/>
    <w:qFormat/>
    <w:uiPriority w:val="0"/>
    <w:rPr>
      <w:rFonts w:ascii="Times New Roman" w:hAnsi="Times New Roman"/>
      <w:szCs w:val="20"/>
    </w:rPr>
  </w:style>
  <w:style w:type="paragraph" w:customStyle="1" w:styleId="287">
    <w:name w:val=" Char3"/>
    <w:basedOn w:val="1"/>
    <w:qFormat/>
    <w:uiPriority w:val="0"/>
    <w:pPr>
      <w:tabs>
        <w:tab w:val="left" w:pos="360"/>
      </w:tabs>
    </w:pPr>
    <w:rPr>
      <w:sz w:val="24"/>
    </w:rPr>
  </w:style>
  <w:style w:type="paragraph" w:customStyle="1" w:styleId="288">
    <w:name w:val="列表正文"/>
    <w:basedOn w:val="1"/>
    <w:qFormat/>
    <w:uiPriority w:val="0"/>
    <w:pPr>
      <w:adjustRightInd w:val="0"/>
      <w:snapToGrid w:val="0"/>
      <w:spacing w:line="300" w:lineRule="auto"/>
      <w:ind w:left="200" w:leftChars="200" w:firstLine="200" w:firstLineChars="200"/>
    </w:pPr>
    <w:rPr>
      <w:rFonts w:ascii="Times New Roman" w:hAnsi="Times New Roman"/>
    </w:rPr>
  </w:style>
  <w:style w:type="paragraph" w:customStyle="1" w:styleId="289">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90">
    <w:name w:val="xl48"/>
    <w:basedOn w:val="1"/>
    <w:qFormat/>
    <w:uiPriority w:val="0"/>
    <w:pPr>
      <w:widowControl/>
      <w:spacing w:before="100" w:beforeAutospacing="1" w:after="100" w:afterAutospacing="1"/>
      <w:jc w:val="center"/>
      <w:textAlignment w:val="center"/>
    </w:pPr>
    <w:rPr>
      <w:rFonts w:ascii="宋体" w:hAnsi="宋体" w:cs="宋体"/>
      <w:kern w:val="0"/>
      <w:sz w:val="28"/>
      <w:szCs w:val="28"/>
    </w:rPr>
  </w:style>
  <w:style w:type="paragraph" w:customStyle="1" w:styleId="291">
    <w:name w:val=" Char"/>
    <w:basedOn w:val="1"/>
    <w:qFormat/>
    <w:uiPriority w:val="0"/>
    <w:rPr>
      <w:szCs w:val="20"/>
    </w:rPr>
  </w:style>
  <w:style w:type="paragraph" w:customStyle="1" w:styleId="29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3">
    <w:name w:val="样式 标题 1H1h1章l1I11st levelHeading 01Header 1Header1Sec...4"/>
    <w:basedOn w:val="5"/>
    <w:qFormat/>
    <w:uiPriority w:val="0"/>
    <w:pPr>
      <w:numPr>
        <w:ilvl w:val="0"/>
        <w:numId w:val="0"/>
      </w:numPr>
      <w:spacing w:line="576" w:lineRule="auto"/>
    </w:pPr>
    <w:rPr>
      <w:rFonts w:ascii="黑体" w:hAnsi="黑体" w:eastAsia="黑体" w:cs="宋体"/>
      <w:b w:val="0"/>
      <w:sz w:val="36"/>
      <w:szCs w:val="20"/>
    </w:rPr>
  </w:style>
  <w:style w:type="paragraph" w:customStyle="1" w:styleId="294">
    <w:name w:val="Bullet"/>
    <w:basedOn w:val="1"/>
    <w:qFormat/>
    <w:uiPriority w:val="0"/>
    <w:pPr>
      <w:tabs>
        <w:tab w:val="left" w:pos="420"/>
      </w:tabs>
      <w:spacing w:line="360" w:lineRule="exact"/>
      <w:ind w:left="420" w:hanging="420"/>
    </w:pPr>
    <w:rPr>
      <w:rFonts w:ascii="Times New Roman" w:hAnsi="Times New Roman"/>
      <w:sz w:val="24"/>
      <w:szCs w:val="20"/>
    </w:rPr>
  </w:style>
  <w:style w:type="paragraph" w:customStyle="1" w:styleId="295">
    <w:name w:val="样式 正文文本 + 宋体 首行缩进:  0.74 厘米 行距: 1.5 倍行距"/>
    <w:basedOn w:val="28"/>
    <w:qFormat/>
    <w:uiPriority w:val="0"/>
    <w:pPr>
      <w:spacing w:after="120" w:line="360" w:lineRule="auto"/>
      <w:ind w:firstLine="200" w:firstLineChars="200"/>
      <w:jc w:val="both"/>
    </w:pPr>
    <w:rPr>
      <w:rFonts w:ascii="Calibri" w:hAnsi="Calibri"/>
      <w:b w:val="0"/>
      <w:bCs w:val="0"/>
      <w:color w:val="auto"/>
      <w:kern w:val="0"/>
      <w:sz w:val="24"/>
    </w:rPr>
  </w:style>
  <w:style w:type="paragraph" w:customStyle="1" w:styleId="296">
    <w:name w:val="封面_项目开发单位"/>
    <w:basedOn w:val="35"/>
    <w:qFormat/>
    <w:uiPriority w:val="0"/>
    <w:pPr>
      <w:autoSpaceDE w:val="0"/>
      <w:autoSpaceDN w:val="0"/>
      <w:adjustRightInd w:val="0"/>
      <w:spacing w:line="240" w:lineRule="atLeast"/>
      <w:ind w:firstLine="425"/>
      <w:jc w:val="center"/>
    </w:pPr>
    <w:rPr>
      <w:rFonts w:ascii="Arial" w:hAnsi="Arial" w:eastAsia="黑体" w:cs="Times New Roman"/>
      <w:b/>
      <w:color w:val="000000"/>
      <w:kern w:val="0"/>
      <w:sz w:val="44"/>
      <w:szCs w:val="20"/>
    </w:rPr>
  </w:style>
  <w:style w:type="paragraph" w:customStyle="1" w:styleId="297">
    <w:name w:val="Char Char Char"/>
    <w:basedOn w:val="1"/>
    <w:qFormat/>
    <w:uiPriority w:val="0"/>
    <w:rPr>
      <w:rFonts w:ascii="Tahoma" w:hAnsi="Tahoma"/>
      <w:sz w:val="24"/>
      <w:szCs w:val="20"/>
    </w:rPr>
  </w:style>
  <w:style w:type="paragraph" w:customStyle="1" w:styleId="298">
    <w:name w:val="单位"/>
    <w:basedOn w:val="1"/>
    <w:qFormat/>
    <w:uiPriority w:val="0"/>
    <w:pPr>
      <w:adjustRightInd w:val="0"/>
      <w:jc w:val="center"/>
      <w:textAlignment w:val="baseline"/>
    </w:pPr>
    <w:rPr>
      <w:rFonts w:ascii="宋体"/>
      <w:b/>
      <w:kern w:val="0"/>
      <w:sz w:val="32"/>
      <w:szCs w:val="20"/>
    </w:rPr>
  </w:style>
  <w:style w:type="paragraph" w:customStyle="1" w:styleId="299">
    <w:name w:val="投标文件格式"/>
    <w:basedOn w:val="35"/>
    <w:qFormat/>
    <w:uiPriority w:val="0"/>
    <w:pPr>
      <w:jc w:val="center"/>
    </w:pPr>
    <w:rPr>
      <w:rFonts w:hAnsi="Times New Roman" w:cs="Times New Roman"/>
      <w:b/>
      <w:kern w:val="0"/>
      <w:sz w:val="20"/>
      <w:szCs w:val="20"/>
    </w:rPr>
  </w:style>
  <w:style w:type="paragraph" w:customStyle="1" w:styleId="300">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30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02">
    <w:name w:val="页眉1"/>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customStyle="1" w:styleId="303">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04">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305">
    <w:name w:val="进度表"/>
    <w:basedOn w:val="17"/>
    <w:qFormat/>
    <w:uiPriority w:val="0"/>
    <w:pPr>
      <w:adjustRightInd w:val="0"/>
      <w:spacing w:line="312" w:lineRule="atLeast"/>
      <w:ind w:firstLine="0" w:firstLineChars="0"/>
      <w:textAlignment w:val="baseline"/>
    </w:pPr>
    <w:rPr>
      <w:kern w:val="0"/>
      <w:sz w:val="20"/>
      <w:lang w:val="zh-CN"/>
    </w:rPr>
  </w:style>
  <w:style w:type="paragraph" w:customStyle="1" w:styleId="306">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307">
    <w:name w:val="保留正文"/>
    <w:basedOn w:val="28"/>
    <w:qFormat/>
    <w:uiPriority w:val="0"/>
    <w:pPr>
      <w:keepNext/>
      <w:spacing w:after="160"/>
      <w:jc w:val="both"/>
    </w:pPr>
    <w:rPr>
      <w:rFonts w:ascii="Times New Roman" w:hAnsi="Times New Roman"/>
      <w:b w:val="0"/>
      <w:bCs w:val="0"/>
      <w:color w:val="auto"/>
      <w:kern w:val="0"/>
      <w:sz w:val="20"/>
      <w:szCs w:val="24"/>
    </w:rPr>
  </w:style>
  <w:style w:type="paragraph" w:customStyle="1" w:styleId="308">
    <w:name w:val="首行缩进"/>
    <w:basedOn w:val="1"/>
    <w:qFormat/>
    <w:uiPriority w:val="0"/>
    <w:pPr>
      <w:spacing w:line="360" w:lineRule="auto"/>
      <w:ind w:firstLine="480" w:firstLineChars="200"/>
    </w:pPr>
    <w:rPr>
      <w:sz w:val="24"/>
      <w:lang w:val="zh-CN"/>
    </w:rPr>
  </w:style>
  <w:style w:type="paragraph" w:customStyle="1" w:styleId="309">
    <w:name w:val="Char1"/>
    <w:basedOn w:val="22"/>
    <w:qFormat/>
    <w:uiPriority w:val="0"/>
    <w:rPr>
      <w:rFonts w:ascii="Tahoma" w:hAnsi="Tahoma"/>
      <w:kern w:val="0"/>
      <w:sz w:val="24"/>
    </w:rPr>
  </w:style>
  <w:style w:type="paragraph" w:customStyle="1" w:styleId="310">
    <w:name w:val="样式 标题 1H1h1章l1I11st levelHeading 01Header 1Header1Sec..."/>
    <w:basedOn w:val="5"/>
    <w:uiPriority w:val="0"/>
    <w:pPr>
      <w:numPr>
        <w:ilvl w:val="0"/>
        <w:numId w:val="0"/>
      </w:numPr>
      <w:spacing w:line="576" w:lineRule="auto"/>
    </w:pPr>
    <w:rPr>
      <w:rFonts w:ascii="黑体" w:hAnsi="黑体" w:eastAsia="黑体" w:cs="宋体"/>
      <w:b w:val="0"/>
      <w:sz w:val="36"/>
      <w:szCs w:val="20"/>
    </w:rPr>
  </w:style>
  <w:style w:type="paragraph" w:customStyle="1" w:styleId="311">
    <w:name w:val="样式 标题 3 + 右侧:  0.42 厘米"/>
    <w:basedOn w:val="7"/>
    <w:qFormat/>
    <w:uiPriority w:val="0"/>
    <w:pPr>
      <w:numPr>
        <w:ilvl w:val="0"/>
        <w:numId w:val="0"/>
      </w:numPr>
      <w:tabs>
        <w:tab w:val="left" w:pos="851"/>
      </w:tabs>
      <w:spacing w:line="413" w:lineRule="auto"/>
    </w:pPr>
    <w:rPr>
      <w:rFonts w:ascii="黑体" w:hAnsi="黑体" w:eastAsia="黑体" w:cs="宋体"/>
      <w:b w:val="0"/>
      <w:bCs w:val="0"/>
      <w:sz w:val="30"/>
      <w:szCs w:val="20"/>
    </w:rPr>
  </w:style>
  <w:style w:type="paragraph" w:customStyle="1" w:styleId="312">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kern w:val="0"/>
      <w:sz w:val="24"/>
      <w:szCs w:val="20"/>
      <w:lang w:val="en-GB"/>
    </w:rPr>
  </w:style>
  <w:style w:type="paragraph" w:customStyle="1" w:styleId="313">
    <w:name w:val="正文缩进6格"/>
    <w:basedOn w:val="1"/>
    <w:qFormat/>
    <w:uiPriority w:val="0"/>
    <w:pPr>
      <w:spacing w:line="600" w:lineRule="exact"/>
      <w:ind w:left="651" w:leftChars="310" w:firstLine="608" w:firstLineChars="196"/>
    </w:pPr>
    <w:rPr>
      <w:rFonts w:ascii="仿宋_GB2312" w:hAnsi="宋体" w:eastAsia="仿宋_GB2312"/>
      <w:color w:val="000000"/>
      <w:kern w:val="0"/>
      <w:sz w:val="31"/>
      <w:szCs w:val="28"/>
    </w:rPr>
  </w:style>
  <w:style w:type="paragraph" w:customStyle="1" w:styleId="314">
    <w:name w:val="正文首行缩进 21"/>
    <w:basedOn w:val="277"/>
    <w:qFormat/>
    <w:uiPriority w:val="0"/>
    <w:pPr>
      <w:ind w:firstLine="420"/>
    </w:pPr>
    <w:rPr>
      <w:rFonts w:cs="宋体"/>
    </w:rPr>
  </w:style>
  <w:style w:type="paragraph" w:customStyle="1" w:styleId="315">
    <w:name w:val="表格内容"/>
    <w:basedOn w:val="28"/>
    <w:qFormat/>
    <w:uiPriority w:val="0"/>
    <w:pPr>
      <w:suppressLineNumbers/>
      <w:suppressAutoHyphens/>
      <w:spacing w:after="120"/>
      <w:jc w:val="left"/>
    </w:pPr>
    <w:rPr>
      <w:rFonts w:ascii="Times New Roman" w:hAnsi="Times New Roman"/>
      <w:b w:val="0"/>
      <w:bCs w:val="0"/>
      <w:color w:val="auto"/>
      <w:kern w:val="0"/>
      <w:sz w:val="24"/>
      <w:szCs w:val="24"/>
    </w:rPr>
  </w:style>
  <w:style w:type="paragraph" w:customStyle="1" w:styleId="316">
    <w:name w:val="Char3"/>
    <w:basedOn w:val="1"/>
    <w:qFormat/>
    <w:uiPriority w:val="0"/>
    <w:pPr>
      <w:tabs>
        <w:tab w:val="left" w:pos="360"/>
      </w:tabs>
    </w:pPr>
    <w:rPr>
      <w:rFonts w:ascii="Times New Roman" w:hAnsi="Times New Roman"/>
      <w:sz w:val="24"/>
    </w:rPr>
  </w:style>
  <w:style w:type="paragraph" w:customStyle="1" w:styleId="317">
    <w:name w:val="Char Char Char Char Char Char"/>
    <w:basedOn w:val="22"/>
    <w:qFormat/>
    <w:uiPriority w:val="0"/>
    <w:rPr>
      <w:rFonts w:ascii="Tahoma" w:hAnsi="Tahoma"/>
      <w:sz w:val="24"/>
    </w:rPr>
  </w:style>
  <w:style w:type="paragraph" w:customStyle="1" w:styleId="318">
    <w:name w:val="正文缩进4格"/>
    <w:basedOn w:val="222"/>
    <w:qFormat/>
    <w:uiPriority w:val="0"/>
    <w:pPr>
      <w:spacing w:after="0"/>
      <w:ind w:left="651" w:leftChars="310" w:firstLine="608" w:firstLineChars="196"/>
    </w:pPr>
    <w:rPr>
      <w:color w:val="000000"/>
      <w:kern w:val="2"/>
      <w:lang w:val="en-US" w:eastAsia="zh-CN"/>
    </w:rPr>
  </w:style>
  <w:style w:type="paragraph" w:customStyle="1" w:styleId="319">
    <w:name w:val="列表段落1"/>
    <w:basedOn w:val="1"/>
    <w:qFormat/>
    <w:uiPriority w:val="0"/>
    <w:pPr>
      <w:ind w:firstLine="420" w:firstLineChars="200"/>
    </w:pPr>
    <w:rPr>
      <w:rFonts w:ascii="等线" w:hAnsi="等线" w:eastAsia="等线"/>
    </w:rPr>
  </w:style>
  <w:style w:type="paragraph" w:customStyle="1" w:styleId="320">
    <w:name w:val="标题 3.1"/>
    <w:basedOn w:val="7"/>
    <w:qFormat/>
    <w:uiPriority w:val="0"/>
    <w:pPr>
      <w:numPr>
        <w:ilvl w:val="0"/>
        <w:numId w:val="0"/>
      </w:numPr>
      <w:tabs>
        <w:tab w:val="left" w:pos="720"/>
        <w:tab w:val="left" w:pos="1440"/>
        <w:tab w:val="left" w:pos="1620"/>
      </w:tabs>
      <w:spacing w:line="600" w:lineRule="exact"/>
    </w:pPr>
    <w:rPr>
      <w:rFonts w:ascii="宋体" w:hAnsi="宋体"/>
      <w:lang w:val="zh-CN"/>
    </w:rPr>
  </w:style>
  <w:style w:type="paragraph" w:customStyle="1" w:styleId="321">
    <w:name w:val="样式 标题 1H1h1章l1I11st levelHeading 01Header 1Header1Sec...1"/>
    <w:basedOn w:val="5"/>
    <w:qFormat/>
    <w:uiPriority w:val="0"/>
    <w:pPr>
      <w:numPr>
        <w:ilvl w:val="0"/>
        <w:numId w:val="0"/>
      </w:numPr>
      <w:spacing w:line="576" w:lineRule="auto"/>
    </w:pPr>
    <w:rPr>
      <w:rFonts w:ascii="黑体" w:hAnsi="黑体" w:eastAsia="黑体" w:cs="宋体"/>
      <w:b w:val="0"/>
      <w:sz w:val="36"/>
      <w:szCs w:val="20"/>
    </w:rPr>
  </w:style>
  <w:style w:type="paragraph" w:customStyle="1" w:styleId="322">
    <w:name w:val="样式 标题 2H2sect 1.2HD2h2Level 2 Topic Heading2Header 2head...2"/>
    <w:basedOn w:val="6"/>
    <w:qFormat/>
    <w:uiPriority w:val="0"/>
    <w:pPr>
      <w:numPr>
        <w:ilvl w:val="0"/>
        <w:numId w:val="0"/>
      </w:numPr>
      <w:spacing w:line="413" w:lineRule="auto"/>
    </w:pPr>
    <w:rPr>
      <w:rFonts w:ascii="黑体" w:hAnsi="黑体"/>
      <w:sz w:val="30"/>
      <w:szCs w:val="30"/>
    </w:rPr>
  </w:style>
  <w:style w:type="paragraph" w:customStyle="1" w:styleId="323">
    <w:name w:val="Char1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324">
    <w:name w:val="纯文本1"/>
    <w:basedOn w:val="160"/>
    <w:next w:val="1"/>
    <w:qFormat/>
    <w:uiPriority w:val="0"/>
    <w:rPr>
      <w:rFonts w:ascii="宋体" w:hAnsi="Courier New"/>
      <w:kern w:val="0"/>
      <w:sz w:val="20"/>
      <w:szCs w:val="20"/>
    </w:rPr>
  </w:style>
  <w:style w:type="paragraph" w:customStyle="1" w:styleId="325">
    <w:name w:val=" Char Char Char"/>
    <w:basedOn w:val="1"/>
    <w:qFormat/>
    <w:uiPriority w:val="0"/>
    <w:rPr>
      <w:rFonts w:ascii="Tahoma" w:hAnsi="Tahoma"/>
      <w:sz w:val="24"/>
      <w:szCs w:val="20"/>
    </w:rPr>
  </w:style>
  <w:style w:type="paragraph" w:customStyle="1" w:styleId="326">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27">
    <w:name w:val="xl26"/>
    <w:basedOn w:val="1"/>
    <w:qFormat/>
    <w:uiPriority w:val="0"/>
    <w:pPr>
      <w:widowControl/>
      <w:spacing w:before="100" w:beforeAutospacing="1" w:after="100" w:afterAutospacing="1"/>
      <w:jc w:val="center"/>
    </w:pPr>
    <w:rPr>
      <w:rFonts w:hint="eastAsia" w:ascii="仿宋_GB2312" w:hAnsi="宋体" w:eastAsia="仿宋_GB2312"/>
      <w:kern w:val="0"/>
      <w:sz w:val="24"/>
    </w:rPr>
  </w:style>
  <w:style w:type="paragraph" w:customStyle="1" w:styleId="328">
    <w:name w:val="部分1"/>
    <w:basedOn w:val="1"/>
    <w:qFormat/>
    <w:uiPriority w:val="0"/>
    <w:pPr>
      <w:keepNext/>
      <w:pageBreakBefore/>
      <w:tabs>
        <w:tab w:val="left" w:pos="720"/>
      </w:tabs>
      <w:spacing w:line="360" w:lineRule="auto"/>
      <w:jc w:val="center"/>
      <w:outlineLvl w:val="0"/>
    </w:pPr>
    <w:rPr>
      <w:rFonts w:ascii="Times New Roman" w:hAnsi="Times New Roman" w:eastAsia="黑体"/>
      <w:b/>
      <w:kern w:val="44"/>
      <w:sz w:val="36"/>
      <w:szCs w:val="20"/>
    </w:rPr>
  </w:style>
  <w:style w:type="paragraph" w:customStyle="1" w:styleId="329">
    <w:name w:val="样式 标题 1H1h1章l1I11st levelHeading 01Header 1Header1Sec...3"/>
    <w:basedOn w:val="5"/>
    <w:qFormat/>
    <w:uiPriority w:val="0"/>
    <w:pPr>
      <w:numPr>
        <w:ilvl w:val="0"/>
        <w:numId w:val="0"/>
      </w:numPr>
      <w:spacing w:line="576" w:lineRule="auto"/>
    </w:pPr>
    <w:rPr>
      <w:rFonts w:ascii="黑体" w:hAnsi="黑体" w:eastAsia="黑体" w:cs="宋体"/>
      <w:b w:val="0"/>
      <w:sz w:val="36"/>
      <w:szCs w:val="20"/>
    </w:rPr>
  </w:style>
  <w:style w:type="paragraph" w:customStyle="1" w:styleId="330">
    <w:name w:val="3 Char"/>
    <w:basedOn w:val="1"/>
    <w:qFormat/>
    <w:uiPriority w:val="0"/>
    <w:pPr>
      <w:widowControl/>
      <w:spacing w:line="400" w:lineRule="exact"/>
      <w:jc w:val="center"/>
    </w:pPr>
    <w:rPr>
      <w:rFonts w:ascii="Verdana" w:hAnsi="Verdana"/>
      <w:kern w:val="0"/>
      <w:szCs w:val="20"/>
      <w:lang w:eastAsia="en-US"/>
    </w:rPr>
  </w:style>
  <w:style w:type="paragraph" w:customStyle="1" w:styleId="331">
    <w:name w:val="标题1"/>
    <w:basedOn w:val="44"/>
    <w:qFormat/>
    <w:uiPriority w:val="0"/>
    <w:pPr>
      <w:widowControl/>
      <w:overflowPunct w:val="0"/>
      <w:autoSpaceDE w:val="0"/>
      <w:autoSpaceDN w:val="0"/>
      <w:adjustRightInd w:val="0"/>
      <w:spacing w:before="120" w:after="120" w:line="420" w:lineRule="exact"/>
      <w:jc w:val="center"/>
      <w:textAlignment w:val="baseline"/>
    </w:pPr>
    <w:rPr>
      <w:rFonts w:ascii="宋体" w:hAnsi="宋体"/>
      <w:b w:val="0"/>
      <w:bCs w:val="0"/>
      <w:kern w:val="0"/>
      <w:sz w:val="44"/>
      <w:szCs w:val="20"/>
    </w:rPr>
  </w:style>
  <w:style w:type="paragraph" w:customStyle="1" w:styleId="332">
    <w:name w:val="图名"/>
    <w:basedOn w:val="17"/>
    <w:qFormat/>
    <w:uiPriority w:val="0"/>
    <w:pPr>
      <w:spacing w:line="360" w:lineRule="auto"/>
      <w:ind w:firstLine="425" w:firstLineChars="0"/>
    </w:pPr>
    <w:rPr>
      <w:kern w:val="0"/>
      <w:sz w:val="24"/>
    </w:rPr>
  </w:style>
  <w:style w:type="paragraph" w:customStyle="1" w:styleId="333">
    <w:name w:val="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334">
    <w:name w:val="_Style 333"/>
    <w:basedOn w:val="5"/>
    <w:next w:val="1"/>
    <w:qFormat/>
    <w:uiPriority w:val="0"/>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335">
    <w:name w:val="样式 正文缩进表正文正文非缩进段1特点ALT+Z水上软件正文不缩进四号特点 Char CharNormal ..."/>
    <w:basedOn w:val="17"/>
    <w:qFormat/>
    <w:uiPriority w:val="0"/>
    <w:pPr>
      <w:spacing w:line="360" w:lineRule="auto"/>
      <w:ind w:firstLine="560"/>
    </w:pPr>
    <w:rPr>
      <w:rFonts w:eastAsia="仿宋_GB2312" w:cs="宋体"/>
      <w:kern w:val="0"/>
      <w:sz w:val="24"/>
      <w:szCs w:val="24"/>
    </w:rPr>
  </w:style>
  <w:style w:type="paragraph" w:customStyle="1" w:styleId="336">
    <w:name w:val="p0"/>
    <w:basedOn w:val="1"/>
    <w:qFormat/>
    <w:uiPriority w:val="0"/>
    <w:pPr>
      <w:widowControl/>
    </w:pPr>
    <w:rPr>
      <w:rFonts w:ascii="Times New Roman" w:hAnsi="Times New Roman"/>
      <w:kern w:val="0"/>
      <w:szCs w:val="21"/>
    </w:rPr>
  </w:style>
  <w:style w:type="paragraph" w:customStyle="1" w:styleId="3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8">
    <w:name w:val="列出段落1"/>
    <w:basedOn w:val="1"/>
    <w:qFormat/>
    <w:uiPriority w:val="0"/>
    <w:pPr>
      <w:ind w:firstLine="420" w:firstLineChars="200"/>
    </w:pPr>
  </w:style>
  <w:style w:type="paragraph" w:customStyle="1" w:styleId="339">
    <w:name w:val="样式1"/>
    <w:basedOn w:val="6"/>
    <w:qFormat/>
    <w:uiPriority w:val="0"/>
    <w:pPr>
      <w:numPr>
        <w:ilvl w:val="1"/>
        <w:numId w:val="0"/>
      </w:numPr>
      <w:spacing w:line="413" w:lineRule="auto"/>
      <w:jc w:val="center"/>
    </w:pPr>
    <w:rPr>
      <w:rFonts w:ascii="宋体" w:hAnsi="宋体"/>
      <w:bCs w:val="0"/>
      <w:sz w:val="36"/>
      <w:szCs w:val="20"/>
    </w:rPr>
  </w:style>
  <w:style w:type="paragraph" w:customStyle="1" w:styleId="340">
    <w:name w:val="默认段落字体 Para Char"/>
    <w:basedOn w:val="1"/>
    <w:qFormat/>
    <w:uiPriority w:val="0"/>
    <w:pPr>
      <w:adjustRightInd w:val="0"/>
      <w:spacing w:line="360" w:lineRule="auto"/>
    </w:pPr>
    <w:rPr>
      <w:rFonts w:ascii="Times New Roman" w:hAnsi="Times New Roman"/>
      <w:kern w:val="0"/>
      <w:sz w:val="24"/>
      <w:szCs w:val="20"/>
    </w:rPr>
  </w:style>
  <w:style w:type="paragraph" w:customStyle="1" w:styleId="341">
    <w:name w:val="目录"/>
    <w:basedOn w:val="44"/>
    <w:qFormat/>
    <w:uiPriority w:val="0"/>
    <w:pPr>
      <w:tabs>
        <w:tab w:val="right" w:leader="dot" w:pos="7937"/>
        <w:tab w:val="clear" w:pos="9344"/>
      </w:tabs>
      <w:adjustRightInd w:val="0"/>
      <w:spacing w:before="120" w:after="120" w:line="360" w:lineRule="auto"/>
      <w:jc w:val="center"/>
      <w:textAlignment w:val="baseline"/>
    </w:pPr>
    <w:rPr>
      <w:rFonts w:hAnsi="Times New Roman" w:eastAsia="黑体"/>
      <w:bCs w:val="0"/>
      <w:caps/>
      <w:color w:val="auto"/>
      <w:kern w:val="0"/>
      <w:sz w:val="30"/>
      <w:szCs w:val="20"/>
    </w:rPr>
  </w:style>
  <w:style w:type="paragraph" w:customStyle="1" w:styleId="3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TOC Heading"/>
    <w:basedOn w:val="5"/>
    <w:next w:val="1"/>
    <w:qFormat/>
    <w:uiPriority w:val="0"/>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344">
    <w:name w:val=" Char Char Char Char"/>
    <w:basedOn w:val="22"/>
    <w:qFormat/>
    <w:uiPriority w:val="0"/>
    <w:rPr>
      <w:rFonts w:ascii="Tahoma" w:hAnsi="Tahoma"/>
      <w:sz w:val="24"/>
    </w:rPr>
  </w:style>
  <w:style w:type="paragraph" w:customStyle="1" w:styleId="345">
    <w:name w:val="样式 标题 2H2sect 1.2HD2h2Level 2 Topic Heading2Header 2head...1"/>
    <w:basedOn w:val="6"/>
    <w:qFormat/>
    <w:uiPriority w:val="0"/>
    <w:pPr>
      <w:numPr>
        <w:ilvl w:val="0"/>
        <w:numId w:val="0"/>
      </w:numPr>
      <w:spacing w:line="413" w:lineRule="auto"/>
    </w:pPr>
    <w:rPr>
      <w:rFonts w:ascii="黑体" w:hAnsi="黑体"/>
      <w:b w:val="0"/>
      <w:sz w:val="30"/>
      <w:szCs w:val="30"/>
    </w:rPr>
  </w:style>
  <w:style w:type="paragraph" w:customStyle="1" w:styleId="346">
    <w:name w:val="xl24"/>
    <w:basedOn w:val="1"/>
    <w:uiPriority w:val="0"/>
    <w:pPr>
      <w:widowControl/>
      <w:spacing w:before="100" w:beforeAutospacing="1" w:after="100" w:afterAutospacing="1"/>
      <w:jc w:val="right"/>
    </w:pPr>
    <w:rPr>
      <w:rFonts w:ascii="宋体" w:hAnsi="宋体"/>
      <w:kern w:val="0"/>
      <w:sz w:val="24"/>
    </w:rPr>
  </w:style>
  <w:style w:type="paragraph" w:customStyle="1" w:styleId="347">
    <w:name w:val="样式 标题 1H1h1章l1I11st levelHeading 01Header 1Header1Sec...2"/>
    <w:basedOn w:val="5"/>
    <w:qFormat/>
    <w:uiPriority w:val="0"/>
    <w:pPr>
      <w:numPr>
        <w:ilvl w:val="0"/>
        <w:numId w:val="0"/>
      </w:numPr>
      <w:spacing w:line="576" w:lineRule="auto"/>
    </w:pPr>
    <w:rPr>
      <w:rFonts w:eastAsia="黑体" w:cs="宋体"/>
      <w:b w:val="0"/>
      <w:sz w:val="36"/>
      <w:szCs w:val="20"/>
    </w:rPr>
  </w:style>
  <w:style w:type="paragraph" w:customStyle="1" w:styleId="348">
    <w:name w:val="样式 标题 3Level 3 HeadH3Heading 3 - oldh3sect1.2.3Head33l3..."/>
    <w:basedOn w:val="7"/>
    <w:qFormat/>
    <w:uiPriority w:val="0"/>
    <w:pPr>
      <w:keepNext w:val="0"/>
      <w:keepLines w:val="0"/>
      <w:numPr>
        <w:ilvl w:val="0"/>
        <w:numId w:val="0"/>
      </w:numPr>
      <w:tabs>
        <w:tab w:val="left" w:pos="720"/>
      </w:tabs>
      <w:spacing w:before="0" w:after="0" w:line="360" w:lineRule="auto"/>
      <w:ind w:left="720" w:hanging="720"/>
    </w:pPr>
    <w:rPr>
      <w:rFonts w:ascii="Times New Roman" w:hAnsi="Times New Roman" w:cs="宋体"/>
      <w:b w:val="0"/>
      <w:bCs w:val="0"/>
      <w:sz w:val="21"/>
      <w:szCs w:val="20"/>
      <w:lang w:val="zh-CN"/>
    </w:rPr>
  </w:style>
  <w:style w:type="paragraph" w:customStyle="1" w:styleId="349">
    <w:name w:val="样式 标题 4 + (西文) 黑体 加粗"/>
    <w:basedOn w:val="8"/>
    <w:qFormat/>
    <w:uiPriority w:val="0"/>
    <w:pPr>
      <w:numPr>
        <w:ilvl w:val="0"/>
        <w:numId w:val="0"/>
      </w:numPr>
      <w:tabs>
        <w:tab w:val="left" w:pos="864"/>
      </w:tabs>
      <w:spacing w:line="372" w:lineRule="auto"/>
      <w:ind w:firstLine="200" w:firstLineChars="200"/>
    </w:pPr>
    <w:rPr>
      <w:rFonts w:ascii="黑体" w:hAnsi="黑体"/>
      <w:b w:val="0"/>
      <w:sz w:val="30"/>
    </w:rPr>
  </w:style>
  <w:style w:type="paragraph" w:customStyle="1" w:styleId="350">
    <w:name w:val="+正文"/>
    <w:basedOn w:val="1"/>
    <w:qFormat/>
    <w:uiPriority w:val="0"/>
    <w:pPr>
      <w:spacing w:line="360" w:lineRule="auto"/>
      <w:ind w:firstLine="200" w:firstLineChars="200"/>
    </w:pPr>
    <w:rPr>
      <w:sz w:val="24"/>
      <w:szCs w:val="28"/>
    </w:rPr>
  </w:style>
  <w:style w:type="table" w:customStyle="1" w:styleId="351">
    <w:name w:val="TableGrid"/>
    <w:qFormat/>
    <w:uiPriority w:val="0"/>
    <w:rPr>
      <w:rFonts w:ascii="等线" w:hAnsi="等线" w:eastAsia="等线"/>
      <w:lang w:val="en-US" w:eastAsia="zh-CN" w:bidi="ar-SA"/>
    </w:rPr>
    <w:tblPr>
      <w:tblCellMar>
        <w:top w:w="0" w:type="dxa"/>
        <w:left w:w="0" w:type="dxa"/>
        <w:bottom w:w="0" w:type="dxa"/>
        <w:right w:w="0" w:type="dxa"/>
      </w:tblCellMar>
    </w:tblPr>
  </w:style>
  <w:style w:type="paragraph" w:customStyle="1" w:styleId="352">
    <w:name w:val="表内文字居左"/>
    <w:qFormat/>
    <w:uiPriority w:val="0"/>
    <w:pPr>
      <w:widowControl w:val="0"/>
      <w:adjustRightInd w:val="0"/>
      <w:snapToGrid w:val="0"/>
      <w:jc w:val="center"/>
    </w:pPr>
    <w:rPr>
      <w:rFonts w:ascii="Calibri" w:hAnsi="Calibri" w:eastAsia="仿宋_GB2312" w:cs="Times New Roman"/>
      <w:kern w:val="2"/>
      <w:sz w:val="24"/>
      <w:szCs w:val="24"/>
      <w:lang w:val="en-US" w:eastAsia="zh-CN" w:bidi="ar-SA"/>
    </w:rPr>
  </w:style>
  <w:style w:type="paragraph" w:customStyle="1" w:styleId="353">
    <w:name w:val="[Normal]"/>
    <w:qFormat/>
    <w:uiPriority w:val="0"/>
    <w:rPr>
      <w:rFonts w:ascii="宋体" w:hAnsi="宋体" w:eastAsia="宋体" w:cs="Times New Roman"/>
      <w:sz w:val="24"/>
      <w:szCs w:val="22"/>
      <w:lang w:val="zh-CN" w:eastAsia="zh-CN" w:bidi="ar-SA"/>
    </w:rPr>
  </w:style>
  <w:style w:type="paragraph" w:customStyle="1" w:styleId="354">
    <w:name w:val="自定义正文"/>
    <w:basedOn w:val="1"/>
    <w:qFormat/>
    <w:uiPriority w:val="0"/>
    <w:pPr>
      <w:spacing w:before="120" w:after="60" w:line="400" w:lineRule="exact"/>
      <w:ind w:firstLine="200" w:firstLineChars="200"/>
    </w:pPr>
    <w:rPr>
      <w:rFonts w:ascii="仿宋_GB2312" w:hAnsi="Times New Roman" w:eastAsia="仿宋_GB2312"/>
      <w:sz w:val="21"/>
      <w:szCs w:val="22"/>
    </w:rPr>
  </w:style>
  <w:style w:type="paragraph" w:customStyle="1" w:styleId="355">
    <w:name w:val="*正文"/>
    <w:basedOn w:val="1"/>
    <w:qFormat/>
    <w:uiPriority w:val="0"/>
    <w:pPr>
      <w:spacing w:line="360" w:lineRule="auto"/>
      <w:ind w:firstLine="200" w:firstLineChars="200"/>
    </w:pPr>
    <w:rPr>
      <w:rFonts w:ascii="宋体" w:hAnsi="宋体"/>
      <w:sz w:val="24"/>
    </w:rPr>
  </w:style>
  <w:style w:type="character" w:customStyle="1" w:styleId="356">
    <w:name w:val="NormalCharacter"/>
    <w:qFormat/>
    <w:uiPriority w:val="0"/>
  </w:style>
  <w:style w:type="paragraph" w:customStyle="1" w:styleId="357">
    <w:name w:val="插图图标"/>
    <w:basedOn w:val="1"/>
    <w:qFormat/>
    <w:uiPriority w:val="0"/>
    <w:pPr>
      <w:spacing w:line="360" w:lineRule="auto"/>
      <w:jc w:val="center"/>
    </w:pPr>
    <w:rPr>
      <w:rFonts w:cs="宋体"/>
      <w:b/>
      <w:sz w:val="24"/>
      <w:szCs w:val="20"/>
    </w:rPr>
  </w:style>
  <w:style w:type="paragraph" w:customStyle="1" w:styleId="358">
    <w:name w:val="5表格"/>
    <w:basedOn w:val="1"/>
    <w:qFormat/>
    <w:uiPriority w:val="0"/>
    <w:pPr>
      <w:widowControl/>
      <w:jc w:val="center"/>
    </w:pPr>
    <w:rPr>
      <w:kern w:val="0"/>
      <w:sz w:val="24"/>
    </w:rPr>
  </w:style>
  <w:style w:type="paragraph" w:customStyle="1" w:styleId="359">
    <w:name w:val="表格居中"/>
    <w:basedOn w:val="1"/>
    <w:qFormat/>
    <w:uiPriority w:val="0"/>
    <w:pPr>
      <w:jc w:val="center"/>
    </w:pPr>
  </w:style>
  <w:style w:type="paragraph" w:customStyle="1" w:styleId="360">
    <w:name w:val="_Style 52"/>
    <w:basedOn w:val="1"/>
    <w:qFormat/>
    <w:uiPriority w:val="0"/>
    <w:pPr>
      <w:widowControl w:val="0"/>
      <w:jc w:val="both"/>
    </w:pPr>
    <w:rPr>
      <w:kern w:val="2"/>
      <w:sz w:val="21"/>
    </w:rPr>
  </w:style>
  <w:style w:type="paragraph" w:customStyle="1" w:styleId="361">
    <w:name w:val="PlainText"/>
    <w:basedOn w:val="1"/>
    <w:qFormat/>
    <w:uiPriority w:val="0"/>
    <w:rPr>
      <w:rFonts w:ascii="宋体" w:hAnsi="Courier New"/>
      <w:szCs w:val="21"/>
    </w:rPr>
  </w:style>
  <w:style w:type="paragraph" w:customStyle="1" w:styleId="362">
    <w:name w:val="BodyTextIndent"/>
    <w:basedOn w:val="1"/>
    <w:qFormat/>
    <w:uiPriority w:val="0"/>
    <w:pPr>
      <w:spacing w:line="460" w:lineRule="exact"/>
      <w:ind w:firstLine="482" w:firstLineChars="200"/>
    </w:pPr>
    <w:rPr>
      <w:b/>
      <w:bCs/>
      <w:sz w:val="24"/>
      <w:shd w:val="clear" w:color="auto" w:fill="CCCCCC"/>
    </w:rPr>
  </w:style>
  <w:style w:type="paragraph" w:customStyle="1" w:styleId="363">
    <w:name w:val="样式  + 首行缩进:  2 字符"/>
    <w:basedOn w:val="364"/>
    <w:qFormat/>
    <w:uiPriority w:val="0"/>
    <w:pPr>
      <w:ind w:firstLine="480"/>
    </w:pPr>
  </w:style>
  <w:style w:type="paragraph" w:customStyle="1" w:styleId="364">
    <w:name w:val="9"/>
    <w:basedOn w:val="1"/>
    <w:next w:val="28"/>
    <w:qFormat/>
    <w:uiPriority w:val="0"/>
    <w:pPr>
      <w:spacing w:before="60" w:after="60" w:line="360" w:lineRule="auto"/>
      <w:ind w:firstLine="20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义乌市政府采购中心</Company>
  <Pages>67</Pages>
  <Words>68</Words>
  <Characters>108</Characters>
  <Lines>283</Lines>
  <Paragraphs>79</Paragraphs>
  <TotalTime>11</TotalTime>
  <ScaleCrop>false</ScaleCrop>
  <LinksUpToDate>false</LinksUpToDate>
  <CharactersWithSpaces>119</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2024-08-21T18:10:00Z</dcterms:created>
  <dc:creator>方敏先生</dc:creator>
  <cp:lastModifiedBy>cgzx</cp:lastModifiedBy>
  <cp:lastPrinted>2025-12-07T23:49:00Z</cp:lastPrinted>
  <dcterms:modified xsi:type="dcterms:W3CDTF">2026-04-29T09:32:21Z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F2C964B54596D384285FF16981A15CB1_43</vt:lpwstr>
  </property>
  <property fmtid="{D5CDD505-2E9C-101B-9397-08002B2CF9AE}" pid="4" name="KSOTemplateDocerSaveRecord">
    <vt:lpwstr>eyJoZGlkIjoiYzVkMTUyMTQ0ODA4NzQyMWQwZDUzOTlmMjViZDRjM2IiLCJ1c2VySWQiOiIyNzIxMzg2MjgifQ==</vt:lpwstr>
  </property>
</Properties>
</file>