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eastAsia="宋体"/>
          <w:color w:val="auto"/>
          <w:sz w:val="48"/>
          <w:szCs w:val="56"/>
          <w:highlight w:val="none"/>
          <w:lang w:eastAsia="zh-CN"/>
        </w:rPr>
      </w:pPr>
    </w:p>
    <w:p>
      <w:pPr>
        <w:spacing w:line="360" w:lineRule="auto"/>
        <w:jc w:val="center"/>
        <w:rPr>
          <w:rFonts w:hint="eastAsia" w:ascii="宋体" w:hAnsi="宋体" w:eastAsia="宋体" w:cs="宋体"/>
          <w:color w:val="auto"/>
          <w:sz w:val="44"/>
          <w:szCs w:val="44"/>
          <w:highlight w:val="none"/>
          <w:lang w:eastAsia="zh-CN"/>
        </w:rPr>
      </w:pPr>
      <w:r>
        <w:rPr>
          <w:rFonts w:hint="eastAsia" w:ascii="宋体" w:hAnsi="宋体" w:cs="宋体"/>
          <w:b/>
          <w:color w:val="auto"/>
          <w:sz w:val="52"/>
          <w:szCs w:val="52"/>
          <w:highlight w:val="none"/>
          <w:lang w:eastAsia="zh-CN"/>
        </w:rPr>
        <w:t>东阳八婺工程项目管理有限公司</w:t>
      </w:r>
      <w:r>
        <w:rPr>
          <w:rFonts w:hint="eastAsia" w:ascii="宋体" w:hAnsi="宋体" w:eastAsia="宋体" w:cs="宋体"/>
          <w:b/>
          <w:color w:val="auto"/>
          <w:sz w:val="52"/>
          <w:szCs w:val="52"/>
          <w:highlight w:val="none"/>
          <w:lang w:eastAsia="zh-CN"/>
        </w:rPr>
        <w:t>关于</w:t>
      </w:r>
      <w:r>
        <w:rPr>
          <w:rFonts w:hint="eastAsia" w:ascii="宋体" w:hAnsi="宋体" w:cs="宋体"/>
          <w:b/>
          <w:color w:val="auto"/>
          <w:sz w:val="52"/>
          <w:szCs w:val="52"/>
          <w:highlight w:val="none"/>
          <w:lang w:eastAsia="zh-CN"/>
        </w:rPr>
        <w:t>六石安置区二期水系联通工程</w:t>
      </w: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pStyle w:val="18"/>
        <w:jc w:val="center"/>
        <w:rPr>
          <w:color w:val="auto"/>
          <w:highlight w:val="none"/>
        </w:rPr>
      </w:pPr>
      <w:r>
        <w:rPr>
          <w:rFonts w:hint="eastAsia" w:ascii="宋体" w:hAnsi="宋体" w:cs="宋体"/>
          <w:b/>
          <w:bCs/>
          <w:color w:val="auto"/>
          <w:sz w:val="72"/>
          <w:szCs w:val="72"/>
          <w:highlight w:val="none"/>
          <w:lang w:val="en-US" w:eastAsia="zh-CN"/>
        </w:rPr>
        <w:t>竞争性磋商文件</w:t>
      </w: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spacing w:line="480" w:lineRule="auto"/>
        <w:ind w:firstLine="643" w:firstLineChars="20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磋商编号：</w:t>
      </w:r>
      <w:r>
        <w:rPr>
          <w:rFonts w:hint="eastAsia" w:ascii="宋体" w:hAnsi="宋体" w:cs="宋体"/>
          <w:b/>
          <w:bCs/>
          <w:color w:val="auto"/>
          <w:sz w:val="32"/>
          <w:szCs w:val="32"/>
          <w:highlight w:val="none"/>
          <w:lang w:eastAsia="zh-CN"/>
        </w:rPr>
        <w:t>DYBWZFCG2026-CS-009</w:t>
      </w:r>
    </w:p>
    <w:p>
      <w:pPr>
        <w:spacing w:line="480" w:lineRule="auto"/>
        <w:ind w:left="2244" w:leftChars="304" w:hanging="1606" w:hangingChars="500"/>
        <w:jc w:val="left"/>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项目名称：</w:t>
      </w:r>
      <w:r>
        <w:rPr>
          <w:rFonts w:hint="eastAsia" w:ascii="宋体" w:hAnsi="宋体" w:cs="宋体"/>
          <w:b/>
          <w:bCs/>
          <w:color w:val="auto"/>
          <w:kern w:val="0"/>
          <w:sz w:val="32"/>
          <w:szCs w:val="32"/>
          <w:highlight w:val="none"/>
          <w:lang w:eastAsia="zh-CN"/>
        </w:rPr>
        <w:t>六石安置区二期水系联通工程</w:t>
      </w:r>
    </w:p>
    <w:p>
      <w:pPr>
        <w:spacing w:line="480" w:lineRule="auto"/>
        <w:ind w:firstLine="643" w:firstLineChars="200"/>
        <w:jc w:val="left"/>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32"/>
          <w:szCs w:val="32"/>
          <w:highlight w:val="none"/>
        </w:rPr>
        <w:t>采购单位：</w:t>
      </w:r>
      <w:r>
        <w:rPr>
          <w:rFonts w:hint="eastAsia" w:ascii="宋体" w:hAnsi="宋体" w:cs="宋体"/>
          <w:b/>
          <w:bCs/>
          <w:color w:val="auto"/>
          <w:kern w:val="0"/>
          <w:sz w:val="32"/>
          <w:szCs w:val="32"/>
          <w:highlight w:val="none"/>
          <w:lang w:eastAsia="zh-CN"/>
        </w:rPr>
        <w:t xml:space="preserve">浙江东阳经济开发区管理委员会 </w:t>
      </w:r>
    </w:p>
    <w:p>
      <w:pPr>
        <w:spacing w:line="480" w:lineRule="auto"/>
        <w:ind w:firstLine="643" w:firstLineChars="200"/>
        <w:jc w:val="left"/>
        <w:rPr>
          <w:rFonts w:hint="eastAsia" w:ascii="宋体" w:hAnsi="宋体" w:eastAsia="宋体" w:cs="宋体"/>
          <w:b/>
          <w:bCs/>
          <w:color w:val="auto"/>
          <w:w w:val="95"/>
          <w:sz w:val="30"/>
          <w:szCs w:val="30"/>
          <w:highlight w:val="none"/>
          <w:lang w:eastAsia="zh-CN"/>
        </w:rPr>
      </w:pPr>
      <w:r>
        <w:rPr>
          <w:rFonts w:hint="eastAsia" w:ascii="宋体" w:hAnsi="宋体" w:cs="宋体"/>
          <w:b/>
          <w:bCs/>
          <w:color w:val="auto"/>
          <w:kern w:val="0"/>
          <w:sz w:val="32"/>
          <w:szCs w:val="32"/>
          <w:highlight w:val="none"/>
        </w:rPr>
        <w:t>招标机构：</w:t>
      </w:r>
      <w:r>
        <w:rPr>
          <w:rFonts w:hint="eastAsia" w:ascii="宋体" w:hAnsi="宋体" w:cs="宋体"/>
          <w:b/>
          <w:bCs/>
          <w:color w:val="auto"/>
          <w:kern w:val="0"/>
          <w:sz w:val="32"/>
          <w:szCs w:val="32"/>
          <w:highlight w:val="none"/>
          <w:lang w:eastAsia="zh-CN"/>
        </w:rPr>
        <w:t>东阳八婺工程项目管理有限公司</w:t>
      </w:r>
    </w:p>
    <w:p>
      <w:pPr>
        <w:pStyle w:val="69"/>
        <w:spacing w:line="240" w:lineRule="auto"/>
        <w:rPr>
          <w:rFonts w:ascii="宋体" w:hAnsi="宋体" w:cs="宋体"/>
          <w:color w:val="auto"/>
          <w:sz w:val="20"/>
          <w:szCs w:val="20"/>
          <w:highlight w:val="none"/>
        </w:rPr>
      </w:pPr>
    </w:p>
    <w:p>
      <w:pPr>
        <w:pStyle w:val="23"/>
        <w:spacing w:line="480" w:lineRule="auto"/>
        <w:jc w:val="center"/>
        <w:rPr>
          <w:rFonts w:ascii="宋体" w:hAnsi="宋体" w:cs="宋体"/>
          <w:b/>
          <w:color w:val="auto"/>
          <w:sz w:val="32"/>
          <w:szCs w:val="32"/>
          <w:highlight w:val="none"/>
        </w:rPr>
      </w:pPr>
      <w:r>
        <w:rPr>
          <w:rFonts w:hint="eastAsia" w:ascii="宋体" w:hAnsi="宋体" w:cs="宋体"/>
          <w:b/>
          <w:bCs/>
          <w:color w:val="auto"/>
          <w:w w:val="95"/>
          <w:sz w:val="30"/>
          <w:szCs w:val="30"/>
          <w:highlight w:val="none"/>
        </w:rPr>
        <w:t>202</w:t>
      </w:r>
      <w:r>
        <w:rPr>
          <w:rFonts w:hint="eastAsia" w:ascii="宋体" w:hAnsi="宋体" w:cs="宋体"/>
          <w:b/>
          <w:bCs/>
          <w:color w:val="auto"/>
          <w:w w:val="95"/>
          <w:sz w:val="30"/>
          <w:szCs w:val="30"/>
          <w:highlight w:val="none"/>
          <w:lang w:val="en-US" w:eastAsia="zh-CN"/>
        </w:rPr>
        <w:t>6</w:t>
      </w:r>
      <w:r>
        <w:rPr>
          <w:rFonts w:hint="eastAsia" w:ascii="宋体" w:hAnsi="宋体" w:cs="宋体"/>
          <w:b/>
          <w:bCs/>
          <w:color w:val="auto"/>
          <w:w w:val="95"/>
          <w:sz w:val="30"/>
          <w:szCs w:val="30"/>
          <w:highlight w:val="none"/>
        </w:rPr>
        <w:t>年</w:t>
      </w:r>
      <w:r>
        <w:rPr>
          <w:rFonts w:hint="eastAsia" w:ascii="宋体" w:hAnsi="宋体" w:cs="宋体"/>
          <w:b/>
          <w:bCs/>
          <w:color w:val="auto"/>
          <w:w w:val="95"/>
          <w:sz w:val="30"/>
          <w:szCs w:val="30"/>
          <w:highlight w:val="none"/>
          <w:lang w:val="en-US" w:eastAsia="zh-CN"/>
        </w:rPr>
        <w:t>5</w:t>
      </w:r>
      <w:r>
        <w:rPr>
          <w:rFonts w:hint="eastAsia" w:ascii="宋体" w:hAnsi="宋体" w:cs="宋体"/>
          <w:b/>
          <w:bCs/>
          <w:color w:val="auto"/>
          <w:w w:val="95"/>
          <w:sz w:val="30"/>
          <w:szCs w:val="30"/>
          <w:highlight w:val="none"/>
        </w:rPr>
        <w:t>月</w:t>
      </w:r>
    </w:p>
    <w:p>
      <w:pPr>
        <w:pStyle w:val="23"/>
        <w:pageBreakBefore/>
        <w:spacing w:line="276" w:lineRule="auto"/>
        <w:jc w:val="center"/>
        <w:rPr>
          <w:rFonts w:ascii="宋体" w:hAnsi="宋体" w:cs="宋体"/>
          <w:b/>
          <w:color w:val="auto"/>
          <w:szCs w:val="24"/>
          <w:highlight w:val="none"/>
        </w:rPr>
      </w:pPr>
      <w:r>
        <w:rPr>
          <w:rFonts w:hint="eastAsia" w:ascii="宋体" w:hAnsi="宋体" w:cs="宋体"/>
          <w:b/>
          <w:color w:val="auto"/>
          <w:szCs w:val="24"/>
          <w:highlight w:val="none"/>
        </w:rPr>
        <w:t>目    录</w:t>
      </w:r>
    </w:p>
    <w:p>
      <w:pPr>
        <w:pStyle w:val="32"/>
        <w:tabs>
          <w:tab w:val="right" w:leader="dot" w:pos="9524"/>
        </w:tabs>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"1-2" \h \z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_Toc24734 </w:instrText>
      </w:r>
      <w:r>
        <w:rPr>
          <w:rFonts w:hint="eastAsia" w:ascii="宋体" w:hAnsi="宋体" w:cs="宋体"/>
          <w:highlight w:val="none"/>
        </w:rPr>
        <w:fldChar w:fldCharType="separate"/>
      </w:r>
      <w:r>
        <w:rPr>
          <w:rFonts w:hint="eastAsia" w:ascii="宋体" w:hAnsi="宋体" w:cs="宋体"/>
          <w:highlight w:val="none"/>
        </w:rPr>
        <w:t>第一章  竞争性磋商公告</w:t>
      </w:r>
      <w:r>
        <w:tab/>
      </w:r>
      <w:r>
        <w:fldChar w:fldCharType="begin"/>
      </w:r>
      <w:r>
        <w:instrText xml:space="preserve"> PAGEREF _Toc24734 \h </w:instrText>
      </w:r>
      <w:r>
        <w:fldChar w:fldCharType="separate"/>
      </w:r>
      <w:r>
        <w:t>3</w:t>
      </w:r>
      <w:r>
        <w:fldChar w:fldCharType="end"/>
      </w:r>
      <w:r>
        <w:rPr>
          <w:rFonts w:hint="eastAsia" w:ascii="宋体" w:hAnsi="宋体" w:cs="宋体"/>
          <w:color w:val="auto"/>
          <w:highlight w:val="none"/>
        </w:rPr>
        <w:fldChar w:fldCharType="end"/>
      </w:r>
    </w:p>
    <w:p>
      <w:pPr>
        <w:pStyle w:val="32"/>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_Toc2125 </w:instrText>
      </w:r>
      <w:r>
        <w:rPr>
          <w:rFonts w:hint="eastAsia" w:ascii="宋体" w:hAnsi="宋体" w:cs="宋体"/>
          <w:highlight w:val="none"/>
        </w:rPr>
        <w:fldChar w:fldCharType="separate"/>
      </w:r>
      <w:r>
        <w:rPr>
          <w:rFonts w:hint="eastAsia" w:ascii="宋体" w:hAnsi="宋体" w:cs="宋体"/>
          <w:szCs w:val="24"/>
          <w:highlight w:val="none"/>
        </w:rPr>
        <w:t>第二章  招标需求</w:t>
      </w:r>
      <w:r>
        <w:tab/>
      </w:r>
      <w:r>
        <w:fldChar w:fldCharType="begin"/>
      </w:r>
      <w:r>
        <w:instrText xml:space="preserve"> PAGEREF _Toc2125 \h </w:instrText>
      </w:r>
      <w:r>
        <w:fldChar w:fldCharType="separate"/>
      </w:r>
      <w:r>
        <w:t>8</w:t>
      </w:r>
      <w:r>
        <w:fldChar w:fldCharType="end"/>
      </w:r>
      <w:r>
        <w:rPr>
          <w:rFonts w:hint="eastAsia" w:ascii="宋体" w:hAnsi="宋体" w:cs="宋体"/>
          <w:color w:val="auto"/>
          <w:highlight w:val="none"/>
        </w:rPr>
        <w:fldChar w:fldCharType="end"/>
      </w:r>
    </w:p>
    <w:p>
      <w:pPr>
        <w:pStyle w:val="32"/>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_Toc23433 </w:instrText>
      </w:r>
      <w:r>
        <w:rPr>
          <w:rFonts w:hint="eastAsia" w:ascii="宋体" w:hAnsi="宋体" w:cs="宋体"/>
          <w:highlight w:val="none"/>
        </w:rPr>
        <w:fldChar w:fldCharType="separate"/>
      </w:r>
      <w:r>
        <w:rPr>
          <w:rFonts w:hint="eastAsia" w:ascii="宋体" w:hAnsi="宋体" w:cs="宋体"/>
          <w:szCs w:val="24"/>
          <w:highlight w:val="none"/>
        </w:rPr>
        <w:t>第三章   供应商须知</w:t>
      </w:r>
      <w:r>
        <w:tab/>
      </w:r>
      <w:r>
        <w:fldChar w:fldCharType="begin"/>
      </w:r>
      <w:r>
        <w:instrText xml:space="preserve"> PAGEREF _Toc23433 \h </w:instrText>
      </w:r>
      <w:r>
        <w:fldChar w:fldCharType="separate"/>
      </w:r>
      <w:r>
        <w:t>12</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_Toc7599 </w:instrText>
      </w:r>
      <w:r>
        <w:rPr>
          <w:rFonts w:hint="eastAsia" w:ascii="宋体" w:hAnsi="宋体" w:cs="宋体"/>
          <w:highlight w:val="none"/>
        </w:rPr>
        <w:fldChar w:fldCharType="separate"/>
      </w:r>
      <w:r>
        <w:rPr>
          <w:rFonts w:hint="eastAsia" w:ascii="宋体" w:hAnsi="宋体" w:cs="宋体"/>
          <w:szCs w:val="24"/>
          <w:highlight w:val="none"/>
        </w:rPr>
        <w:t>前附表</w:t>
      </w:r>
      <w:r>
        <w:tab/>
      </w:r>
      <w:r>
        <w:fldChar w:fldCharType="begin"/>
      </w:r>
      <w:r>
        <w:instrText xml:space="preserve"> PAGEREF _Toc7599 \h </w:instrText>
      </w:r>
      <w:r>
        <w:fldChar w:fldCharType="separate"/>
      </w:r>
      <w:r>
        <w:t>12</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_Toc5019 </w:instrText>
      </w:r>
      <w:r>
        <w:rPr>
          <w:rFonts w:hint="eastAsia" w:ascii="宋体" w:hAnsi="宋体" w:cs="宋体"/>
          <w:highlight w:val="none"/>
        </w:rPr>
        <w:fldChar w:fldCharType="separate"/>
      </w:r>
      <w:r>
        <w:rPr>
          <w:rFonts w:hint="default" w:ascii="宋体" w:hAnsi="宋体" w:cs="宋体"/>
          <w:szCs w:val="24"/>
        </w:rPr>
        <w:t xml:space="preserve">一、 </w:t>
      </w:r>
      <w:r>
        <w:rPr>
          <w:rFonts w:hint="eastAsia" w:ascii="宋体" w:hAnsi="宋体" w:cs="宋体"/>
          <w:szCs w:val="24"/>
          <w:highlight w:val="none"/>
        </w:rPr>
        <w:t>总则</w:t>
      </w:r>
      <w:r>
        <w:tab/>
      </w:r>
      <w:r>
        <w:fldChar w:fldCharType="begin"/>
      </w:r>
      <w:r>
        <w:instrText xml:space="preserve"> PAGEREF _Toc5019 \h </w:instrText>
      </w:r>
      <w:r>
        <w:fldChar w:fldCharType="separate"/>
      </w:r>
      <w:r>
        <w:t>18</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_Toc27884 </w:instrText>
      </w:r>
      <w:r>
        <w:rPr>
          <w:rFonts w:hint="eastAsia" w:ascii="宋体" w:hAnsi="宋体" w:cs="宋体"/>
          <w:highlight w:val="none"/>
        </w:rPr>
        <w:fldChar w:fldCharType="separate"/>
      </w:r>
      <w:r>
        <w:rPr>
          <w:rFonts w:hint="eastAsia" w:ascii="宋体" w:hAnsi="宋体" w:eastAsia="宋体" w:cs="宋体"/>
          <w:szCs w:val="24"/>
          <w:highlight w:val="none"/>
        </w:rPr>
        <w:t>二、磋商文件</w:t>
      </w:r>
      <w:r>
        <w:tab/>
      </w:r>
      <w:r>
        <w:fldChar w:fldCharType="begin"/>
      </w:r>
      <w:r>
        <w:instrText xml:space="preserve"> PAGEREF _Toc27884 \h </w:instrText>
      </w:r>
      <w:r>
        <w:fldChar w:fldCharType="separate"/>
      </w:r>
      <w:r>
        <w:t>23</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_Toc7979 </w:instrText>
      </w:r>
      <w:r>
        <w:rPr>
          <w:rFonts w:hint="eastAsia" w:ascii="宋体" w:hAnsi="宋体" w:cs="宋体"/>
          <w:highlight w:val="none"/>
        </w:rPr>
        <w:fldChar w:fldCharType="separate"/>
      </w:r>
      <w:r>
        <w:rPr>
          <w:rFonts w:hint="eastAsia" w:ascii="宋体" w:hAnsi="宋体" w:eastAsia="宋体" w:cs="宋体"/>
          <w:szCs w:val="24"/>
          <w:highlight w:val="none"/>
        </w:rPr>
        <w:t>三、磋商响应文件的编制</w:t>
      </w:r>
      <w:r>
        <w:tab/>
      </w:r>
      <w:r>
        <w:fldChar w:fldCharType="begin"/>
      </w:r>
      <w:r>
        <w:instrText xml:space="preserve"> PAGEREF _Toc7979 \h </w:instrText>
      </w:r>
      <w:r>
        <w:fldChar w:fldCharType="separate"/>
      </w:r>
      <w:r>
        <w:t>24</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_Toc16268 </w:instrText>
      </w:r>
      <w:r>
        <w:rPr>
          <w:rFonts w:hint="eastAsia" w:ascii="宋体" w:hAnsi="宋体" w:cs="宋体"/>
          <w:highlight w:val="none"/>
        </w:rPr>
        <w:fldChar w:fldCharType="separate"/>
      </w:r>
      <w:r>
        <w:rPr>
          <w:rFonts w:hint="eastAsia" w:ascii="宋体" w:hAnsi="宋体" w:eastAsia="宋体" w:cs="宋体"/>
          <w:szCs w:val="24"/>
          <w:highlight w:val="none"/>
        </w:rPr>
        <w:t>四、开标</w:t>
      </w:r>
      <w:r>
        <w:tab/>
      </w:r>
      <w:r>
        <w:fldChar w:fldCharType="begin"/>
      </w:r>
      <w:r>
        <w:instrText xml:space="preserve"> PAGEREF _Toc16268 \h </w:instrText>
      </w:r>
      <w:r>
        <w:fldChar w:fldCharType="separate"/>
      </w:r>
      <w:r>
        <w:t>31</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_Toc9214 </w:instrText>
      </w:r>
      <w:r>
        <w:rPr>
          <w:rFonts w:hint="eastAsia" w:ascii="宋体" w:hAnsi="宋体" w:cs="宋体"/>
          <w:highlight w:val="none"/>
        </w:rPr>
        <w:fldChar w:fldCharType="separate"/>
      </w:r>
      <w:r>
        <w:rPr>
          <w:rFonts w:hint="eastAsia" w:ascii="宋体" w:hAnsi="宋体" w:eastAsia="宋体" w:cs="宋体"/>
          <w:szCs w:val="24"/>
          <w:highlight w:val="none"/>
        </w:rPr>
        <w:t>五、磋商</w:t>
      </w:r>
      <w:r>
        <w:tab/>
      </w:r>
      <w:r>
        <w:fldChar w:fldCharType="begin"/>
      </w:r>
      <w:r>
        <w:instrText xml:space="preserve"> PAGEREF _Toc9214 \h </w:instrText>
      </w:r>
      <w:r>
        <w:fldChar w:fldCharType="separate"/>
      </w:r>
      <w:r>
        <w:t>32</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_Toc9495 </w:instrText>
      </w:r>
      <w:r>
        <w:rPr>
          <w:rFonts w:hint="eastAsia" w:ascii="宋体" w:hAnsi="宋体" w:cs="宋体"/>
          <w:highlight w:val="none"/>
        </w:rPr>
        <w:fldChar w:fldCharType="separate"/>
      </w:r>
      <w:r>
        <w:rPr>
          <w:rFonts w:hint="eastAsia" w:ascii="宋体" w:hAnsi="宋体" w:eastAsia="宋体" w:cs="宋体"/>
          <w:szCs w:val="24"/>
          <w:highlight w:val="none"/>
        </w:rPr>
        <w:t>六、定标</w:t>
      </w:r>
      <w:r>
        <w:tab/>
      </w:r>
      <w:r>
        <w:fldChar w:fldCharType="begin"/>
      </w:r>
      <w:r>
        <w:instrText xml:space="preserve"> PAGEREF _Toc9495 \h </w:instrText>
      </w:r>
      <w:r>
        <w:fldChar w:fldCharType="separate"/>
      </w:r>
      <w:r>
        <w:t>36</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_Toc22771 </w:instrText>
      </w:r>
      <w:r>
        <w:rPr>
          <w:rFonts w:hint="eastAsia" w:ascii="宋体" w:hAnsi="宋体" w:cs="宋体"/>
          <w:highlight w:val="none"/>
        </w:rPr>
        <w:fldChar w:fldCharType="separate"/>
      </w:r>
      <w:r>
        <w:rPr>
          <w:rFonts w:hint="eastAsia" w:ascii="宋体" w:hAnsi="宋体" w:eastAsia="宋体" w:cs="宋体"/>
          <w:szCs w:val="24"/>
          <w:highlight w:val="none"/>
        </w:rPr>
        <w:t>七、合同授予</w:t>
      </w:r>
      <w:r>
        <w:tab/>
      </w:r>
      <w:r>
        <w:fldChar w:fldCharType="begin"/>
      </w:r>
      <w:r>
        <w:instrText xml:space="preserve"> PAGEREF _Toc22771 \h </w:instrText>
      </w:r>
      <w:r>
        <w:fldChar w:fldCharType="separate"/>
      </w:r>
      <w:r>
        <w:t>37</w:t>
      </w:r>
      <w:r>
        <w:fldChar w:fldCharType="end"/>
      </w:r>
      <w:r>
        <w:rPr>
          <w:rFonts w:hint="eastAsia" w:ascii="宋体" w:hAnsi="宋体" w:cs="宋体"/>
          <w:color w:val="auto"/>
          <w:highlight w:val="none"/>
        </w:rPr>
        <w:fldChar w:fldCharType="end"/>
      </w:r>
    </w:p>
    <w:p>
      <w:pPr>
        <w:pStyle w:val="32"/>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_Toc4252 </w:instrText>
      </w:r>
      <w:r>
        <w:rPr>
          <w:rFonts w:hint="eastAsia" w:ascii="宋体" w:hAnsi="宋体" w:cs="宋体"/>
          <w:highlight w:val="none"/>
        </w:rPr>
        <w:fldChar w:fldCharType="separate"/>
      </w:r>
      <w:r>
        <w:rPr>
          <w:rFonts w:hint="eastAsia" w:ascii="宋体" w:hAnsi="宋体" w:cs="宋体"/>
          <w:szCs w:val="24"/>
          <w:highlight w:val="none"/>
        </w:rPr>
        <w:t>第四章  磋商办法及评分标准</w:t>
      </w:r>
      <w:r>
        <w:tab/>
      </w:r>
      <w:r>
        <w:fldChar w:fldCharType="begin"/>
      </w:r>
      <w:r>
        <w:instrText xml:space="preserve"> PAGEREF _Toc4252 \h </w:instrText>
      </w:r>
      <w:r>
        <w:fldChar w:fldCharType="separate"/>
      </w:r>
      <w:r>
        <w:t>38</w:t>
      </w:r>
      <w:r>
        <w:fldChar w:fldCharType="end"/>
      </w:r>
      <w:r>
        <w:rPr>
          <w:rFonts w:hint="eastAsia" w:ascii="宋体" w:hAnsi="宋体" w:cs="宋体"/>
          <w:color w:val="auto"/>
          <w:highlight w:val="none"/>
        </w:rPr>
        <w:fldChar w:fldCharType="end"/>
      </w:r>
    </w:p>
    <w:p>
      <w:pPr>
        <w:pStyle w:val="32"/>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_Toc17882 </w:instrText>
      </w:r>
      <w:r>
        <w:rPr>
          <w:rFonts w:hint="eastAsia" w:ascii="宋体" w:hAnsi="宋体" w:cs="宋体"/>
          <w:highlight w:val="none"/>
        </w:rPr>
        <w:fldChar w:fldCharType="separate"/>
      </w:r>
      <w:r>
        <w:rPr>
          <w:rFonts w:hint="eastAsia" w:ascii="宋体" w:hAnsi="宋体" w:cs="宋体"/>
          <w:bCs w:val="0"/>
          <w:szCs w:val="32"/>
        </w:rPr>
        <w:t xml:space="preserve">第五章 </w:t>
      </w:r>
      <w:r>
        <w:rPr>
          <w:rFonts w:hint="eastAsia" w:ascii="宋体" w:hAnsi="宋体" w:cs="宋体"/>
          <w:bCs w:val="0"/>
          <w:szCs w:val="32"/>
          <w:highlight w:val="none"/>
        </w:rPr>
        <w:t>合同主要条款</w:t>
      </w:r>
      <w:r>
        <w:tab/>
      </w:r>
      <w:r>
        <w:fldChar w:fldCharType="begin"/>
      </w:r>
      <w:r>
        <w:instrText xml:space="preserve"> PAGEREF _Toc17882 \h </w:instrText>
      </w:r>
      <w:r>
        <w:fldChar w:fldCharType="separate"/>
      </w:r>
      <w:r>
        <w:t>42</w:t>
      </w:r>
      <w:r>
        <w:fldChar w:fldCharType="end"/>
      </w:r>
      <w:r>
        <w:rPr>
          <w:rFonts w:hint="eastAsia" w:ascii="宋体" w:hAnsi="宋体" w:cs="宋体"/>
          <w:color w:val="auto"/>
          <w:highlight w:val="none"/>
        </w:rPr>
        <w:fldChar w:fldCharType="end"/>
      </w:r>
    </w:p>
    <w:p>
      <w:pPr>
        <w:pStyle w:val="32"/>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_Toc20387 </w:instrText>
      </w:r>
      <w:r>
        <w:rPr>
          <w:rFonts w:hint="eastAsia" w:ascii="宋体" w:hAnsi="宋体" w:cs="宋体"/>
          <w:highlight w:val="none"/>
        </w:rPr>
        <w:fldChar w:fldCharType="separate"/>
      </w:r>
      <w:r>
        <w:rPr>
          <w:rFonts w:hint="eastAsia" w:ascii="宋体" w:hAnsi="宋体" w:cs="宋体"/>
          <w:szCs w:val="24"/>
          <w:highlight w:val="none"/>
        </w:rPr>
        <w:t>第六章　磋商响应文件组成内容及格式</w:t>
      </w:r>
      <w:r>
        <w:tab/>
      </w:r>
      <w:r>
        <w:fldChar w:fldCharType="begin"/>
      </w:r>
      <w:r>
        <w:instrText xml:space="preserve"> PAGEREF _Toc20387 \h </w:instrText>
      </w:r>
      <w:r>
        <w:fldChar w:fldCharType="separate"/>
      </w:r>
      <w:r>
        <w:t>50</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_Toc15152 </w:instrText>
      </w:r>
      <w:r>
        <w:rPr>
          <w:rFonts w:hint="eastAsia" w:ascii="宋体" w:hAnsi="宋体" w:cs="宋体"/>
          <w:highlight w:val="none"/>
        </w:rPr>
        <w:fldChar w:fldCharType="separate"/>
      </w:r>
      <w:r>
        <w:rPr>
          <w:rFonts w:hint="eastAsia" w:ascii="宋体" w:hAnsi="宋体" w:eastAsia="宋体" w:cs="宋体"/>
          <w:szCs w:val="24"/>
          <w:highlight w:val="none"/>
        </w:rPr>
        <w:t>附件一：磋商声明书</w:t>
      </w:r>
      <w:r>
        <w:tab/>
      </w:r>
      <w:r>
        <w:fldChar w:fldCharType="begin"/>
      </w:r>
      <w:r>
        <w:instrText xml:space="preserve"> PAGEREF _Toc15152 \h </w:instrText>
      </w:r>
      <w:r>
        <w:fldChar w:fldCharType="separate"/>
      </w:r>
      <w:r>
        <w:t>54</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_Toc3455 </w:instrText>
      </w:r>
      <w:r>
        <w:rPr>
          <w:rFonts w:hint="eastAsia" w:ascii="宋体" w:hAnsi="宋体" w:cs="宋体"/>
          <w:highlight w:val="none"/>
        </w:rPr>
        <w:fldChar w:fldCharType="separate"/>
      </w:r>
      <w:r>
        <w:rPr>
          <w:rFonts w:hint="eastAsia" w:ascii="宋体" w:hAnsi="宋体" w:eastAsia="宋体" w:cs="宋体"/>
          <w:bCs w:val="0"/>
          <w:szCs w:val="24"/>
          <w:highlight w:val="none"/>
        </w:rPr>
        <w:t>附件二：符合参加政府采购活动应当具备的一般条件的承诺函</w:t>
      </w:r>
      <w:r>
        <w:tab/>
      </w:r>
      <w:r>
        <w:fldChar w:fldCharType="begin"/>
      </w:r>
      <w:r>
        <w:instrText xml:space="preserve"> PAGEREF _Toc3455 \h </w:instrText>
      </w:r>
      <w:r>
        <w:fldChar w:fldCharType="separate"/>
      </w:r>
      <w:r>
        <w:t>55</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_Toc2204 </w:instrText>
      </w:r>
      <w:r>
        <w:rPr>
          <w:rFonts w:hint="eastAsia" w:ascii="宋体" w:hAnsi="宋体" w:cs="宋体"/>
          <w:highlight w:val="none"/>
        </w:rPr>
        <w:fldChar w:fldCharType="separate"/>
      </w:r>
      <w:r>
        <w:rPr>
          <w:rFonts w:hint="eastAsia" w:ascii="宋体" w:hAnsi="宋体" w:eastAsia="宋体" w:cs="宋体"/>
          <w:bCs/>
          <w:highlight w:val="none"/>
        </w:rPr>
        <w:t>附件</w:t>
      </w:r>
      <w:r>
        <w:rPr>
          <w:rFonts w:hint="eastAsia" w:ascii="宋体" w:hAnsi="宋体" w:eastAsia="宋体" w:cs="宋体"/>
          <w:bCs/>
          <w:highlight w:val="none"/>
          <w:lang w:val="en-US" w:eastAsia="zh-CN"/>
        </w:rPr>
        <w:t>三</w:t>
      </w:r>
      <w:r>
        <w:rPr>
          <w:rFonts w:hint="eastAsia" w:ascii="宋体" w:hAnsi="宋体" w:eastAsia="宋体" w:cs="宋体"/>
          <w:bCs/>
          <w:highlight w:val="none"/>
        </w:rPr>
        <w:t>：东阳市政府采购代理机构社会评价表</w:t>
      </w:r>
      <w:r>
        <w:tab/>
      </w:r>
      <w:r>
        <w:fldChar w:fldCharType="begin"/>
      </w:r>
      <w:r>
        <w:instrText xml:space="preserve"> PAGEREF _Toc2204 \h </w:instrText>
      </w:r>
      <w:r>
        <w:fldChar w:fldCharType="separate"/>
      </w:r>
      <w:r>
        <w:t>56</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_Toc28249 </w:instrText>
      </w:r>
      <w:r>
        <w:rPr>
          <w:rFonts w:hint="eastAsia" w:ascii="宋体" w:hAnsi="宋体" w:cs="宋体"/>
          <w:highlight w:val="none"/>
        </w:rPr>
        <w:fldChar w:fldCharType="separate"/>
      </w:r>
      <w:r>
        <w:rPr>
          <w:rFonts w:hint="eastAsia" w:ascii="宋体" w:hAnsi="宋体" w:eastAsia="宋体" w:cs="宋体"/>
          <w:bCs w:val="0"/>
          <w:szCs w:val="24"/>
          <w:highlight w:val="none"/>
        </w:rPr>
        <w:t>附件</w:t>
      </w:r>
      <w:r>
        <w:rPr>
          <w:rFonts w:hint="eastAsia" w:ascii="宋体" w:hAnsi="宋体" w:eastAsia="宋体" w:cs="宋体"/>
          <w:bCs w:val="0"/>
          <w:szCs w:val="24"/>
          <w:highlight w:val="none"/>
          <w:lang w:val="en-US" w:eastAsia="zh-CN"/>
        </w:rPr>
        <w:t>四</w:t>
      </w:r>
      <w:r>
        <w:rPr>
          <w:rFonts w:hint="eastAsia" w:ascii="宋体" w:hAnsi="宋体" w:eastAsia="宋体" w:cs="宋体"/>
          <w:bCs w:val="0"/>
          <w:szCs w:val="24"/>
          <w:highlight w:val="none"/>
        </w:rPr>
        <w:t>：政府采购活动现场确认声明书</w:t>
      </w:r>
      <w:r>
        <w:tab/>
      </w:r>
      <w:r>
        <w:fldChar w:fldCharType="begin"/>
      </w:r>
      <w:r>
        <w:instrText xml:space="preserve"> PAGEREF _Toc28249 \h </w:instrText>
      </w:r>
      <w:r>
        <w:fldChar w:fldCharType="separate"/>
      </w:r>
      <w:r>
        <w:t>57</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_Toc28758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：法定代表人授权委托书</w:t>
      </w:r>
      <w:r>
        <w:tab/>
      </w:r>
      <w:r>
        <w:fldChar w:fldCharType="begin"/>
      </w:r>
      <w:r>
        <w:instrText xml:space="preserve"> PAGEREF _Toc28758 \h </w:instrText>
      </w:r>
      <w:r>
        <w:fldChar w:fldCharType="separate"/>
      </w:r>
      <w:r>
        <w:t>58</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_Toc26477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：联合体协议</w:t>
      </w:r>
      <w:r>
        <w:tab/>
      </w:r>
      <w:r>
        <w:fldChar w:fldCharType="begin"/>
      </w:r>
      <w:r>
        <w:instrText xml:space="preserve"> PAGEREF _Toc26477 \h </w:instrText>
      </w:r>
      <w:r>
        <w:fldChar w:fldCharType="separate"/>
      </w:r>
      <w:r>
        <w:t>59</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_Toc1774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rPr>
        <w:t>：分包意向协议</w:t>
      </w:r>
      <w:r>
        <w:tab/>
      </w:r>
      <w:r>
        <w:fldChar w:fldCharType="begin"/>
      </w:r>
      <w:r>
        <w:instrText xml:space="preserve"> PAGEREF _Toc1774 \h </w:instrText>
      </w:r>
      <w:r>
        <w:fldChar w:fldCharType="separate"/>
      </w:r>
      <w:r>
        <w:t>60</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_Toc26189 </w:instrText>
      </w:r>
      <w:r>
        <w:rPr>
          <w:rFonts w:hint="eastAsia" w:ascii="宋体" w:hAnsi="宋体" w:cs="宋体"/>
          <w:highlight w:val="none"/>
        </w:rPr>
        <w:fldChar w:fldCharType="separate"/>
      </w:r>
      <w:r>
        <w:rPr>
          <w:rFonts w:hint="eastAsia" w:ascii="宋体" w:hAnsi="宋体" w:eastAsia="宋体" w:cs="宋体"/>
          <w:bCs/>
          <w:highlight w:val="none"/>
        </w:rPr>
        <w:t>附件</w:t>
      </w:r>
      <w:r>
        <w:rPr>
          <w:rFonts w:hint="eastAsia" w:ascii="宋体" w:hAnsi="宋体" w:eastAsia="宋体" w:cs="宋体"/>
          <w:bCs/>
          <w:highlight w:val="none"/>
          <w:lang w:val="en-US" w:eastAsia="zh-CN"/>
        </w:rPr>
        <w:t>八</w:t>
      </w:r>
      <w:r>
        <w:rPr>
          <w:rFonts w:hint="eastAsia" w:ascii="宋体" w:hAnsi="宋体" w:eastAsia="宋体" w:cs="宋体"/>
          <w:bCs/>
          <w:highlight w:val="none"/>
        </w:rPr>
        <w:t>：中小企业声明函（工程、服务）</w:t>
      </w:r>
      <w:r>
        <w:tab/>
      </w:r>
      <w:r>
        <w:fldChar w:fldCharType="begin"/>
      </w:r>
      <w:r>
        <w:instrText xml:space="preserve"> PAGEREF _Toc26189 \h </w:instrText>
      </w:r>
      <w:r>
        <w:fldChar w:fldCharType="separate"/>
      </w:r>
      <w:r>
        <w:t>61</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_Toc27135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九</w:t>
      </w:r>
      <w:r>
        <w:rPr>
          <w:rFonts w:hint="eastAsia" w:ascii="宋体" w:hAnsi="宋体" w:eastAsia="宋体" w:cs="宋体"/>
          <w:szCs w:val="24"/>
          <w:highlight w:val="none"/>
        </w:rPr>
        <w:t>：残疾人福利性单位声明函</w:t>
      </w:r>
      <w:r>
        <w:tab/>
      </w:r>
      <w:r>
        <w:fldChar w:fldCharType="begin"/>
      </w:r>
      <w:r>
        <w:instrText xml:space="preserve"> PAGEREF _Toc27135 \h </w:instrText>
      </w:r>
      <w:r>
        <w:fldChar w:fldCharType="separate"/>
      </w:r>
      <w:r>
        <w:t>62</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_Toc10024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十</w:t>
      </w:r>
      <w:r>
        <w:rPr>
          <w:rFonts w:hint="eastAsia" w:ascii="宋体" w:hAnsi="宋体" w:eastAsia="宋体" w:cs="宋体"/>
          <w:szCs w:val="24"/>
          <w:highlight w:val="none"/>
        </w:rPr>
        <w:t>：磋商响应方资信商务、技术自评得分表</w:t>
      </w:r>
      <w:r>
        <w:tab/>
      </w:r>
      <w:r>
        <w:fldChar w:fldCharType="begin"/>
      </w:r>
      <w:r>
        <w:instrText xml:space="preserve"> PAGEREF _Toc10024 \h </w:instrText>
      </w:r>
      <w:r>
        <w:fldChar w:fldCharType="separate"/>
      </w:r>
      <w:r>
        <w:t>63</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_Toc19931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十一</w:t>
      </w:r>
      <w:r>
        <w:rPr>
          <w:rFonts w:hint="eastAsia" w:ascii="宋体" w:hAnsi="宋体" w:eastAsia="宋体" w:cs="宋体"/>
          <w:szCs w:val="24"/>
          <w:highlight w:val="none"/>
        </w:rPr>
        <w:t>：资信商务、技术文件响应表</w:t>
      </w:r>
      <w:r>
        <w:tab/>
      </w:r>
      <w:r>
        <w:fldChar w:fldCharType="begin"/>
      </w:r>
      <w:r>
        <w:instrText xml:space="preserve"> PAGEREF _Toc19931 \h </w:instrText>
      </w:r>
      <w:r>
        <w:fldChar w:fldCharType="separate"/>
      </w:r>
      <w:r>
        <w:t>64</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_Toc23147 </w:instrText>
      </w:r>
      <w:r>
        <w:rPr>
          <w:rFonts w:hint="eastAsia" w:ascii="宋体" w:hAnsi="宋体" w:cs="宋体"/>
          <w:highlight w:val="none"/>
        </w:rPr>
        <w:fldChar w:fldCharType="separate"/>
      </w:r>
      <w:r>
        <w:rPr>
          <w:rFonts w:hint="eastAsia" w:ascii="宋体" w:hAnsi="宋体" w:eastAsia="宋体" w:cs="宋体"/>
          <w:bCs w:val="0"/>
          <w:szCs w:val="24"/>
          <w:highlight w:val="none"/>
        </w:rPr>
        <w:t>附件</w:t>
      </w:r>
      <w:r>
        <w:rPr>
          <w:rFonts w:hint="eastAsia" w:ascii="宋体" w:hAnsi="宋体" w:eastAsia="宋体" w:cs="宋体"/>
          <w:bCs w:val="0"/>
          <w:szCs w:val="24"/>
          <w:highlight w:val="none"/>
          <w:lang w:val="en-US" w:eastAsia="zh-CN"/>
        </w:rPr>
        <w:t>十二</w:t>
      </w:r>
      <w:r>
        <w:rPr>
          <w:rFonts w:hint="eastAsia" w:ascii="宋体" w:hAnsi="宋体" w:eastAsia="宋体" w:cs="宋体"/>
          <w:bCs w:val="0"/>
          <w:szCs w:val="24"/>
          <w:highlight w:val="none"/>
        </w:rPr>
        <w:t>：人员现场到位率承诺书</w:t>
      </w:r>
      <w:r>
        <w:tab/>
      </w:r>
      <w:r>
        <w:fldChar w:fldCharType="begin"/>
      </w:r>
      <w:r>
        <w:instrText xml:space="preserve"> PAGEREF _Toc23147 \h </w:instrText>
      </w:r>
      <w:r>
        <w:fldChar w:fldCharType="separate"/>
      </w:r>
      <w:r>
        <w:t>65</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_Toc8497 </w:instrText>
      </w:r>
      <w:r>
        <w:rPr>
          <w:rFonts w:hint="eastAsia" w:ascii="宋体" w:hAnsi="宋体" w:cs="宋体"/>
          <w:highlight w:val="none"/>
        </w:rPr>
        <w:fldChar w:fldCharType="separate"/>
      </w:r>
      <w:r>
        <w:rPr>
          <w:rFonts w:hint="eastAsia" w:ascii="宋体" w:hAnsi="宋体" w:eastAsia="宋体" w:cs="宋体"/>
          <w:bCs w:val="0"/>
          <w:szCs w:val="24"/>
          <w:highlight w:val="none"/>
        </w:rPr>
        <w:t>附件</w:t>
      </w:r>
      <w:r>
        <w:rPr>
          <w:rFonts w:hint="eastAsia" w:ascii="宋体" w:hAnsi="宋体" w:eastAsia="宋体" w:cs="宋体"/>
          <w:bCs w:val="0"/>
          <w:szCs w:val="24"/>
          <w:highlight w:val="none"/>
          <w:lang w:val="en-US" w:eastAsia="zh-CN"/>
        </w:rPr>
        <w:t>十三</w:t>
      </w:r>
      <w:r>
        <w:rPr>
          <w:rFonts w:hint="eastAsia" w:ascii="宋体" w:hAnsi="宋体" w:eastAsia="宋体" w:cs="宋体"/>
          <w:bCs w:val="0"/>
          <w:szCs w:val="24"/>
          <w:highlight w:val="none"/>
        </w:rPr>
        <w:t>：安全生产及其他承诺函</w:t>
      </w:r>
      <w:r>
        <w:tab/>
      </w:r>
      <w:r>
        <w:fldChar w:fldCharType="begin"/>
      </w:r>
      <w:r>
        <w:instrText xml:space="preserve"> PAGEREF _Toc8497 \h </w:instrText>
      </w:r>
      <w:r>
        <w:fldChar w:fldCharType="separate"/>
      </w:r>
      <w:r>
        <w:t>66</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_Toc31791 </w:instrText>
      </w:r>
      <w:r>
        <w:rPr>
          <w:rFonts w:hint="eastAsia" w:ascii="宋体" w:hAnsi="宋体" w:cs="宋体"/>
          <w:highlight w:val="none"/>
        </w:rPr>
        <w:fldChar w:fldCharType="separate"/>
      </w:r>
      <w:r>
        <w:rPr>
          <w:rFonts w:hint="eastAsia" w:ascii="宋体" w:hAnsi="宋体" w:eastAsia="宋体" w:cs="宋体"/>
          <w:bCs w:val="0"/>
          <w:szCs w:val="24"/>
          <w:highlight w:val="none"/>
        </w:rPr>
        <w:t>附件十</w:t>
      </w:r>
      <w:r>
        <w:rPr>
          <w:rFonts w:hint="eastAsia" w:ascii="宋体" w:hAnsi="宋体" w:eastAsia="宋体" w:cs="宋体"/>
          <w:bCs w:val="0"/>
          <w:szCs w:val="24"/>
          <w:highlight w:val="none"/>
          <w:lang w:val="en-US" w:eastAsia="zh-CN"/>
        </w:rPr>
        <w:t>四</w:t>
      </w:r>
      <w:r>
        <w:rPr>
          <w:rFonts w:hint="eastAsia" w:ascii="宋体" w:hAnsi="宋体" w:eastAsia="宋体" w:cs="宋体"/>
          <w:bCs w:val="0"/>
          <w:szCs w:val="24"/>
          <w:highlight w:val="none"/>
        </w:rPr>
        <w:t>：拟投入本项目人员一览表</w:t>
      </w:r>
      <w:r>
        <w:tab/>
      </w:r>
      <w:r>
        <w:fldChar w:fldCharType="begin"/>
      </w:r>
      <w:r>
        <w:instrText xml:space="preserve"> PAGEREF _Toc31791 \h </w:instrText>
      </w:r>
      <w:r>
        <w:fldChar w:fldCharType="separate"/>
      </w:r>
      <w:r>
        <w:t>67</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_Toc16180 </w:instrText>
      </w:r>
      <w:r>
        <w:rPr>
          <w:rFonts w:hint="eastAsia" w:ascii="宋体" w:hAnsi="宋体" w:cs="宋体"/>
          <w:highlight w:val="none"/>
        </w:rPr>
        <w:fldChar w:fldCharType="separate"/>
      </w:r>
      <w:r>
        <w:rPr>
          <w:rFonts w:hint="eastAsia" w:ascii="宋体" w:hAnsi="宋体" w:eastAsia="宋体" w:cs="宋体"/>
          <w:bCs w:val="0"/>
          <w:szCs w:val="24"/>
          <w:highlight w:val="none"/>
        </w:rPr>
        <w:t>附件十</w:t>
      </w:r>
      <w:r>
        <w:rPr>
          <w:rFonts w:hint="eastAsia" w:ascii="宋体" w:hAnsi="宋体" w:eastAsia="宋体" w:cs="宋体"/>
          <w:bCs w:val="0"/>
          <w:szCs w:val="24"/>
          <w:highlight w:val="none"/>
          <w:lang w:val="en-US" w:eastAsia="zh-CN"/>
        </w:rPr>
        <w:t>五</w:t>
      </w:r>
      <w:r>
        <w:rPr>
          <w:rFonts w:hint="eastAsia" w:ascii="宋体" w:hAnsi="宋体" w:eastAsia="宋体" w:cs="宋体"/>
          <w:bCs w:val="0"/>
          <w:szCs w:val="24"/>
          <w:highlight w:val="none"/>
        </w:rPr>
        <w:t>：同类项目业绩</w:t>
      </w:r>
      <w:r>
        <w:tab/>
      </w:r>
      <w:r>
        <w:fldChar w:fldCharType="begin"/>
      </w:r>
      <w:r>
        <w:instrText xml:space="preserve"> PAGEREF _Toc16180 \h </w:instrText>
      </w:r>
      <w:r>
        <w:fldChar w:fldCharType="separate"/>
      </w:r>
      <w:r>
        <w:t>69</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_Toc5203 </w:instrText>
      </w:r>
      <w:r>
        <w:rPr>
          <w:rFonts w:hint="eastAsia" w:ascii="宋体" w:hAnsi="宋体" w:cs="宋体"/>
          <w:highlight w:val="none"/>
        </w:rPr>
        <w:fldChar w:fldCharType="separate"/>
      </w:r>
      <w:r>
        <w:rPr>
          <w:rFonts w:hint="eastAsia" w:ascii="宋体" w:hAnsi="宋体" w:cs="宋体"/>
          <w:bCs/>
          <w:highlight w:val="none"/>
        </w:rPr>
        <w:t>附件十</w:t>
      </w:r>
      <w:r>
        <w:rPr>
          <w:rFonts w:hint="eastAsia" w:ascii="宋体" w:hAnsi="宋体" w:cs="宋体"/>
          <w:bCs/>
          <w:highlight w:val="none"/>
          <w:lang w:val="en-US" w:eastAsia="zh-CN"/>
        </w:rPr>
        <w:t>六</w:t>
      </w:r>
      <w:r>
        <w:rPr>
          <w:rFonts w:hint="eastAsia" w:ascii="宋体" w:hAnsi="宋体" w:cs="宋体"/>
          <w:bCs/>
          <w:highlight w:val="none"/>
        </w:rPr>
        <w:t>:磋商函</w:t>
      </w:r>
      <w:r>
        <w:tab/>
      </w:r>
      <w:r>
        <w:fldChar w:fldCharType="begin"/>
      </w:r>
      <w:r>
        <w:instrText xml:space="preserve"> PAGEREF _Toc5203 \h </w:instrText>
      </w:r>
      <w:r>
        <w:fldChar w:fldCharType="separate"/>
      </w:r>
      <w:r>
        <w:t>70</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_Toc11231 </w:instrText>
      </w:r>
      <w:r>
        <w:rPr>
          <w:rFonts w:hint="eastAsia" w:ascii="宋体" w:hAnsi="宋体" w:cs="宋体"/>
          <w:highlight w:val="none"/>
        </w:rPr>
        <w:fldChar w:fldCharType="separate"/>
      </w:r>
      <w:r>
        <w:rPr>
          <w:rFonts w:hint="eastAsia" w:ascii="宋体" w:hAnsi="宋体"/>
          <w:bCs/>
          <w:highlight w:val="none"/>
        </w:rPr>
        <w:t>附件十</w:t>
      </w:r>
      <w:r>
        <w:rPr>
          <w:rFonts w:hint="eastAsia" w:ascii="宋体" w:hAnsi="宋体"/>
          <w:bCs/>
          <w:highlight w:val="none"/>
          <w:lang w:val="en-US" w:eastAsia="zh-CN"/>
        </w:rPr>
        <w:t>七</w:t>
      </w:r>
      <w:r>
        <w:rPr>
          <w:rFonts w:hint="eastAsia" w:ascii="宋体" w:hAnsi="宋体"/>
          <w:bCs/>
          <w:highlight w:val="none"/>
        </w:rPr>
        <w:t>：初次报价表</w:t>
      </w:r>
      <w:r>
        <w:tab/>
      </w:r>
      <w:r>
        <w:fldChar w:fldCharType="begin"/>
      </w:r>
      <w:r>
        <w:instrText xml:space="preserve"> PAGEREF _Toc11231 \h </w:instrText>
      </w:r>
      <w:r>
        <w:fldChar w:fldCharType="separate"/>
      </w:r>
      <w:r>
        <w:t>71</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_Toc3125 </w:instrText>
      </w:r>
      <w:r>
        <w:rPr>
          <w:rFonts w:hint="eastAsia" w:ascii="宋体" w:hAnsi="宋体" w:cs="宋体"/>
          <w:highlight w:val="none"/>
        </w:rPr>
        <w:fldChar w:fldCharType="separate"/>
      </w:r>
      <w:r>
        <w:rPr>
          <w:rFonts w:hint="eastAsia" w:ascii="宋体" w:hAnsi="宋体"/>
          <w:bCs/>
          <w:highlight w:val="none"/>
        </w:rPr>
        <w:t>附件十</w:t>
      </w:r>
      <w:r>
        <w:rPr>
          <w:rFonts w:hint="eastAsia" w:ascii="宋体" w:hAnsi="宋体"/>
          <w:bCs/>
          <w:highlight w:val="none"/>
          <w:lang w:val="en-US" w:eastAsia="zh-CN"/>
        </w:rPr>
        <w:t>八</w:t>
      </w:r>
      <w:r>
        <w:rPr>
          <w:rFonts w:hint="eastAsia" w:ascii="宋体" w:hAnsi="宋体"/>
          <w:bCs/>
          <w:highlight w:val="none"/>
        </w:rPr>
        <w:t>：</w:t>
      </w:r>
      <w:r>
        <w:rPr>
          <w:rFonts w:hint="eastAsia" w:ascii="宋体" w:hAnsi="宋体"/>
          <w:bCs/>
          <w:highlight w:val="none"/>
          <w:lang w:val="en-US" w:eastAsia="zh-CN"/>
        </w:rPr>
        <w:t>最终</w:t>
      </w:r>
      <w:r>
        <w:rPr>
          <w:rFonts w:hint="eastAsia" w:ascii="宋体" w:hAnsi="宋体"/>
          <w:bCs/>
          <w:highlight w:val="none"/>
        </w:rPr>
        <w:t>报价表</w:t>
      </w:r>
      <w:r>
        <w:tab/>
      </w:r>
      <w:r>
        <w:fldChar w:fldCharType="begin"/>
      </w:r>
      <w:r>
        <w:instrText xml:space="preserve"> PAGEREF _Toc3125 \h </w:instrText>
      </w:r>
      <w:r>
        <w:fldChar w:fldCharType="separate"/>
      </w:r>
      <w:r>
        <w:t>72</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_Toc29491 </w:instrText>
      </w:r>
      <w:r>
        <w:rPr>
          <w:rFonts w:hint="eastAsia" w:ascii="宋体" w:hAnsi="宋体" w:cs="宋体"/>
          <w:highlight w:val="none"/>
        </w:rPr>
        <w:fldChar w:fldCharType="separate"/>
      </w:r>
      <w:r>
        <w:rPr>
          <w:rFonts w:hint="eastAsia" w:ascii="宋体" w:hAnsi="宋体" w:cs="宋体"/>
          <w:bCs/>
          <w:highlight w:val="none"/>
        </w:rPr>
        <w:t>附件</w:t>
      </w:r>
      <w:r>
        <w:rPr>
          <w:rFonts w:hint="eastAsia" w:ascii="宋体" w:hAnsi="宋体" w:cs="宋体"/>
          <w:bCs/>
          <w:highlight w:val="none"/>
          <w:lang w:val="en-US" w:eastAsia="zh-CN"/>
        </w:rPr>
        <w:t>十九</w:t>
      </w:r>
      <w:r>
        <w:rPr>
          <w:rFonts w:hint="eastAsia" w:ascii="宋体" w:hAnsi="宋体" w:cs="宋体"/>
          <w:bCs/>
          <w:highlight w:val="none"/>
        </w:rPr>
        <w:t>：东阳市采购项目验收方案（投标时无需提供）</w:t>
      </w:r>
      <w:r>
        <w:tab/>
      </w:r>
      <w:r>
        <w:fldChar w:fldCharType="begin"/>
      </w:r>
      <w:r>
        <w:instrText xml:space="preserve"> PAGEREF _Toc29491 \h </w:instrText>
      </w:r>
      <w:r>
        <w:fldChar w:fldCharType="separate"/>
      </w:r>
      <w:r>
        <w:t>73</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_Toc28519 </w:instrText>
      </w:r>
      <w:r>
        <w:rPr>
          <w:rFonts w:hint="eastAsia" w:ascii="宋体" w:hAnsi="宋体" w:cs="宋体"/>
          <w:highlight w:val="none"/>
        </w:rPr>
        <w:fldChar w:fldCharType="separate"/>
      </w:r>
      <w:r>
        <w:rPr>
          <w:rFonts w:hint="eastAsia" w:ascii="宋体" w:hAnsi="宋体" w:eastAsia="宋体" w:cs="宋体"/>
          <w:highlight w:val="none"/>
        </w:rPr>
        <w:t>附件</w:t>
      </w:r>
      <w:r>
        <w:rPr>
          <w:rFonts w:hint="eastAsia" w:ascii="宋体" w:hAnsi="宋体" w:eastAsia="宋体" w:cs="宋体"/>
          <w:highlight w:val="none"/>
          <w:lang w:val="en-US" w:eastAsia="zh-CN"/>
        </w:rPr>
        <w:t>二十</w:t>
      </w:r>
      <w:r>
        <w:rPr>
          <w:rFonts w:hint="eastAsia" w:ascii="宋体" w:hAnsi="宋体" w:eastAsia="宋体" w:cs="宋体"/>
          <w:highlight w:val="none"/>
        </w:rPr>
        <w:t>：质疑函范本</w:t>
      </w:r>
      <w:r>
        <w:tab/>
      </w:r>
      <w:r>
        <w:fldChar w:fldCharType="begin"/>
      </w:r>
      <w:r>
        <w:instrText xml:space="preserve"> PAGEREF _Toc28519 \h </w:instrText>
      </w:r>
      <w:r>
        <w:fldChar w:fldCharType="separate"/>
      </w:r>
      <w:r>
        <w:t>74</w:t>
      </w:r>
      <w:r>
        <w:fldChar w:fldCharType="end"/>
      </w:r>
      <w:r>
        <w:rPr>
          <w:rFonts w:hint="eastAsia" w:ascii="宋体" w:hAnsi="宋体" w:cs="宋体"/>
          <w:color w:val="auto"/>
          <w:highlight w:val="none"/>
        </w:rPr>
        <w:fldChar w:fldCharType="end"/>
      </w:r>
    </w:p>
    <w:p>
      <w:pPr>
        <w:pStyle w:val="29"/>
        <w:tabs>
          <w:tab w:val="right" w:leader="dot" w:pos="9524"/>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_Toc19378 </w:instrText>
      </w:r>
      <w:r>
        <w:rPr>
          <w:rFonts w:hint="eastAsia" w:ascii="宋体" w:hAnsi="宋体" w:cs="宋体"/>
          <w:highlight w:val="none"/>
        </w:rPr>
        <w:fldChar w:fldCharType="separate"/>
      </w:r>
      <w:r>
        <w:rPr>
          <w:rFonts w:hint="eastAsia" w:ascii="宋体" w:hAnsi="宋体" w:eastAsia="宋体" w:cs="宋体"/>
          <w:highlight w:val="none"/>
        </w:rPr>
        <w:t>附件二十</w:t>
      </w:r>
      <w:r>
        <w:rPr>
          <w:rFonts w:hint="eastAsia" w:ascii="宋体" w:hAnsi="宋体" w:eastAsia="宋体" w:cs="宋体"/>
          <w:highlight w:val="none"/>
          <w:lang w:val="en-US" w:eastAsia="zh-CN"/>
        </w:rPr>
        <w:t>一</w:t>
      </w:r>
      <w:r>
        <w:rPr>
          <w:rFonts w:hint="eastAsia" w:ascii="宋体" w:hAnsi="宋体" w:eastAsia="宋体" w:cs="宋体"/>
          <w:highlight w:val="none"/>
        </w:rPr>
        <w:t>：投诉书范本</w:t>
      </w:r>
      <w:r>
        <w:tab/>
      </w:r>
      <w:r>
        <w:fldChar w:fldCharType="begin"/>
      </w:r>
      <w:r>
        <w:instrText xml:space="preserve"> PAGEREF _Toc19378 \h </w:instrText>
      </w:r>
      <w:r>
        <w:fldChar w:fldCharType="separate"/>
      </w:r>
      <w:r>
        <w:t>76</w:t>
      </w:r>
      <w:r>
        <w:fldChar w:fldCharType="end"/>
      </w:r>
      <w:r>
        <w:rPr>
          <w:rFonts w:hint="eastAsia" w:ascii="宋体" w:hAnsi="宋体" w:cs="宋体"/>
          <w:color w:val="auto"/>
          <w:highlight w:val="none"/>
        </w:rPr>
        <w:fldChar w:fldCharType="end"/>
      </w:r>
    </w:p>
    <w:p>
      <w:pPr>
        <w:pStyle w:val="32"/>
        <w:tabs>
          <w:tab w:val="right" w:leader="dot" w:pos="9402"/>
        </w:tabs>
        <w:spacing w:line="360" w:lineRule="auto"/>
        <w:jc w:val="center"/>
        <w:rPr>
          <w:rFonts w:ascii="宋体" w:hAnsi="宋体" w:cs="宋体"/>
          <w:color w:val="auto"/>
          <w:sz w:val="24"/>
          <w:highlight w:val="none"/>
        </w:rPr>
      </w:pPr>
      <w:r>
        <w:rPr>
          <w:rFonts w:hint="eastAsia" w:ascii="宋体" w:hAnsi="宋体" w:cs="宋体"/>
          <w:color w:val="auto"/>
          <w:highlight w:val="none"/>
        </w:rPr>
        <w:fldChar w:fldCharType="end"/>
      </w:r>
    </w:p>
    <w:p>
      <w:pPr>
        <w:spacing w:line="360" w:lineRule="auto"/>
        <w:rPr>
          <w:rFonts w:ascii="宋体" w:hAnsi="宋体" w:cs="宋体"/>
          <w:color w:val="auto"/>
          <w:sz w:val="24"/>
          <w:highlight w:val="none"/>
        </w:rPr>
      </w:pPr>
    </w:p>
    <w:p>
      <w:pPr>
        <w:pStyle w:val="32"/>
        <w:pageBreakBefore/>
        <w:tabs>
          <w:tab w:val="right" w:leader="dot" w:pos="9402"/>
        </w:tabs>
        <w:spacing w:line="460" w:lineRule="exact"/>
        <w:jc w:val="center"/>
        <w:outlineLvl w:val="0"/>
        <w:rPr>
          <w:rFonts w:ascii="宋体" w:hAnsi="宋体" w:cs="宋体"/>
          <w:b/>
          <w:color w:val="auto"/>
          <w:sz w:val="24"/>
          <w:highlight w:val="none"/>
        </w:rPr>
      </w:pPr>
      <w:bookmarkStart w:id="0" w:name="_Toc24734"/>
      <w:r>
        <w:rPr>
          <w:rFonts w:hint="eastAsia" w:ascii="宋体" w:hAnsi="宋体" w:cs="宋体"/>
          <w:b/>
          <w:color w:val="auto"/>
          <w:sz w:val="24"/>
          <w:highlight w:val="none"/>
        </w:rPr>
        <w:t>第一章  竞争性磋商公告</w:t>
      </w:r>
      <w:bookmarkEnd w:id="0"/>
      <w:r>
        <w:rPr>
          <w:rFonts w:hint="eastAsia" w:ascii="宋体" w:hAnsi="宋体" w:cs="宋体"/>
          <w:b/>
          <w:color w:val="auto"/>
          <w:sz w:val="24"/>
          <w:highlight w:val="none"/>
        </w:rPr>
        <w:t xml:space="preserve"> </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六石安置区二期水系联通工程</w:t>
      </w:r>
      <w:r>
        <w:rPr>
          <w:rFonts w:hint="eastAsia" w:ascii="宋体" w:hAnsi="宋体" w:eastAsia="宋体" w:cs="宋体"/>
          <w:color w:val="auto"/>
          <w:sz w:val="24"/>
          <w:highlight w:val="none"/>
        </w:rPr>
        <w:t>的</w:t>
      </w:r>
      <w:r>
        <w:rPr>
          <w:rFonts w:hint="eastAsia" w:ascii="宋体" w:hAnsi="宋体" w:cs="宋体"/>
          <w:color w:val="auto"/>
          <w:sz w:val="24"/>
          <w:highlight w:val="none"/>
        </w:rPr>
        <w:t>潜在供应商应在</w:t>
      </w:r>
      <w:r>
        <w:rPr>
          <w:rFonts w:hint="eastAsia" w:ascii="宋体" w:hAnsi="宋体" w:cs="宋体"/>
          <w:color w:val="auto"/>
          <w:sz w:val="24"/>
          <w:highlight w:val="none"/>
          <w:u w:val="single"/>
        </w:rPr>
        <w:t>浙江政府采购网（http://zfcg.czt.zj.gov.cn/）；东阳市公共资源交易网(http://www.dongyang.gov.cn/ggzyjy/index.html)</w:t>
      </w:r>
      <w:r>
        <w:rPr>
          <w:rFonts w:hint="eastAsia" w:ascii="宋体" w:hAnsi="宋体" w:cs="宋体"/>
          <w:color w:val="auto"/>
          <w:sz w:val="24"/>
          <w:highlight w:val="none"/>
        </w:rPr>
        <w:t>获取（下载）磋商文件，并于</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eastAsia="zh-CN"/>
        </w:rPr>
        <w:t>分</w:t>
      </w:r>
      <w:r>
        <w:rPr>
          <w:rFonts w:hint="eastAsia" w:ascii="宋体" w:hAnsi="宋体" w:cs="宋体"/>
          <w:color w:val="auto"/>
          <w:sz w:val="24"/>
          <w:highlight w:val="none"/>
        </w:rPr>
        <w:t>（北京时间）前递交（上传）电子磋商响应文件。</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textAlignment w:val="auto"/>
        <w:rPr>
          <w:rFonts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一、</w:t>
      </w:r>
      <w:r>
        <w:rPr>
          <w:rFonts w:hint="eastAsia" w:ascii="宋体" w:hAnsi="宋体" w:cs="宋体"/>
          <w:b/>
          <w:bCs/>
          <w:color w:val="auto"/>
          <w:sz w:val="24"/>
          <w:highlight w:val="none"/>
        </w:rPr>
        <w:t>项目基本情况</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项目编号：</w:t>
      </w:r>
      <w:r>
        <w:rPr>
          <w:rFonts w:hint="eastAsia" w:ascii="宋体" w:hAnsi="宋体" w:cs="宋体"/>
          <w:color w:val="auto"/>
          <w:sz w:val="24"/>
          <w:highlight w:val="none"/>
          <w:lang w:eastAsia="zh-CN"/>
        </w:rPr>
        <w:t>DYBWZFCG2026-CS-009</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六石安置区二期水系联通工程</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ascii="宋体" w:hAnsi="宋体" w:cs="宋体"/>
          <w:b w:val="0"/>
          <w:bCs w:val="0"/>
          <w:color w:val="auto"/>
          <w:sz w:val="24"/>
          <w:highlight w:val="none"/>
        </w:rPr>
      </w:pPr>
      <w:r>
        <w:rPr>
          <w:rFonts w:hint="eastAsia" w:ascii="宋体" w:hAnsi="宋体" w:cs="宋体"/>
          <w:b/>
          <w:bCs/>
          <w:color w:val="auto"/>
          <w:sz w:val="24"/>
          <w:highlight w:val="none"/>
        </w:rPr>
        <w:t>采购方式：</w:t>
      </w:r>
      <w:r>
        <w:rPr>
          <w:rFonts w:hint="eastAsia" w:ascii="宋体" w:hAnsi="宋体" w:cs="宋体"/>
          <w:b w:val="0"/>
          <w:bCs w:val="0"/>
          <w:color w:val="auto"/>
          <w:sz w:val="24"/>
          <w:highlight w:val="none"/>
        </w:rPr>
        <w:t>竞争性磋商</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cs="宋体"/>
          <w:b w:val="0"/>
          <w:bCs w:val="0"/>
          <w:color w:val="auto"/>
          <w:sz w:val="24"/>
          <w:highlight w:val="none"/>
        </w:rPr>
      </w:pPr>
      <w:r>
        <w:rPr>
          <w:rFonts w:hint="eastAsia" w:ascii="宋体" w:hAnsi="宋体" w:cs="宋体"/>
          <w:b/>
          <w:bCs/>
          <w:color w:val="auto"/>
          <w:sz w:val="24"/>
          <w:highlight w:val="none"/>
        </w:rPr>
        <w:t>预算金额（元）：</w:t>
      </w:r>
      <w:r>
        <w:rPr>
          <w:rFonts w:hint="eastAsia" w:ascii="宋体" w:hAnsi="宋体" w:cs="宋体"/>
          <w:b w:val="0"/>
          <w:bCs w:val="0"/>
          <w:color w:val="auto"/>
          <w:sz w:val="24"/>
          <w:highlight w:val="none"/>
          <w:lang w:val="en-US" w:eastAsia="zh-CN"/>
        </w:rPr>
        <w:t>981600</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最高限价（元）：</w:t>
      </w:r>
      <w:r>
        <w:rPr>
          <w:rFonts w:hint="eastAsia" w:ascii="宋体" w:hAnsi="宋体" w:cs="宋体"/>
          <w:b w:val="0"/>
          <w:bCs w:val="0"/>
          <w:color w:val="auto"/>
          <w:sz w:val="24"/>
          <w:highlight w:val="none"/>
          <w:lang w:val="en-US" w:eastAsia="zh-CN"/>
        </w:rPr>
        <w:t>981600</w:t>
      </w:r>
    </w:p>
    <w:p>
      <w:pPr>
        <w:pStyle w:val="18"/>
        <w:keepNext w:val="0"/>
        <w:keepLines w:val="0"/>
        <w:pageBreakBefore w:val="0"/>
        <w:widowControl w:val="0"/>
        <w:kinsoku/>
        <w:wordWrap/>
        <w:overflowPunct/>
        <w:topLinePunct w:val="0"/>
        <w:autoSpaceDE/>
        <w:autoSpaceDN/>
        <w:bidi w:val="0"/>
        <w:adjustRightInd/>
        <w:spacing w:after="0" w:line="440" w:lineRule="atLeast"/>
        <w:ind w:firstLine="482" w:firstLineChars="200"/>
        <w:textAlignment w:val="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采购需求：</w:t>
      </w:r>
      <w:r>
        <w:rPr>
          <w:rFonts w:hint="eastAsia" w:ascii="宋体" w:hAnsi="宋体" w:cs="宋体"/>
          <w:b w:val="0"/>
          <w:bCs w:val="0"/>
          <w:color w:val="auto"/>
          <w:sz w:val="24"/>
          <w:highlight w:val="none"/>
          <w:lang w:val="en-US" w:eastAsia="zh-CN"/>
        </w:rPr>
        <w:t>详见竞争性磋商文件</w:t>
      </w:r>
    </w:p>
    <w:p>
      <w:pPr>
        <w:pStyle w:val="18"/>
        <w:keepNext w:val="0"/>
        <w:keepLines w:val="0"/>
        <w:pageBreakBefore w:val="0"/>
        <w:widowControl w:val="0"/>
        <w:kinsoku/>
        <w:wordWrap/>
        <w:overflowPunct/>
        <w:topLinePunct w:val="0"/>
        <w:autoSpaceDE/>
        <w:autoSpaceDN/>
        <w:bidi w:val="0"/>
        <w:adjustRightInd/>
        <w:spacing w:after="0" w:line="440" w:lineRule="atLeast"/>
        <w:ind w:firstLine="482" w:firstLineChars="200"/>
        <w:textAlignment w:val="auto"/>
        <w:rPr>
          <w:rFonts w:hint="eastAsia" w:ascii="宋体" w:hAnsi="宋体" w:cs="宋体"/>
          <w:color w:val="auto"/>
          <w:sz w:val="24"/>
          <w:highlight w:val="none"/>
          <w:lang w:eastAsia="zh-CN"/>
        </w:rPr>
      </w:pPr>
      <w:r>
        <w:rPr>
          <w:rFonts w:hint="eastAsia" w:ascii="宋体" w:hAnsi="宋体" w:cs="宋体"/>
          <w:b/>
          <w:bCs/>
          <w:color w:val="auto"/>
          <w:sz w:val="24"/>
          <w:highlight w:val="none"/>
        </w:rPr>
        <w:t>标项名称：</w:t>
      </w:r>
      <w:r>
        <w:rPr>
          <w:rFonts w:hint="eastAsia" w:ascii="宋体" w:hAnsi="宋体" w:cs="宋体"/>
          <w:color w:val="auto"/>
          <w:sz w:val="24"/>
          <w:highlight w:val="none"/>
          <w:lang w:eastAsia="zh-CN"/>
        </w:rPr>
        <w:t>六石安置区二期水系联通工程</w:t>
      </w:r>
    </w:p>
    <w:p>
      <w:pPr>
        <w:pStyle w:val="18"/>
        <w:keepNext w:val="0"/>
        <w:keepLines w:val="0"/>
        <w:pageBreakBefore w:val="0"/>
        <w:widowControl w:val="0"/>
        <w:kinsoku/>
        <w:wordWrap/>
        <w:overflowPunct/>
        <w:topLinePunct w:val="0"/>
        <w:autoSpaceDE/>
        <w:autoSpaceDN/>
        <w:bidi w:val="0"/>
        <w:adjustRightInd/>
        <w:spacing w:after="0" w:line="440" w:lineRule="atLeas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rPr>
        <w:t>数量：</w:t>
      </w:r>
      <w:r>
        <w:rPr>
          <w:rFonts w:hint="eastAsia" w:ascii="宋体" w:hAnsi="宋体" w:cs="宋体"/>
          <w:color w:val="auto"/>
          <w:sz w:val="24"/>
          <w:highlight w:val="none"/>
        </w:rPr>
        <w:t>1项</w:t>
      </w:r>
    </w:p>
    <w:p>
      <w:pPr>
        <w:pStyle w:val="18"/>
        <w:keepNext w:val="0"/>
        <w:keepLines w:val="0"/>
        <w:pageBreakBefore w:val="0"/>
        <w:widowControl w:val="0"/>
        <w:kinsoku/>
        <w:wordWrap/>
        <w:overflowPunct/>
        <w:topLinePunct w:val="0"/>
        <w:autoSpaceDE/>
        <w:autoSpaceDN/>
        <w:bidi w:val="0"/>
        <w:adjustRightInd/>
        <w:spacing w:after="0" w:line="440" w:lineRule="atLeast"/>
        <w:ind w:firstLine="482"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rPr>
        <w:t>预算金额（元）</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rPr>
        <w:t>981600</w:t>
      </w:r>
    </w:p>
    <w:p>
      <w:pPr>
        <w:pStyle w:val="18"/>
        <w:keepNext w:val="0"/>
        <w:keepLines w:val="0"/>
        <w:pageBreakBefore w:val="0"/>
        <w:widowControl w:val="0"/>
        <w:kinsoku/>
        <w:wordWrap/>
        <w:overflowPunct/>
        <w:topLinePunct w:val="0"/>
        <w:autoSpaceDE/>
        <w:autoSpaceDN/>
        <w:bidi w:val="0"/>
        <w:adjustRightInd/>
        <w:spacing w:after="0"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简要规格描述或项目基本概况介绍、用途：具体要求详见第</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章招标需求</w:t>
      </w:r>
    </w:p>
    <w:p>
      <w:pPr>
        <w:pStyle w:val="18"/>
        <w:keepNext w:val="0"/>
        <w:keepLines w:val="0"/>
        <w:pageBreakBefore w:val="0"/>
        <w:widowControl w:val="0"/>
        <w:kinsoku/>
        <w:wordWrap/>
        <w:overflowPunct/>
        <w:topLinePunct w:val="0"/>
        <w:autoSpaceDE/>
        <w:autoSpaceDN/>
        <w:bidi w:val="0"/>
        <w:adjustRightInd/>
        <w:spacing w:after="0"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备注：本工程为</w:t>
      </w:r>
      <w:r>
        <w:rPr>
          <w:rFonts w:hint="eastAsia" w:ascii="宋体" w:hAnsi="宋体" w:cs="宋体"/>
          <w:color w:val="auto"/>
          <w:sz w:val="24"/>
          <w:highlight w:val="none"/>
          <w:lang w:eastAsia="zh-CN"/>
        </w:rPr>
        <w:t>六石安置区二期水系联通工程</w:t>
      </w:r>
      <w:r>
        <w:rPr>
          <w:rFonts w:hint="eastAsia" w:ascii="宋体" w:hAnsi="宋体" w:cs="宋体"/>
          <w:color w:val="auto"/>
          <w:sz w:val="24"/>
          <w:highlight w:val="none"/>
        </w:rPr>
        <w:t>，</w:t>
      </w:r>
      <w:r>
        <w:rPr>
          <w:rFonts w:hint="eastAsia" w:ascii="宋体" w:hAnsi="宋体" w:cs="宋体"/>
          <w:color w:val="auto"/>
          <w:sz w:val="24"/>
          <w:highlight w:val="none"/>
          <w:lang w:eastAsia="zh-CN"/>
        </w:rPr>
        <w:t>本工程原混凝土路面破除80.67m3,0.4*0.5排水沟183米,1*0.8排水沟180米,1*0.8盖板渠10米,1*1.3排水沟378米,1*1.3盖板渠31.5米，沉砂池2座,D800涵管78米,D1000涵管240米,1.5m*1.5m钢筋砼井3座,铸铁平板匣3套等</w:t>
      </w:r>
      <w:r>
        <w:rPr>
          <w:rFonts w:hint="eastAsia" w:ascii="宋体" w:hAnsi="宋体" w:cs="宋体"/>
          <w:color w:val="auto"/>
          <w:sz w:val="24"/>
          <w:highlight w:val="none"/>
        </w:rPr>
        <w:t>。</w:t>
      </w:r>
    </w:p>
    <w:p>
      <w:pPr>
        <w:pStyle w:val="18"/>
        <w:keepNext w:val="0"/>
        <w:keepLines w:val="0"/>
        <w:pageBreakBefore w:val="0"/>
        <w:widowControl w:val="0"/>
        <w:kinsoku/>
        <w:wordWrap/>
        <w:overflowPunct/>
        <w:topLinePunct w:val="0"/>
        <w:autoSpaceDE/>
        <w:autoSpaceDN/>
        <w:bidi w:val="0"/>
        <w:adjustRightInd/>
        <w:spacing w:after="0"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合同履约期限：详见竞争性磋商文件</w:t>
      </w:r>
    </w:p>
    <w:p>
      <w:pPr>
        <w:pStyle w:val="18"/>
        <w:keepNext w:val="0"/>
        <w:keepLines w:val="0"/>
        <w:pageBreakBefore w:val="0"/>
        <w:widowControl w:val="0"/>
        <w:kinsoku/>
        <w:wordWrap/>
        <w:overflowPunct/>
        <w:topLinePunct w:val="0"/>
        <w:autoSpaceDE/>
        <w:autoSpaceDN/>
        <w:bidi w:val="0"/>
        <w:adjustRightInd/>
        <w:spacing w:after="0" w:line="440" w:lineRule="atLeas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本项目（是）接受联合体投标。  </w:t>
      </w:r>
    </w:p>
    <w:p>
      <w:pPr>
        <w:keepNext w:val="0"/>
        <w:keepLines w:val="0"/>
        <w:pageBreakBefore w:val="0"/>
        <w:widowControl w:val="0"/>
        <w:kinsoku/>
        <w:wordWrap/>
        <w:overflowPunct/>
        <w:topLinePunct w:val="0"/>
        <w:autoSpaceDE/>
        <w:autoSpaceDN/>
        <w:bidi w:val="0"/>
        <w:adjustRightInd/>
        <w:snapToGrid w:val="0"/>
        <w:spacing w:line="440" w:lineRule="atLeast"/>
        <w:textAlignment w:val="auto"/>
        <w:rPr>
          <w:rFonts w:ascii="宋体" w:hAnsi="宋体" w:cs="宋体"/>
          <w:b/>
          <w:bCs/>
          <w:strike/>
          <w:color w:val="auto"/>
          <w:sz w:val="24"/>
          <w:highlight w:val="none"/>
        </w:rPr>
      </w:pPr>
      <w:r>
        <w:rPr>
          <w:rFonts w:hint="eastAsia" w:ascii="宋体" w:hAnsi="宋体" w:cs="宋体"/>
          <w:b/>
          <w:bCs/>
          <w:color w:val="auto"/>
          <w:sz w:val="24"/>
          <w:highlight w:val="none"/>
        </w:rPr>
        <w:t xml:space="preserve">▲二、申请人的资格要求： </w:t>
      </w:r>
    </w:p>
    <w:p>
      <w:pPr>
        <w:pStyle w:val="18"/>
        <w:keepNext w:val="0"/>
        <w:keepLines w:val="0"/>
        <w:pageBreakBefore w:val="0"/>
        <w:widowControl w:val="0"/>
        <w:kinsoku/>
        <w:wordWrap/>
        <w:overflowPunct/>
        <w:topLinePunct w:val="0"/>
        <w:autoSpaceDE/>
        <w:autoSpaceDN/>
        <w:bidi w:val="0"/>
        <w:adjustRightInd/>
        <w:spacing w:after="0" w:line="440" w:lineRule="atLeast"/>
        <w:ind w:firstLine="720" w:firstLineChars="3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（磋商响应方自202</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年1月1日以来在建设工程招投标领域有行政处罚记录、重大违法记录的作无效标处理；供应商自202</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年1月1日以来供应商存在串标、围标等不良行为未被处罚的也作无效标处理。</w:t>
      </w:r>
      <w:r>
        <w:rPr>
          <w:rFonts w:hint="eastAsia" w:ascii="宋体" w:hAnsi="宋体" w:eastAsia="宋体" w:cs="宋体"/>
          <w:color w:val="auto"/>
          <w:kern w:val="2"/>
          <w:sz w:val="24"/>
          <w:szCs w:val="24"/>
          <w:highlight w:val="none"/>
          <w:lang w:val="en-US" w:eastAsia="zh-CN" w:bidi="ar-SA"/>
        </w:rPr>
        <w:t>（以省级及以上政府采购网和信用中国查询截图为准）</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atLeast"/>
        <w:ind w:firstLine="723" w:firstLineChars="3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2、落实政府采购政策需满足的资格要求：</w:t>
      </w:r>
    </w:p>
    <w:p>
      <w:pPr>
        <w:pStyle w:val="18"/>
        <w:keepNext w:val="0"/>
        <w:keepLines w:val="0"/>
        <w:pageBreakBefore w:val="0"/>
        <w:widowControl w:val="0"/>
        <w:kinsoku/>
        <w:wordWrap/>
        <w:overflowPunct/>
        <w:topLinePunct w:val="0"/>
        <w:autoSpaceDE/>
        <w:autoSpaceDN/>
        <w:bidi w:val="0"/>
        <w:adjustRightInd/>
        <w:spacing w:after="0" w:line="440" w:lineRule="atLeast"/>
        <w:ind w:firstLine="723" w:firstLineChars="3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A、本项目专门面向中小微企业，服务全部由符合政策要求的中小微企业提供，供应商参加投标时，投标文件中须提供中小企业声明函。</w:t>
      </w:r>
    </w:p>
    <w:p>
      <w:pPr>
        <w:pStyle w:val="18"/>
        <w:keepNext w:val="0"/>
        <w:keepLines w:val="0"/>
        <w:pageBreakBefore w:val="0"/>
        <w:widowControl w:val="0"/>
        <w:kinsoku/>
        <w:wordWrap/>
        <w:overflowPunct/>
        <w:topLinePunct w:val="0"/>
        <w:autoSpaceDE/>
        <w:autoSpaceDN/>
        <w:bidi w:val="0"/>
        <w:adjustRightInd/>
        <w:spacing w:after="0" w:line="440" w:lineRule="atLeast"/>
        <w:ind w:firstLine="723" w:firstLineChars="3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B、本项目接受中型企业与小微企业组成联合体投标，接受中型企业向一家或者多家小微企业分包。组成联合体投标的，需提供联合协议和中小企业声明函；向小微企业分包的，提供分包意向协议和中小企业声明函。本项目已对中小微企业进行预留，不再重复享受价格扣除的优惠政策。</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 xml:space="preserve">3、本项目的特定资格要求：   </w:t>
      </w:r>
    </w:p>
    <w:p>
      <w:pPr>
        <w:pStyle w:val="18"/>
        <w:keepNext w:val="0"/>
        <w:keepLines w:val="0"/>
        <w:pageBreakBefore w:val="0"/>
        <w:widowControl w:val="0"/>
        <w:numPr>
          <w:ilvl w:val="0"/>
          <w:numId w:val="0"/>
        </w:numPr>
        <w:kinsoku/>
        <w:wordWrap/>
        <w:overflowPunct/>
        <w:topLinePunct w:val="0"/>
        <w:autoSpaceDE/>
        <w:autoSpaceDN/>
        <w:bidi w:val="0"/>
        <w:adjustRightInd/>
        <w:spacing w:after="0" w:line="440" w:lineRule="atLeast"/>
        <w:ind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highlight w:val="none"/>
        </w:rPr>
        <w:t>磋商</w:t>
      </w:r>
      <w:r>
        <w:rPr>
          <w:rFonts w:hint="eastAsia" w:ascii="宋体" w:hAnsi="宋体"/>
          <w:color w:val="auto"/>
          <w:sz w:val="24"/>
          <w:highlight w:val="none"/>
        </w:rPr>
        <w:t>响应方</w:t>
      </w:r>
      <w:r>
        <w:rPr>
          <w:rFonts w:hint="eastAsia" w:ascii="宋体" w:hAnsi="宋体" w:cs="宋体"/>
          <w:color w:val="auto"/>
          <w:sz w:val="24"/>
          <w:highlight w:val="none"/>
        </w:rPr>
        <w:t>具备有效的</w:t>
      </w:r>
      <w:r>
        <w:rPr>
          <w:rFonts w:hint="eastAsia" w:ascii="宋体" w:hAnsi="宋体" w:cs="宋体"/>
          <w:color w:val="auto"/>
          <w:sz w:val="24"/>
          <w:highlight w:val="none"/>
          <w:lang w:val="en-US" w:eastAsia="zh-CN"/>
        </w:rPr>
        <w:t>市政工程施工总承包</w:t>
      </w:r>
      <w:r>
        <w:rPr>
          <w:rFonts w:hint="eastAsia" w:ascii="宋体" w:hAnsi="宋体" w:cs="宋体"/>
          <w:color w:val="auto"/>
          <w:sz w:val="24"/>
          <w:highlight w:val="none"/>
        </w:rPr>
        <w:t>三级（含）以上资质</w:t>
      </w:r>
      <w:r>
        <w:rPr>
          <w:rFonts w:hint="eastAsia" w:ascii="宋体" w:hAnsi="宋体" w:cs="宋体"/>
          <w:color w:val="auto"/>
          <w:sz w:val="24"/>
          <w:highlight w:val="none"/>
          <w:lang w:eastAsia="zh-CN"/>
        </w:rPr>
        <w:t>。</w:t>
      </w:r>
    </w:p>
    <w:p>
      <w:pPr>
        <w:pStyle w:val="18"/>
        <w:keepNext w:val="0"/>
        <w:keepLines w:val="0"/>
        <w:pageBreakBefore w:val="0"/>
        <w:widowControl w:val="0"/>
        <w:kinsoku/>
        <w:wordWrap/>
        <w:overflowPunct/>
        <w:topLinePunct w:val="0"/>
        <w:autoSpaceDE/>
        <w:autoSpaceDN/>
        <w:bidi w:val="0"/>
        <w:adjustRightInd/>
        <w:spacing w:after="0"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）磋商响应方具备有效的企业安全生产许可证。</w:t>
      </w:r>
    </w:p>
    <w:p>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 xml:space="preserve">三、获取磋商文件： </w:t>
      </w:r>
    </w:p>
    <w:p>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时间：/至</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，每天上午00：00至12:00，下午12:00至23:59（北京时间，线上获取法定节假日均可，线下获取文件法定节假日除外）</w:t>
      </w:r>
    </w:p>
    <w:p>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地点（网址）：浙江政府采购网（http://zfcg.czt.zj.gov.cn/）； 东阳市公共资源交易网(http://www.dongyang.gov.cn/ggzyjy/index.html)</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方式：1、由供应商通过登录浙江省政府采购网(http://zfcg.czt.zj.gov.cn/)上的政采云系统进行获取（首次参加谈判的单位应先登录浙江省政府采购网(http://zfcg.czt.zj.gov.cn/)进行账户注册，注册完毕待审核成功后方可登录政采云系统获取；注册流程见网址http://zfcg.czt.zj.gov.cn/register/2017-07-24/6728.html?_=2017-11-13%2011:10:28）；</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2、竞争性磋商文件获取流程：浙江政府采购网-政采云用户登录-用户中心-项目采购-获取采购文件管理。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3、浙江政府采购网上以“游客”身份获取的采购文件仅供阅览；潜在供应商应按上述方式获取采购文件；未按上述方式获取采购文件的，不得对采购文件提起质疑投诉。</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售价（元）：0</w:t>
      </w:r>
    </w:p>
    <w:p>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四、响应文件提交</w:t>
      </w:r>
    </w:p>
    <w:p>
      <w:pPr>
        <w:keepNext w:val="0"/>
        <w:keepLines w:val="0"/>
        <w:pageBreakBefore w:val="0"/>
        <w:kinsoku/>
        <w:wordWrap/>
        <w:overflowPunct/>
        <w:topLinePunct w:val="0"/>
        <w:autoSpaceDE/>
        <w:autoSpaceDN/>
        <w:bidi w:val="0"/>
        <w:snapToGrid w:val="0"/>
        <w:spacing w:line="440" w:lineRule="exact"/>
        <w:ind w:firstLine="482" w:firstLineChars="200"/>
        <w:textAlignment w:val="auto"/>
        <w:rPr>
          <w:rFonts w:ascii="宋体" w:hAnsi="宋体" w:cs="宋体"/>
          <w:b/>
          <w:bCs/>
          <w:color w:val="FF0000"/>
          <w:sz w:val="24"/>
          <w:highlight w:val="none"/>
        </w:rPr>
      </w:pPr>
      <w:r>
        <w:rPr>
          <w:rFonts w:hint="eastAsia" w:ascii="宋体" w:hAnsi="宋体" w:cs="宋体"/>
          <w:b/>
          <w:bCs/>
          <w:color w:val="FF0000"/>
          <w:sz w:val="24"/>
          <w:highlight w:val="none"/>
        </w:rPr>
        <w:t>截止时间：</w:t>
      </w:r>
      <w:r>
        <w:rPr>
          <w:rFonts w:hint="eastAsia" w:ascii="宋体" w:hAnsi="宋体" w:cs="宋体"/>
          <w:b/>
          <w:bCs/>
          <w:color w:val="FF0000"/>
          <w:sz w:val="24"/>
          <w:highlight w:val="none"/>
          <w:u w:val="single"/>
          <w:lang w:eastAsia="zh-CN"/>
        </w:rPr>
        <w:t>2026年</w:t>
      </w:r>
      <w:r>
        <w:rPr>
          <w:rFonts w:hint="eastAsia" w:ascii="宋体" w:hAnsi="宋体" w:cs="宋体"/>
          <w:b/>
          <w:bCs/>
          <w:color w:val="FF0000"/>
          <w:sz w:val="24"/>
          <w:highlight w:val="none"/>
          <w:u w:val="single"/>
          <w:lang w:val="en-US" w:eastAsia="zh-CN"/>
        </w:rPr>
        <w:t>5</w:t>
      </w:r>
      <w:r>
        <w:rPr>
          <w:rFonts w:hint="eastAsia" w:ascii="宋体" w:hAnsi="宋体" w:cs="宋体"/>
          <w:b/>
          <w:bCs/>
          <w:color w:val="FF0000"/>
          <w:sz w:val="24"/>
          <w:highlight w:val="none"/>
          <w:u w:val="single"/>
          <w:lang w:eastAsia="zh-CN"/>
        </w:rPr>
        <w:t>月</w:t>
      </w:r>
      <w:r>
        <w:rPr>
          <w:rFonts w:hint="eastAsia" w:ascii="宋体" w:hAnsi="宋体" w:cs="宋体"/>
          <w:b/>
          <w:bCs/>
          <w:color w:val="FF0000"/>
          <w:sz w:val="24"/>
          <w:highlight w:val="none"/>
          <w:u w:val="single"/>
          <w:lang w:val="en-US" w:eastAsia="zh-CN"/>
        </w:rPr>
        <w:t>20</w:t>
      </w:r>
      <w:r>
        <w:rPr>
          <w:rFonts w:hint="eastAsia" w:ascii="宋体" w:hAnsi="宋体" w:cs="宋体"/>
          <w:b/>
          <w:bCs/>
          <w:color w:val="FF0000"/>
          <w:sz w:val="24"/>
          <w:highlight w:val="none"/>
          <w:u w:val="single"/>
          <w:lang w:eastAsia="zh-CN"/>
        </w:rPr>
        <w:t>日</w:t>
      </w:r>
      <w:r>
        <w:rPr>
          <w:rFonts w:hint="eastAsia" w:ascii="宋体" w:hAnsi="宋体" w:cs="宋体"/>
          <w:b/>
          <w:bCs/>
          <w:color w:val="FF0000"/>
          <w:sz w:val="24"/>
          <w:highlight w:val="none"/>
          <w:u w:val="single"/>
          <w:lang w:val="en-US" w:eastAsia="zh-CN"/>
        </w:rPr>
        <w:t>14</w:t>
      </w:r>
      <w:r>
        <w:rPr>
          <w:rFonts w:hint="eastAsia" w:ascii="宋体" w:hAnsi="宋体" w:cs="宋体"/>
          <w:b/>
          <w:bCs/>
          <w:color w:val="FF0000"/>
          <w:sz w:val="24"/>
          <w:highlight w:val="none"/>
          <w:u w:val="single"/>
          <w:lang w:eastAsia="zh-CN"/>
        </w:rPr>
        <w:t>时</w:t>
      </w:r>
      <w:r>
        <w:rPr>
          <w:rFonts w:hint="eastAsia" w:ascii="宋体" w:hAnsi="宋体" w:cs="宋体"/>
          <w:b/>
          <w:bCs/>
          <w:color w:val="FF0000"/>
          <w:sz w:val="24"/>
          <w:highlight w:val="none"/>
          <w:u w:val="single"/>
          <w:lang w:val="en-US" w:eastAsia="zh-CN"/>
        </w:rPr>
        <w:t>00</w:t>
      </w:r>
      <w:r>
        <w:rPr>
          <w:rFonts w:hint="eastAsia" w:ascii="宋体" w:hAnsi="宋体" w:cs="宋体"/>
          <w:b/>
          <w:bCs/>
          <w:color w:val="FF0000"/>
          <w:sz w:val="24"/>
          <w:highlight w:val="none"/>
          <w:u w:val="single"/>
          <w:lang w:eastAsia="zh-CN"/>
        </w:rPr>
        <w:t>分</w:t>
      </w:r>
      <w:r>
        <w:rPr>
          <w:rFonts w:hint="eastAsia" w:ascii="宋体" w:hAnsi="宋体" w:cs="宋体"/>
          <w:b/>
          <w:bCs/>
          <w:color w:val="FF0000"/>
          <w:sz w:val="24"/>
          <w:highlight w:val="none"/>
        </w:rPr>
        <w:t>（北京时间）</w:t>
      </w:r>
    </w:p>
    <w:p>
      <w:pPr>
        <w:keepNext w:val="0"/>
        <w:keepLines w:val="0"/>
        <w:pageBreakBefore w:val="0"/>
        <w:kinsoku/>
        <w:wordWrap/>
        <w:overflowPunct/>
        <w:topLinePunct w:val="0"/>
        <w:autoSpaceDE/>
        <w:autoSpaceDN/>
        <w:bidi w:val="0"/>
        <w:snapToGrid w:val="0"/>
        <w:spacing w:line="440" w:lineRule="exact"/>
        <w:ind w:firstLine="482" w:firstLineChars="200"/>
        <w:textAlignment w:val="auto"/>
        <w:rPr>
          <w:rFonts w:ascii="宋体" w:hAnsi="宋体" w:cs="宋体"/>
          <w:b/>
          <w:bCs/>
          <w:color w:val="FF0000"/>
          <w:sz w:val="24"/>
          <w:highlight w:val="none"/>
        </w:rPr>
      </w:pPr>
      <w:r>
        <w:rPr>
          <w:rFonts w:hint="eastAsia" w:ascii="宋体" w:hAnsi="宋体" w:cs="宋体"/>
          <w:b/>
          <w:bCs/>
          <w:color w:val="FF0000"/>
          <w:sz w:val="24"/>
          <w:highlight w:val="none"/>
        </w:rPr>
        <w:t>地点（网址）：政采云平台</w:t>
      </w:r>
    </w:p>
    <w:p>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五、响应文件开启</w:t>
      </w:r>
    </w:p>
    <w:p>
      <w:pPr>
        <w:keepNext w:val="0"/>
        <w:keepLines w:val="0"/>
        <w:pageBreakBefore w:val="0"/>
        <w:kinsoku/>
        <w:wordWrap/>
        <w:overflowPunct/>
        <w:topLinePunct w:val="0"/>
        <w:autoSpaceDE/>
        <w:autoSpaceDN/>
        <w:bidi w:val="0"/>
        <w:snapToGrid w:val="0"/>
        <w:spacing w:line="440" w:lineRule="exact"/>
        <w:ind w:firstLine="482" w:firstLineChars="200"/>
        <w:textAlignment w:val="auto"/>
        <w:rPr>
          <w:rFonts w:ascii="宋体" w:hAnsi="宋体" w:cs="宋体"/>
          <w:color w:val="FF0000"/>
          <w:sz w:val="24"/>
          <w:highlight w:val="none"/>
        </w:rPr>
      </w:pPr>
      <w:r>
        <w:rPr>
          <w:rFonts w:hint="eastAsia" w:ascii="宋体" w:hAnsi="宋体" w:cs="宋体"/>
          <w:b/>
          <w:bCs/>
          <w:color w:val="FF0000"/>
          <w:sz w:val="24"/>
          <w:highlight w:val="none"/>
        </w:rPr>
        <w:t>开启时间：</w:t>
      </w:r>
      <w:r>
        <w:rPr>
          <w:rFonts w:hint="eastAsia" w:ascii="宋体" w:hAnsi="宋体" w:cs="宋体"/>
          <w:b/>
          <w:bCs/>
          <w:color w:val="FF0000"/>
          <w:sz w:val="24"/>
          <w:highlight w:val="none"/>
          <w:u w:val="single"/>
          <w:lang w:eastAsia="zh-CN"/>
        </w:rPr>
        <w:t>2026年</w:t>
      </w:r>
      <w:r>
        <w:rPr>
          <w:rFonts w:hint="eastAsia" w:ascii="宋体" w:hAnsi="宋体" w:cs="宋体"/>
          <w:b/>
          <w:bCs/>
          <w:color w:val="FF0000"/>
          <w:sz w:val="24"/>
          <w:highlight w:val="none"/>
          <w:u w:val="single"/>
          <w:lang w:val="en-US" w:eastAsia="zh-CN"/>
        </w:rPr>
        <w:t>5</w:t>
      </w:r>
      <w:r>
        <w:rPr>
          <w:rFonts w:hint="eastAsia" w:ascii="宋体" w:hAnsi="宋体" w:cs="宋体"/>
          <w:b/>
          <w:bCs/>
          <w:color w:val="FF0000"/>
          <w:sz w:val="24"/>
          <w:highlight w:val="none"/>
          <w:u w:val="single"/>
          <w:lang w:eastAsia="zh-CN"/>
        </w:rPr>
        <w:t>月</w:t>
      </w:r>
      <w:r>
        <w:rPr>
          <w:rFonts w:hint="eastAsia" w:ascii="宋体" w:hAnsi="宋体" w:cs="宋体"/>
          <w:b/>
          <w:bCs/>
          <w:color w:val="FF0000"/>
          <w:sz w:val="24"/>
          <w:highlight w:val="none"/>
          <w:u w:val="single"/>
          <w:lang w:val="en-US" w:eastAsia="zh-CN"/>
        </w:rPr>
        <w:t>20</w:t>
      </w:r>
      <w:r>
        <w:rPr>
          <w:rFonts w:hint="eastAsia" w:ascii="宋体" w:hAnsi="宋体" w:cs="宋体"/>
          <w:b/>
          <w:bCs/>
          <w:color w:val="FF0000"/>
          <w:sz w:val="24"/>
          <w:highlight w:val="none"/>
          <w:u w:val="single"/>
          <w:lang w:eastAsia="zh-CN"/>
        </w:rPr>
        <w:t>日</w:t>
      </w:r>
      <w:r>
        <w:rPr>
          <w:rFonts w:hint="eastAsia" w:ascii="宋体" w:hAnsi="宋体" w:cs="宋体"/>
          <w:b/>
          <w:bCs/>
          <w:color w:val="FF0000"/>
          <w:sz w:val="24"/>
          <w:highlight w:val="none"/>
          <w:u w:val="single"/>
          <w:lang w:val="en-US" w:eastAsia="zh-CN"/>
        </w:rPr>
        <w:t>14</w:t>
      </w:r>
      <w:r>
        <w:rPr>
          <w:rFonts w:hint="eastAsia" w:ascii="宋体" w:hAnsi="宋体" w:cs="宋体"/>
          <w:b/>
          <w:bCs/>
          <w:color w:val="FF0000"/>
          <w:sz w:val="24"/>
          <w:highlight w:val="none"/>
          <w:u w:val="single"/>
          <w:lang w:eastAsia="zh-CN"/>
        </w:rPr>
        <w:t>时</w:t>
      </w:r>
      <w:r>
        <w:rPr>
          <w:rFonts w:hint="eastAsia" w:ascii="宋体" w:hAnsi="宋体" w:cs="宋体"/>
          <w:b/>
          <w:bCs/>
          <w:color w:val="FF0000"/>
          <w:sz w:val="24"/>
          <w:highlight w:val="none"/>
          <w:u w:val="single"/>
          <w:lang w:val="en-US" w:eastAsia="zh-CN"/>
        </w:rPr>
        <w:t>00</w:t>
      </w:r>
      <w:r>
        <w:rPr>
          <w:rFonts w:hint="eastAsia" w:ascii="宋体" w:hAnsi="宋体" w:cs="宋体"/>
          <w:b/>
          <w:bCs/>
          <w:color w:val="FF0000"/>
          <w:sz w:val="24"/>
          <w:highlight w:val="none"/>
          <w:u w:val="single"/>
          <w:lang w:eastAsia="zh-CN"/>
        </w:rPr>
        <w:t>分</w:t>
      </w:r>
      <w:r>
        <w:rPr>
          <w:rFonts w:hint="eastAsia" w:ascii="宋体" w:hAnsi="宋体" w:cs="宋体"/>
          <w:b/>
          <w:bCs/>
          <w:color w:val="FF0000"/>
          <w:sz w:val="24"/>
          <w:highlight w:val="none"/>
        </w:rPr>
        <w:t>（北京时间）</w:t>
      </w:r>
    </w:p>
    <w:p>
      <w:pPr>
        <w:keepNext w:val="0"/>
        <w:keepLines w:val="0"/>
        <w:pageBreakBefore w:val="0"/>
        <w:kinsoku/>
        <w:wordWrap/>
        <w:overflowPunct/>
        <w:topLinePunct w:val="0"/>
        <w:autoSpaceDE/>
        <w:autoSpaceDN/>
        <w:bidi w:val="0"/>
        <w:snapToGrid w:val="0"/>
        <w:spacing w:line="440" w:lineRule="exact"/>
        <w:ind w:firstLine="481"/>
        <w:textAlignment w:val="auto"/>
        <w:rPr>
          <w:rFonts w:ascii="宋体" w:hAnsi="宋体" w:cs="宋体"/>
          <w:b/>
          <w:bCs/>
          <w:color w:val="FF0000"/>
          <w:sz w:val="24"/>
          <w:highlight w:val="none"/>
        </w:rPr>
      </w:pPr>
      <w:r>
        <w:rPr>
          <w:rFonts w:hint="eastAsia" w:ascii="宋体" w:hAnsi="宋体" w:cs="宋体"/>
          <w:b/>
          <w:bCs/>
          <w:color w:val="FF0000"/>
          <w:sz w:val="24"/>
          <w:highlight w:val="none"/>
        </w:rPr>
        <w:t>地点（网址）：政采云平台</w:t>
      </w:r>
    </w:p>
    <w:p>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、公告期限</w:t>
      </w:r>
    </w:p>
    <w:p>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自本公告发布之日起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、其他补充事宜</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其他事项：（1）企业信用融资: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 https://zfcg.czt.zj.gov.cn)的中小企业信用融资栏目了解相关信息。 供应商可以通过浙江政府采购网(https://zfcg. czt.zj. gov.cn/)首页的“浙江政采贷”模块进入申请，还可以通过政府采购云平台(https://www.zcygov.cn/)首页的“金融服务”模块进入申请。</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根据《浙江省财政厅关于进一步加大政府采购支持中小企业力度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本项目实行电子磋商，磋商响应文件应按照本项目竞争性磋商文件和政采云平台的要求编制、加密并递交。供应商在使用系统进行谈判的过程中遇到涉及平台使用的任何问题，可致电政采云平台技术支持热线咨询，联系方式：95763。</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（4）供应商应 在 开 标 前 完 成 CA 数 字 证 书 办 理 。 （ 办 理 流 程 详 见http://zfcg.czt.zj.gov.cn/bidClientTemplate/2019-05-27/12945.html）。完成 CA 数字证书办理预计一周左右，建议各供应商抓紧时间办理。</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（5）供应商通过政采云平台电子磋商工具制作磋商响应文件，电子磋商工具请供应商自行前往浙江省政府采购网下载并安装，（下载网址：http://zfcg.czt.zj.gov.cn/bidClientTemplate/2019-08-30/12975.html），</w:t>
      </w:r>
    </w:p>
    <w:p>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电 子 投 标 相 关 学 习 网 址 ：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"https://edu.zcygov.cn/luban/e-biding?utm=a0004.2ef5001f.0001.0109.2d44db10df9111e9b92b0f36d4889416。）"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https://edu.zcygov.cn/luban/e-biding?utm=a0004.2ef5001f.0001.0109.2d44db10df9111e9b92b0f36d4889416。）</w:t>
      </w:r>
      <w:r>
        <w:rPr>
          <w:rFonts w:hint="eastAsia" w:ascii="宋体" w:hAnsi="宋体" w:eastAsia="宋体" w:cs="宋体"/>
          <w:color w:val="auto"/>
          <w:kern w:val="2"/>
          <w:sz w:val="24"/>
          <w:szCs w:val="24"/>
          <w:highlight w:val="none"/>
          <w:lang w:val="en-US" w:eastAsia="zh-CN" w:bidi="ar-SA"/>
        </w:rPr>
        <w:fldChar w:fldCharType="end"/>
      </w:r>
    </w:p>
    <w:p>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（6）政府采购金融服务提示：为扩大政府采购金融服务面，除政采云网上金融服务合作银行外，东阳市范围内增加浙商银行金华分行东阳支行作为线下合作银行。   </w:t>
      </w:r>
    </w:p>
    <w:p>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浙商银行金华东阳支行  联系人：许燕  联系电话：13967983441  0579-86222992</w:t>
      </w:r>
    </w:p>
    <w:p>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为确保招投标活动的公开、公平、公正，切实维护各方合法权益，凡在招标投标、开标评标过程中，受到敲诈、勒索或发现围标串标、虚假投标、恶意竞标等涉黑涉恶线索者，请及时保留相关证据并向有关部门举报。举报电话：</w:t>
      </w:r>
    </w:p>
    <w:p>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市扫黑办：0579-86655381               市公安局：110、0579-86096000</w:t>
      </w:r>
    </w:p>
    <w:p>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市检察院: 0579-86642000               市 法 院：0579-86620148</w:t>
      </w:r>
    </w:p>
    <w:p>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市公共资源办:0579-86691835            市公共资源交易中心:0579-86691729</w:t>
      </w:r>
    </w:p>
    <w:p>
      <w:pPr>
        <w:keepNext w:val="0"/>
        <w:keepLines w:val="0"/>
        <w:pageBreakBefore w:val="0"/>
        <w:kinsoku/>
        <w:wordWrap/>
        <w:overflowPunct/>
        <w:topLinePunct w:val="0"/>
        <w:autoSpaceDE/>
        <w:autoSpaceDN/>
        <w:bidi w:val="0"/>
        <w:spacing w:line="440" w:lineRule="exact"/>
        <w:textAlignment w:val="auto"/>
        <w:rPr>
          <w:rFonts w:ascii="宋体" w:hAnsi="宋体" w:cs="宋体"/>
          <w:b/>
          <w:color w:val="auto"/>
          <w:sz w:val="28"/>
          <w:szCs w:val="28"/>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、对本次采购提出询问、质疑、投诉，请按以下方式联系。</w:t>
      </w:r>
    </w:p>
    <w:p>
      <w:pPr>
        <w:keepNext w:val="0"/>
        <w:keepLines w:val="0"/>
        <w:widowControl w:val="0"/>
        <w:suppressLineNumbers w:val="0"/>
        <w:spacing w:before="0" w:beforeAutospacing="0" w:after="0" w:afterAutospacing="0" w:line="520" w:lineRule="exact"/>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1、采购人信息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名 称：浙江东阳经济开发区管理委员会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地址：东阳市云松路2号</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项目联系人（询问）：王女士</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项目联系方式（询问）：0579-86968858</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质疑联系人：金先生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质疑联系方式：0579-86968858</w:t>
      </w:r>
    </w:p>
    <w:p>
      <w:pPr>
        <w:keepNext w:val="0"/>
        <w:keepLines w:val="0"/>
        <w:widowControl w:val="0"/>
        <w:suppressLineNumbers w:val="0"/>
        <w:spacing w:before="0" w:beforeAutospacing="0" w:after="0" w:afterAutospacing="0" w:line="520" w:lineRule="exact"/>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2、采购代理机构信息</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名称：东阳八婺工程项目管理有限公司</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地址：东阳市城南东路487号4楼</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项目联系人（询问）：韦张鑫、马晓敏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项目联系方式（询问）：0579-86090018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质疑联系人：徐伟平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质疑联系方式：0579-86090018</w:t>
      </w:r>
    </w:p>
    <w:p>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3.同级政府采购监督管理部门：</w:t>
      </w:r>
    </w:p>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名称：东阳市财政局采监科             地址：东阳市人民路8号</w:t>
      </w:r>
    </w:p>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监督投诉电话：0579-86662677</w:t>
      </w:r>
    </w:p>
    <w:p>
      <w:pPr>
        <w:keepNext w:val="0"/>
        <w:keepLines w:val="0"/>
        <w:pageBreakBefore w:val="0"/>
        <w:kinsoku/>
        <w:wordWrap/>
        <w:overflowPunct/>
        <w:topLinePunct w:val="0"/>
        <w:autoSpaceDE/>
        <w:autoSpaceDN/>
        <w:bidi w:val="0"/>
        <w:snapToGrid w:val="0"/>
        <w:spacing w:line="440" w:lineRule="exact"/>
        <w:ind w:firstLine="482" w:firstLineChars="200"/>
        <w:textAlignment w:val="auto"/>
        <w:rPr>
          <w:rFonts w:ascii="宋体" w:hAnsi="宋体" w:cs="宋体"/>
          <w:b/>
          <w:color w:val="auto"/>
          <w:sz w:val="24"/>
          <w:szCs w:val="20"/>
          <w:highlight w:val="none"/>
        </w:rPr>
      </w:pPr>
      <w:r>
        <w:rPr>
          <w:rFonts w:hint="eastAsia" w:ascii="宋体" w:hAnsi="宋体" w:cs="宋体"/>
          <w:b/>
          <w:color w:val="auto"/>
          <w:sz w:val="24"/>
          <w:szCs w:val="20"/>
          <w:highlight w:val="none"/>
        </w:rPr>
        <w:t>附件：</w:t>
      </w:r>
      <w:r>
        <w:rPr>
          <w:rFonts w:hint="eastAsia" w:ascii="宋体" w:hAnsi="宋体" w:cs="宋体"/>
          <w:b/>
          <w:bCs/>
          <w:color w:val="auto"/>
          <w:sz w:val="24"/>
          <w:highlight w:val="none"/>
          <w:lang w:eastAsia="zh-CN"/>
        </w:rPr>
        <w:t>六石安置区二期水系联通工程</w:t>
      </w:r>
      <w:r>
        <w:rPr>
          <w:rFonts w:hint="eastAsia" w:ascii="宋体" w:hAnsi="宋体" w:cs="宋体"/>
          <w:b/>
          <w:color w:val="auto"/>
          <w:sz w:val="24"/>
          <w:szCs w:val="20"/>
          <w:highlight w:val="none"/>
        </w:rPr>
        <w:t>磋商文件</w:t>
      </w:r>
    </w:p>
    <w:p>
      <w:pPr>
        <w:keepNext w:val="0"/>
        <w:keepLines w:val="0"/>
        <w:pageBreakBefore w:val="0"/>
        <w:kinsoku/>
        <w:wordWrap/>
        <w:overflowPunct/>
        <w:topLinePunct w:val="0"/>
        <w:autoSpaceDE/>
        <w:autoSpaceDN/>
        <w:bidi w:val="0"/>
        <w:snapToGrid w:val="0"/>
        <w:spacing w:line="440" w:lineRule="exact"/>
        <w:ind w:left="4819" w:right="198" w:hanging="4819" w:hangingChars="2000"/>
        <w:textAlignment w:val="auto"/>
        <w:rPr>
          <w:rFonts w:hint="eastAsia"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 xml:space="preserve"> </w:t>
      </w:r>
    </w:p>
    <w:p>
      <w:pPr>
        <w:keepNext w:val="0"/>
        <w:keepLines w:val="0"/>
        <w:pageBreakBefore w:val="0"/>
        <w:kinsoku/>
        <w:wordWrap/>
        <w:overflowPunct/>
        <w:topLinePunct w:val="0"/>
        <w:autoSpaceDE/>
        <w:autoSpaceDN/>
        <w:bidi w:val="0"/>
        <w:snapToGrid w:val="0"/>
        <w:spacing w:line="440" w:lineRule="exact"/>
        <w:ind w:left="4805" w:leftChars="2288" w:right="198" w:firstLine="723" w:firstLineChars="300"/>
        <w:textAlignment w:val="auto"/>
        <w:rPr>
          <w:rFonts w:hint="eastAsia" w:ascii="宋体" w:hAnsi="宋体" w:cs="宋体"/>
          <w:b/>
          <w:color w:val="auto"/>
          <w:sz w:val="24"/>
          <w:highlight w:val="none"/>
          <w:lang w:val="en-US" w:eastAsia="zh-CN"/>
        </w:rPr>
      </w:pPr>
    </w:p>
    <w:p>
      <w:pPr>
        <w:keepNext w:val="0"/>
        <w:keepLines w:val="0"/>
        <w:pageBreakBefore w:val="0"/>
        <w:kinsoku/>
        <w:wordWrap/>
        <w:overflowPunct/>
        <w:topLinePunct w:val="0"/>
        <w:autoSpaceDE/>
        <w:autoSpaceDN/>
        <w:bidi w:val="0"/>
        <w:snapToGrid w:val="0"/>
        <w:spacing w:line="440" w:lineRule="exact"/>
        <w:ind w:left="4805" w:leftChars="2288" w:right="198" w:firstLine="964" w:firstLineChars="400"/>
        <w:textAlignment w:val="auto"/>
        <w:rPr>
          <w:rFonts w:ascii="宋体" w:hAnsi="宋体" w:cs="宋体"/>
          <w:b/>
          <w:color w:val="auto"/>
          <w:sz w:val="24"/>
          <w:highlight w:val="none"/>
        </w:rPr>
      </w:pP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lang w:eastAsia="zh-CN"/>
        </w:rPr>
        <w:t xml:space="preserve">浙江东阳经济开发区管理委员会 </w:t>
      </w:r>
      <w:r>
        <w:rPr>
          <w:rFonts w:hint="eastAsia" w:ascii="宋体" w:hAnsi="宋体" w:cs="宋体"/>
          <w:b/>
          <w:color w:val="auto"/>
          <w:sz w:val="24"/>
          <w:highlight w:val="none"/>
        </w:rPr>
        <w:t xml:space="preserve"> </w:t>
      </w:r>
    </w:p>
    <w:p>
      <w:pPr>
        <w:keepNext w:val="0"/>
        <w:keepLines w:val="0"/>
        <w:pageBreakBefore w:val="0"/>
        <w:kinsoku/>
        <w:wordWrap/>
        <w:overflowPunct/>
        <w:topLinePunct w:val="0"/>
        <w:autoSpaceDE/>
        <w:autoSpaceDN/>
        <w:bidi w:val="0"/>
        <w:snapToGrid w:val="0"/>
        <w:spacing w:line="440" w:lineRule="exact"/>
        <w:ind w:right="198"/>
        <w:jc w:val="right"/>
        <w:textAlignment w:val="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东阳八婺工程项目管理有限公司</w:t>
      </w:r>
    </w:p>
    <w:p>
      <w:pPr>
        <w:keepNext w:val="0"/>
        <w:keepLines w:val="0"/>
        <w:pageBreakBefore w:val="0"/>
        <w:kinsoku/>
        <w:wordWrap/>
        <w:overflowPunct/>
        <w:topLinePunct w:val="0"/>
        <w:autoSpaceDE/>
        <w:autoSpaceDN/>
        <w:bidi w:val="0"/>
        <w:snapToGrid w:val="0"/>
        <w:spacing w:line="440" w:lineRule="exact"/>
        <w:ind w:right="198" w:firstLine="6746" w:firstLineChars="2800"/>
        <w:textAlignment w:val="auto"/>
        <w:rPr>
          <w:rFonts w:ascii="宋体" w:hAnsi="宋体" w:cs="宋体"/>
          <w:color w:val="auto"/>
          <w:kern w:val="0"/>
          <w:sz w:val="24"/>
          <w:highlight w:val="none"/>
        </w:rPr>
      </w:pPr>
      <w:r>
        <w:rPr>
          <w:rFonts w:hint="eastAsia" w:ascii="宋体" w:hAnsi="宋体" w:cs="宋体"/>
          <w:b/>
          <w:color w:val="auto"/>
          <w:sz w:val="24"/>
          <w:highlight w:val="none"/>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日</w:t>
      </w:r>
    </w:p>
    <w:p>
      <w:pPr>
        <w:keepNext w:val="0"/>
        <w:keepLines w:val="0"/>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cs="宋体"/>
          <w:color w:val="auto"/>
          <w:kern w:val="0"/>
          <w:sz w:val="22"/>
          <w:szCs w:val="22"/>
          <w:highlight w:val="none"/>
        </w:rPr>
      </w:pPr>
    </w:p>
    <w:p>
      <w:pPr>
        <w:keepNext w:val="0"/>
        <w:keepLines w:val="0"/>
        <w:pageBreakBefore w:val="0"/>
        <w:widowControl/>
        <w:kinsoku/>
        <w:wordWrap/>
        <w:overflowPunct/>
        <w:topLinePunct w:val="0"/>
        <w:autoSpaceDE/>
        <w:autoSpaceDN/>
        <w:bidi w:val="0"/>
        <w:spacing w:line="440" w:lineRule="exact"/>
        <w:ind w:firstLine="440" w:firstLineChars="200"/>
        <w:jc w:val="left"/>
        <w:textAlignment w:val="auto"/>
        <w:rPr>
          <w:rFonts w:ascii="宋体" w:hAnsi="宋体" w:cs="宋体"/>
          <w:color w:val="auto"/>
          <w:sz w:val="20"/>
          <w:szCs w:val="22"/>
          <w:highlight w:val="none"/>
        </w:rPr>
      </w:pPr>
      <w:r>
        <w:rPr>
          <w:rFonts w:hint="eastAsia" w:ascii="宋体" w:hAnsi="宋体" w:cs="宋体"/>
          <w:color w:val="auto"/>
          <w:kern w:val="0"/>
          <w:sz w:val="22"/>
          <w:szCs w:val="22"/>
          <w:highlight w:val="none"/>
        </w:rPr>
        <w:t>若对项目采购电子交易系统操作有疑问，可登录政采云（https://www.zcygov.cn/），点击右侧咨询小采，获取采小蜜智能服务管家帮助，或拨打政采云服务热线95763获取热线服务帮助。</w:t>
      </w:r>
    </w:p>
    <w:p>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auto"/>
          <w:sz w:val="22"/>
          <w:szCs w:val="22"/>
          <w:highlight w:val="none"/>
        </w:rPr>
      </w:pPr>
      <w:r>
        <w:rPr>
          <w:rFonts w:hint="eastAsia" w:ascii="宋体" w:hAnsi="宋体" w:cs="宋体"/>
          <w:color w:val="auto"/>
          <w:kern w:val="0"/>
          <w:sz w:val="22"/>
          <w:szCs w:val="22"/>
          <w:highlight w:val="none"/>
        </w:rPr>
        <w:t>CA问题联系电话（人工）：汇信CA 400-888-4636；天谷CA 400-087-8198。</w:t>
      </w:r>
    </w:p>
    <w:p>
      <w:pPr>
        <w:pStyle w:val="23"/>
        <w:pageBreakBefore/>
        <w:snapToGrid w:val="0"/>
        <w:spacing w:before="120" w:after="120" w:line="360" w:lineRule="auto"/>
        <w:jc w:val="center"/>
        <w:outlineLvl w:val="0"/>
        <w:rPr>
          <w:rFonts w:ascii="宋体" w:hAnsi="宋体" w:cs="宋体"/>
          <w:b/>
          <w:color w:val="auto"/>
          <w:sz w:val="28"/>
          <w:szCs w:val="28"/>
          <w:highlight w:val="none"/>
        </w:rPr>
      </w:pPr>
      <w:bookmarkStart w:id="1" w:name="_Toc2125"/>
      <w:r>
        <w:rPr>
          <w:rFonts w:hint="eastAsia" w:ascii="宋体" w:hAnsi="宋体" w:cs="宋体"/>
          <w:b/>
          <w:color w:val="auto"/>
          <w:sz w:val="28"/>
          <w:szCs w:val="28"/>
          <w:highlight w:val="none"/>
        </w:rPr>
        <w:t>第二章  招标需求</w:t>
      </w:r>
      <w:bookmarkEnd w:id="1"/>
    </w:p>
    <w:p>
      <w:pPr>
        <w:numPr>
          <w:ilvl w:val="0"/>
          <w:numId w:val="0"/>
        </w:numPr>
        <w:spacing w:line="360" w:lineRule="auto"/>
        <w:ind w:leftChars="0"/>
        <w:rPr>
          <w:rFonts w:ascii="宋体" w:hAnsi="宋体" w:cs="宋体"/>
          <w:color w:val="auto"/>
          <w:sz w:val="24"/>
          <w:highlight w:val="none"/>
        </w:rPr>
      </w:pP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DYBWZFCG2026-CS-009</w:t>
      </w:r>
    </w:p>
    <w:p>
      <w:pPr>
        <w:numPr>
          <w:ilvl w:val="0"/>
          <w:numId w:val="0"/>
        </w:numPr>
        <w:spacing w:line="360" w:lineRule="auto"/>
        <w:ind w:leftChars="0"/>
        <w:rPr>
          <w:rFonts w:ascii="宋体" w:hAnsi="宋体" w:cs="宋体"/>
          <w:b/>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采购项目名称：</w:t>
      </w:r>
      <w:bookmarkStart w:id="2" w:name="_Toc495926918"/>
      <w:r>
        <w:rPr>
          <w:rFonts w:hint="eastAsia" w:ascii="宋体" w:hAnsi="宋体" w:cs="宋体"/>
          <w:b/>
          <w:bCs/>
          <w:color w:val="auto"/>
          <w:sz w:val="24"/>
          <w:highlight w:val="none"/>
          <w:lang w:eastAsia="zh-CN"/>
        </w:rPr>
        <w:t>六石安置区二期水系联通工程</w:t>
      </w:r>
      <w:r>
        <w:rPr>
          <w:rFonts w:hint="eastAsia" w:ascii="宋体" w:hAnsi="宋体" w:eastAsia="宋体" w:cs="宋体"/>
          <w:b/>
          <w:bCs/>
          <w:color w:val="auto"/>
          <w:sz w:val="24"/>
          <w:highlight w:val="none"/>
          <w:lang w:eastAsia="zh-CN"/>
        </w:rPr>
        <w:t xml:space="preserve"> </w:t>
      </w:r>
      <w:r>
        <w:rPr>
          <w:rFonts w:hint="eastAsia" w:ascii="宋体" w:hAnsi="宋体" w:cs="宋体"/>
          <w:b/>
          <w:color w:val="auto"/>
          <w:sz w:val="24"/>
          <w:highlight w:val="non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576"/>
        <w:gridCol w:w="1162"/>
        <w:gridCol w:w="1863"/>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84" w:type="dxa"/>
            <w:vAlign w:val="center"/>
          </w:tcPr>
          <w:p>
            <w:pPr>
              <w:widowControl/>
              <w:overflowPunct w:val="0"/>
              <w:autoSpaceDE w:val="0"/>
              <w:autoSpaceDN w:val="0"/>
              <w:adjustRightInd w:val="0"/>
              <w:spacing w:line="360" w:lineRule="auto"/>
              <w:jc w:val="center"/>
              <w:textAlignment w:val="baseline"/>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序号</w:t>
            </w:r>
          </w:p>
        </w:tc>
        <w:tc>
          <w:tcPr>
            <w:tcW w:w="3576" w:type="dxa"/>
            <w:vAlign w:val="center"/>
          </w:tcPr>
          <w:p>
            <w:pPr>
              <w:widowControl/>
              <w:overflowPunct w:val="0"/>
              <w:autoSpaceDE w:val="0"/>
              <w:autoSpaceDN w:val="0"/>
              <w:adjustRightInd w:val="0"/>
              <w:spacing w:line="360" w:lineRule="auto"/>
              <w:jc w:val="center"/>
              <w:textAlignment w:val="baseline"/>
              <w:rPr>
                <w:rFonts w:ascii="宋体" w:hAnsi="宋体" w:cs="宋体"/>
                <w:b/>
                <w:color w:val="auto"/>
                <w:sz w:val="24"/>
                <w:highlight w:val="none"/>
              </w:rPr>
            </w:pPr>
            <w:r>
              <w:rPr>
                <w:rFonts w:hint="eastAsia" w:ascii="宋体" w:hAnsi="宋体"/>
                <w:b/>
                <w:bCs/>
                <w:color w:val="auto"/>
                <w:kern w:val="0"/>
                <w:sz w:val="24"/>
                <w:highlight w:val="none"/>
              </w:rPr>
              <w:t>采购内容</w:t>
            </w:r>
          </w:p>
        </w:tc>
        <w:tc>
          <w:tcPr>
            <w:tcW w:w="1162" w:type="dxa"/>
            <w:vAlign w:val="center"/>
          </w:tcPr>
          <w:p>
            <w:pPr>
              <w:widowControl/>
              <w:overflowPunct w:val="0"/>
              <w:autoSpaceDE w:val="0"/>
              <w:autoSpaceDN w:val="0"/>
              <w:adjustRightInd w:val="0"/>
              <w:spacing w:line="360" w:lineRule="auto"/>
              <w:jc w:val="center"/>
              <w:textAlignment w:val="baseline"/>
              <w:rPr>
                <w:rFonts w:ascii="宋体" w:hAnsi="宋体" w:cs="宋体"/>
                <w:b/>
                <w:color w:val="auto"/>
                <w:sz w:val="24"/>
                <w:highlight w:val="none"/>
              </w:rPr>
            </w:pPr>
            <w:r>
              <w:rPr>
                <w:rFonts w:hint="eastAsia" w:ascii="宋体" w:hAnsi="宋体"/>
                <w:b/>
                <w:bCs/>
                <w:color w:val="auto"/>
                <w:kern w:val="0"/>
                <w:sz w:val="24"/>
                <w:highlight w:val="none"/>
              </w:rPr>
              <w:t>数量</w:t>
            </w:r>
          </w:p>
        </w:tc>
        <w:tc>
          <w:tcPr>
            <w:tcW w:w="1863" w:type="dxa"/>
            <w:vAlign w:val="center"/>
          </w:tcPr>
          <w:p>
            <w:pPr>
              <w:widowControl/>
              <w:overflowPunct w:val="0"/>
              <w:autoSpaceDE w:val="0"/>
              <w:autoSpaceDN w:val="0"/>
              <w:adjustRightInd w:val="0"/>
              <w:spacing w:line="360" w:lineRule="auto"/>
              <w:jc w:val="center"/>
              <w:textAlignment w:val="baseline"/>
              <w:rPr>
                <w:rFonts w:ascii="宋体" w:hAnsi="宋体" w:cs="宋体"/>
                <w:b/>
                <w:color w:val="auto"/>
                <w:sz w:val="24"/>
                <w:highlight w:val="none"/>
              </w:rPr>
            </w:pPr>
            <w:r>
              <w:rPr>
                <w:rFonts w:hint="eastAsia" w:ascii="宋体" w:hAnsi="宋体"/>
                <w:b/>
                <w:bCs/>
                <w:color w:val="auto"/>
                <w:kern w:val="0"/>
                <w:sz w:val="24"/>
                <w:highlight w:val="none"/>
              </w:rPr>
              <w:t>预算金额</w:t>
            </w:r>
          </w:p>
        </w:tc>
        <w:tc>
          <w:tcPr>
            <w:tcW w:w="1794" w:type="dxa"/>
            <w:vAlign w:val="center"/>
          </w:tcPr>
          <w:p>
            <w:pPr>
              <w:widowControl/>
              <w:overflowPunct w:val="0"/>
              <w:autoSpaceDE w:val="0"/>
              <w:autoSpaceDN w:val="0"/>
              <w:adjustRightInd w:val="0"/>
              <w:spacing w:line="360" w:lineRule="auto"/>
              <w:jc w:val="center"/>
              <w:textAlignment w:val="baseline"/>
              <w:rPr>
                <w:rFonts w:hint="eastAsia" w:ascii="宋体" w:hAnsi="宋体" w:eastAsia="宋体"/>
                <w:b/>
                <w:bCs/>
                <w:color w:val="auto"/>
                <w:kern w:val="0"/>
                <w:sz w:val="24"/>
                <w:highlight w:val="none"/>
                <w:lang w:val="en-US" w:eastAsia="zh-CN"/>
              </w:rPr>
            </w:pPr>
            <w:r>
              <w:rPr>
                <w:rFonts w:hint="eastAsia" w:ascii="宋体" w:hAnsi="宋体"/>
                <w:b/>
                <w:bCs/>
                <w:color w:val="auto"/>
                <w:kern w:val="0"/>
                <w:sz w:val="24"/>
                <w:highlight w:val="no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84" w:type="dxa"/>
            <w:vAlign w:val="center"/>
          </w:tcPr>
          <w:p>
            <w:pPr>
              <w:widowControl/>
              <w:overflowPunct w:val="0"/>
              <w:autoSpaceDE w:val="0"/>
              <w:autoSpaceDN w:val="0"/>
              <w:adjustRightInd w:val="0"/>
              <w:spacing w:line="360" w:lineRule="auto"/>
              <w:jc w:val="center"/>
              <w:textAlignment w:val="baseline"/>
              <w:rPr>
                <w:rFonts w:hint="eastAsia" w:ascii="宋体" w:hAnsi="宋体" w:eastAsia="宋体" w:cs="Times New Roman"/>
                <w:bCs/>
                <w:color w:val="auto"/>
                <w:kern w:val="0"/>
                <w:sz w:val="24"/>
                <w:szCs w:val="24"/>
                <w:highlight w:val="none"/>
                <w:lang w:val="en-US" w:eastAsia="zh-CN" w:bidi="ar-SA"/>
              </w:rPr>
            </w:pPr>
            <w:r>
              <w:rPr>
                <w:rFonts w:hint="eastAsia" w:ascii="宋体" w:hAnsi="宋体"/>
                <w:bCs/>
                <w:color w:val="auto"/>
                <w:kern w:val="0"/>
                <w:sz w:val="24"/>
                <w:highlight w:val="none"/>
                <w:lang w:val="en-US" w:eastAsia="zh-CN"/>
              </w:rPr>
              <w:t>1</w:t>
            </w:r>
          </w:p>
        </w:tc>
        <w:tc>
          <w:tcPr>
            <w:tcW w:w="3576" w:type="dxa"/>
            <w:vAlign w:val="center"/>
          </w:tcPr>
          <w:p>
            <w:pPr>
              <w:widowControl/>
              <w:overflowPunct w:val="0"/>
              <w:autoSpaceDE w:val="0"/>
              <w:autoSpaceDN w:val="0"/>
              <w:adjustRightInd w:val="0"/>
              <w:spacing w:line="360" w:lineRule="auto"/>
              <w:jc w:val="center"/>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六石安置区二期水系联通工程</w:t>
            </w:r>
          </w:p>
        </w:tc>
        <w:tc>
          <w:tcPr>
            <w:tcW w:w="1162" w:type="dxa"/>
            <w:vAlign w:val="center"/>
          </w:tcPr>
          <w:p>
            <w:pPr>
              <w:widowControl/>
              <w:overflowPunct w:val="0"/>
              <w:autoSpaceDE w:val="0"/>
              <w:autoSpaceDN w:val="0"/>
              <w:adjustRightInd w:val="0"/>
              <w:spacing w:line="360" w:lineRule="auto"/>
              <w:jc w:val="center"/>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1863" w:type="dxa"/>
            <w:vAlign w:val="center"/>
          </w:tcPr>
          <w:p>
            <w:pPr>
              <w:widowControl/>
              <w:overflowPunct w:val="0"/>
              <w:autoSpaceDE w:val="0"/>
              <w:autoSpaceDN w:val="0"/>
              <w:adjustRightInd w:val="0"/>
              <w:spacing w:line="360" w:lineRule="auto"/>
              <w:jc w:val="center"/>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981600元</w:t>
            </w:r>
          </w:p>
        </w:tc>
        <w:tc>
          <w:tcPr>
            <w:tcW w:w="1794" w:type="dxa"/>
            <w:vAlign w:val="center"/>
          </w:tcPr>
          <w:p>
            <w:pPr>
              <w:widowControl/>
              <w:overflowPunct w:val="0"/>
              <w:autoSpaceDE w:val="0"/>
              <w:autoSpaceDN w:val="0"/>
              <w:adjustRightInd w:val="0"/>
              <w:spacing w:line="360" w:lineRule="auto"/>
              <w:jc w:val="center"/>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981600元</w:t>
            </w:r>
          </w:p>
        </w:tc>
      </w:tr>
    </w:tbl>
    <w:p>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注：具体清单详见附件预算书。</w:t>
      </w:r>
    </w:p>
    <w:p>
      <w:pPr>
        <w:numPr>
          <w:ilvl w:val="0"/>
          <w:numId w:val="0"/>
        </w:numPr>
        <w:spacing w:line="360" w:lineRule="auto"/>
        <w:ind w:leftChars="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服务内容</w:t>
      </w:r>
    </w:p>
    <w:p>
      <w:pPr>
        <w:pStyle w:val="71"/>
        <w:keepNext w:val="0"/>
        <w:keepLines w:val="0"/>
        <w:pageBreakBefore w:val="0"/>
        <w:kinsoku/>
        <w:wordWrap/>
        <w:topLinePunct w:val="0"/>
        <w:bidi w:val="0"/>
        <w:snapToGrid/>
        <w:spacing w:line="440" w:lineRule="exact"/>
        <w:ind w:firstLine="241" w:firstLineChars="100"/>
        <w:rPr>
          <w:rFonts w:hint="eastAsia" w:ascii="宋体" w:hAnsi="宋体" w:cs="新宋体"/>
          <w:b/>
          <w:bCs/>
          <w:color w:val="auto"/>
          <w:sz w:val="24"/>
          <w:highlight w:val="none"/>
          <w:lang w:eastAsia="zh-CN"/>
        </w:rPr>
      </w:pPr>
      <w:r>
        <w:rPr>
          <w:rFonts w:hint="eastAsia" w:ascii="宋体" w:hAnsi="宋体" w:cs="新宋体"/>
          <w:b/>
          <w:bCs/>
          <w:color w:val="auto"/>
          <w:sz w:val="24"/>
          <w:highlight w:val="none"/>
          <w:lang w:eastAsia="zh-CN"/>
        </w:rPr>
        <w:t>（一）工程概况：</w:t>
      </w:r>
    </w:p>
    <w:p>
      <w:pPr>
        <w:pStyle w:val="71"/>
        <w:keepNext w:val="0"/>
        <w:keepLines w:val="0"/>
        <w:pageBreakBefore w:val="0"/>
        <w:kinsoku/>
        <w:wordWrap/>
        <w:topLinePunct w:val="0"/>
        <w:bidi w:val="0"/>
        <w:snapToGrid/>
        <w:spacing w:line="440" w:lineRule="exact"/>
        <w:ind w:left="0" w:leftChars="0" w:firstLine="480" w:firstLineChars="200"/>
        <w:rPr>
          <w:rFonts w:hint="eastAsia" w:ascii="宋体" w:hAnsi="宋体" w:cs="新宋体"/>
          <w:color w:val="auto"/>
          <w:sz w:val="24"/>
          <w:highlight w:val="none"/>
          <w:lang w:eastAsia="zh-CN"/>
        </w:rPr>
      </w:pPr>
      <w:r>
        <w:rPr>
          <w:rFonts w:hint="eastAsia" w:ascii="宋体" w:hAnsi="宋体" w:cs="新宋体"/>
          <w:color w:val="auto"/>
          <w:sz w:val="24"/>
          <w:highlight w:val="none"/>
          <w:lang w:eastAsia="zh-CN"/>
        </w:rPr>
        <w:t>工程地点：六石安置区二期</w:t>
      </w:r>
    </w:p>
    <w:p>
      <w:pPr>
        <w:pStyle w:val="71"/>
        <w:keepNext w:val="0"/>
        <w:keepLines w:val="0"/>
        <w:pageBreakBefore w:val="0"/>
        <w:kinsoku/>
        <w:wordWrap/>
        <w:topLinePunct w:val="0"/>
        <w:bidi w:val="0"/>
        <w:snapToGrid/>
        <w:spacing w:line="440" w:lineRule="exact"/>
        <w:ind w:left="0" w:leftChars="0" w:firstLine="480" w:firstLineChars="200"/>
        <w:rPr>
          <w:rFonts w:hint="eastAsia" w:ascii="宋体" w:hAnsi="宋体" w:cs="宋体"/>
          <w:bCs/>
          <w:color w:val="auto"/>
          <w:sz w:val="24"/>
          <w:highlight w:val="none"/>
          <w:lang w:eastAsia="zh-CN"/>
        </w:rPr>
      </w:pPr>
      <w:r>
        <w:rPr>
          <w:rFonts w:hint="eastAsia" w:ascii="宋体" w:hAnsi="宋体" w:cs="新宋体"/>
          <w:color w:val="auto"/>
          <w:sz w:val="24"/>
          <w:highlight w:val="none"/>
          <w:lang w:eastAsia="zh-CN"/>
        </w:rPr>
        <w:t>主要内容为：本工程为六石安置区二期水系联通工程，本工程原混凝土路面破除80.67m3,0.4*0.5排水沟183米,1*0.8排水沟180米,1*0.8盖板渠10米,1*1.3排水沟378米,1*1.3盖板渠31.5米，沉砂池2座,D800涵管78米,D1000涵管240米,1.5m*1.5m钢筋砼井3座,铸铁平板匣3套等</w:t>
      </w:r>
      <w:r>
        <w:rPr>
          <w:rFonts w:hint="eastAsia" w:ascii="宋体" w:hAnsi="宋体" w:cs="新宋体"/>
          <w:color w:val="auto"/>
          <w:sz w:val="24"/>
          <w:highlight w:val="none"/>
        </w:rPr>
        <w:t>。</w:t>
      </w:r>
    </w:p>
    <w:p>
      <w:pPr>
        <w:pStyle w:val="36"/>
        <w:keepNext w:val="0"/>
        <w:keepLines w:val="0"/>
        <w:pageBreakBefore w:val="0"/>
        <w:kinsoku/>
        <w:wordWrap/>
        <w:topLinePunct w:val="0"/>
        <w:bidi w:val="0"/>
        <w:snapToGrid/>
        <w:spacing w:before="0" w:after="0" w:line="440" w:lineRule="exact"/>
        <w:ind w:firstLine="241" w:firstLineChars="100"/>
        <w:rPr>
          <w:b/>
          <w:bCs/>
          <w:color w:val="auto"/>
          <w:highlight w:val="none"/>
        </w:rPr>
      </w:pPr>
      <w:r>
        <w:rPr>
          <w:rFonts w:hint="eastAsia"/>
          <w:b/>
          <w:bCs/>
          <w:color w:val="auto"/>
          <w:highlight w:val="none"/>
        </w:rPr>
        <w:t>（二）工作内容：</w:t>
      </w:r>
    </w:p>
    <w:p>
      <w:pPr>
        <w:pStyle w:val="36"/>
        <w:keepNext w:val="0"/>
        <w:keepLines w:val="0"/>
        <w:pageBreakBefore w:val="0"/>
        <w:kinsoku/>
        <w:wordWrap/>
        <w:topLinePunct w:val="0"/>
        <w:bidi w:val="0"/>
        <w:snapToGrid/>
        <w:spacing w:before="0" w:after="0" w:line="440" w:lineRule="exact"/>
        <w:ind w:left="0" w:leftChars="0" w:firstLine="480" w:firstLineChars="200"/>
        <w:rPr>
          <w:rFonts w:cs="新宋体"/>
          <w:color w:val="auto"/>
          <w:highlight w:val="none"/>
        </w:rPr>
      </w:pPr>
      <w:r>
        <w:rPr>
          <w:rFonts w:hint="eastAsia" w:cs="新宋体"/>
          <w:color w:val="auto"/>
          <w:highlight w:val="none"/>
        </w:rPr>
        <w:t>1、按图纸设计内容进行施工（包括施工所需的所有工作）。</w:t>
      </w:r>
    </w:p>
    <w:p>
      <w:pPr>
        <w:pStyle w:val="36"/>
        <w:keepNext w:val="0"/>
        <w:keepLines w:val="0"/>
        <w:pageBreakBefore w:val="0"/>
        <w:kinsoku/>
        <w:wordWrap/>
        <w:topLinePunct w:val="0"/>
        <w:bidi w:val="0"/>
        <w:snapToGrid/>
        <w:spacing w:before="0" w:after="0" w:line="440" w:lineRule="exact"/>
        <w:ind w:left="0" w:leftChars="0" w:firstLine="480" w:firstLineChars="200"/>
        <w:rPr>
          <w:rFonts w:cs="新宋体"/>
          <w:color w:val="auto"/>
          <w:highlight w:val="none"/>
        </w:rPr>
      </w:pPr>
      <w:r>
        <w:rPr>
          <w:rFonts w:hint="eastAsia" w:cs="新宋体"/>
          <w:color w:val="auto"/>
          <w:highlight w:val="none"/>
        </w:rPr>
        <w:t>2、工程量：根据采购人提供的施工图纸、预算书等资料。（详见附件）</w:t>
      </w:r>
    </w:p>
    <w:p>
      <w:pPr>
        <w:pStyle w:val="36"/>
        <w:keepNext w:val="0"/>
        <w:keepLines w:val="0"/>
        <w:pageBreakBefore w:val="0"/>
        <w:kinsoku/>
        <w:wordWrap/>
        <w:topLinePunct w:val="0"/>
        <w:bidi w:val="0"/>
        <w:snapToGrid/>
        <w:spacing w:before="0" w:after="0" w:line="440" w:lineRule="exact"/>
        <w:ind w:left="0" w:leftChars="0" w:firstLine="480" w:firstLineChars="200"/>
        <w:rPr>
          <w:rFonts w:cs="新宋体"/>
          <w:color w:val="auto"/>
          <w:highlight w:val="none"/>
        </w:rPr>
      </w:pPr>
      <w:r>
        <w:rPr>
          <w:rFonts w:hint="eastAsia" w:cs="新宋体"/>
          <w:color w:val="auto"/>
          <w:highlight w:val="none"/>
        </w:rPr>
        <w:t>3、工程造价包括一切与施工相关的人工费、材料费、检测、检验、交通费、机械费、装卸费、管理费、税金等其它费用。</w:t>
      </w:r>
    </w:p>
    <w:p>
      <w:pPr>
        <w:pStyle w:val="18"/>
        <w:keepNext w:val="0"/>
        <w:keepLines w:val="0"/>
        <w:pageBreakBefore w:val="0"/>
        <w:kinsoku/>
        <w:wordWrap/>
        <w:topLinePunct w:val="0"/>
        <w:bidi w:val="0"/>
        <w:snapToGrid/>
        <w:spacing w:after="0" w:line="44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 xml:space="preserve">（三）对拟派项目班子的要求  </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负责人具有市政公用工程二级及以上注册建造师资格，且持有安全生产任职资格B类证，未担任本公司的法定代表人（或总经理）或企业技术负责人职务（注；如在投标截止日存在在其他任何在建合同工程（在建合同工程的开始时间为合同工程中标通知书发出日期，或者不通过招标方式的则以合同签订日期为开始时间，结束时间为该合同工程验收合格或合同解除日期）担任项目负责人（包括工程总承包项目中的施工负责人）的，不得以拟派项目负责人的身份参加本次投标）；</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项目组成员必须每天到岗到位，施工项目负责人未经采购人书面同意，每缺勤一天应向采购人支付违约金</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000元/天，项目其他主要管理人员（以投标文件承诺为准）未经采购人书面同意，每缺勤一天应向采购人支付违约金1000元/天。到岗率低于50%或连续无故不到岗时，采购人有权终止合同，并追究因此给采购人造成的损失。在施工期间，采购人认为中标人所选派的施工项目负责人、管理人员的现场管理能力、水平不能满足工程建设需要时，有权要求中标人选换施工项目负责人、管理人员。中标人未经采购人事先书面同意，擅自更换施工项目负责人、主要管理人员的，应分别向采购人支付违约金人民币20000元/人次、10000元/人次，且采购人有权要求其立即更换回符合要求的人员。</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除项目经理、技术负责人、安全员等无特殊情况不允许更换外，其余工程负责人如达不到业主要求的，须无条件更换，如施工单位自行需更换人员的，必须经采购人核准。</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中标人应按投标文件的承诺组建工程项目管理班子，参照《金华市建筑施工现场主要管理人员考勤预警管理办法》执行。</w:t>
      </w:r>
    </w:p>
    <w:p>
      <w:pPr>
        <w:keepNext w:val="0"/>
        <w:keepLines w:val="0"/>
        <w:pageBreakBefore w:val="0"/>
        <w:kinsoku/>
        <w:wordWrap/>
        <w:topLinePunct w:val="0"/>
        <w:bidi w:val="0"/>
        <w:snapToGrid/>
        <w:spacing w:line="440" w:lineRule="exact"/>
        <w:ind w:left="0" w:leftChars="0"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、项目负责人目前在其它工程项目（含预中标工程）中无任何任职，需提供承诺函</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格式见附件）。</w:t>
      </w:r>
    </w:p>
    <w:p>
      <w:pPr>
        <w:keepNext w:val="0"/>
        <w:keepLines w:val="0"/>
        <w:pageBreakBefore w:val="0"/>
        <w:kinsoku/>
        <w:wordWrap/>
        <w:topLinePunct w:val="0"/>
        <w:bidi w:val="0"/>
        <w:snapToGrid/>
        <w:spacing w:line="440" w:lineRule="exact"/>
        <w:ind w:firstLine="241" w:firstLineChars="100"/>
        <w:rPr>
          <w:rFonts w:ascii="宋体" w:hAnsi="宋体" w:cs="宋体"/>
          <w:b/>
          <w:bCs/>
          <w:color w:val="auto"/>
          <w:sz w:val="24"/>
          <w:highlight w:val="none"/>
        </w:rPr>
      </w:pPr>
      <w:bookmarkStart w:id="3" w:name="_Toc65075441"/>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项目质量及施工安全</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1、本项目所用材料应必须有合格证，工程质量以国家相关标准规范验收合格为准。   </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2、本项目招标人推荐的建材品牌详见工程预算书，磋商响应方报价时需在投标编制说明或主要材料价格表中注明上述材料名称的品牌，</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品牌</w:t>
      </w:r>
      <w:r>
        <w:rPr>
          <w:rFonts w:hint="eastAsia" w:ascii="宋体" w:hAnsi="宋体" w:cs="宋体"/>
          <w:color w:val="auto"/>
          <w:sz w:val="24"/>
          <w:highlight w:val="none"/>
          <w:lang w:val="en-US" w:eastAsia="zh-CN"/>
        </w:rPr>
        <w:t>可以</w:t>
      </w:r>
      <w:r>
        <w:rPr>
          <w:rFonts w:hint="eastAsia" w:ascii="宋体" w:hAnsi="宋体" w:cs="宋体"/>
          <w:color w:val="auto"/>
          <w:sz w:val="24"/>
          <w:highlight w:val="none"/>
        </w:rPr>
        <w:t>在上表中选择一个或者不低于同等档次品牌。</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项目施工材料应按相关规定进行检验，合格后方可使用。</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、应按国家、行业现行规范进行施工。</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、施工过程应做好相关资料记录。</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、必须按相关规定接受采购人委托单位的监督和检查，并提供相关资料。</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、中标人在施工期间发生安全事故、人身安全和交通安全等大小事故，一切责任和经济补偿均由中标人负责,采购人不承担任何责任。</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、中标人不服从采购人施工管理、施工管理不规范、安全质量达不到要求、不能在规定工期内完成等情形；采购人有权暂停或取消其施工资格。</w:t>
      </w:r>
    </w:p>
    <w:p>
      <w:pPr>
        <w:keepNext w:val="0"/>
        <w:keepLines w:val="0"/>
        <w:pageBreakBefore w:val="0"/>
        <w:kinsoku/>
        <w:wordWrap/>
        <w:topLinePunct w:val="0"/>
        <w:bidi w:val="0"/>
        <w:snapToGrid/>
        <w:spacing w:line="440" w:lineRule="exact"/>
        <w:ind w:left="0" w:leftChars="0"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中标人应做好现场施工噪音、环境卫生、材料堆放、安全警示等工作，并负责施工期间与环保、交通城管等部门的沟通协调工作，做好现场秩序的维护，如因中标人原因受到处罚、赔款、纠纷或因此而引起采购人经济损失的，均由中标人承担责任。</w:t>
      </w:r>
    </w:p>
    <w:p>
      <w:pPr>
        <w:keepNext w:val="0"/>
        <w:keepLines w:val="0"/>
        <w:pageBreakBefore w:val="0"/>
        <w:kinsoku/>
        <w:wordWrap/>
        <w:topLinePunct w:val="0"/>
        <w:bidi w:val="0"/>
        <w:snapToGrid/>
        <w:spacing w:line="440" w:lineRule="exact"/>
        <w:ind w:left="0" w:leftChars="0" w:firstLine="482" w:firstLineChars="200"/>
        <w:rPr>
          <w:rFonts w:hint="eastAsia" w:ascii="宋体" w:hAnsi="宋体" w:cs="宋体"/>
          <w:color w:val="auto"/>
          <w:kern w:val="0"/>
          <w:sz w:val="24"/>
          <w:highlight w:val="none"/>
        </w:rPr>
      </w:pPr>
      <w:r>
        <w:rPr>
          <w:rFonts w:hint="eastAsia" w:ascii="宋体" w:hAnsi="宋体" w:cs="宋体"/>
          <w:b/>
          <w:bCs/>
          <w:color w:val="auto"/>
          <w:sz w:val="24"/>
          <w:highlight w:val="none"/>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、工程质量以国家相关标准规范验收合格为准，如达不到约定的质量标准，采购人可要求中标人返工，直至达到约定的质量标准，并由中标人承担返工的一切费用。</w:t>
      </w:r>
    </w:p>
    <w:p>
      <w:pPr>
        <w:keepNext w:val="0"/>
        <w:keepLines w:val="0"/>
        <w:pageBreakBefore w:val="0"/>
        <w:kinsoku/>
        <w:wordWrap/>
        <w:overflowPunct/>
        <w:topLinePunct w:val="0"/>
        <w:autoSpaceDE/>
        <w:autoSpaceDN/>
        <w:bidi w:val="0"/>
        <w:snapToGrid/>
        <w:spacing w:line="440" w:lineRule="exact"/>
        <w:ind w:left="0" w:leftChars="0" w:firstLine="480" w:firstLineChars="200"/>
        <w:textAlignment w:val="auto"/>
        <w:rPr>
          <w:rFonts w:hint="eastAsia"/>
          <w:color w:val="auto"/>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工程现场扬尘污染防治管理按《东阳市建设工程扬尘污染防治管理办法》（东政发【2015】45号）文件执行</w:t>
      </w:r>
      <w:r>
        <w:rPr>
          <w:rFonts w:hint="eastAsia" w:ascii="宋体" w:hAnsi="宋体" w:eastAsia="宋体" w:cs="宋体"/>
          <w:color w:val="auto"/>
          <w:sz w:val="24"/>
          <w:highlight w:val="none"/>
          <w:lang w:val="en-US" w:eastAsia="zh-CN"/>
        </w:rPr>
        <w:t>。</w:t>
      </w:r>
    </w:p>
    <w:p>
      <w:pPr>
        <w:keepNext w:val="0"/>
        <w:keepLines w:val="0"/>
        <w:pageBreakBefore w:val="0"/>
        <w:kinsoku/>
        <w:wordWrap/>
        <w:overflowPunct/>
        <w:topLinePunct w:val="0"/>
        <w:autoSpaceDE/>
        <w:autoSpaceDN/>
        <w:bidi w:val="0"/>
        <w:snapToGrid/>
        <w:spacing w:line="440" w:lineRule="exact"/>
        <w:ind w:left="0" w:leftChars="0" w:firstLine="480" w:firstLineChars="200"/>
        <w:textAlignment w:val="auto"/>
        <w:rPr>
          <w:color w:val="auto"/>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、项目完成后，并在质保期内发现有质量问题的，中标人必须在采购人规定响应时间内进行修复。</w:t>
      </w:r>
    </w:p>
    <w:p>
      <w:pPr>
        <w:keepNext w:val="0"/>
        <w:keepLines w:val="0"/>
        <w:pageBreakBefore w:val="0"/>
        <w:kinsoku/>
        <w:wordWrap/>
        <w:topLinePunct w:val="0"/>
        <w:bidi w:val="0"/>
        <w:snapToGrid/>
        <w:spacing w:line="440" w:lineRule="exact"/>
        <w:rPr>
          <w:rFonts w:ascii="宋体" w:hAnsi="宋体"/>
          <w:color w:val="auto"/>
          <w:sz w:val="24"/>
          <w:highlight w:val="none"/>
        </w:rPr>
      </w:pPr>
      <w:r>
        <w:rPr>
          <w:rFonts w:hint="eastAsia" w:ascii="宋体" w:hAnsi="宋体" w:cs="Arial"/>
          <w:b/>
          <w:color w:val="auto"/>
          <w:sz w:val="24"/>
          <w:highlight w:val="none"/>
          <w:lang w:val="en-US" w:eastAsia="zh-CN"/>
        </w:rPr>
        <w:t>五、</w:t>
      </w:r>
      <w:r>
        <w:rPr>
          <w:rFonts w:hint="eastAsia" w:ascii="宋体" w:hAnsi="宋体" w:cs="Arial"/>
          <w:b/>
          <w:color w:val="auto"/>
          <w:sz w:val="24"/>
          <w:highlight w:val="none"/>
        </w:rPr>
        <w:t xml:space="preserve">付款方式  </w:t>
      </w:r>
    </w:p>
    <w:p>
      <w:pPr>
        <w:keepNext w:val="0"/>
        <w:keepLines w:val="0"/>
        <w:pageBreakBefore w:val="0"/>
        <w:kinsoku/>
        <w:wordWrap/>
        <w:topLinePunct w:val="0"/>
        <w:bidi w:val="0"/>
        <w:snapToGrid/>
        <w:spacing w:line="440" w:lineRule="exact"/>
        <w:ind w:firstLine="240" w:firstLineChars="10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合同生效以及具备实施条件后7个工作日内支付合同价款的30%作为预付款（中标人须提交预付款保函）</w:t>
      </w:r>
      <w:r>
        <w:rPr>
          <w:rFonts w:hint="eastAsia" w:ascii="宋体" w:hAnsi="宋体"/>
          <w:color w:val="auto"/>
          <w:sz w:val="24"/>
          <w:highlight w:val="none"/>
          <w:lang w:eastAsia="zh-CN"/>
        </w:rPr>
        <w:t>；</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全部工程完工后在7个工作日内支付至合同价款的85%；</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其余工程款于工程最终验收合格</w:t>
      </w:r>
      <w:r>
        <w:rPr>
          <w:rFonts w:hint="eastAsia" w:ascii="宋体" w:hAnsi="宋体"/>
          <w:color w:val="auto"/>
          <w:sz w:val="24"/>
          <w:highlight w:val="none"/>
          <w:lang w:val="en-US" w:eastAsia="zh-CN"/>
        </w:rPr>
        <w:t>并经结算审核完成后支付至审定价</w:t>
      </w:r>
      <w:r>
        <w:rPr>
          <w:rFonts w:hint="eastAsia" w:ascii="宋体" w:hAnsi="宋体"/>
          <w:color w:val="auto"/>
          <w:sz w:val="24"/>
          <w:highlight w:val="none"/>
        </w:rPr>
        <w:t>的100%（不计息），</w:t>
      </w:r>
      <w:r>
        <w:rPr>
          <w:rFonts w:hint="eastAsia" w:ascii="宋体" w:hAnsi="宋体"/>
          <w:color w:val="auto"/>
          <w:sz w:val="24"/>
          <w:highlight w:val="none"/>
          <w:lang w:val="en-US" w:eastAsia="zh-CN"/>
        </w:rPr>
        <w:t>中标人</w:t>
      </w:r>
      <w:r>
        <w:rPr>
          <w:rFonts w:hint="eastAsia" w:ascii="宋体" w:hAnsi="宋体"/>
          <w:color w:val="auto"/>
          <w:sz w:val="24"/>
          <w:highlight w:val="none"/>
        </w:rPr>
        <w:t>须无条件配合审核工作。</w:t>
      </w:r>
    </w:p>
    <w:p>
      <w:pPr>
        <w:keepNext w:val="0"/>
        <w:keepLines w:val="0"/>
        <w:pageBreakBefore w:val="0"/>
        <w:kinsoku/>
        <w:wordWrap/>
        <w:topLinePunct w:val="0"/>
        <w:bidi w:val="0"/>
        <w:snapToGrid/>
        <w:spacing w:line="440" w:lineRule="exact"/>
        <w:ind w:left="0" w:leftChars="0" w:firstLine="482" w:firstLineChars="200"/>
        <w:rPr>
          <w:rFonts w:hint="eastAsia" w:ascii="宋体" w:hAnsi="宋体"/>
          <w:b/>
          <w:bCs/>
          <w:color w:val="auto"/>
          <w:sz w:val="24"/>
          <w:highlight w:val="none"/>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4</w:t>
      </w:r>
      <w:r>
        <w:rPr>
          <w:rFonts w:hint="eastAsia" w:ascii="宋体" w:hAnsi="宋体"/>
          <w:b/>
          <w:bCs/>
          <w:color w:val="auto"/>
          <w:sz w:val="24"/>
          <w:highlight w:val="none"/>
          <w:lang w:eastAsia="zh-CN"/>
        </w:rPr>
        <w:t>）</w:t>
      </w:r>
      <w:r>
        <w:rPr>
          <w:rFonts w:hint="eastAsia" w:ascii="宋体" w:hAnsi="宋体"/>
          <w:b/>
          <w:bCs/>
          <w:color w:val="auto"/>
          <w:sz w:val="24"/>
          <w:highlight w:val="none"/>
        </w:rPr>
        <w:t>农民工工资相关要求：农民工工资相关的管理、认定、支付等事项按东阳市根治欠薪工作领导小组办公室《关于落实“两备案一承诺”制度的通知》文件执行。</w:t>
      </w:r>
    </w:p>
    <w:p>
      <w:pPr>
        <w:keepNext w:val="0"/>
        <w:keepLines w:val="0"/>
        <w:pageBreakBefore w:val="0"/>
        <w:kinsoku/>
        <w:wordWrap/>
        <w:topLinePunct w:val="0"/>
        <w:bidi w:val="0"/>
        <w:snapToGrid/>
        <w:spacing w:line="440" w:lineRule="exact"/>
        <w:rPr>
          <w:rFonts w:ascii="宋体" w:hAnsi="宋体" w:cs="Arial"/>
          <w:b/>
          <w:bCs/>
          <w:color w:val="auto"/>
          <w:sz w:val="24"/>
          <w:highlight w:val="none"/>
        </w:rPr>
      </w:pPr>
      <w:r>
        <w:rPr>
          <w:rFonts w:hint="eastAsia" w:ascii="宋体" w:hAnsi="宋体" w:cs="Arial"/>
          <w:b/>
          <w:bCs/>
          <w:color w:val="auto"/>
          <w:sz w:val="24"/>
          <w:highlight w:val="none"/>
          <w:lang w:val="en-US" w:eastAsia="zh-CN"/>
        </w:rPr>
        <w:t>六、</w:t>
      </w:r>
      <w:r>
        <w:rPr>
          <w:rFonts w:hint="eastAsia" w:ascii="宋体" w:hAnsi="宋体" w:cs="Arial"/>
          <w:b/>
          <w:bCs/>
          <w:color w:val="auto"/>
          <w:sz w:val="24"/>
          <w:highlight w:val="none"/>
        </w:rPr>
        <w:t>商务条款及其他要求</w:t>
      </w:r>
    </w:p>
    <w:bookmarkEnd w:id="3"/>
    <w:p>
      <w:pPr>
        <w:keepNext w:val="0"/>
        <w:keepLines w:val="0"/>
        <w:pageBreakBefore w:val="0"/>
        <w:kinsoku/>
        <w:wordWrap/>
        <w:topLinePunct w:val="0"/>
        <w:bidi w:val="0"/>
        <w:snapToGrid/>
        <w:spacing w:line="440" w:lineRule="exact"/>
        <w:ind w:left="0" w:leftChars="0"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1、工期：</w:t>
      </w:r>
      <w:r>
        <w:rPr>
          <w:rFonts w:hint="eastAsia" w:ascii="宋体" w:hAnsi="宋体" w:eastAsia="宋体"/>
          <w:color w:val="auto"/>
          <w:sz w:val="24"/>
          <w:highlight w:val="none"/>
          <w:lang w:eastAsia="zh-CN"/>
        </w:rPr>
        <w:t>合同签订后</w:t>
      </w:r>
      <w:r>
        <w:rPr>
          <w:rFonts w:hint="eastAsia" w:ascii="宋体" w:hAnsi="宋体"/>
          <w:color w:val="auto"/>
          <w:sz w:val="24"/>
          <w:highlight w:val="none"/>
          <w:lang w:val="en-US" w:eastAsia="zh-CN"/>
        </w:rPr>
        <w:t>90</w:t>
      </w:r>
      <w:r>
        <w:rPr>
          <w:rFonts w:hint="eastAsia" w:ascii="宋体" w:hAnsi="宋体" w:eastAsia="宋体"/>
          <w:color w:val="auto"/>
          <w:sz w:val="24"/>
          <w:highlight w:val="none"/>
          <w:lang w:eastAsia="zh-CN"/>
        </w:rPr>
        <w:t>日历天</w:t>
      </w:r>
      <w:r>
        <w:rPr>
          <w:rFonts w:hint="eastAsia" w:ascii="宋体" w:hAnsi="宋体"/>
          <w:color w:val="auto"/>
          <w:sz w:val="24"/>
          <w:highlight w:val="none"/>
          <w:lang w:eastAsia="zh-CN"/>
        </w:rPr>
        <w:t>，</w:t>
      </w:r>
      <w:r>
        <w:rPr>
          <w:rFonts w:hint="eastAsia" w:ascii="宋体" w:hAnsi="宋体" w:eastAsia="宋体"/>
          <w:color w:val="auto"/>
          <w:sz w:val="24"/>
          <w:highlight w:val="none"/>
          <w:lang w:eastAsia="zh-CN"/>
        </w:rPr>
        <w:t>每延迟一天罚1000元，限额为合同总价的1%。如果实际施工工期提前于合同工期，采购人不给予奖励。如因采购人原因造成工期延误，工期顺延。</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2、施工质保期：2年，自验收合格之日起计算。</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3、本合同为固定总价合同，其合同总价已包含采购人确认的施工图、磋商响应方报价所列内容及所涉及的各项风险费用，竣工结算时在完成本合同工程范围内不作调整。</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磋商报价包括施工所需的施工费、材料费、机械费、人工费、服务费、运输费、安全措施费、招标代理费等实施本项目相关的一切费用及税金。磋商响应方的磋商报价为磋商响应方所能承受的整个项目的一次性最终最低报价，如有漏项，视同已包含在本项目磋商报价中。</w:t>
      </w:r>
    </w:p>
    <w:p>
      <w:pPr>
        <w:keepNext w:val="0"/>
        <w:keepLines w:val="0"/>
        <w:pageBreakBefore w:val="0"/>
        <w:kinsoku/>
        <w:wordWrap/>
        <w:topLinePunct w:val="0"/>
        <w:bidi w:val="0"/>
        <w:snapToGrid/>
        <w:spacing w:line="440" w:lineRule="exact"/>
        <w:ind w:left="0" w:leftChars="0" w:firstLine="480" w:firstLineChars="200"/>
        <w:rPr>
          <w:rFonts w:hint="eastAsia" w:ascii="宋体" w:hAnsi="宋体" w:eastAsia="宋体" w:cs="Arial"/>
          <w:b/>
          <w:bCs/>
          <w:color w:val="auto"/>
          <w:sz w:val="24"/>
          <w:highlight w:val="none"/>
        </w:rPr>
      </w:pPr>
      <w:r>
        <w:rPr>
          <w:rFonts w:hint="eastAsia" w:ascii="宋体" w:hAnsi="宋体" w:eastAsia="宋体"/>
          <w:color w:val="auto"/>
          <w:sz w:val="24"/>
          <w:highlight w:val="none"/>
        </w:rPr>
        <w:t>5、供应商应自行勘察现场，工程风险由供应商自行承担，结合自身能力进行磋商报价。</w:t>
      </w:r>
      <w:r>
        <w:rPr>
          <w:rFonts w:hint="eastAsia" w:ascii="宋体" w:hAnsi="宋体"/>
          <w:b/>
          <w:bCs/>
          <w:color w:val="auto"/>
          <w:sz w:val="24"/>
          <w:highlight w:val="none"/>
          <w:lang w:val="en-US" w:eastAsia="zh-CN"/>
        </w:rPr>
        <w:t>七、</w:t>
      </w:r>
      <w:r>
        <w:rPr>
          <w:rFonts w:hint="eastAsia" w:ascii="宋体" w:hAnsi="宋体" w:eastAsia="宋体" w:cs="Arial"/>
          <w:b/>
          <w:bCs/>
          <w:color w:val="auto"/>
          <w:sz w:val="24"/>
          <w:highlight w:val="none"/>
        </w:rPr>
        <w:t>验收</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2、采购人可以邀请参加本项目的其他供应商或者第三方机构参与验收。参与验收的供应商或者第三方机构的意见作为验收书的参考资料一并存档。</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4、采购人原则上应当在履约验收之日起2个工作日内，将履约验收结果在浙江政府采购网上公告。</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5、验收合格的项目，采购人将根据采购合同的约定及时向供应商支付采购资金、退还履约保证金。</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6、验收费用由中标单位支付。</w:t>
      </w:r>
    </w:p>
    <w:p>
      <w:pPr>
        <w:keepNext w:val="0"/>
        <w:keepLines w:val="0"/>
        <w:pageBreakBefore w:val="0"/>
        <w:kinsoku/>
        <w:wordWrap/>
        <w:topLinePunct w:val="0"/>
        <w:bidi w:val="0"/>
        <w:snapToGrid/>
        <w:spacing w:line="440" w:lineRule="exact"/>
        <w:rPr>
          <w:rFonts w:hint="eastAsia" w:ascii="宋体" w:hAnsi="宋体" w:eastAsia="宋体" w:cs="Arial"/>
          <w:b/>
          <w:bCs/>
          <w:color w:val="auto"/>
          <w:sz w:val="24"/>
          <w:highlight w:val="none"/>
          <w:lang w:eastAsia="zh-CN"/>
        </w:rPr>
      </w:pPr>
      <w:r>
        <w:rPr>
          <w:rFonts w:hint="eastAsia" w:ascii="宋体" w:hAnsi="宋体" w:cs="Arial"/>
          <w:b/>
          <w:bCs/>
          <w:color w:val="auto"/>
          <w:sz w:val="24"/>
          <w:highlight w:val="none"/>
          <w:lang w:val="en-US" w:eastAsia="zh-CN"/>
        </w:rPr>
        <w:t>八、</w:t>
      </w:r>
      <w:r>
        <w:rPr>
          <w:rFonts w:hint="eastAsia" w:ascii="宋体" w:hAnsi="宋体" w:eastAsia="宋体" w:cs="Arial"/>
          <w:b/>
          <w:bCs/>
          <w:color w:val="auto"/>
          <w:sz w:val="24"/>
          <w:highlight w:val="none"/>
          <w:lang w:eastAsia="zh-CN"/>
        </w:rPr>
        <w:t>合同的签订</w:t>
      </w:r>
    </w:p>
    <w:p>
      <w:pPr>
        <w:keepNext w:val="0"/>
        <w:keepLines w:val="0"/>
        <w:pageBreakBefore w:val="0"/>
        <w:widowControl/>
        <w:kinsoku/>
        <w:wordWrap/>
        <w:overflowPunct w:val="0"/>
        <w:topLinePunct w:val="0"/>
        <w:autoSpaceDE w:val="0"/>
        <w:autoSpaceDN w:val="0"/>
        <w:bidi w:val="0"/>
        <w:adjustRightInd w:val="0"/>
        <w:snapToGrid/>
        <w:spacing w:line="440" w:lineRule="exact"/>
        <w:ind w:left="0" w:leftChars="0"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中标单位在收到《中标通知书》后20日内与浙江东阳经济开发区管理委员会签订合同。</w:t>
      </w:r>
    </w:p>
    <w:p>
      <w:pPr>
        <w:spacing w:line="360" w:lineRule="auto"/>
        <w:ind w:firstLine="643" w:firstLineChars="200"/>
        <w:rPr>
          <w:rFonts w:ascii="宋体" w:hAnsi="宋体" w:cs="宋体"/>
          <w:b/>
          <w:color w:val="auto"/>
          <w:sz w:val="32"/>
          <w:szCs w:val="32"/>
          <w:highlight w:val="none"/>
        </w:rPr>
      </w:pPr>
    </w:p>
    <w:bookmarkEnd w:id="2"/>
    <w:p>
      <w:pPr>
        <w:pStyle w:val="3"/>
        <w:keepNext w:val="0"/>
        <w:keepLines w:val="0"/>
        <w:pageBreakBefore/>
        <w:spacing w:line="240" w:lineRule="auto"/>
        <w:jc w:val="center"/>
        <w:rPr>
          <w:rFonts w:ascii="宋体" w:hAnsi="宋体" w:cs="宋体"/>
          <w:color w:val="auto"/>
          <w:kern w:val="0"/>
          <w:sz w:val="28"/>
          <w:szCs w:val="28"/>
          <w:highlight w:val="none"/>
        </w:rPr>
      </w:pPr>
      <w:bookmarkStart w:id="4" w:name="_bookmark2"/>
      <w:bookmarkEnd w:id="4"/>
      <w:bookmarkStart w:id="5" w:name="第三部分__供应商须知"/>
      <w:bookmarkEnd w:id="5"/>
      <w:bookmarkStart w:id="6" w:name="_Toc23433"/>
      <w:r>
        <w:rPr>
          <w:rFonts w:hint="eastAsia" w:ascii="宋体" w:hAnsi="宋体" w:cs="宋体"/>
          <w:color w:val="auto"/>
          <w:sz w:val="28"/>
          <w:szCs w:val="28"/>
          <w:highlight w:val="none"/>
        </w:rPr>
        <w:t>第三章   供应商须知</w:t>
      </w:r>
      <w:bookmarkEnd w:id="6"/>
    </w:p>
    <w:p>
      <w:pPr>
        <w:pStyle w:val="23"/>
        <w:snapToGrid w:val="0"/>
        <w:spacing w:before="120" w:after="120"/>
        <w:ind w:firstLine="472" w:firstLineChars="196"/>
        <w:jc w:val="center"/>
        <w:outlineLvl w:val="1"/>
        <w:rPr>
          <w:rFonts w:ascii="宋体" w:hAnsi="宋体" w:cs="宋体"/>
          <w:b/>
          <w:color w:val="auto"/>
          <w:szCs w:val="24"/>
          <w:highlight w:val="none"/>
        </w:rPr>
      </w:pPr>
      <w:bookmarkStart w:id="7" w:name="_Toc7599"/>
      <w:r>
        <w:rPr>
          <w:rFonts w:hint="eastAsia" w:ascii="宋体" w:hAnsi="宋体" w:cs="宋体"/>
          <w:b/>
          <w:color w:val="auto"/>
          <w:szCs w:val="24"/>
          <w:highlight w:val="none"/>
        </w:rPr>
        <w:t>前附表</w:t>
      </w:r>
      <w:bookmarkEnd w:id="7"/>
    </w:p>
    <w:tbl>
      <w:tblPr>
        <w:tblStyle w:val="39"/>
        <w:tblW w:w="98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443"/>
        <w:gridCol w:w="7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firstLine="240" w:firstLineChars="100"/>
              <w:jc w:val="left"/>
              <w:rPr>
                <w:rFonts w:ascii="宋体" w:hAnsi="宋体" w:cs="宋体"/>
                <w:color w:val="auto"/>
                <w:sz w:val="24"/>
                <w:highlight w:val="none"/>
              </w:rPr>
            </w:pPr>
            <w:r>
              <w:rPr>
                <w:rFonts w:hint="eastAsia" w:ascii="宋体" w:hAnsi="宋体" w:cs="宋体"/>
                <w:color w:val="auto"/>
                <w:sz w:val="24"/>
                <w:highlight w:val="none"/>
              </w:rPr>
              <w:t>1</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left"/>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 xml:space="preserve">六石安置区二期水系联通工程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磋商报价及费用：1、本项目磋商应以</w:t>
            </w:r>
            <w:r>
              <w:rPr>
                <w:rFonts w:hint="eastAsia" w:ascii="宋体" w:hAnsi="宋体"/>
                <w:color w:val="auto"/>
                <w:sz w:val="24"/>
                <w:highlight w:val="none"/>
              </w:rPr>
              <w:t>人民币</w:t>
            </w:r>
            <w:r>
              <w:rPr>
                <w:rFonts w:hint="eastAsia" w:ascii="宋体" w:hAnsi="宋体" w:cs="宋体"/>
                <w:color w:val="auto"/>
                <w:sz w:val="24"/>
                <w:highlight w:val="none"/>
              </w:rPr>
              <w:t>报价；2、不论磋商结果如何，供应商均应自行承担所有与磋商有关的全部费用；3、磋商费用：</w:t>
            </w:r>
            <w:r>
              <w:rPr>
                <w:rFonts w:hint="eastAsia" w:ascii="宋体" w:hAnsi="宋体" w:cs="宋体"/>
                <w:color w:val="auto"/>
                <w:sz w:val="24"/>
                <w:highlight w:val="none"/>
                <w:lang w:eastAsia="zh-CN"/>
              </w:rPr>
              <w:t>东阳八婺工程项目管理有限公司</w:t>
            </w:r>
            <w:r>
              <w:rPr>
                <w:rFonts w:hint="eastAsia" w:ascii="宋体" w:hAnsi="宋体" w:cs="宋体"/>
                <w:color w:val="auto"/>
                <w:sz w:val="24"/>
                <w:highlight w:val="none"/>
              </w:rPr>
              <w:t>按照本磋商文件总则第（五）条规定向中标人收取中标服务费。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宋体" w:hAnsi="宋体" w:cs="宋体"/>
                <w:color w:val="auto"/>
                <w:sz w:val="24"/>
                <w:highlight w:val="none"/>
              </w:rPr>
            </w:pPr>
            <w:r>
              <w:rPr>
                <w:rFonts w:hint="eastAsia" w:ascii="宋体" w:hAnsi="宋体" w:cs="宋体"/>
                <w:b/>
                <w:bCs/>
                <w:color w:val="auto"/>
                <w:sz w:val="24"/>
                <w:highlight w:val="none"/>
              </w:rPr>
              <w:t>▲根据《政府采购促进中小企业管理办法》及《关于印发中小企业划型标准规定的通知工信部联企业》（〔2011〕300号）有关规定，本采购标的对应的所属行业为：</w:t>
            </w:r>
            <w:r>
              <w:rPr>
                <w:rFonts w:ascii="宋体" w:hAnsi="宋体" w:cs="宋体"/>
                <w:b/>
                <w:bCs/>
                <w:color w:val="auto"/>
                <w:sz w:val="24"/>
                <w:highlight w:val="none"/>
                <w:u w:val="single"/>
              </w:rPr>
              <w:t>建筑业</w:t>
            </w:r>
            <w:r>
              <w:rPr>
                <w:rFonts w:hint="eastAsia" w:ascii="宋体" w:hAnsi="宋体" w:cs="宋体"/>
                <w:b/>
                <w:bCs/>
                <w:color w:val="auto"/>
                <w:sz w:val="24"/>
                <w:highlight w:val="none"/>
                <w:lang w:val="en-US" w:eastAsia="zh-CN"/>
              </w:rPr>
              <w:t>行业</w:t>
            </w:r>
            <w:r>
              <w:rPr>
                <w:rFonts w:hint="eastAsia" w:ascii="宋体" w:hAnsi="宋体" w:cs="宋体"/>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根据《关于在政府采购活动中查询及使用信用记录有关问题的通知》财库[2016]125号的规定：</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（1）采购人或采购代理机构将对本项目供应商的信用记录进行查询。查询渠道为信用中国网站（www.creditchina.gov.cn）、中国政府采购网（www.ccgp.gov.cn）；</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（2）截止时点：提交投标文件（响应文件）截止时间前3年内；</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（3）查询记录和证据的留存：信用信息查询记录和证据以网页截图等方式留存。</w:t>
            </w:r>
          </w:p>
          <w:p>
            <w:pPr>
              <w:snapToGrid w:val="0"/>
              <w:spacing w:line="348" w:lineRule="auto"/>
              <w:rPr>
                <w:rFonts w:hint="eastAsia" w:ascii="宋体" w:hAnsi="宋体" w:cs="宋体"/>
                <w:color w:val="auto"/>
                <w:sz w:val="24"/>
                <w:highlight w:val="none"/>
              </w:rPr>
            </w:pPr>
            <w:r>
              <w:rPr>
                <w:rFonts w:hint="eastAsia" w:ascii="宋体" w:hAnsi="宋体" w:cs="宋体"/>
                <w:color w:val="auto"/>
                <w:sz w:val="24"/>
                <w:highlight w:val="none"/>
              </w:rPr>
              <w:t>（4）使用规则：被列入失信被执行人、重大税收违法案件当事人名单、政府采购严重违法失信行为记录名单</w:t>
            </w:r>
            <w:r>
              <w:rPr>
                <w:rFonts w:hint="eastAsia" w:ascii="宋体" w:hAnsi="宋体" w:cs="宋体"/>
                <w:color w:val="auto"/>
                <w:sz w:val="24"/>
                <w:highlight w:val="none"/>
                <w:lang w:eastAsia="zh-CN"/>
              </w:rPr>
              <w:t>及其他</w:t>
            </w:r>
            <w:r>
              <w:rPr>
                <w:rFonts w:hint="eastAsia" w:ascii="宋体" w:hAnsi="宋体" w:cs="宋体"/>
                <w:color w:val="auto"/>
                <w:sz w:val="24"/>
                <w:highlight w:val="none"/>
              </w:rPr>
              <w:t>不符合《中华人民共和国政府采购法》第二十二条规定条件的，其投标将被拒绝。</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（5）联合体成员任意一方存在不良信用记录的，视同联合体存在不良信用记录。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3"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答疑与澄清：供应商如认为磋商文件表述不清晰、存在歧视性、排他性或者其他违法内容的，应当按照磋商公告第三、</w:t>
            </w: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条规定以书面形式要求招标方作出书面解释、澄清或者向招标方提出书面质疑；</w:t>
            </w:r>
            <w:r>
              <w:rPr>
                <w:rFonts w:hint="eastAsia" w:ascii="宋体" w:hAnsi="宋体" w:cs="宋体"/>
                <w:b/>
                <w:color w:val="auto"/>
                <w:sz w:val="24"/>
                <w:highlight w:val="none"/>
              </w:rPr>
              <w:t>在质疑截止时间前，未对磋商文件提出质疑时，视供应商对磋商文件的默认；</w:t>
            </w:r>
            <w:r>
              <w:rPr>
                <w:rFonts w:hint="eastAsia" w:ascii="宋体" w:hAnsi="宋体" w:cs="宋体"/>
                <w:color w:val="auto"/>
                <w:sz w:val="24"/>
                <w:highlight w:val="none"/>
              </w:rPr>
              <w:t>招标采购单位对已发出的磋商文件进行必要澄清、答复、修改或者补充的，在财政部门指定的政府采购信息发布媒体上发布更正公告，并以书面形式通知所有已获取磋商文件的供应商；答疑内容是磋商文件的组成部分；澄清或者修改的内容可能影响磋商响应文件编制的，应当在磋商截止时间至少5日前，以书面形式通知所有获取磋商文件的潜在供应商；不足5日的，顺延提交磋商响应文件的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磋商响应文件的递交：</w:t>
            </w:r>
          </w:p>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本项目磋商响应文件由资格审查文件、商务技术</w:t>
            </w:r>
            <w:r>
              <w:rPr>
                <w:rFonts w:hint="eastAsia" w:ascii="宋体" w:hAnsi="宋体" w:cs="宋体"/>
                <w:color w:val="auto"/>
                <w:sz w:val="24"/>
                <w:highlight w:val="none"/>
                <w:lang w:val="en-US" w:eastAsia="zh-CN"/>
              </w:rPr>
              <w:t>资信</w:t>
            </w:r>
            <w:r>
              <w:rPr>
                <w:rFonts w:hint="eastAsia" w:ascii="宋体" w:hAnsi="宋体" w:cs="宋体"/>
                <w:color w:val="auto"/>
                <w:sz w:val="24"/>
                <w:highlight w:val="none"/>
              </w:rPr>
              <w:t>文件和报价文件三部分组成。供应商应按以下方式递交磋商响应文件：</w:t>
            </w:r>
          </w:p>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▲1、本项目实行“网上磋商、电子评标”，供应商应于磋商截止时间前在“政采云”（电子交易平台）上传输、递交电子版磋商响应文件（包括资格审查文件、商务技术资信文件和报价文件）；</w:t>
            </w:r>
          </w:p>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2、为了避免由于电子交易平台无法正常运行等技术、安全故障原因造成磋商响应文件无法解密或解密失败，导致磋商无效的情况，供应商可以在磋商截止时间前将电子备份磋商响应文件（经政采云电子交易客户端和CA驱动制作出的后缀名为“bfbs”的加密电子备份磋商响应文件）发送至</w:t>
            </w:r>
            <w:r>
              <w:rPr>
                <w:rFonts w:hint="eastAsia" w:ascii="宋体" w:hAnsi="宋体" w:cs="宋体"/>
                <w:color w:val="auto"/>
                <w:sz w:val="24"/>
                <w:highlight w:val="none"/>
                <w:lang w:eastAsia="zh-CN"/>
              </w:rPr>
              <w:t>东阳八婺工程项目管理有限公司</w:t>
            </w:r>
            <w:r>
              <w:rPr>
                <w:rFonts w:hint="eastAsia" w:ascii="宋体" w:hAnsi="宋体" w:cs="宋体"/>
                <w:color w:val="auto"/>
                <w:sz w:val="24"/>
                <w:highlight w:val="none"/>
              </w:rPr>
              <w:t>邮箱：</w:t>
            </w:r>
            <w:r>
              <w:rPr>
                <w:rFonts w:hint="eastAsia" w:ascii="宋体" w:hAnsi="宋体" w:cs="宋体"/>
                <w:color w:val="auto"/>
                <w:sz w:val="24"/>
                <w:highlight w:val="none"/>
                <w:lang w:val="en-US" w:eastAsia="zh-CN"/>
              </w:rPr>
              <w:t>467487412@qq.com</w:t>
            </w:r>
            <w:r>
              <w:rPr>
                <w:rFonts w:hint="eastAsia" w:ascii="宋体" w:hAnsi="宋体" w:cs="宋体"/>
                <w:color w:val="auto"/>
                <w:sz w:val="24"/>
                <w:highlight w:val="none"/>
              </w:rPr>
              <w:t>，逾期发送或发错后缀名的备份磋商响应文件将被视为无效；</w:t>
            </w:r>
          </w:p>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3、供应商仅提交电子备份磋商响应文件的，磋商无效；</w:t>
            </w:r>
          </w:p>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4、本项目不强制供应商提交电子备份磋商响应文件；如在开评标时出现电子磋商响应文件无法解密或解密失败等情况，因供应商未提供电子备份磋商响应文件而造成磋商无效等一切后果和风险由供应商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hint="eastAsia" w:ascii="宋体" w:hAnsi="宋体" w:eastAsia="宋体" w:cs="宋体"/>
                <w:b/>
                <w:bCs w:val="0"/>
                <w:color w:val="FF0000"/>
                <w:sz w:val="24"/>
                <w:highlight w:val="none"/>
                <w:u w:val="single"/>
                <w:lang w:eastAsia="zh-CN"/>
              </w:rPr>
            </w:pPr>
            <w:r>
              <w:rPr>
                <w:rFonts w:hint="eastAsia" w:ascii="宋体" w:hAnsi="宋体" w:cs="宋体"/>
                <w:b/>
                <w:bCs w:val="0"/>
                <w:color w:val="FF0000"/>
                <w:sz w:val="24"/>
                <w:highlight w:val="none"/>
              </w:rPr>
              <w:t>磋商截止时间：</w:t>
            </w:r>
            <w:r>
              <w:rPr>
                <w:rFonts w:hint="eastAsia" w:ascii="宋体" w:hAnsi="宋体" w:cs="宋体"/>
                <w:b/>
                <w:bCs w:val="0"/>
                <w:color w:val="FF0000"/>
                <w:sz w:val="24"/>
                <w:highlight w:val="none"/>
                <w:u w:val="single"/>
                <w:lang w:eastAsia="zh-CN"/>
              </w:rPr>
              <w:t>2026年</w:t>
            </w:r>
            <w:r>
              <w:rPr>
                <w:rFonts w:hint="eastAsia" w:ascii="宋体" w:hAnsi="宋体" w:cs="宋体"/>
                <w:b/>
                <w:bCs w:val="0"/>
                <w:color w:val="FF0000"/>
                <w:sz w:val="24"/>
                <w:highlight w:val="none"/>
                <w:u w:val="single"/>
                <w:lang w:val="en-US" w:eastAsia="zh-CN"/>
              </w:rPr>
              <w:t>5</w:t>
            </w:r>
            <w:r>
              <w:rPr>
                <w:rFonts w:hint="eastAsia" w:ascii="宋体" w:hAnsi="宋体" w:cs="宋体"/>
                <w:b/>
                <w:bCs w:val="0"/>
                <w:color w:val="FF0000"/>
                <w:sz w:val="24"/>
                <w:highlight w:val="none"/>
                <w:u w:val="single"/>
                <w:lang w:eastAsia="zh-CN"/>
              </w:rPr>
              <w:t>月</w:t>
            </w:r>
            <w:r>
              <w:rPr>
                <w:rFonts w:hint="eastAsia" w:ascii="宋体" w:hAnsi="宋体" w:cs="宋体"/>
                <w:b/>
                <w:bCs w:val="0"/>
                <w:color w:val="FF0000"/>
                <w:sz w:val="24"/>
                <w:highlight w:val="none"/>
                <w:u w:val="single"/>
                <w:lang w:val="en-US" w:eastAsia="zh-CN"/>
              </w:rPr>
              <w:t>20</w:t>
            </w:r>
            <w:r>
              <w:rPr>
                <w:rFonts w:hint="eastAsia" w:ascii="宋体" w:hAnsi="宋体" w:cs="宋体"/>
                <w:b/>
                <w:bCs w:val="0"/>
                <w:color w:val="FF0000"/>
                <w:sz w:val="24"/>
                <w:highlight w:val="none"/>
                <w:u w:val="single"/>
                <w:lang w:eastAsia="zh-CN"/>
              </w:rPr>
              <w:t>日</w:t>
            </w:r>
            <w:r>
              <w:rPr>
                <w:rFonts w:hint="eastAsia" w:ascii="宋体" w:hAnsi="宋体" w:cs="宋体"/>
                <w:b/>
                <w:bCs w:val="0"/>
                <w:color w:val="FF0000"/>
                <w:sz w:val="24"/>
                <w:highlight w:val="none"/>
                <w:u w:val="single"/>
                <w:lang w:val="en-US" w:eastAsia="zh-CN"/>
              </w:rPr>
              <w:t>14</w:t>
            </w:r>
            <w:r>
              <w:rPr>
                <w:rFonts w:hint="eastAsia" w:ascii="宋体" w:hAnsi="宋体" w:cs="宋体"/>
                <w:b/>
                <w:bCs w:val="0"/>
                <w:color w:val="FF0000"/>
                <w:sz w:val="24"/>
                <w:highlight w:val="none"/>
                <w:u w:val="single"/>
                <w:lang w:eastAsia="zh-CN"/>
              </w:rPr>
              <w:t>时</w:t>
            </w:r>
            <w:r>
              <w:rPr>
                <w:rFonts w:hint="eastAsia" w:ascii="宋体" w:hAnsi="宋体" w:cs="宋体"/>
                <w:b/>
                <w:bCs w:val="0"/>
                <w:color w:val="FF0000"/>
                <w:sz w:val="24"/>
                <w:highlight w:val="none"/>
                <w:u w:val="single"/>
                <w:lang w:val="en-US" w:eastAsia="zh-CN"/>
              </w:rPr>
              <w:t>00</w:t>
            </w:r>
            <w:r>
              <w:rPr>
                <w:rFonts w:hint="eastAsia" w:ascii="宋体" w:hAnsi="宋体" w:cs="宋体"/>
                <w:b/>
                <w:bCs w:val="0"/>
                <w:color w:val="FF0000"/>
                <w:sz w:val="24"/>
                <w:highlight w:val="none"/>
                <w:u w:val="single"/>
                <w:lang w:eastAsia="zh-CN"/>
              </w:rPr>
              <w:t>分</w:t>
            </w:r>
          </w:p>
          <w:p>
            <w:pPr>
              <w:pStyle w:val="23"/>
              <w:spacing w:line="420" w:lineRule="exact"/>
              <w:rPr>
                <w:rFonts w:ascii="宋体" w:hAnsi="宋体" w:cs="宋体"/>
                <w:bCs/>
                <w:color w:val="auto"/>
                <w:szCs w:val="24"/>
                <w:highlight w:val="none"/>
              </w:rPr>
            </w:pPr>
            <w:r>
              <w:rPr>
                <w:rFonts w:hint="eastAsia" w:ascii="宋体" w:hAnsi="宋体" w:cs="宋体"/>
                <w:bCs/>
                <w:color w:val="auto"/>
                <w:szCs w:val="24"/>
                <w:highlight w:val="none"/>
              </w:rPr>
              <w:t>1、供应商应当在磋商截止时间前在“政采云”（电子交易平台）上自行上传加密的电子磋商响应文件。磋商截止时间前未完成传输的，视为撤回电子磋商响应文件。磋商截止时间后递交的电子磋商响应文件，将被政采云平台拒收。</w:t>
            </w:r>
          </w:p>
          <w:p>
            <w:pPr>
              <w:snapToGrid w:val="0"/>
              <w:spacing w:line="420" w:lineRule="exact"/>
              <w:rPr>
                <w:rFonts w:ascii="宋体" w:hAnsi="宋体" w:cs="宋体"/>
                <w:bCs/>
                <w:color w:val="auto"/>
                <w:sz w:val="24"/>
                <w:highlight w:val="none"/>
              </w:rPr>
            </w:pPr>
            <w:r>
              <w:rPr>
                <w:rFonts w:hint="eastAsia" w:ascii="宋体" w:hAnsi="宋体" w:cs="宋体"/>
                <w:bCs/>
                <w:color w:val="auto"/>
                <w:sz w:val="24"/>
                <w:highlight w:val="none"/>
              </w:rPr>
              <w:t>2、电子备份磋商响应文件的递交时间：供应商应当在磋商截止时间前，逾期未递交的视为自动放弃。</w:t>
            </w:r>
          </w:p>
          <w:p>
            <w:pPr>
              <w:pStyle w:val="23"/>
              <w:spacing w:line="420" w:lineRule="exact"/>
              <w:rPr>
                <w:rFonts w:ascii="宋体" w:hAnsi="宋体" w:cs="宋体"/>
                <w:color w:val="auto"/>
                <w:szCs w:val="24"/>
                <w:highlight w:val="none"/>
              </w:rPr>
            </w:pPr>
            <w:r>
              <w:rPr>
                <w:rFonts w:hint="eastAsia" w:ascii="宋体" w:hAnsi="宋体" w:cs="宋体"/>
                <w:bCs/>
                <w:color w:val="auto"/>
                <w:szCs w:val="24"/>
                <w:highlight w:val="none"/>
              </w:rPr>
              <w:t>3、供应商应当在磋商截止时间前完成磋商准备事宜（应具备上网的技术条件并保持网络及联系方式畅通）及电子磋商响应文件的传输递交，可以补充、修改或者撤回电子磋商响应文件。补充或者修改电子磋商响应文件的，应当先行撤回原文件，补充、修改后重新传输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hint="eastAsia" w:ascii="宋体" w:hAnsi="宋体" w:eastAsia="宋体" w:cs="宋体"/>
                <w:b/>
                <w:bCs/>
                <w:color w:val="FF0000"/>
                <w:sz w:val="24"/>
                <w:highlight w:val="none"/>
                <w:lang w:eastAsia="zh-CN"/>
              </w:rPr>
            </w:pPr>
            <w:r>
              <w:rPr>
                <w:rFonts w:hint="eastAsia" w:ascii="宋体" w:hAnsi="宋体" w:cs="宋体"/>
                <w:b/>
                <w:bCs/>
                <w:color w:val="FF0000"/>
                <w:sz w:val="24"/>
                <w:highlight w:val="none"/>
              </w:rPr>
              <w:t>开标时间：</w:t>
            </w:r>
            <w:r>
              <w:rPr>
                <w:rFonts w:hint="eastAsia" w:ascii="宋体" w:hAnsi="宋体" w:cs="宋体"/>
                <w:b/>
                <w:bCs/>
                <w:color w:val="FF0000"/>
                <w:sz w:val="24"/>
                <w:highlight w:val="none"/>
                <w:u w:val="single"/>
                <w:lang w:eastAsia="zh-CN"/>
              </w:rPr>
              <w:t xml:space="preserve">2026年 </w:t>
            </w:r>
            <w:r>
              <w:rPr>
                <w:rFonts w:hint="eastAsia" w:ascii="宋体" w:hAnsi="宋体" w:cs="宋体"/>
                <w:b/>
                <w:bCs/>
                <w:color w:val="FF0000"/>
                <w:sz w:val="24"/>
                <w:highlight w:val="none"/>
                <w:u w:val="single"/>
                <w:lang w:val="en-US" w:eastAsia="zh-CN"/>
              </w:rPr>
              <w:t>5</w:t>
            </w:r>
            <w:r>
              <w:rPr>
                <w:rFonts w:hint="eastAsia" w:ascii="宋体" w:hAnsi="宋体" w:cs="宋体"/>
                <w:b/>
                <w:bCs/>
                <w:color w:val="FF0000"/>
                <w:sz w:val="24"/>
                <w:highlight w:val="none"/>
                <w:u w:val="single"/>
                <w:lang w:eastAsia="zh-CN"/>
              </w:rPr>
              <w:t>月</w:t>
            </w:r>
            <w:r>
              <w:rPr>
                <w:rFonts w:hint="eastAsia" w:ascii="宋体" w:hAnsi="宋体" w:cs="宋体"/>
                <w:b/>
                <w:bCs/>
                <w:color w:val="FF0000"/>
                <w:sz w:val="24"/>
                <w:highlight w:val="none"/>
                <w:u w:val="single"/>
                <w:lang w:val="en-US" w:eastAsia="zh-CN"/>
              </w:rPr>
              <w:t>20</w:t>
            </w:r>
            <w:r>
              <w:rPr>
                <w:rFonts w:hint="eastAsia" w:ascii="宋体" w:hAnsi="宋体" w:cs="宋体"/>
                <w:b/>
                <w:bCs/>
                <w:color w:val="FF0000"/>
                <w:sz w:val="24"/>
                <w:highlight w:val="none"/>
                <w:u w:val="single"/>
                <w:lang w:eastAsia="zh-CN"/>
              </w:rPr>
              <w:t>日</w:t>
            </w:r>
            <w:r>
              <w:rPr>
                <w:rFonts w:hint="eastAsia" w:ascii="宋体" w:hAnsi="宋体" w:cs="宋体"/>
                <w:b/>
                <w:bCs/>
                <w:color w:val="FF0000"/>
                <w:sz w:val="24"/>
                <w:highlight w:val="none"/>
                <w:u w:val="single"/>
                <w:lang w:val="en-US" w:eastAsia="zh-CN"/>
              </w:rPr>
              <w:t>14</w:t>
            </w:r>
            <w:r>
              <w:rPr>
                <w:rFonts w:hint="eastAsia" w:ascii="宋体" w:hAnsi="宋体" w:cs="宋体"/>
                <w:b/>
                <w:bCs/>
                <w:color w:val="FF0000"/>
                <w:sz w:val="24"/>
                <w:highlight w:val="none"/>
                <w:u w:val="single"/>
                <w:lang w:eastAsia="zh-CN"/>
              </w:rPr>
              <w:t>时</w:t>
            </w:r>
            <w:r>
              <w:rPr>
                <w:rFonts w:hint="eastAsia" w:ascii="宋体" w:hAnsi="宋体" w:cs="宋体"/>
                <w:b/>
                <w:bCs/>
                <w:color w:val="FF0000"/>
                <w:sz w:val="24"/>
                <w:highlight w:val="none"/>
                <w:u w:val="single"/>
                <w:lang w:val="en-US" w:eastAsia="zh-CN"/>
              </w:rPr>
              <w:t>00</w:t>
            </w:r>
            <w:r>
              <w:rPr>
                <w:rFonts w:hint="eastAsia" w:ascii="宋体" w:hAnsi="宋体" w:cs="宋体"/>
                <w:b/>
                <w:bCs/>
                <w:color w:val="FF0000"/>
                <w:sz w:val="24"/>
                <w:highlight w:val="none"/>
                <w:u w:val="single"/>
                <w:lang w:eastAsia="zh-CN"/>
              </w:rPr>
              <w:t>分</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不要求供应商到开标现场开标，但供应商应派法定代表人或委托代理人【委托代理人应当是供应商的在职正式职工】准时在线出席电子开标会议，随时关注开标进度，如在开标过程中有电子询标，应在规定的时间内对电子询标函进行澄清回复。</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截止开标时间，政采云（电子交易平台）自动提取所有磋商响应文件，供应商须在开标时间截止后30分钟内对上传政采云的磋商响应文件进行解密，所有供应商在规定的解密时限内解密完成或解密时限到后，采购代理机构开启磋商响应文件；供应商超过解密时限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b/>
                <w:bCs/>
                <w:color w:val="auto"/>
                <w:sz w:val="24"/>
                <w:highlight w:val="none"/>
              </w:rPr>
              <w:t>磋商办法：综合评分法（其中报价分为两轮）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20" w:lineRule="exact"/>
              <w:textAlignment w:val="bottom"/>
              <w:rPr>
                <w:rFonts w:ascii="宋体" w:hAnsi="宋体" w:cs="宋体"/>
                <w:color w:val="auto"/>
                <w:sz w:val="24"/>
                <w:highlight w:val="none"/>
              </w:rPr>
            </w:pPr>
            <w:bookmarkStart w:id="8" w:name="_Toc457480905"/>
            <w:r>
              <w:rPr>
                <w:rFonts w:hint="eastAsia" w:ascii="宋体" w:hAnsi="宋体" w:cs="宋体"/>
                <w:color w:val="auto"/>
                <w:sz w:val="24"/>
                <w:highlight w:val="none"/>
              </w:rPr>
              <w:t>中标结果公告：自中标人确定之日起2个工作日内，中标结果公告于浙江省政府采购网(http://zfcg.czt.zj.gov.cn/)、东阳市公共资源交易网(http://www.dongyang.gov.cn/ggzyjy/index.html)，公告1个工作日</w:t>
            </w:r>
            <w:bookmarkEnd w:id="8"/>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《中标通知书》的领取时间：中标人应自中标结果公告结束日起，在3个工作日内领取，否则按放弃中标资格处理，并因违反诚信原则，提交财政部门列入政府采购黑名单。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cs="宋体"/>
                <w:b/>
                <w:bCs/>
                <w:color w:val="auto"/>
                <w:sz w:val="24"/>
                <w:highlight w:val="none"/>
              </w:rPr>
            </w:pPr>
            <w:r>
              <w:rPr>
                <w:rFonts w:hint="eastAsia" w:ascii="宋体" w:hAnsi="宋体" w:cs="宋体"/>
                <w:b/>
                <w:bCs/>
                <w:color w:val="auto"/>
                <w:sz w:val="24"/>
                <w:highlight w:val="none"/>
              </w:rPr>
              <w:t>履约保证金：</w:t>
            </w:r>
          </w:p>
          <w:p>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中标人在收到中标通知书后，需向采购人提供</w:t>
            </w:r>
            <w:r>
              <w:rPr>
                <w:rFonts w:hint="eastAsia" w:ascii="宋体" w:hAnsi="宋体" w:eastAsia="宋体" w:cs="宋体"/>
                <w:color w:val="auto"/>
                <w:sz w:val="24"/>
                <w:highlight w:val="none"/>
                <w:lang w:val="en-US" w:eastAsia="zh-CN"/>
              </w:rPr>
              <w:t>合同金额的1</w:t>
            </w:r>
            <w:r>
              <w:rPr>
                <w:rFonts w:hint="eastAsia" w:ascii="宋体" w:hAnsi="宋体" w:eastAsia="宋体" w:cs="宋体"/>
                <w:color w:val="auto"/>
                <w:sz w:val="24"/>
                <w:highlight w:val="none"/>
              </w:rPr>
              <w:t>%的履约保证金，在中标人与采购人签订合同前递交，磋商响应方需以支票、汇票、本票或者金融机构、保险公司、担保机构出具的保函（可在政采云平台购买，咨询热线4009039583）等非现金形式提交。</w:t>
            </w:r>
          </w:p>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eastAsia="宋体" w:cs="宋体"/>
                <w:color w:val="auto"/>
                <w:sz w:val="24"/>
                <w:highlight w:val="none"/>
                <w:lang w:val="en-US" w:eastAsia="zh-CN"/>
              </w:rPr>
              <w:t>中标人也</w:t>
            </w:r>
            <w:r>
              <w:rPr>
                <w:rFonts w:hint="eastAsia" w:ascii="宋体" w:hAnsi="宋体" w:eastAsia="宋体" w:cs="宋体"/>
                <w:color w:val="auto"/>
                <w:sz w:val="24"/>
                <w:highlight w:val="none"/>
              </w:rPr>
              <w:t>可登录政采云平台-【金融服务】—【我的项目】—【已备案合同】以保函形式提供：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在合同列表选择需要投保的合同，点击[保函推荐]。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在弹框里查看推荐的保函产品，</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自行选择保函产品，点击[立即申请]。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在弹框里填写保函申请信息。具体步骤：选择产品—填写供应商信息—选择中标项目—确认信息—等待保险/保函受理—确认保单—支付保费—成功出单。政采云金融专线400-903-9583。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48" w:lineRule="auto"/>
              <w:jc w:val="left"/>
              <w:rPr>
                <w:rFonts w:ascii="宋体" w:hAnsi="宋体" w:cs="宋体"/>
                <w:color w:val="auto"/>
                <w:sz w:val="24"/>
                <w:highlight w:val="none"/>
              </w:rPr>
            </w:pPr>
            <w:r>
              <w:rPr>
                <w:rFonts w:hint="eastAsia" w:ascii="宋体" w:hAnsi="宋体" w:cs="宋体"/>
                <w:color w:val="auto"/>
                <w:sz w:val="24"/>
                <w:highlight w:val="none"/>
              </w:rPr>
              <w:t>1、企业信用融资: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网(http://zfcg.czt.zj.gov.cn/)的中小企业信用融资栏目了解相关信息。 供应商可以通过浙江政府采购网(http://zfcg.czt.zj.gov.cn/)首页的“浙江政采贷”模块进入申请，还可以通过政府采购云平台(https://www.zcygov.cn/)首页的“金融服务”模块进入申请。</w:t>
            </w:r>
          </w:p>
          <w:p>
            <w:pPr>
              <w:snapToGrid w:val="0"/>
              <w:spacing w:line="348" w:lineRule="auto"/>
              <w:jc w:val="left"/>
              <w:rPr>
                <w:rFonts w:ascii="宋体" w:hAnsi="宋体" w:cs="宋体"/>
                <w:color w:val="auto"/>
                <w:sz w:val="24"/>
                <w:highlight w:val="none"/>
              </w:rPr>
            </w:pPr>
            <w:r>
              <w:rPr>
                <w:rFonts w:hint="eastAsia" w:ascii="宋体" w:hAnsi="宋体" w:cs="宋体"/>
                <w:color w:val="auto"/>
                <w:sz w:val="24"/>
                <w:highlight w:val="none"/>
              </w:rPr>
              <w:t xml:space="preserve">2、政府采购金融服务提示：为扩大政府采购金融服务面，除政采云网上金融服务合作银行外，东阳市范围内增加浙商银行金华分行东阳支行作为线下合作银行。   </w:t>
            </w:r>
          </w:p>
          <w:p>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浙商银行金华东阳支行联系人：许燕  联系电话：13967983441  0579-86222992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签订合同时间：发出《中标通知书》之日起20天内。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中标人与</w:t>
            </w:r>
            <w:r>
              <w:rPr>
                <w:rFonts w:hint="eastAsia" w:ascii="宋体" w:hAnsi="宋体" w:cs="宋体"/>
                <w:color w:val="auto"/>
                <w:sz w:val="24"/>
                <w:highlight w:val="none"/>
                <w:lang w:eastAsia="zh-CN"/>
              </w:rPr>
              <w:t>浙江东阳经济开发区管理委员会</w:t>
            </w:r>
            <w:r>
              <w:rPr>
                <w:rFonts w:hint="eastAsia" w:ascii="宋体" w:hAnsi="宋体" w:cs="宋体"/>
                <w:color w:val="auto"/>
                <w:sz w:val="24"/>
                <w:highlight w:val="none"/>
              </w:rPr>
              <w:t>签订政府采购合同。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20" w:lineRule="exact"/>
              <w:textAlignment w:val="bottom"/>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付款方式：</w:t>
            </w:r>
          </w:p>
          <w:p>
            <w:pPr>
              <w:spacing w:line="360" w:lineRule="auto"/>
              <w:rPr>
                <w:rFonts w:hint="eastAsia" w:ascii="宋体" w:hAnsi="宋体"/>
                <w:color w:val="auto"/>
                <w:sz w:val="24"/>
                <w:highlight w:val="none"/>
              </w:rPr>
            </w:pPr>
            <w:r>
              <w:rPr>
                <w:rFonts w:hint="eastAsia" w:ascii="宋体" w:hAnsi="宋体"/>
                <w:color w:val="auto"/>
                <w:sz w:val="24"/>
                <w:highlight w:val="none"/>
              </w:rPr>
              <w:t>（1）合同生效以及具备实施条件后7个工作日内支付合同价款的30%作为预付款（中标人须提交预付款保函）；</w:t>
            </w:r>
          </w:p>
          <w:p>
            <w:pPr>
              <w:spacing w:line="360" w:lineRule="auto"/>
              <w:rPr>
                <w:rFonts w:hint="eastAsia" w:ascii="宋体" w:hAnsi="宋体"/>
                <w:color w:val="auto"/>
                <w:sz w:val="24"/>
                <w:highlight w:val="none"/>
              </w:rPr>
            </w:pPr>
            <w:r>
              <w:rPr>
                <w:rFonts w:hint="eastAsia" w:ascii="宋体" w:hAnsi="宋体"/>
                <w:color w:val="auto"/>
                <w:sz w:val="24"/>
                <w:highlight w:val="none"/>
              </w:rPr>
              <w:t>（2）全部工程完工后在7个工作日内支付至合同价款的85%；</w:t>
            </w:r>
          </w:p>
          <w:p>
            <w:pPr>
              <w:spacing w:line="360" w:lineRule="auto"/>
              <w:rPr>
                <w:rFonts w:hint="eastAsia" w:ascii="宋体" w:hAnsi="宋体"/>
                <w:color w:val="auto"/>
                <w:sz w:val="24"/>
                <w:highlight w:val="none"/>
              </w:rPr>
            </w:pPr>
            <w:r>
              <w:rPr>
                <w:rFonts w:hint="eastAsia" w:ascii="宋体" w:hAnsi="宋体"/>
                <w:color w:val="auto"/>
                <w:sz w:val="24"/>
                <w:highlight w:val="none"/>
              </w:rPr>
              <w:t>（3）其余工程款于工程最终验收合格并经结算审核完成后支付至审定价的100%（不计息），中标人须无条件配合审核工作。</w:t>
            </w:r>
          </w:p>
          <w:p>
            <w:pPr>
              <w:spacing w:line="360" w:lineRule="auto"/>
              <w:rPr>
                <w:rFonts w:ascii="宋体" w:hAnsi="宋体" w:cs="宋体"/>
                <w:color w:val="auto"/>
                <w:sz w:val="24"/>
                <w:highlight w:val="none"/>
              </w:rPr>
            </w:pPr>
            <w:r>
              <w:rPr>
                <w:rFonts w:hint="eastAsia" w:ascii="宋体" w:hAnsi="宋体"/>
                <w:color w:val="auto"/>
                <w:sz w:val="24"/>
                <w:highlight w:val="none"/>
              </w:rPr>
              <w:t>（4）农民工工资相关要求：农民工工资相关的管理、认定、支付等事项按东阳市根治欠薪工作领导小组办公室《关于落实“两备案一承诺”制度的通知》文件执行。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服务地点：东阳市内，采购人指定的地点。</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验收：</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1.采购人组织相关人员对供应商履约的验收，验收费用由中标人承担；采购人出具一式二份验收报告，一份由中标人保管，一份由</w:t>
            </w:r>
            <w:r>
              <w:rPr>
                <w:rFonts w:hint="eastAsia" w:ascii="宋体" w:hAnsi="宋体" w:cs="宋体"/>
                <w:color w:val="auto"/>
                <w:sz w:val="24"/>
                <w:highlight w:val="none"/>
                <w:lang w:eastAsia="zh-CN"/>
              </w:rPr>
              <w:t>东阳八婺工程项目管理有限公司</w:t>
            </w:r>
            <w:r>
              <w:rPr>
                <w:rFonts w:hint="eastAsia" w:ascii="宋体" w:hAnsi="宋体" w:cs="宋体"/>
                <w:color w:val="auto"/>
                <w:sz w:val="24"/>
                <w:highlight w:val="none"/>
              </w:rPr>
              <w:t>（原件）存档。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2.采购人可以邀请参加本项目的其他供应商或者第三方机构参与验收。参与验收的供应商或者第三方机构的意见作为验收书的参考资料一并存档。</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4.采购人原则上应当在履约验收之日起2个工作日内，将履约验收结果在浙江政府采购网上公告。</w:t>
            </w:r>
          </w:p>
          <w:p>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50" w:line="348" w:lineRule="auto"/>
              <w:outlineLvl w:val="2"/>
              <w:rPr>
                <w:rFonts w:ascii="宋体" w:hAnsi="宋体"/>
                <w:b/>
                <w:color w:val="auto"/>
                <w:sz w:val="24"/>
                <w:highlight w:val="none"/>
              </w:rPr>
            </w:pPr>
            <w:r>
              <w:rPr>
                <w:rFonts w:hint="eastAsia" w:ascii="宋体" w:hAnsi="宋体"/>
                <w:b/>
                <w:color w:val="auto"/>
                <w:sz w:val="24"/>
                <w:highlight w:val="none"/>
              </w:rPr>
              <w:t>供应商有下列情形之一的，列入失信名单，同时依照《政府采购法》第七十七条及《中华人民共和国政府采购法实施条例》第七十二条规定处罚并</w:t>
            </w:r>
            <w:r>
              <w:rPr>
                <w:rFonts w:hint="eastAsia" w:ascii="宋体" w:hAnsi="宋体"/>
                <w:b/>
                <w:color w:val="auto"/>
                <w:sz w:val="24"/>
                <w:highlight w:val="none"/>
                <w:lang w:eastAsia="zh-CN"/>
              </w:rPr>
              <w:t>追究法律责任</w:t>
            </w:r>
            <w:r>
              <w:rPr>
                <w:rFonts w:hint="eastAsia" w:ascii="宋体" w:hAnsi="宋体"/>
                <w:b/>
                <w:color w:val="auto"/>
                <w:sz w:val="24"/>
                <w:highlight w:val="none"/>
              </w:rPr>
              <w:t>。</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1、提供虚假材料谋取中标、成交的； </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2、采取不正当手段诋毁、排挤其他供应商的； </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3、与采购人、其他供应商或者采购代理机构恶意串通的； </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4、向采购人、采购代理机构行贿或者提供其他不正当利益的； </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5、在招标采购过程中与采购人进行协商谈判的； </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6、向评标委员会、竞争性谈判小组或者询价小组成员行贿或者提供其他不正当利益；</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7、中标或者成交后无正当理由拒不与采购人签订政府采购合同；</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8、未按照采购文件确定的事项签订政府采购合同；</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9、将政府采购合同转包；</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10、提供假冒伪劣产品；</w:t>
            </w:r>
          </w:p>
          <w:p>
            <w:pPr>
              <w:snapToGrid w:val="0"/>
              <w:spacing w:line="348" w:lineRule="auto"/>
              <w:jc w:val="left"/>
              <w:rPr>
                <w:rFonts w:ascii="宋体" w:hAnsi="宋体"/>
                <w:color w:val="auto"/>
                <w:sz w:val="24"/>
                <w:highlight w:val="none"/>
              </w:rPr>
            </w:pPr>
            <w:r>
              <w:rPr>
                <w:rFonts w:hint="eastAsia" w:ascii="宋体" w:hAnsi="宋体"/>
                <w:color w:val="auto"/>
                <w:sz w:val="24"/>
                <w:highlight w:val="none"/>
              </w:rPr>
              <w:t>11、擅自变更、中止或者终止政府采购合同。</w:t>
            </w:r>
          </w:p>
          <w:p>
            <w:pPr>
              <w:snapToGrid w:val="0"/>
              <w:spacing w:line="348" w:lineRule="auto"/>
              <w:rPr>
                <w:rFonts w:ascii="宋体" w:hAnsi="宋体" w:cs="宋体"/>
                <w:color w:val="auto"/>
                <w:sz w:val="24"/>
                <w:highlight w:val="none"/>
              </w:rPr>
            </w:pPr>
            <w:r>
              <w:rPr>
                <w:rFonts w:hint="eastAsia" w:ascii="宋体" w:hAnsi="宋体"/>
                <w:color w:val="auto"/>
                <w:sz w:val="24"/>
                <w:highlight w:val="none"/>
              </w:rPr>
              <w:t>12、其他严重扰乱招投标程序的。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根据《浙江省财政厅关于印发浙江省政府采购询问和质疑实施办法的通知》（浙财采监〔2025〕11号）文件规定：</w:t>
            </w:r>
          </w:p>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供应商在全国范围12个月内三次以上质疑不成立提起投诉查无实据的，由财政部门列入不良行为记录名单。列入不良行为记录名单的供应商参加浙江政府采购活动须按照《中华人民共和国政府采购法实施条例》第三十三条、第四十八条规定缴纳投标保证金（不超过项目预算金额的2%）、履约保证金（不超过合同金额的10%）。</w:t>
            </w:r>
          </w:p>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本项目投标保证金为项目预算金额的2%，履约保证金为合同金额的10%。</w:t>
            </w:r>
          </w:p>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投标保证金缴纳账户名称：东阳八婺工程项目管理有限公司</w:t>
            </w:r>
          </w:p>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开户银行：中国工商银行东阳支行 </w:t>
            </w:r>
          </w:p>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银行账号：1208040009049224461 </w:t>
            </w:r>
            <w:r>
              <w:rPr>
                <w:rFonts w:hint="eastAsia" w:ascii="宋体" w:hAnsi="宋体"/>
                <w:color w:val="0000FF"/>
                <w:sz w:val="24"/>
                <w:szCs w:val="24"/>
                <w:highlight w:val="none"/>
                <w:lang w:val="en-US" w:eastAsia="zh-CN"/>
              </w:rPr>
              <w:t xml:space="preserve">   </w:t>
            </w:r>
            <w:r>
              <w:rPr>
                <w:rFonts w:hint="eastAsia" w:ascii="宋体" w:hAnsi="宋体"/>
                <w:color w:val="auto"/>
                <w:sz w:val="24"/>
                <w:szCs w:val="24"/>
                <w:highlight w:val="none"/>
                <w:lang w:val="en-US" w:eastAsia="zh-CN"/>
              </w:rPr>
              <w:t xml:space="preserve">                                          </w:t>
            </w:r>
          </w:p>
          <w:p>
            <w:pPr>
              <w:snapToGrid w:val="0"/>
              <w:spacing w:line="348" w:lineRule="auto"/>
              <w:rPr>
                <w:rFonts w:hint="eastAsia" w:ascii="宋体" w:hAnsi="宋体"/>
                <w:color w:val="auto"/>
                <w:sz w:val="24"/>
                <w:highlight w:val="none"/>
              </w:rPr>
            </w:pPr>
            <w:r>
              <w:rPr>
                <w:rFonts w:hint="eastAsia" w:ascii="宋体" w:hAnsi="宋体"/>
                <w:color w:val="auto"/>
                <w:sz w:val="24"/>
                <w:szCs w:val="24"/>
                <w:highlight w:val="none"/>
                <w:lang w:val="en-US" w:eastAsia="zh-CN"/>
              </w:rPr>
              <w:t>注：投标人存在不良行为记录参与投标的，应如实缴纳投标保证金，如未按要求缴纳投标保证金的其投标文件按无效标处理。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 w:val="24"/>
                <w:highlight w:val="none"/>
              </w:rPr>
            </w:pPr>
            <w:r>
              <w:rPr>
                <w:rFonts w:hint="eastAsia" w:ascii="宋体" w:hAnsi="宋体" w:cs="仿宋_GB2312"/>
                <w:snapToGrid w:val="0"/>
                <w:sz w:val="24"/>
                <w:szCs w:val="24"/>
              </w:rPr>
              <w:t>本项目对应的中小企业划分标准所属行业</w:t>
            </w:r>
          </w:p>
        </w:tc>
        <w:tc>
          <w:tcPr>
            <w:tcW w:w="7635" w:type="dxa"/>
            <w:tcBorders>
              <w:top w:val="single" w:color="auto" w:sz="4" w:space="0"/>
              <w:left w:val="single" w:color="auto" w:sz="4" w:space="0"/>
              <w:bottom w:val="single" w:color="auto" w:sz="4" w:space="0"/>
              <w:right w:val="single" w:color="auto" w:sz="4" w:space="0"/>
            </w:tcBorders>
            <w:vAlign w:val="center"/>
          </w:tcPr>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根据《关于印发中小企业划型标准规定的通知》（工信部联企业〔2011〕300号），本企业按所属行业为“</w:t>
            </w:r>
            <w:r>
              <w:rPr>
                <w:rFonts w:hint="eastAsia" w:ascii="宋体" w:hAnsi="宋体"/>
                <w:color w:val="auto"/>
                <w:sz w:val="24"/>
                <w:szCs w:val="24"/>
                <w:highlight w:val="none"/>
                <w:u w:val="single"/>
                <w:lang w:val="en-US" w:eastAsia="zh-CN"/>
              </w:rPr>
              <w:t xml:space="preserve"> 建筑业行业 </w:t>
            </w:r>
            <w:r>
              <w:rPr>
                <w:rFonts w:hint="eastAsia" w:ascii="宋体" w:hAnsi="宋体"/>
                <w:color w:val="auto"/>
                <w:sz w:val="24"/>
                <w:szCs w:val="24"/>
                <w:highlight w:val="none"/>
                <w:lang w:val="en-US" w:eastAsia="zh-CN"/>
              </w:rPr>
              <w:t>”。</w:t>
            </w:r>
          </w:p>
          <w:p>
            <w:pPr>
              <w:snapToGrid w:val="0"/>
              <w:spacing w:line="348"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建筑业行业划分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color w:val="auto"/>
                <w:sz w:val="24"/>
                <w:highlight w:val="none"/>
              </w:rPr>
            </w:pPr>
            <w:r>
              <w:rPr>
                <w:rFonts w:hint="eastAsia" w:ascii="宋体" w:hAnsi="宋体" w:cs="宋体"/>
                <w:sz w:val="24"/>
                <w:szCs w:val="24"/>
              </w:rPr>
              <w:t>节能产品</w:t>
            </w:r>
          </w:p>
        </w:tc>
        <w:tc>
          <w:tcPr>
            <w:tcW w:w="7635" w:type="dxa"/>
            <w:tcBorders>
              <w:top w:val="single" w:color="auto" w:sz="4" w:space="0"/>
              <w:left w:val="single" w:color="auto" w:sz="4" w:space="0"/>
              <w:bottom w:val="single" w:color="auto" w:sz="4" w:space="0"/>
              <w:right w:val="single" w:color="auto" w:sz="4" w:space="0"/>
            </w:tcBorders>
            <w:vAlign w:val="center"/>
          </w:tcPr>
          <w:p>
            <w:pPr>
              <w:snapToGrid w:val="0"/>
              <w:spacing w:line="440" w:lineRule="atLeas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强制采购节能产品</w:t>
            </w:r>
          </w:p>
          <w:p>
            <w:pPr>
              <w:snapToGrid w:val="0"/>
              <w:spacing w:line="440" w:lineRule="atLeas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优先采购节能产品</w:t>
            </w:r>
          </w:p>
          <w:p>
            <w:pPr>
              <w:snapToGrid w:val="0"/>
              <w:spacing w:line="440" w:lineRule="atLeast"/>
              <w:rPr>
                <w:rFonts w:hint="eastAsia" w:ascii="宋体" w:hAnsi="宋体" w:cs="宋体"/>
                <w:color w:val="auto"/>
                <w:sz w:val="24"/>
                <w:highlight w:val="none"/>
              </w:rPr>
            </w:pPr>
            <w:r>
              <w:rPr>
                <w:rFonts w:hint="eastAsia" w:ascii="宋体" w:hAnsi="宋体" w:cs="宋体"/>
                <w:sz w:val="24"/>
                <w:szCs w:val="24"/>
              </w:rPr>
              <w:sym w:font="Wingdings" w:char="00FE"/>
            </w:r>
            <w:r>
              <w:rPr>
                <w:rFonts w:hint="eastAsia" w:ascii="宋体" w:hAnsi="宋体" w:cs="宋体"/>
                <w:sz w:val="24"/>
                <w:szCs w:val="24"/>
              </w:rPr>
              <w:t xml:space="preserve"> 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color w:val="auto"/>
                <w:sz w:val="24"/>
                <w:highlight w:val="none"/>
              </w:rPr>
            </w:pPr>
            <w:r>
              <w:rPr>
                <w:rFonts w:hint="eastAsia" w:ascii="宋体" w:hAnsi="宋体" w:cs="宋体"/>
                <w:sz w:val="24"/>
                <w:szCs w:val="24"/>
              </w:rPr>
              <w:t>环境标志产品</w:t>
            </w:r>
          </w:p>
        </w:tc>
        <w:tc>
          <w:tcPr>
            <w:tcW w:w="7635" w:type="dxa"/>
            <w:tcBorders>
              <w:top w:val="single" w:color="auto" w:sz="4" w:space="0"/>
              <w:left w:val="single" w:color="auto" w:sz="4" w:space="0"/>
              <w:bottom w:val="single" w:color="auto" w:sz="4" w:space="0"/>
              <w:right w:val="single" w:color="auto" w:sz="4" w:space="0"/>
            </w:tcBorders>
            <w:vAlign w:val="center"/>
          </w:tcPr>
          <w:p>
            <w:pPr>
              <w:snapToGrid w:val="0"/>
              <w:spacing w:line="440" w:lineRule="atLeas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优先采购环境标志产品</w:t>
            </w:r>
          </w:p>
          <w:p>
            <w:pPr>
              <w:snapToGrid w:val="0"/>
              <w:spacing w:line="440" w:lineRule="atLeast"/>
              <w:rPr>
                <w:rFonts w:hint="eastAsia" w:ascii="宋体" w:hAnsi="宋体" w:cs="宋体"/>
                <w:color w:val="auto"/>
                <w:sz w:val="24"/>
                <w:highlight w:val="none"/>
              </w:rPr>
            </w:pPr>
            <w:r>
              <w:rPr>
                <w:rFonts w:hint="eastAsia" w:ascii="宋体" w:hAnsi="宋体" w:cs="宋体"/>
                <w:sz w:val="24"/>
                <w:szCs w:val="24"/>
              </w:rPr>
              <w:sym w:font="Wingdings" w:char="00FE"/>
            </w:r>
            <w:r>
              <w:rPr>
                <w:rFonts w:hint="eastAsia" w:ascii="宋体" w:hAnsi="宋体" w:cs="宋体"/>
                <w:sz w:val="24"/>
                <w:szCs w:val="24"/>
              </w:rPr>
              <w:t xml:space="preserve"> 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磋商响应文件有效期：</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0</w:t>
            </w:r>
            <w:r>
              <w:rPr>
                <w:rFonts w:hint="eastAsia" w:ascii="宋体" w:hAnsi="宋体" w:cs="宋体"/>
                <w:color w:val="auto"/>
                <w:sz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招标方对供应商的落选不作出任何解释。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color w:val="auto"/>
                <w:sz w:val="24"/>
                <w:highlight w:val="none"/>
              </w:rPr>
            </w:pPr>
            <w:r>
              <w:rPr>
                <w:rFonts w:hint="eastAsia" w:ascii="宋体" w:hAnsi="宋体" w:cs="宋体"/>
                <w:b/>
                <w:color w:val="auto"/>
                <w:kern w:val="0"/>
                <w:sz w:val="24"/>
                <w:highlight w:val="none"/>
              </w:rPr>
              <w:t>采购人和招标方的任何工作人员对供应商所作的任何口头解释、介绍、答复，仅供供应商参考，不作为磋商依据，对采购人、招标方和供应商无任何约束力，一切以网上公告及书面形式为准。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p>
        </w:tc>
        <w:tc>
          <w:tcPr>
            <w:tcW w:w="90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解释：本磋商文件的解释权属于</w:t>
            </w:r>
            <w:r>
              <w:rPr>
                <w:rFonts w:hint="eastAsia" w:ascii="宋体" w:hAnsi="宋体" w:cs="宋体"/>
                <w:color w:val="auto"/>
                <w:sz w:val="24"/>
                <w:highlight w:val="none"/>
                <w:lang w:eastAsia="zh-CN"/>
              </w:rPr>
              <w:t>浙江东阳经济开发区管理委员会</w:t>
            </w:r>
            <w:r>
              <w:rPr>
                <w:rFonts w:hint="eastAsia" w:ascii="宋体" w:hAnsi="宋体" w:cs="宋体"/>
                <w:color w:val="auto"/>
                <w:sz w:val="24"/>
                <w:highlight w:val="none"/>
              </w:rPr>
              <w:t>。</w:t>
            </w:r>
          </w:p>
        </w:tc>
      </w:tr>
    </w:tbl>
    <w:p>
      <w:pPr>
        <w:pStyle w:val="23"/>
        <w:snapToGrid w:val="0"/>
        <w:spacing w:before="120" w:after="120" w:line="420" w:lineRule="exact"/>
        <w:rPr>
          <w:rFonts w:ascii="宋体" w:hAnsi="宋体" w:cs="宋体"/>
          <w:b/>
          <w:color w:val="auto"/>
          <w:szCs w:val="24"/>
          <w:highlight w:val="none"/>
        </w:rPr>
      </w:pPr>
      <w:r>
        <w:rPr>
          <w:rFonts w:hint="eastAsia" w:ascii="宋体" w:hAnsi="宋体" w:cs="宋体"/>
          <w:b/>
          <w:color w:val="auto"/>
          <w:szCs w:val="24"/>
          <w:highlight w:val="none"/>
        </w:rPr>
        <w:t>注：如本磋商文件后面的条款与本表有矛盾的以本表的内容为准。</w:t>
      </w:r>
    </w:p>
    <w:p>
      <w:pPr>
        <w:pStyle w:val="23"/>
        <w:pageBreakBefore/>
        <w:numPr>
          <w:ilvl w:val="0"/>
          <w:numId w:val="0"/>
        </w:numPr>
        <w:snapToGrid w:val="0"/>
        <w:spacing w:line="360" w:lineRule="auto"/>
        <w:ind w:left="826" w:leftChars="0" w:hanging="826" w:hangingChars="343"/>
        <w:jc w:val="center"/>
        <w:outlineLvl w:val="1"/>
        <w:rPr>
          <w:rFonts w:ascii="宋体" w:hAnsi="宋体" w:cs="宋体"/>
          <w:b/>
          <w:color w:val="auto"/>
          <w:sz w:val="24"/>
          <w:szCs w:val="24"/>
          <w:highlight w:val="none"/>
        </w:rPr>
      </w:pPr>
      <w:bookmarkStart w:id="9" w:name="_Toc5019"/>
      <w:r>
        <w:rPr>
          <w:rFonts w:hint="default" w:ascii="宋体" w:hAnsi="宋体" w:eastAsia="宋体" w:cs="宋体"/>
          <w:b/>
          <w:color w:val="auto"/>
          <w:kern w:val="2"/>
          <w:sz w:val="24"/>
          <w:szCs w:val="24"/>
          <w:lang w:val="en-US" w:eastAsia="zh-CN" w:bidi="ar-SA"/>
        </w:rPr>
        <w:t>一、</w:t>
      </w:r>
      <w:r>
        <w:rPr>
          <w:rFonts w:hint="eastAsia" w:ascii="宋体" w:hAnsi="宋体" w:cs="宋体"/>
          <w:b/>
          <w:color w:val="auto"/>
          <w:sz w:val="24"/>
          <w:szCs w:val="24"/>
          <w:highlight w:val="none"/>
        </w:rPr>
        <w:t>总则</w:t>
      </w:r>
      <w:bookmarkEnd w:id="9"/>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color w:val="auto"/>
          <w:sz w:val="24"/>
          <w:highlight w:val="none"/>
        </w:rPr>
      </w:pPr>
      <w:bookmarkStart w:id="10" w:name="_Toc407182093"/>
      <w:r>
        <w:rPr>
          <w:rFonts w:hint="eastAsia" w:ascii="宋体" w:hAnsi="宋体" w:cs="宋体"/>
          <w:b/>
          <w:color w:val="auto"/>
          <w:sz w:val="24"/>
          <w:highlight w:val="none"/>
        </w:rPr>
        <w:t>（一） 适用范围</w:t>
      </w:r>
      <w:bookmarkEnd w:id="10"/>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b/>
          <w:color w:val="auto"/>
          <w:sz w:val="24"/>
          <w:highlight w:val="none"/>
        </w:rPr>
      </w:pPr>
      <w:r>
        <w:rPr>
          <w:rFonts w:hint="eastAsia" w:ascii="宋体" w:hAnsi="宋体" w:cs="宋体"/>
          <w:color w:val="auto"/>
          <w:sz w:val="24"/>
          <w:highlight w:val="none"/>
        </w:rPr>
        <w:t>本磋商文件适用于</w:t>
      </w:r>
      <w:r>
        <w:rPr>
          <w:rFonts w:hint="eastAsia" w:ascii="宋体" w:hAnsi="宋体" w:cs="宋体"/>
          <w:color w:val="auto"/>
          <w:sz w:val="24"/>
          <w:highlight w:val="none"/>
          <w:lang w:eastAsia="zh-CN"/>
        </w:rPr>
        <w:t>六石安置区二期水系联通工程</w:t>
      </w:r>
      <w:r>
        <w:rPr>
          <w:rFonts w:hint="eastAsia" w:ascii="宋体" w:hAnsi="宋体" w:cs="宋体"/>
          <w:color w:val="auto"/>
          <w:sz w:val="24"/>
          <w:highlight w:val="none"/>
        </w:rPr>
        <w:t>的招标、磋商、定标、验收、合同履约、付款等行为（法律、法规另有规定的，从其规定）。</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color w:val="auto"/>
          <w:sz w:val="24"/>
          <w:highlight w:val="none"/>
        </w:rPr>
      </w:pPr>
      <w:bookmarkStart w:id="11" w:name="_Toc407182094"/>
      <w:r>
        <w:rPr>
          <w:rFonts w:hint="eastAsia" w:ascii="宋体" w:hAnsi="宋体" w:cs="宋体"/>
          <w:b/>
          <w:color w:val="auto"/>
          <w:sz w:val="24"/>
          <w:highlight w:val="none"/>
        </w:rPr>
        <w:t>（二）定义</w:t>
      </w:r>
      <w:bookmarkEnd w:id="11"/>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1.招标采购单位系指组织本次招标的</w:t>
      </w:r>
      <w:r>
        <w:rPr>
          <w:rFonts w:hint="eastAsia" w:ascii="宋体" w:hAnsi="宋体"/>
          <w:color w:val="auto"/>
          <w:sz w:val="24"/>
          <w:szCs w:val="24"/>
          <w:highlight w:val="none"/>
          <w:lang w:eastAsia="zh-CN"/>
        </w:rPr>
        <w:t>东阳八婺工程项目管理有限公司</w:t>
      </w:r>
      <w:r>
        <w:rPr>
          <w:rFonts w:hint="eastAsia" w:ascii="宋体" w:hAnsi="宋体"/>
          <w:color w:val="auto"/>
          <w:sz w:val="24"/>
          <w:szCs w:val="24"/>
          <w:highlight w:val="none"/>
        </w:rPr>
        <w:t>（“招标方”）和</w:t>
      </w:r>
      <w:r>
        <w:rPr>
          <w:rFonts w:hint="eastAsia" w:ascii="宋体" w:hAnsi="宋体"/>
          <w:color w:val="auto"/>
          <w:sz w:val="24"/>
          <w:szCs w:val="24"/>
          <w:highlight w:val="none"/>
          <w:lang w:eastAsia="zh-CN"/>
        </w:rPr>
        <w:t xml:space="preserve">浙江东阳经济开发区管理委员会 </w:t>
      </w:r>
      <w:r>
        <w:rPr>
          <w:rFonts w:hint="eastAsia" w:ascii="宋体" w:hAnsi="宋体"/>
          <w:color w:val="auto"/>
          <w:sz w:val="24"/>
          <w:szCs w:val="24"/>
          <w:highlight w:val="none"/>
        </w:rPr>
        <w:t>（“采购人”）。</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2.“供应商”系指向招标方提交磋商响应文件的单位或个人。</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3.“服务”系指磋商文件规定供应商须承担的本项目所衍生的一切服务义务。 </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4.“项目”系指供应商按磋商文件规定向采购人提供的成果和项目服务。</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5.“书面形式”包括信函、传真、</w:t>
      </w:r>
      <w:r>
        <w:rPr>
          <w:rFonts w:hint="eastAsia" w:ascii="宋体" w:hAnsi="宋体"/>
          <w:color w:val="auto"/>
          <w:sz w:val="24"/>
          <w:szCs w:val="24"/>
          <w:highlight w:val="none"/>
          <w:lang w:val="en-US" w:eastAsia="zh-CN"/>
        </w:rPr>
        <w:t>邮箱</w:t>
      </w:r>
      <w:r>
        <w:rPr>
          <w:rFonts w:hint="eastAsia" w:ascii="宋体" w:hAnsi="宋体"/>
          <w:color w:val="auto"/>
          <w:sz w:val="24"/>
          <w:szCs w:val="24"/>
          <w:highlight w:val="none"/>
        </w:rPr>
        <w:t>等。</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.“▲”系指实质性要求条款。</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.采购项目需要落实的政府采购政策</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 本项目原则上采购本国生产的货物、工程和服务，不允许采购进口产品。除非采购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采购人、采购机构不会对其加以限制，仍将按照公平竞争原则实施采购）。</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 支持绿色发展</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采购人拟采购的产品属于政府强制采购的节能产品品目清单范围的，供应商未按采购文件要求提供国家确定的认证机构出具的、处于有效期之内的节能产品认证证书的，投标无效。</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.3支持中小企业发展</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.3.2在政府采购活动中，供应商提供的货物、工程或者服务符合下列情形的，享受中小企业扶持政策：</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.3.2.1在货物采购项目中，货物由中小企业制造，即货物由中小企业生产且使用该中小企业商号或者注册商标；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.3.2.2在工程采购项目中，工程由中小企业承建，即工程施工单位为中小企业；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.3.2.3在服务采购项目中，服务由中小企业承接，即提供服务的人员为中小企业依照《中华人民共和国劳动合同法》订立劳动合同的从业人员。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在货物采购项目中，供应商提供的货物既有中小企业制造货物，也有大型企业制造货物的，不享受中小企业扶持政策。</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以上的，对联合体或者大中型企业的报价给予4%的扣除，用扣除后的价格参加评审。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.3.4符合《关于促进残疾人就业政府采购政策的通知》（财库〔2017〕141号）规定的条件并提供《残疾人福利性单位声明函》的残疾人福利性单位视同小型、微型企业；</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3.6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.3.7中小企业享受扶持政策获得政府采购合同的，小微企业不得将合同分包给大中型企业，中型企业不得将合同分包给大型企业。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.4支持创新发展</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.4.1 采购人优先采购被认定为首台套产品和“制造精品”的自主创新产品。</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keepNext w:val="0"/>
        <w:keepLines w:val="0"/>
        <w:pageBreakBefore w:val="0"/>
        <w:widowControl w:val="0"/>
        <w:kinsoku/>
        <w:wordWrap/>
        <w:overflowPunct/>
        <w:topLinePunct w:val="0"/>
        <w:autoSpaceDE/>
        <w:autoSpaceDN/>
        <w:bidi w:val="0"/>
        <w:adjustRightInd/>
        <w:snapToGrid w:val="0"/>
        <w:spacing w:line="438" w:lineRule="atLeas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.5中小企业信用融资：为支持和促进中小企业发展，进一步发挥政府采购政策功能，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磋商响应方发放贷款的一种融资方式。磋商响应方可登陆浙江政府采购( (http:/www zizfcg gov.cn)的中小企业信用融资栏目了解相关信息。 供应商可以通过浙江政府采购网(https://zfcg. czt.zj. gov.cn/)首页的“浙江政采贷”模块进入申请，还可以通过政府采购云平台(https://wwwzcygov.cn/)首页的“金融服务”模块进入申请。</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color w:val="auto"/>
          <w:sz w:val="24"/>
          <w:highlight w:val="none"/>
        </w:rPr>
      </w:pPr>
      <w:r>
        <w:rPr>
          <w:rFonts w:hint="eastAsia" w:ascii="宋体" w:hAnsi="宋体" w:cs="宋体"/>
          <w:b/>
          <w:color w:val="auto"/>
          <w:sz w:val="24"/>
          <w:highlight w:val="none"/>
        </w:rPr>
        <w:t>（三）磋商方式</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本次采用竞争性磋商方式进行。</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color w:val="auto"/>
          <w:sz w:val="24"/>
          <w:highlight w:val="none"/>
        </w:rPr>
      </w:pPr>
      <w:r>
        <w:rPr>
          <w:rFonts w:hint="eastAsia" w:ascii="宋体" w:hAnsi="宋体" w:cs="宋体"/>
          <w:b/>
          <w:color w:val="auto"/>
          <w:sz w:val="24"/>
          <w:highlight w:val="none"/>
        </w:rPr>
        <w:t>（四）磋商委托</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如供应商代表不是法定代表人，须有法定代表人出具的授权委托书，委托代理人必须为供应商的在职正式职工。</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color w:val="auto"/>
          <w:sz w:val="24"/>
          <w:highlight w:val="none"/>
        </w:rPr>
      </w:pPr>
      <w:r>
        <w:rPr>
          <w:rFonts w:hint="eastAsia" w:ascii="宋体" w:hAnsi="宋体" w:cs="宋体"/>
          <w:b/>
          <w:color w:val="auto"/>
          <w:sz w:val="24"/>
          <w:highlight w:val="none"/>
        </w:rPr>
        <w:t>（五）磋商费用</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1.不论磋商结果如何，供应商均应自行承担所有与磋商有关的全部费用（磋商文件有相反规定除外）。</w:t>
      </w:r>
    </w:p>
    <w:p>
      <w:pPr>
        <w:keepNext w:val="0"/>
        <w:keepLines w:val="0"/>
        <w:pageBreakBefore w:val="0"/>
        <w:widowControl w:val="0"/>
        <w:kinsoku/>
        <w:wordWrap/>
        <w:overflowPunct/>
        <w:topLinePunct w:val="0"/>
        <w:autoSpaceDE/>
        <w:autoSpaceDN/>
        <w:bidi w:val="0"/>
        <w:adjustRightInd/>
        <w:snapToGrid w:val="0"/>
        <w:spacing w:line="438" w:lineRule="atLeast"/>
        <w:ind w:firstLine="482" w:firstLineChars="200"/>
        <w:textAlignment w:val="baseline"/>
        <w:rPr>
          <w:rFonts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lang w:eastAsia="zh-CN"/>
        </w:rPr>
        <w:t>东阳八婺工程项目管理有限公司</w:t>
      </w:r>
      <w:r>
        <w:rPr>
          <w:rFonts w:hint="eastAsia" w:ascii="宋体" w:hAnsi="宋体" w:cs="宋体"/>
          <w:b/>
          <w:bCs/>
          <w:color w:val="auto"/>
          <w:sz w:val="24"/>
          <w:highlight w:val="none"/>
        </w:rPr>
        <w:t>按差额定率累进法计算（详见本条下列表格收费标准），向中标人收取中标服务费，在中标结果公示结束之日起3天内（在领取中标通知书前）交纳。</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5"/>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195" w:type="dxa"/>
            <w:tcBorders>
              <w:top w:val="single" w:color="auto" w:sz="4" w:space="0"/>
              <w:left w:val="single" w:color="auto" w:sz="4" w:space="0"/>
              <w:bottom w:val="single" w:color="auto" w:sz="4" w:space="0"/>
              <w:right w:val="single" w:color="auto" w:sz="4" w:space="0"/>
              <w:tl2br w:val="single" w:color="auto" w:sz="4" w:space="0"/>
            </w:tcBorders>
            <w:vAlign w:val="top"/>
          </w:tcPr>
          <w:p>
            <w:pPr>
              <w:snapToGrid w:val="0"/>
              <w:ind w:firstLine="1400" w:firstLineChars="700"/>
              <w:textAlignment w:val="baseline"/>
              <w:rPr>
                <w:rFonts w:ascii="宋体" w:hAnsi="宋体" w:cs="宋体"/>
                <w:b/>
                <w:color w:val="auto"/>
                <w:sz w:val="24"/>
                <w:highlight w:val="none"/>
              </w:rPr>
            </w:pPr>
            <w:r>
              <w:rPr>
                <w:rFonts w:ascii="宋体" w:hAnsi="宋体" w:cs="宋体"/>
                <w:color w:val="auto"/>
                <w:sz w:val="20"/>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uR037VAAAACQEAAA8AAAAAAAAAAQAgAAAAIgAAAGRycy9kb3ducmV2&#10;LnhtbFBLAQIUABQAAAAIAIdO4kACD4rwxgEAAGQDAAAOAAAAAAAAAAEAIAAAACQBAABkcnMvZTJv&#10;RG9jLnhtbFBLBQYAAAAABgAGAFkBAABcBQAAAAA=&#10;">
                      <v:fill on="f" focussize="0,0"/>
                      <v:stroke color="#000000" joinstyle="round"/>
                      <v:imagedata o:title=""/>
                      <o:lock v:ext="edit" aspectratio="f"/>
                    </v:line>
                  </w:pict>
                </mc:Fallback>
              </mc:AlternateContent>
            </w:r>
            <w:r>
              <w:rPr>
                <w:rFonts w:hint="eastAsia" w:ascii="宋体" w:hAnsi="宋体" w:cs="宋体"/>
                <w:b/>
                <w:color w:val="auto"/>
                <w:sz w:val="24"/>
                <w:highlight w:val="none"/>
              </w:rPr>
              <w:t>服务类型</w:t>
            </w:r>
          </w:p>
          <w:p>
            <w:pPr>
              <w:snapToGrid w:val="0"/>
              <w:textAlignment w:val="baseline"/>
              <w:rPr>
                <w:rFonts w:ascii="宋体" w:hAnsi="宋体" w:cs="宋体"/>
                <w:b/>
                <w:color w:val="auto"/>
                <w:sz w:val="24"/>
                <w:highlight w:val="none"/>
              </w:rPr>
            </w:pPr>
            <w:r>
              <w:rPr>
                <w:rFonts w:hint="eastAsia" w:ascii="宋体" w:hAnsi="宋体" w:cs="宋体"/>
                <w:b/>
                <w:color w:val="auto"/>
                <w:sz w:val="24"/>
                <w:highlight w:val="none"/>
              </w:rPr>
              <w:t>费率</w:t>
            </w:r>
          </w:p>
          <w:p>
            <w:pPr>
              <w:snapToGrid w:val="0"/>
              <w:textAlignment w:val="baseline"/>
              <w:rPr>
                <w:rFonts w:ascii="宋体" w:hAnsi="宋体" w:cs="宋体"/>
                <w:b/>
                <w:color w:val="auto"/>
                <w:sz w:val="24"/>
                <w:highlight w:val="none"/>
              </w:rPr>
            </w:pPr>
            <w:r>
              <w:rPr>
                <w:rFonts w:ascii="宋体" w:hAnsi="宋体" w:cs="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40005</wp:posOffset>
                      </wp:positionV>
                      <wp:extent cx="3260090" cy="335280"/>
                      <wp:effectExtent l="635" t="4445" r="15875" b="222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260090" cy="33528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15pt;height:26.4pt;width:256.7pt;z-index:251660288;mso-width-relative:page;mso-height-relative:page;" filled="f" stroked="t" coordsize="21600,21600" o:gfxdata="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QpBZPWAAAACAEAAA8AAAAAAAAAAQAgAAAA&#10;IgAAAGRycy9kb3ducmV2LnhtbFBLAQIUABQAAAAIAIdO4kAGkdfO1AEAAG8DAAAOAAAAAAAAAAEA&#10;IAAAACUBAABkcnMvZTJvRG9jLnhtbFBLBQYAAAAABgAGAFkBAABrBQAAAAA=&#10;">
                      <v:fill on="f" focussize="0,0"/>
                      <v:stroke color="#000000" joinstyle="round"/>
                      <v:imagedata o:title=""/>
                      <o:lock v:ext="edit" aspectratio="f"/>
                    </v:line>
                  </w:pict>
                </mc:Fallback>
              </mc:AlternateContent>
            </w:r>
          </w:p>
          <w:p>
            <w:pPr>
              <w:snapToGrid w:val="0"/>
              <w:textAlignment w:val="baseline"/>
              <w:rPr>
                <w:rFonts w:ascii="宋体" w:hAnsi="宋体" w:cs="宋体"/>
                <w:b/>
                <w:color w:val="auto"/>
                <w:sz w:val="24"/>
                <w:highlight w:val="none"/>
              </w:rPr>
            </w:pPr>
            <w:r>
              <w:rPr>
                <w:rFonts w:hint="eastAsia" w:ascii="宋体" w:hAnsi="宋体" w:cs="宋体"/>
                <w:b/>
                <w:color w:val="auto"/>
                <w:sz w:val="24"/>
                <w:highlight w:val="none"/>
              </w:rPr>
              <w:t>中标金额（万元）</w:t>
            </w:r>
          </w:p>
        </w:tc>
        <w:tc>
          <w:tcPr>
            <w:tcW w:w="400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b/>
                <w:color w:val="auto"/>
                <w:sz w:val="24"/>
                <w:highlight w:val="none"/>
              </w:rPr>
            </w:pPr>
            <w:r>
              <w:rPr>
                <w:rFonts w:hint="eastAsia" w:ascii="宋体" w:hAnsi="宋体" w:cs="宋体"/>
                <w:b/>
                <w:color w:val="auto"/>
                <w:sz w:val="24"/>
                <w:highlight w:val="none"/>
                <w:lang w:val="en-US" w:eastAsia="zh-CN"/>
              </w:rPr>
              <w:t>工程</w:t>
            </w:r>
            <w:r>
              <w:rPr>
                <w:rFonts w:hint="eastAsia" w:ascii="宋体" w:hAnsi="宋体" w:cs="宋体"/>
                <w:b/>
                <w:color w:val="auto"/>
                <w:sz w:val="24"/>
                <w:highlight w:val="none"/>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195"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100以下</w:t>
            </w:r>
          </w:p>
        </w:tc>
        <w:tc>
          <w:tcPr>
            <w:tcW w:w="40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95"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100-500</w:t>
            </w:r>
          </w:p>
        </w:tc>
        <w:tc>
          <w:tcPr>
            <w:tcW w:w="40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p>
        </w:tc>
      </w:tr>
    </w:tbl>
    <w:p>
      <w:pPr>
        <w:keepNext w:val="0"/>
        <w:keepLines w:val="0"/>
        <w:pageBreakBefore w:val="0"/>
        <w:widowControl w:val="0"/>
        <w:kinsoku/>
        <w:wordWrap/>
        <w:overflowPunct/>
        <w:topLinePunct w:val="0"/>
        <w:autoSpaceDE/>
        <w:autoSpaceDN/>
        <w:bidi w:val="0"/>
        <w:adjustRightInd/>
        <w:snapToGrid w:val="0"/>
        <w:spacing w:line="438" w:lineRule="atLeast"/>
        <w:ind w:firstLine="482" w:firstLineChars="20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中标服务费由中标供应商汇至以下账户：</w:t>
      </w:r>
    </w:p>
    <w:p>
      <w:pPr>
        <w:keepNext w:val="0"/>
        <w:keepLines w:val="0"/>
        <w:pageBreakBefore w:val="0"/>
        <w:widowControl w:val="0"/>
        <w:kinsoku/>
        <w:wordWrap/>
        <w:overflowPunct/>
        <w:topLinePunct w:val="0"/>
        <w:autoSpaceDE/>
        <w:autoSpaceDN/>
        <w:bidi w:val="0"/>
        <w:adjustRightInd/>
        <w:snapToGrid w:val="0"/>
        <w:spacing w:line="438" w:lineRule="atLeast"/>
        <w:ind w:firstLine="482" w:firstLineChars="200"/>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账户名称：</w:t>
      </w:r>
      <w:r>
        <w:rPr>
          <w:rFonts w:hint="eastAsia" w:ascii="宋体" w:hAnsi="宋体" w:cs="宋体"/>
          <w:b/>
          <w:bCs/>
          <w:color w:val="auto"/>
          <w:sz w:val="24"/>
          <w:highlight w:val="none"/>
          <w:lang w:eastAsia="zh-CN"/>
        </w:rPr>
        <w:t>东阳八婺工程项目管理有限公司</w:t>
      </w:r>
    </w:p>
    <w:p>
      <w:pPr>
        <w:keepNext w:val="0"/>
        <w:keepLines w:val="0"/>
        <w:pageBreakBefore w:val="0"/>
        <w:widowControl w:val="0"/>
        <w:kinsoku/>
        <w:wordWrap/>
        <w:overflowPunct/>
        <w:topLinePunct w:val="0"/>
        <w:autoSpaceDE/>
        <w:autoSpaceDN/>
        <w:bidi w:val="0"/>
        <w:adjustRightInd/>
        <w:snapToGrid w:val="0"/>
        <w:spacing w:line="438" w:lineRule="atLeast"/>
        <w:ind w:firstLine="482" w:firstLine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开户银行：</w:t>
      </w:r>
      <w:r>
        <w:rPr>
          <w:rFonts w:hint="eastAsia" w:ascii="宋体" w:hAnsi="宋体" w:cs="宋体"/>
          <w:b/>
          <w:bCs/>
          <w:color w:val="auto"/>
          <w:sz w:val="24"/>
          <w:highlight w:val="none"/>
          <w:lang w:eastAsia="zh-CN"/>
        </w:rPr>
        <w:t>中国工商银行东阳支行</w:t>
      </w:r>
      <w:r>
        <w:rPr>
          <w:rFonts w:hint="eastAsia" w:ascii="宋体" w:hAnsi="宋体" w:eastAsia="宋体" w:cs="宋体"/>
          <w:b/>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38" w:lineRule="atLeast"/>
        <w:ind w:firstLine="482" w:firstLineChars="200"/>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银行账号：</w:t>
      </w:r>
      <w:r>
        <w:rPr>
          <w:rFonts w:hint="eastAsia" w:ascii="宋体" w:hAnsi="宋体" w:cs="宋体"/>
          <w:b/>
          <w:bCs/>
          <w:color w:val="auto"/>
          <w:sz w:val="24"/>
          <w:highlight w:val="none"/>
          <w:lang w:eastAsia="zh-CN"/>
        </w:rPr>
        <w:t>1208040009049224461</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color w:val="auto"/>
          <w:sz w:val="24"/>
          <w:highlight w:val="none"/>
        </w:rPr>
      </w:pPr>
      <w:r>
        <w:rPr>
          <w:rFonts w:hint="eastAsia" w:ascii="宋体" w:hAnsi="宋体" w:cs="宋体"/>
          <w:b/>
          <w:color w:val="auto"/>
          <w:sz w:val="24"/>
          <w:highlight w:val="none"/>
        </w:rPr>
        <w:t>（六）联合体</w:t>
      </w:r>
      <w:r>
        <w:rPr>
          <w:rFonts w:hint="eastAsia" w:ascii="宋体" w:hAnsi="宋体" w:cs="宋体"/>
          <w:b/>
          <w:bCs/>
          <w:color w:val="auto"/>
          <w:sz w:val="24"/>
          <w:highlight w:val="none"/>
        </w:rPr>
        <w:t>投标</w:t>
      </w:r>
      <w:r>
        <w:rPr>
          <w:rFonts w:hint="eastAsia" w:ascii="宋体" w:hAnsi="宋体" w:cs="宋体"/>
          <w:b/>
          <w:color w:val="auto"/>
          <w:sz w:val="24"/>
          <w:highlight w:val="none"/>
        </w:rPr>
        <w:tab/>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本项目接受联合体投标。</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color w:val="auto"/>
          <w:kern w:val="0"/>
          <w:sz w:val="24"/>
          <w:highlight w:val="none"/>
        </w:rPr>
      </w:pPr>
      <w:r>
        <w:rPr>
          <w:rFonts w:hint="eastAsia" w:ascii="宋体" w:hAnsi="宋体" w:cs="宋体"/>
          <w:b/>
          <w:color w:val="auto"/>
          <w:sz w:val="24"/>
          <w:highlight w:val="none"/>
        </w:rPr>
        <w:t>（七）</w:t>
      </w:r>
      <w:r>
        <w:rPr>
          <w:rFonts w:hint="eastAsia" w:ascii="宋体" w:hAnsi="宋体" w:cs="宋体"/>
          <w:b/>
          <w:color w:val="auto"/>
          <w:kern w:val="0"/>
          <w:sz w:val="24"/>
          <w:highlight w:val="none"/>
        </w:rPr>
        <w:t>转包与分包</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1.本项目不允许转包。</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2.本项目分包按照浙财采监[2022]3号文件执行。</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（八）特别说明：</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▲1.多个供应商参加磋商，如其中两家或两家以上供应商的法定代表人为同一人或相互之间存在投资关系且达到控股的，应当按一个供应商认定。</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2.供应商磋商所使用的资格、信誉、荣誉与企业认证必须为本法人所拥有。供应商磋商所使用的采购项目实施人员必须为本法人员工（或必须为本法人或控股公司正式员工）。</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▲3.供应商应仔细阅读磋商文件的所有内容，按照磋商文件的要求提交磋商响应文件，并对所提供的全部资料的真实性承担法律责任。</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在磋商活动中提供任何虚假材料,其磋商无效，并报监管部门查处；中标后发现的,中标人须依照《中华人民共和国消费者权益保护法》第49条之规定双倍赔偿采购人，且民事赔偿并不免除违法供应商的行政与刑事责任。</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磋商小组认为预中标人的磋商报价明显低于其他通过符合性审查供应商的报价，有可能影响产品质量或者不能诚信履约的，应当要求其在磋商现场合理的时间内提供书面说明，必要时提交相关证明材料，预中标人不能证明其报价合理性的，磋商小组应当将其作为无效磋商响应处理。</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▲6.招标方不保证最低报价者为中标方。</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▲7.“政采云”平台运营机构，以及与该机构有直接控股或者管理关系可能影响采购公正性的任何单位和个人，不得在该平台进行的政府采购项目电子交易中磋商、响应政府采购项目。</w:t>
      </w:r>
    </w:p>
    <w:p>
      <w:pPr>
        <w:keepNext w:val="0"/>
        <w:keepLines w:val="0"/>
        <w:pageBreakBefore w:val="0"/>
        <w:widowControl w:val="0"/>
        <w:kinsoku/>
        <w:wordWrap/>
        <w:overflowPunct/>
        <w:topLinePunct w:val="0"/>
        <w:autoSpaceDE/>
        <w:autoSpaceDN/>
        <w:bidi w:val="0"/>
        <w:adjustRightInd/>
        <w:spacing w:line="438" w:lineRule="atLeas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（九）质疑和投诉</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供应商认为磋商文件、招标过程或中标结果使自己的合法权益受到损害的，应当在知道或者应知其权益受到损害之日起七个工作日内，以书面形式向采购人、招标方提出质疑。供应商对招标方的质疑答复不满意或者招标方未在规定时间内作出答复的，可以在答复期满后十五个工作日内向同级采购监管部门投诉。</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质疑、投诉应当采用书面形式，质疑书、投诉书均应明确阐述磋商文件、招标过程或中标结果中使自己合法权益受到损害的实质性内容，提供相关事实、依据和证据及其来源或线索，便于有关单位调查、答复和处理。</w:t>
      </w:r>
    </w:p>
    <w:p>
      <w:pPr>
        <w:keepNext w:val="0"/>
        <w:keepLines w:val="0"/>
        <w:pageBreakBefore w:val="0"/>
        <w:widowControl w:val="0"/>
        <w:kinsoku/>
        <w:wordWrap/>
        <w:overflowPunct/>
        <w:topLinePunct w:val="0"/>
        <w:autoSpaceDE/>
        <w:autoSpaceDN/>
        <w:bidi w:val="0"/>
        <w:adjustRightInd/>
        <w:spacing w:line="438"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3. 采购人、招标方应当按照《浙江省政府采购供应商质疑处理办法》、中华人民共和国财政部第94号令《政府采购质疑和投诉办法》、《政府采购竞争性磋商采购方式管理暂行办法》进行受理与答复质疑。</w:t>
      </w:r>
    </w:p>
    <w:p>
      <w:pPr>
        <w:pStyle w:val="4"/>
        <w:keepNext w:val="0"/>
        <w:keepLines w:val="0"/>
        <w:pageBreakBefore/>
        <w:spacing w:line="240" w:lineRule="auto"/>
        <w:jc w:val="center"/>
        <w:rPr>
          <w:rFonts w:ascii="宋体" w:hAnsi="宋体" w:eastAsia="宋体" w:cs="宋体"/>
          <w:color w:val="auto"/>
          <w:sz w:val="24"/>
          <w:szCs w:val="24"/>
          <w:highlight w:val="none"/>
        </w:rPr>
      </w:pPr>
      <w:bookmarkStart w:id="12" w:name="_Toc458697268"/>
      <w:bookmarkStart w:id="13" w:name="_Toc454196066"/>
      <w:bookmarkStart w:id="14" w:name="_Toc27884"/>
      <w:r>
        <w:rPr>
          <w:rFonts w:hint="eastAsia" w:ascii="宋体" w:hAnsi="宋体" w:eastAsia="宋体" w:cs="宋体"/>
          <w:color w:val="auto"/>
          <w:sz w:val="24"/>
          <w:szCs w:val="24"/>
          <w:highlight w:val="none"/>
        </w:rPr>
        <w:t>二、</w:t>
      </w:r>
      <w:bookmarkEnd w:id="12"/>
      <w:bookmarkEnd w:id="13"/>
      <w:r>
        <w:rPr>
          <w:rFonts w:hint="eastAsia" w:ascii="宋体" w:hAnsi="宋体" w:eastAsia="宋体" w:cs="宋体"/>
          <w:color w:val="auto"/>
          <w:sz w:val="24"/>
          <w:szCs w:val="24"/>
          <w:highlight w:val="none"/>
        </w:rPr>
        <w:t>磋商文件</w:t>
      </w:r>
      <w:bookmarkEnd w:id="14"/>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（一）磋商文件的构成。本磋商文件由以下部分组成：</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1.磋商公告</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2.招标需求</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3.供应商须知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4.磋商办法及标准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5.合同主要条款</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6.磋商响应文件格式</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7.本项目磋商文件的澄清、答复、修改、补充的内容</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（二）供应商的风险</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供应商没有按照磋商文件要求提供全部资料，或者供应商没有对磋商文件在各方面作出实质性响应是供应商的风险，并可能导致其磋商被拒绝。</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 xml:space="preserve">（三）磋商文件的澄清与修改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供应商应认真阅读本磋商文件，发现其中有误或有不合理要求的，供应商应当按照磋商公告第</w:t>
      </w:r>
      <w:r>
        <w:rPr>
          <w:rFonts w:hint="eastAsia" w:ascii="宋体" w:hAnsi="宋体" w:cs="宋体"/>
          <w:bCs/>
          <w:color w:val="auto"/>
          <w:sz w:val="24"/>
          <w:highlight w:val="none"/>
          <w:lang w:val="en-US" w:eastAsia="zh-CN"/>
        </w:rPr>
        <w:t>三、七</w:t>
      </w:r>
      <w:r>
        <w:rPr>
          <w:rFonts w:hint="eastAsia" w:ascii="宋体" w:hAnsi="宋体" w:cs="宋体"/>
          <w:bCs/>
          <w:color w:val="auto"/>
          <w:sz w:val="24"/>
          <w:highlight w:val="none"/>
        </w:rPr>
        <w:t>条规定以书面形式要求招标方澄清</w:t>
      </w:r>
      <w:r>
        <w:rPr>
          <w:rFonts w:hint="eastAsia" w:ascii="宋体" w:hAnsi="宋体" w:cs="宋体"/>
          <w:color w:val="auto"/>
          <w:sz w:val="24"/>
          <w:highlight w:val="none"/>
        </w:rPr>
        <w:t>。招标方对已发出的磋商文件进行必要澄清、答复、修改或补充的，应当在磋商文件要求提交磋商响应文件截止时间5日前，在财政部门指定的政府采购信息发布媒体上发布更正公告，并以书面形式通知所有磋商文件收受人。</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2.招标方必须以书面形式答复供应商要求澄清的问题，并将不包含问题来源的答复书面通知所有购买磋商文件的供应商；除书面答复以外的其他澄清方式及澄清内容均无效。</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3.磋商文件澄清、答复、修改、补充的内容为磋商文件的组成部分。当磋商文件与磋商文件的答复、澄清、修改、补充通知就同一内容的表述不一致时，以最后发出的书面文件为准。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4.磋商文件的澄清、答复、修改或补充都应该通过本招标机构以法定形式发布，采购人非通过本机构，不得擅自澄清、答复、修改或补充磋商文件。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磋商过程中，实质性变动的内容，经采购人代表确认后，磋商小组可以根据磋商文件和磋商情况实质性变动采购需求中的技术、服务要求以及合同草案条款，但不得变动磋商文件中其他内容，否则磋商小组不得变动磋商文件中的实质性内容。供应商应当根据磋商变动情况和磋商小组的要求重新提交响应内容，响应内容应当通过电子交易平台交换数据电文的形式提交。</w:t>
      </w: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ascii="宋体" w:hAnsi="宋体" w:eastAsia="宋体" w:cs="宋体"/>
          <w:color w:val="auto"/>
          <w:sz w:val="24"/>
          <w:szCs w:val="24"/>
          <w:highlight w:val="none"/>
        </w:rPr>
      </w:pPr>
      <w:bookmarkStart w:id="15" w:name="_Toc454196067"/>
      <w:bookmarkStart w:id="16" w:name="_Toc458697269"/>
      <w:bookmarkStart w:id="17" w:name="_Toc7979"/>
      <w:r>
        <w:rPr>
          <w:rFonts w:hint="eastAsia" w:ascii="宋体" w:hAnsi="宋体" w:eastAsia="宋体" w:cs="宋体"/>
          <w:color w:val="auto"/>
          <w:sz w:val="24"/>
          <w:szCs w:val="24"/>
          <w:highlight w:val="none"/>
        </w:rPr>
        <w:t>三、磋商响应文件的编制</w:t>
      </w:r>
      <w:bookmarkEnd w:id="15"/>
      <w:bookmarkEnd w:id="16"/>
      <w:bookmarkEnd w:id="17"/>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（一）磋商响应文件的组成</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磋商响应文件由资格审查文件、商务技术</w:t>
      </w:r>
      <w:r>
        <w:rPr>
          <w:rFonts w:hint="eastAsia" w:ascii="宋体" w:hAnsi="宋体" w:eastAsia="宋体" w:cs="宋体"/>
          <w:color w:val="auto"/>
          <w:sz w:val="24"/>
          <w:szCs w:val="24"/>
          <w:highlight w:val="none"/>
          <w:lang w:val="en-US" w:eastAsia="zh-CN"/>
        </w:rPr>
        <w:t>资信</w:t>
      </w:r>
      <w:r>
        <w:rPr>
          <w:rFonts w:hint="eastAsia" w:ascii="宋体" w:hAnsi="宋体" w:eastAsia="宋体" w:cs="宋体"/>
          <w:color w:val="auto"/>
          <w:sz w:val="24"/>
          <w:szCs w:val="24"/>
          <w:highlight w:val="none"/>
        </w:rPr>
        <w:t>文件、报价文件三部分组成。</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1.资格审查文件：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（1）有效的营业执照复印件</w:t>
      </w:r>
      <w:r>
        <w:rPr>
          <w:rFonts w:hint="eastAsia" w:ascii="宋体" w:hAnsi="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有效的市政工程施工总承包三级（含）以上资质证书复印件</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）有效的企业安全生产许可证证书复印件</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）法定代表人身份证复印件或法定代表人授权委托书(格式见附件)；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）符合参加政府采购活动应当具备的一般条件的承诺函（格式见附件）；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信用记录网络查询页面截图（以省级及以上政府采购网和信用中国查询截图为准）；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）东阳市政府采购代理机构社会评价表（格式见附件）；</w:t>
      </w:r>
    </w:p>
    <w:p>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）磋商声明书 (格式见附件) ；</w:t>
      </w:r>
    </w:p>
    <w:p>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）政府采购活动现场确认声明书 (格式见附件) ；</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）联合体协议书（联合体投标时提供）（格式见附件）；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）供应商为中小企业/小微企业，提供《中小企业声明函》（格式见附件）；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）分包意向协议（分包时提供，格式见附件）。</w:t>
      </w:r>
    </w:p>
    <w:p>
      <w:pPr>
        <w:keepNext w:val="0"/>
        <w:keepLines w:val="0"/>
        <w:pageBreakBefore w:val="0"/>
        <w:widowControl w:val="0"/>
        <w:kinsoku/>
        <w:wordWrap/>
        <w:overflowPunct/>
        <w:topLinePunct w:val="0"/>
        <w:autoSpaceDE/>
        <w:autoSpaceDN/>
        <w:bidi w:val="0"/>
        <w:adjustRightInd/>
        <w:spacing w:line="440" w:lineRule="atLeast"/>
        <w:ind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.商务技术</w:t>
      </w:r>
      <w:r>
        <w:rPr>
          <w:rFonts w:hint="eastAsia" w:ascii="宋体" w:hAnsi="宋体" w:eastAsia="宋体" w:cs="宋体"/>
          <w:b/>
          <w:bCs/>
          <w:color w:val="auto"/>
          <w:sz w:val="24"/>
          <w:szCs w:val="24"/>
          <w:highlight w:val="none"/>
          <w:lang w:val="en-US" w:eastAsia="zh-CN"/>
        </w:rPr>
        <w:t>资信</w:t>
      </w:r>
      <w:r>
        <w:rPr>
          <w:rFonts w:hint="eastAsia" w:ascii="宋体" w:hAnsi="宋体" w:eastAsia="宋体" w:cs="宋体"/>
          <w:b/>
          <w:bCs/>
          <w:color w:val="auto"/>
          <w:sz w:val="24"/>
          <w:szCs w:val="24"/>
          <w:highlight w:val="none"/>
        </w:rPr>
        <w:t>文件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（1）供应商资信商务、技术自评得分表（格式见附件）；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（2）资信商务、技术文件响应表（格式见附件）；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）项目理解情况；</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）施工方案；</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）材料；</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）施工技术；</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）施工进度；</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）安全生产及承诺；</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）质量保障；</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）安全、文明施工等的保证措施；</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）施工机具设备；</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）材料设备进场计划；</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）人员情况</w:t>
      </w:r>
      <w:r>
        <w:rPr>
          <w:rFonts w:hint="eastAsia" w:ascii="宋体" w:hAnsi="宋体" w:cs="宋体"/>
          <w:color w:val="auto"/>
          <w:sz w:val="24"/>
          <w:highlight w:val="none"/>
        </w:rPr>
        <w:t>（格式见附件）；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）布置情况；</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）关键工序、复杂环节的相应技术措施；</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）施工重点；</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）难点分析；</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）成品保护的保证措施；</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）管理协调；</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）认证证书；</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）同类项目业绩</w:t>
      </w:r>
      <w:r>
        <w:rPr>
          <w:rFonts w:hint="eastAsia" w:ascii="宋体" w:hAnsi="宋体" w:cs="宋体"/>
          <w:color w:val="auto"/>
          <w:sz w:val="24"/>
          <w:highlight w:val="none"/>
        </w:rPr>
        <w:t>（格式见附件）；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）售后保障；</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）合理化建议；</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）安全生产及其他承诺函（格式见附件）；</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）人员现场到位率承诺书（格式见附件）；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项目负责人目无任何任职的</w:t>
      </w:r>
      <w:r>
        <w:rPr>
          <w:rFonts w:hint="eastAsia" w:ascii="宋体" w:hAnsi="宋体" w:eastAsia="宋体" w:cs="宋体"/>
          <w:bCs/>
          <w:color w:val="auto"/>
          <w:sz w:val="24"/>
          <w:szCs w:val="24"/>
          <w:highlight w:val="none"/>
        </w:rPr>
        <w:t>承诺函（格式见附件）；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需要说明的其他文件和说明。</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.报价文件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（1）磋商响应函（格式见附件）； </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）初次报价表（格式见附件）； </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）异常低价证明材料，包括但不限于原材料成本、人工成本、制造费用等（投标总价低于最高限价45%以上时提供）</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）供应商针对报价需要说明的其他文件和说明（格式自拟）</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（二）磋商响应文件的语言及计量</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1．磋商响应文件以及磋商响应方与招标方就有关磋商事宜的所有来往函电，均应以中文汉语书写。除签名、盖章、专用名称等特殊情形外，以中文汉语以外的文字表述的磋商响应文件视同未提供。</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2.磋商计量单位，应采用中华人民共和国法定计量单位（货币单位：人民币元），否则视同未响应。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（三）磋商报价</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1.磋商报价应按磋商文件中相关附表格式填写。</w:t>
      </w:r>
    </w:p>
    <w:p>
      <w:pPr>
        <w:pStyle w:val="19"/>
        <w:keepNext w:val="0"/>
        <w:keepLines w:val="0"/>
        <w:pageBreakBefore w:val="0"/>
        <w:widowControl w:val="0"/>
        <w:kinsoku/>
        <w:wordWrap/>
        <w:overflowPunct/>
        <w:topLinePunct w:val="0"/>
        <w:autoSpaceDE/>
        <w:autoSpaceDN/>
        <w:bidi w:val="0"/>
        <w:adjustRightInd/>
        <w:spacing w:after="0" w:line="440" w:lineRule="atLeast"/>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Cs w:val="0"/>
          <w:color w:val="auto"/>
          <w:sz w:val="24"/>
          <w:szCs w:val="24"/>
          <w:highlight w:val="none"/>
        </w:rPr>
        <w:t>2.磋商报价包括施工所需的施工费、材料费、机械费、人工费、服务费、运输费、安全措施费、招标代理费等实施本项目相关的一切费用及税金。供应商的磋商报价为供应商所能承受的整个项目的一次性最终最低报价，如有漏项，视同已包含在本项目磋商报价中，合同总价</w:t>
      </w:r>
      <w:r>
        <w:rPr>
          <w:rFonts w:hint="eastAsia" w:ascii="宋体" w:hAnsi="宋体" w:eastAsia="宋体" w:cs="宋体"/>
          <w:bCs w:val="0"/>
          <w:color w:val="auto"/>
          <w:sz w:val="24"/>
          <w:szCs w:val="24"/>
          <w:highlight w:val="none"/>
          <w:lang w:eastAsia="zh-CN"/>
        </w:rPr>
        <w:t>不作</w:t>
      </w:r>
      <w:r>
        <w:rPr>
          <w:rFonts w:hint="eastAsia" w:ascii="宋体" w:hAnsi="宋体" w:eastAsia="宋体" w:cs="宋体"/>
          <w:bCs w:val="0"/>
          <w:color w:val="auto"/>
          <w:sz w:val="24"/>
          <w:szCs w:val="24"/>
          <w:highlight w:val="none"/>
        </w:rPr>
        <w:t>调整。</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（四）磋商响应文件的有效期</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bookmarkStart w:id="18" w:name="_Toc405368930"/>
      <w:bookmarkStart w:id="19" w:name="_Toc450548873"/>
      <w:r>
        <w:rPr>
          <w:rFonts w:hint="eastAsia" w:ascii="宋体" w:hAnsi="宋体" w:eastAsia="宋体" w:cs="宋体"/>
          <w:color w:val="auto"/>
          <w:sz w:val="24"/>
          <w:szCs w:val="24"/>
          <w:highlight w:val="none"/>
        </w:rPr>
        <w:t>▲1.自磋商截止日起</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天磋商响应文件应保持有效。有效期不足的磋商响应文件将被拒绝。</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2.在特殊情况下，招标人可与供应商协商延长磋商响应文件的有效期，这种要求和答复均以书面形式进行。</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bookmarkStart w:id="20" w:name="_Toc407182105"/>
      <w:r>
        <w:rPr>
          <w:rFonts w:hint="eastAsia" w:ascii="宋体" w:hAnsi="宋体" w:eastAsia="宋体" w:cs="宋体"/>
          <w:color w:val="auto"/>
          <w:sz w:val="24"/>
          <w:szCs w:val="24"/>
          <w:highlight w:val="none"/>
        </w:rPr>
        <w:t>3.供应商可拒绝接受延期要求，若同意延长有效期的供应商，则不能修改磋商响应文件。</w:t>
      </w:r>
      <w:bookmarkEnd w:id="20"/>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4.中标人的磋商响应文件自开标之日起至合同履行完毕止均应保持有效。</w:t>
      </w:r>
    </w:p>
    <w:bookmarkEnd w:id="18"/>
    <w:bookmarkEnd w:id="19"/>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（五）履约保证金</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▲1.保证金形式：</w:t>
      </w:r>
      <w:r>
        <w:rPr>
          <w:rFonts w:hint="eastAsia" w:ascii="宋体" w:hAnsi="宋体" w:eastAsia="宋体" w:cs="宋体"/>
          <w:color w:val="auto"/>
          <w:sz w:val="24"/>
          <w:szCs w:val="24"/>
          <w:highlight w:val="none"/>
          <w:u w:val="single"/>
          <w:lang w:val="en-US" w:eastAsia="zh-CN"/>
        </w:rPr>
        <w:t>支票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汇票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本票</w:t>
      </w:r>
      <w:r>
        <w:rPr>
          <w:rFonts w:hint="eastAsia" w:ascii="宋体" w:hAnsi="宋体" w:eastAsia="宋体" w:cs="宋体"/>
          <w:color w:val="auto"/>
          <w:sz w:val="24"/>
          <w:szCs w:val="24"/>
          <w:highlight w:val="none"/>
          <w:u w:val="single"/>
        </w:rPr>
        <w:t>、保函</w:t>
      </w:r>
      <w:r>
        <w:rPr>
          <w:rFonts w:hint="eastAsia" w:ascii="宋体" w:hAnsi="宋体" w:eastAsia="宋体" w:cs="宋体"/>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2.中标人在收到中标通知书后，需向采购人提供</w:t>
      </w:r>
      <w:r>
        <w:rPr>
          <w:rFonts w:hint="eastAsia" w:ascii="宋体" w:hAnsi="宋体" w:eastAsia="宋体" w:cs="宋体"/>
          <w:color w:val="auto"/>
          <w:sz w:val="24"/>
          <w:szCs w:val="24"/>
          <w:highlight w:val="none"/>
          <w:lang w:val="en-US" w:eastAsia="zh-CN"/>
        </w:rPr>
        <w:t>合同金额的1</w:t>
      </w:r>
      <w:r>
        <w:rPr>
          <w:rFonts w:hint="eastAsia" w:ascii="宋体" w:hAnsi="宋体" w:eastAsia="宋体" w:cs="宋体"/>
          <w:color w:val="auto"/>
          <w:sz w:val="24"/>
          <w:szCs w:val="24"/>
          <w:highlight w:val="none"/>
        </w:rPr>
        <w:t>%的履约保证金，在中标人与采购人签订合同前递交，</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需以支票、汇票、本票或者金融机构、保险公司、担保机构出具的</w:t>
      </w:r>
      <w:r>
        <w:rPr>
          <w:rFonts w:hint="eastAsia" w:ascii="宋体" w:hAnsi="宋体" w:eastAsia="宋体" w:cs="宋体"/>
          <w:color w:val="auto"/>
          <w:sz w:val="24"/>
          <w:szCs w:val="24"/>
          <w:highlight w:val="none"/>
          <w:lang w:val="en-US" w:eastAsia="zh-CN"/>
        </w:rPr>
        <w:t>保函/保险（可在政采云平台购买，咨询热线4009039583）等非现金形式提交（保函期限应大于履约期限2个月）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也可登录政采云平台-【金融服务】—【我的项目】—【已备案合同】以保函形式提供：（1）中标人在合同列表选择需要投保的合同，点击[保函推荐]。（2）在弹框里查看推荐的保函产品，中标人自行选择保函产品，点击[立即申请]。（3）在弹框里填写保函申请信息。具体步骤：选择产品—填写供应商信息—选择中标项目—确认信息—等待保险/保函受理—确认保单—支付保费—成功出单。政采云金融专线400-903-9583。</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（六）磋商响应文件的签署</w:t>
      </w:r>
    </w:p>
    <w:p>
      <w:pPr>
        <w:keepNext w:val="0"/>
        <w:keepLines w:val="0"/>
        <w:pageBreakBefore w:val="0"/>
        <w:widowControl w:val="0"/>
        <w:numPr>
          <w:ilvl w:val="0"/>
          <w:numId w:val="4"/>
        </w:numPr>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本磋商文件规定的格式和顺序编制磋商响应文件并标注页码，因磋商响应文件内容不完整、编排混乱、放弃关联点或关联点错误等原因导致磋商响应文件被误读、漏读或者查找不到相关内容等风险由供应商自行承担。</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2.磋商响应文件需盖章签字的地方必须由供应商法定代表人或法定代表人的授权委托人签署并加盖单位公章，供应商应写全称。</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3.磋商响应文件不得涂改，若有修改错漏处，须加盖单位公章和由法定代表人或授权委托人签字或盖章。磋商响应文件因字迹潦草或表达不清所引起的后果由供应商负责。</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（七）磋商响应文件的上传、递交、修改和撤回</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供应商应当在磋商截止时间前在“政采云”（电子交易平台）上自行上传加密的电子磋商响应文件。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2.未按规定上传的磋商响应文件将被拒绝，由此造成磋商响应文件解密失败或被误投的风险由供应商承担。</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供应商未在“政采云”（电子交易平台）上自行上传加密的电子磋商响应文件，仅提交电子备份磋商响应文件的，磋商无效。</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供应商应当在磋商截止时间前完成电子磋商响应文件的传输递交，并可以补充、修改或者撤回电子磋商响应文件。补充或者修改电子磋商响应文件的，应当先行撤回原文件，补充、修改后重新传输递交。磋商截止时间前未完成传输的，视为撤回磋商响应文件。磋商、响应截止时间后上传的磋商响应文件，将被政采云平台拒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磋商截止时间之前，可以对已提交的电子备份磋商响应文件进行修改或撤回，并书面通知招标采购单位；修改后重新递交的电子备份磋商响应文件应当按本磋商文件的要求签署、盖章。磋商截止时间后，供应商不得撤回、修改电子备份磋商响应文件。</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截止开标时间，政采云（电子交易平台）自动提取所有磋商响应文件，供应商须在开标时间截止后30分钟内对上传政采云的磋商响应文件进行解密，所有供应商在规定的解密时限内解密完成或解密时限到后，</w:t>
      </w:r>
      <w:r>
        <w:rPr>
          <w:rFonts w:hint="eastAsia" w:ascii="宋体" w:hAnsi="宋体" w:eastAsia="宋体" w:cs="宋体"/>
          <w:color w:val="auto"/>
          <w:sz w:val="24"/>
          <w:szCs w:val="24"/>
          <w:highlight w:val="none"/>
          <w:lang w:val="en-US" w:eastAsia="zh-CN"/>
        </w:rPr>
        <w:t>招标方</w:t>
      </w:r>
      <w:r>
        <w:rPr>
          <w:rFonts w:hint="eastAsia" w:ascii="宋体" w:hAnsi="宋体" w:eastAsia="宋体" w:cs="宋体"/>
          <w:color w:val="auto"/>
          <w:sz w:val="24"/>
          <w:szCs w:val="24"/>
          <w:highlight w:val="none"/>
        </w:rPr>
        <w:t>开启磋商响应文件；供应商超过解密时限的，系统默认自动放弃。</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电子磋商响应文件无法解密或解密失败时，供应商提供了电子备份磋商响应文件的，以电子备份磋商响应文件作为评审依据，否则视为磋商响应文件撤回。磋商响应文件已按时解密的，电子备份磋商响应文件自动失效。</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（八）磋商无效的情形</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上没有响应磋商文件要求的磋商将被视为无效磋商。供应商不得通过修正或撤消不合要求的偏离或保留从而使其磋商成为实质上响应的磋商，但经磋商小组认定属于供应商疏忽、笔误所造成的差错（带▲的条款不得更正），应当允许其在磋商结束之前进行修改或者补正。限期内不补正或经补正后仍不符合磋商文件要求的，应认定其磋商无效。供应商修改、补正磋商响应文件后，不影响磋商小组对其磋商响应文件所作的评价和评分结果。</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1.在符合性审查和商务评审时，如发现下列情形之一的，磋商响应文件将被视为无效：</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（1）供应商仅提交电子备份磋商响应文件的；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在磋商时出现电子磋商响应文件无法解密或解密失败等情况，供应商未提供电子备份磋商响应文件，无法对供应商继续进行评审的；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（3）供应商未在规定的时间内对电子询标函进行澄清回复、拒绝澄清回复或澄清回复的内容改变了磋商响应文件的实质性内容的；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（4）网上下载的证明文件，不能通过真实性验证的（发现提供虚假资料的，按照提供虚假资料处理）； </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（5）资格证明文件不全的，或者不符合招标文件标明的资格要求的，及未提供招标文件中标有“▲”特殊符号的证明文件的；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（6）本项目投标截止之日前三年内，相关主体在“信用中国”网站、中国政府采购网有失信行为或被列入受惩黑名单。</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（7）磋商响应文件无法定代表人签字,或未提供法定代表人授权委托书、磋商声明书或者填写项目不齐全的；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（8）磋商代表人未能出具身份证明或与法定代表人授权委托人身份不符的； </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（9）磋商响应文件格式未按磋商文件附件规定的格式、未按磋商文件规定的内容编制磋商响应文件的或者内容虚假的、未按规定签字或盖章的；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（10）磋商响应文件的实质性内容未使用中文表述的或意思表述不明确、前后矛盾的或者使用计量单位不符合磋商文件要求的（经磋商小组认定并允许其当场更正的笔误除外）；</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（11）磋商有效期、服务期（交货期）、质保期、付款方式等商务条款不能满足磋商文件要求的；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（12）未实质性响应磋商文件要求或者磋商响应文件有招标方不能接受的附加条件的；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（13）磋商文件规定</w:t>
      </w:r>
      <w:r>
        <w:rPr>
          <w:rFonts w:hint="eastAsia" w:ascii="宋体" w:hAnsi="宋体" w:eastAsia="宋体" w:cs="宋体"/>
          <w:color w:val="auto"/>
          <w:sz w:val="24"/>
          <w:szCs w:val="24"/>
          <w:highlight w:val="none"/>
          <w:lang w:eastAsia="zh-CN"/>
        </w:rPr>
        <w:t>的其他</w:t>
      </w:r>
      <w:r>
        <w:rPr>
          <w:rFonts w:hint="eastAsia" w:ascii="宋体" w:hAnsi="宋体" w:eastAsia="宋体" w:cs="宋体"/>
          <w:color w:val="auto"/>
          <w:sz w:val="24"/>
          <w:szCs w:val="24"/>
          <w:highlight w:val="none"/>
        </w:rPr>
        <w:t>磋商无效的情况；</w:t>
      </w:r>
    </w:p>
    <w:p>
      <w:pPr>
        <w:keepNext w:val="0"/>
        <w:keepLines w:val="0"/>
        <w:pageBreakBefore w:val="0"/>
        <w:widowControl w:val="0"/>
        <w:tabs>
          <w:tab w:val="left" w:pos="401"/>
        </w:tabs>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（14）法律、法规规定</w:t>
      </w:r>
      <w:r>
        <w:rPr>
          <w:rFonts w:hint="eastAsia" w:ascii="宋体" w:hAnsi="宋体" w:eastAsia="宋体" w:cs="宋体"/>
          <w:color w:val="auto"/>
          <w:sz w:val="24"/>
          <w:szCs w:val="24"/>
          <w:highlight w:val="none"/>
          <w:lang w:eastAsia="zh-CN"/>
        </w:rPr>
        <w:t>的其他</w:t>
      </w:r>
      <w:r>
        <w:rPr>
          <w:rFonts w:hint="eastAsia" w:ascii="宋体" w:hAnsi="宋体" w:eastAsia="宋体" w:cs="宋体"/>
          <w:color w:val="auto"/>
          <w:sz w:val="24"/>
          <w:szCs w:val="24"/>
          <w:highlight w:val="none"/>
        </w:rPr>
        <w:t>磋商无效情况。</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2.在技术资信评审时，如发现下列情形之一的，磋商响应文件将被视为无效：</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（1）供应商未在规定的时间内对电子询标函进行澄清回复、拒绝澄清回复或澄清回复的内容改变了磋商响应文件的实质性内容的；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（2）磋商响应文件标明的响应或偏离与事实不符的或虚假响应的；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（3）明显不符合招标文件质量标准的，或者与招标文件中标有“▲”特殊符号的技术指标、主要功能项目发生实质性偏离的；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（4）磋商文件中允许偏离的技术、性能指标或者辅助功能发生较大负偏离的，经磋商小组认定对项目实际使用造成影响的；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（5）磋商响应文件技术方案不明确，存在一个或一个以上备选（替代）磋商响应方案的；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（6）与其他参加本次磋商供应商的磋商响应文件的文字表述内容相同连续20行以上或者差错相同2处以上的；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（7）在资信及商务标、技术标内出现商务报价；</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（8）磋商文件规定</w:t>
      </w:r>
      <w:r>
        <w:rPr>
          <w:rFonts w:hint="eastAsia" w:ascii="宋体" w:hAnsi="宋体" w:eastAsia="宋体" w:cs="宋体"/>
          <w:color w:val="auto"/>
          <w:sz w:val="24"/>
          <w:szCs w:val="24"/>
          <w:highlight w:val="none"/>
          <w:lang w:eastAsia="zh-CN"/>
        </w:rPr>
        <w:t>的其他</w:t>
      </w:r>
      <w:r>
        <w:rPr>
          <w:rFonts w:hint="eastAsia" w:ascii="宋体" w:hAnsi="宋体" w:eastAsia="宋体" w:cs="宋体"/>
          <w:color w:val="auto"/>
          <w:sz w:val="24"/>
          <w:szCs w:val="24"/>
          <w:highlight w:val="none"/>
        </w:rPr>
        <w:t>磋商无效的情况；</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（9）法律、法规规定</w:t>
      </w:r>
      <w:r>
        <w:rPr>
          <w:rFonts w:hint="eastAsia" w:ascii="宋体" w:hAnsi="宋体" w:eastAsia="宋体" w:cs="宋体"/>
          <w:color w:val="auto"/>
          <w:sz w:val="24"/>
          <w:szCs w:val="24"/>
          <w:highlight w:val="none"/>
          <w:lang w:eastAsia="zh-CN"/>
        </w:rPr>
        <w:t>的其他</w:t>
      </w:r>
      <w:r>
        <w:rPr>
          <w:rFonts w:hint="eastAsia" w:ascii="宋体" w:hAnsi="宋体" w:eastAsia="宋体" w:cs="宋体"/>
          <w:color w:val="auto"/>
          <w:sz w:val="24"/>
          <w:szCs w:val="24"/>
          <w:highlight w:val="none"/>
        </w:rPr>
        <w:t>磋商无效情况。</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3.在报价评审时，如发现下列情形之一的，磋商响应文件将被视为无效：</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（1）供应商未在规定的时间内对电子询标函进行澄清回复、拒绝澄清回复或者澄清回复的内容改变了磋商响应文件的实质性内容的；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（2）未采用人民币报价或者未按照磋商文件标明的币种报价的；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（3）磋商报价具有选择性的，或者开标价格与磋商响应文件承诺的优惠（折扣）价格不一致的；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（4）报价超出用户设定的最高限价或预算金额的；</w:t>
      </w:r>
    </w:p>
    <w:p>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（5）磋商文件规定</w:t>
      </w:r>
      <w:r>
        <w:rPr>
          <w:rFonts w:hint="eastAsia" w:ascii="宋体" w:hAnsi="宋体" w:eastAsia="宋体" w:cs="宋体"/>
          <w:color w:val="auto"/>
          <w:sz w:val="24"/>
          <w:szCs w:val="24"/>
          <w:highlight w:val="none"/>
          <w:lang w:eastAsia="zh-CN"/>
        </w:rPr>
        <w:t>的其他</w:t>
      </w:r>
      <w:r>
        <w:rPr>
          <w:rFonts w:hint="eastAsia" w:ascii="宋体" w:hAnsi="宋体" w:eastAsia="宋体" w:cs="宋体"/>
          <w:color w:val="auto"/>
          <w:sz w:val="24"/>
          <w:szCs w:val="24"/>
          <w:highlight w:val="none"/>
        </w:rPr>
        <w:t>磋商无效的情况；</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政府采购评审中出现下列①~④情形之一的，评审委员会应当启动异常低价投标（响应）审查程序，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本项目鼓励属于以下第③项情形的供应商在报价文件中提供必要的证明材料）：</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①投标（响应）报价低于全部通过符合性审查供应商投标（响应）报价平均值50%的，即“投标（响应）报价”＜“全部通过符合性审查供应商投标（响应）报价平均值×50%”；</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②投标（响应）报价低于通过符合性审查的次低报价供应商投标（响应）报价50%的，即“投标（响应）报价”＜“通过符合性审查的次低报价供应商投标（响应）报价×50%”；</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③投标（响应）报价低于采购项目最高限价45%的，即“投标（响应）报价”＜“采购项目最高限价×45%”；</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④评审委员会基于专业判断，认为供应商报价过低，有可能影响产品质量或者不能诚信履约的其他情形。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⑤相关法律法规对供应商报价有规定的，从其规定。</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审专家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）法律、法规规定</w:t>
      </w:r>
      <w:r>
        <w:rPr>
          <w:rFonts w:hint="eastAsia" w:ascii="宋体" w:hAnsi="宋体" w:eastAsia="宋体" w:cs="宋体"/>
          <w:b/>
          <w:bCs/>
          <w:color w:val="auto"/>
          <w:sz w:val="24"/>
          <w:szCs w:val="24"/>
          <w:highlight w:val="none"/>
          <w:lang w:eastAsia="zh-CN"/>
        </w:rPr>
        <w:t>的其他</w:t>
      </w:r>
      <w:r>
        <w:rPr>
          <w:rFonts w:hint="eastAsia" w:ascii="宋体" w:hAnsi="宋体" w:eastAsia="宋体" w:cs="宋体"/>
          <w:b/>
          <w:bCs/>
          <w:color w:val="auto"/>
          <w:sz w:val="24"/>
          <w:szCs w:val="24"/>
          <w:highlight w:val="none"/>
        </w:rPr>
        <w:t>磋商无效情况。</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4.除政府采购法律法规规定的恶意串通、视同串通投标情形外，在不影响公平竞争的前提下，采购人、</w:t>
      </w:r>
      <w:r>
        <w:rPr>
          <w:rFonts w:hint="eastAsia" w:ascii="宋体" w:hAnsi="宋体" w:eastAsia="宋体" w:cs="宋体"/>
          <w:b/>
          <w:color w:val="auto"/>
          <w:sz w:val="24"/>
          <w:szCs w:val="24"/>
          <w:highlight w:val="none"/>
          <w:lang w:val="en-US" w:eastAsia="zh-CN"/>
        </w:rPr>
        <w:t>招标方</w:t>
      </w:r>
      <w:r>
        <w:rPr>
          <w:rFonts w:hint="eastAsia" w:ascii="宋体" w:hAnsi="宋体" w:eastAsia="宋体" w:cs="宋体"/>
          <w:b/>
          <w:color w:val="auto"/>
          <w:sz w:val="24"/>
          <w:szCs w:val="24"/>
          <w:highlight w:val="none"/>
        </w:rPr>
        <w:t>构应在采购文件中明确规定参与同一个标段(包)的供应商存在下列情形之一的，其投标(响应)文件无效:(一)不同供应商制作电子投标(响应)文件的计算机网卡MAC地址相同的;(二)不同供应商制作电子投标(响应)文件的计算机硬盘序列号相同的;(三)不同供应商的投标(响应)文件的内容存在两处以上细节错误一致，且无法合理解释的。</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.被拒绝的磋商响应文件为无效。</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根据有关法律、法规规定为无效、废标的，按法律、法规规定执行。</w:t>
      </w:r>
    </w:p>
    <w:p>
      <w:pPr>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对仅出现以上1、2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情形之一中小项情况的，经审定凡没有实质性影响和损害的，可不作无效标处理。</w:t>
      </w:r>
    </w:p>
    <w:p>
      <w:pPr>
        <w:pStyle w:val="2"/>
        <w:rPr>
          <w:rFonts w:hint="eastAsia"/>
        </w:rPr>
      </w:pPr>
    </w:p>
    <w:p>
      <w:pPr>
        <w:pStyle w:val="4"/>
        <w:keepNext w:val="0"/>
        <w:keepLines w:val="0"/>
        <w:pageBreakBefore/>
        <w:spacing w:line="240" w:lineRule="auto"/>
        <w:jc w:val="center"/>
        <w:rPr>
          <w:rFonts w:ascii="宋体" w:hAnsi="宋体" w:eastAsia="宋体" w:cs="宋体"/>
          <w:color w:val="auto"/>
          <w:sz w:val="24"/>
          <w:szCs w:val="24"/>
          <w:highlight w:val="none"/>
        </w:rPr>
      </w:pPr>
      <w:bookmarkStart w:id="21" w:name="_Toc16268"/>
      <w:bookmarkStart w:id="22" w:name="_Toc458697270"/>
      <w:r>
        <w:rPr>
          <w:rFonts w:hint="eastAsia" w:ascii="宋体" w:hAnsi="宋体" w:eastAsia="宋体" w:cs="宋体"/>
          <w:color w:val="auto"/>
          <w:sz w:val="24"/>
          <w:szCs w:val="24"/>
          <w:highlight w:val="none"/>
        </w:rPr>
        <w:t>四、开标</w:t>
      </w:r>
      <w:bookmarkEnd w:id="21"/>
      <w:bookmarkEnd w:id="22"/>
    </w:p>
    <w:p>
      <w:pPr>
        <w:keepNext w:val="0"/>
        <w:keepLines w:val="0"/>
        <w:pageBreakBefore w:val="0"/>
        <w:widowControl w:val="0"/>
        <w:kinsoku/>
        <w:wordWrap/>
        <w:overflowPunct/>
        <w:topLinePunct w:val="0"/>
        <w:autoSpaceDE/>
        <w:autoSpaceDN/>
        <w:bidi w:val="0"/>
        <w:spacing w:line="440" w:lineRule="atLeast"/>
        <w:ind w:firstLine="482" w:firstLineChars="200"/>
        <w:textAlignment w:val="auto"/>
        <w:rPr>
          <w:rFonts w:ascii="宋体" w:hAnsi="宋体" w:cs="宋体"/>
          <w:b/>
          <w:color w:val="auto"/>
          <w:sz w:val="24"/>
          <w:highlight w:val="none"/>
        </w:rPr>
      </w:pPr>
      <w:bookmarkStart w:id="23" w:name="_Toc458697271"/>
      <w:r>
        <w:rPr>
          <w:rFonts w:hint="eastAsia" w:ascii="宋体" w:hAnsi="宋体" w:cs="宋体"/>
          <w:b/>
          <w:color w:val="auto"/>
          <w:sz w:val="24"/>
          <w:highlight w:val="none"/>
        </w:rPr>
        <w:t xml:space="preserve">（一）开标准备   </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lang w:val="en-US" w:eastAsia="zh-CN"/>
        </w:rPr>
        <w:t>招标方</w:t>
      </w:r>
      <w:r>
        <w:rPr>
          <w:rFonts w:hint="eastAsia" w:ascii="宋体" w:hAnsi="宋体" w:cs="宋体"/>
          <w:bCs/>
          <w:color w:val="auto"/>
          <w:sz w:val="24"/>
          <w:highlight w:val="none"/>
        </w:rPr>
        <w:t>将在规定的时间和地点进行电子开标，供应商的法定代表人或其委托代理人【委托代理人应当是供应商的在职正式职工】应做好磋商准备，准时在线参加电子开标会议，随时关注磋商进度。</w:t>
      </w:r>
    </w:p>
    <w:p>
      <w:pPr>
        <w:keepNext w:val="0"/>
        <w:keepLines w:val="0"/>
        <w:pageBreakBefore w:val="0"/>
        <w:widowControl w:val="0"/>
        <w:kinsoku/>
        <w:wordWrap/>
        <w:overflowPunct/>
        <w:topLinePunct w:val="0"/>
        <w:autoSpaceDE/>
        <w:autoSpaceDN/>
        <w:bidi w:val="0"/>
        <w:spacing w:line="440" w:lineRule="atLeas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（二）电子磋商开标程序</w:t>
      </w:r>
    </w:p>
    <w:p>
      <w:pPr>
        <w:keepNext w:val="0"/>
        <w:keepLines w:val="0"/>
        <w:pageBreakBefore w:val="0"/>
        <w:widowControl w:val="0"/>
        <w:tabs>
          <w:tab w:val="left" w:pos="3219"/>
        </w:tabs>
        <w:kinsoku/>
        <w:wordWrap/>
        <w:overflowPunct/>
        <w:topLinePunct w:val="0"/>
        <w:autoSpaceDE/>
        <w:autoSpaceDN/>
        <w:bidi w:val="0"/>
        <w:adjustRightInd w:val="0"/>
        <w:snapToGrid w:val="0"/>
        <w:spacing w:line="440" w:lineRule="atLeast"/>
        <w:ind w:firstLine="480" w:firstLineChars="200"/>
        <w:textAlignment w:val="auto"/>
        <w:rPr>
          <w:rFonts w:ascii="宋体" w:hAnsi="宋体"/>
          <w:color w:val="auto"/>
          <w:sz w:val="24"/>
          <w:highlight w:val="none"/>
        </w:rPr>
      </w:pPr>
      <w:r>
        <w:rPr>
          <w:rFonts w:ascii="宋体" w:hAnsi="宋体"/>
          <w:color w:val="auto"/>
          <w:sz w:val="24"/>
          <w:highlight w:val="none"/>
        </w:rPr>
        <w:t xml:space="preserve">1.向各供应商发出电子加密响应文件【开始解密】通知，由供应商按采购文件规定的时间内自行进行响应文件解密。 </w:t>
      </w:r>
    </w:p>
    <w:p>
      <w:pPr>
        <w:keepNext w:val="0"/>
        <w:keepLines w:val="0"/>
        <w:pageBreakBefore w:val="0"/>
        <w:widowControl w:val="0"/>
        <w:tabs>
          <w:tab w:val="left" w:pos="3219"/>
        </w:tabs>
        <w:kinsoku/>
        <w:wordWrap/>
        <w:overflowPunct/>
        <w:topLinePunct w:val="0"/>
        <w:autoSpaceDE/>
        <w:autoSpaceDN/>
        <w:bidi w:val="0"/>
        <w:adjustRightInd w:val="0"/>
        <w:snapToGrid w:val="0"/>
        <w:spacing w:line="440" w:lineRule="atLeast"/>
        <w:ind w:firstLine="480" w:firstLineChars="200"/>
        <w:textAlignment w:val="auto"/>
        <w:rPr>
          <w:rFonts w:ascii="宋体" w:hAnsi="宋体"/>
          <w:color w:val="auto"/>
          <w:sz w:val="24"/>
          <w:highlight w:val="none"/>
        </w:rPr>
      </w:pPr>
      <w:r>
        <w:rPr>
          <w:rFonts w:ascii="宋体" w:hAnsi="宋体"/>
          <w:color w:val="auto"/>
          <w:sz w:val="24"/>
          <w:highlight w:val="none"/>
        </w:rPr>
        <w:t>2.响应文件解密结束，开启资格文件，进入资格审查环节，资格审查小组将依法对供应商的资格进行审查。</w:t>
      </w:r>
    </w:p>
    <w:p>
      <w:pPr>
        <w:keepNext w:val="0"/>
        <w:keepLines w:val="0"/>
        <w:pageBreakBefore w:val="0"/>
        <w:widowControl w:val="0"/>
        <w:tabs>
          <w:tab w:val="left" w:pos="3219"/>
        </w:tabs>
        <w:kinsoku/>
        <w:wordWrap/>
        <w:overflowPunct/>
        <w:topLinePunct w:val="0"/>
        <w:autoSpaceDE/>
        <w:autoSpaceDN/>
        <w:bidi w:val="0"/>
        <w:adjustRightInd w:val="0"/>
        <w:snapToGrid w:val="0"/>
        <w:spacing w:line="440" w:lineRule="atLeast"/>
        <w:ind w:firstLine="480" w:firstLineChars="200"/>
        <w:textAlignment w:val="auto"/>
        <w:rPr>
          <w:rFonts w:ascii="宋体" w:hAnsi="宋体"/>
          <w:color w:val="auto"/>
          <w:sz w:val="24"/>
          <w:highlight w:val="none"/>
        </w:rPr>
      </w:pPr>
      <w:r>
        <w:rPr>
          <w:rFonts w:ascii="宋体" w:hAnsi="宋体"/>
          <w:color w:val="auto"/>
          <w:sz w:val="24"/>
          <w:highlight w:val="none"/>
        </w:rPr>
        <w:t>3.开启资格审查通过的供应商的商务技术文件进入符合性审查及商务技术评审；对技术方案进行磋商。</w:t>
      </w:r>
    </w:p>
    <w:p>
      <w:pPr>
        <w:keepNext w:val="0"/>
        <w:keepLines w:val="0"/>
        <w:pageBreakBefore w:val="0"/>
        <w:widowControl w:val="0"/>
        <w:tabs>
          <w:tab w:val="left" w:pos="3219"/>
        </w:tabs>
        <w:kinsoku/>
        <w:wordWrap/>
        <w:overflowPunct/>
        <w:topLinePunct w:val="0"/>
        <w:autoSpaceDE/>
        <w:autoSpaceDN/>
        <w:bidi w:val="0"/>
        <w:adjustRightInd w:val="0"/>
        <w:snapToGrid w:val="0"/>
        <w:spacing w:line="440" w:lineRule="atLeast"/>
        <w:ind w:firstLine="480" w:firstLineChars="200"/>
        <w:textAlignment w:val="auto"/>
        <w:rPr>
          <w:rFonts w:ascii="宋体" w:hAnsi="宋体"/>
          <w:color w:val="auto"/>
          <w:sz w:val="24"/>
          <w:highlight w:val="none"/>
        </w:rPr>
      </w:pPr>
      <w:r>
        <w:rPr>
          <w:rFonts w:ascii="宋体" w:hAnsi="宋体"/>
          <w:color w:val="auto"/>
          <w:sz w:val="24"/>
          <w:highlight w:val="none"/>
        </w:rPr>
        <w:t>4.符合性审查、商务技术评审结束后，开启符合性审查、商务技术评审有效供应商的报价文件。由磋商小组对报价文件的符合性等进行审查核实，然后供应商对本项目进行二次报价，最终以二次报价为准，最后对报价进行得分计算。</w:t>
      </w:r>
    </w:p>
    <w:p>
      <w:pPr>
        <w:keepNext w:val="0"/>
        <w:keepLines w:val="0"/>
        <w:pageBreakBefore w:val="0"/>
        <w:widowControl w:val="0"/>
        <w:tabs>
          <w:tab w:val="left" w:pos="3219"/>
        </w:tabs>
        <w:kinsoku/>
        <w:wordWrap/>
        <w:overflowPunct/>
        <w:topLinePunct w:val="0"/>
        <w:autoSpaceDE/>
        <w:autoSpaceDN/>
        <w:bidi w:val="0"/>
        <w:adjustRightInd w:val="0"/>
        <w:snapToGrid w:val="0"/>
        <w:spacing w:line="440" w:lineRule="atLeast"/>
        <w:ind w:firstLine="480" w:firstLineChars="200"/>
        <w:textAlignment w:val="auto"/>
        <w:rPr>
          <w:rFonts w:ascii="宋体" w:hAnsi="宋体"/>
          <w:color w:val="auto"/>
          <w:sz w:val="24"/>
          <w:highlight w:val="none"/>
        </w:rPr>
      </w:pPr>
      <w:r>
        <w:rPr>
          <w:rFonts w:ascii="宋体" w:hAnsi="宋体"/>
          <w:color w:val="auto"/>
          <w:sz w:val="24"/>
          <w:highlight w:val="none"/>
        </w:rPr>
        <w:t>5.根据各供应商综合得分从高到低进行排序，推荐成交候选供应商；综合得分最高的供应商推荐为成交供应商。</w:t>
      </w:r>
    </w:p>
    <w:p>
      <w:pPr>
        <w:keepNext w:val="0"/>
        <w:keepLines w:val="0"/>
        <w:pageBreakBefore w:val="0"/>
        <w:widowControl w:val="0"/>
        <w:tabs>
          <w:tab w:val="left" w:pos="3219"/>
        </w:tabs>
        <w:kinsoku/>
        <w:wordWrap/>
        <w:overflowPunct/>
        <w:topLinePunct w:val="0"/>
        <w:autoSpaceDE/>
        <w:autoSpaceDN/>
        <w:bidi w:val="0"/>
        <w:adjustRightInd w:val="0"/>
        <w:snapToGrid w:val="0"/>
        <w:spacing w:line="440" w:lineRule="atLeast"/>
        <w:ind w:firstLine="480" w:firstLineChars="200"/>
        <w:textAlignment w:val="auto"/>
        <w:rPr>
          <w:rFonts w:ascii="宋体" w:hAnsi="宋体"/>
          <w:color w:val="auto"/>
          <w:sz w:val="24"/>
          <w:highlight w:val="none"/>
        </w:rPr>
      </w:pPr>
      <w:r>
        <w:rPr>
          <w:rFonts w:ascii="宋体" w:hAnsi="宋体"/>
          <w:color w:val="auto"/>
          <w:sz w:val="24"/>
          <w:highlight w:val="none"/>
        </w:rPr>
        <w:t>6.由磋商小组向采购人推荐综合得分第一名的供应商为成交供应商，并提交评审报告。</w:t>
      </w:r>
    </w:p>
    <w:p>
      <w:pPr>
        <w:keepNext w:val="0"/>
        <w:keepLines w:val="0"/>
        <w:pageBreakBefore w:val="0"/>
        <w:widowControl w:val="0"/>
        <w:tabs>
          <w:tab w:val="left" w:pos="3219"/>
        </w:tabs>
        <w:kinsoku/>
        <w:wordWrap/>
        <w:overflowPunct/>
        <w:topLinePunct w:val="0"/>
        <w:autoSpaceDE/>
        <w:autoSpaceDN/>
        <w:bidi w:val="0"/>
        <w:adjustRightInd w:val="0"/>
        <w:snapToGrid w:val="0"/>
        <w:spacing w:line="440" w:lineRule="atLeast"/>
        <w:ind w:firstLine="480" w:firstLineChars="200"/>
        <w:textAlignment w:val="auto"/>
        <w:rPr>
          <w:rFonts w:ascii="宋体" w:hAnsi="宋体"/>
          <w:color w:val="auto"/>
          <w:sz w:val="24"/>
          <w:highlight w:val="none"/>
        </w:rPr>
      </w:pPr>
      <w:r>
        <w:rPr>
          <w:rFonts w:ascii="宋体" w:hAnsi="宋体"/>
          <w:color w:val="auto"/>
          <w:sz w:val="24"/>
          <w:highlight w:val="none"/>
        </w:rPr>
        <w:t>7.评审结束后，公布采购结果。</w:t>
      </w:r>
    </w:p>
    <w:p>
      <w:pPr>
        <w:keepNext w:val="0"/>
        <w:keepLines w:val="0"/>
        <w:pageBreakBefore w:val="0"/>
        <w:widowControl w:val="0"/>
        <w:kinsoku/>
        <w:wordWrap/>
        <w:overflowPunct/>
        <w:topLinePunct w:val="0"/>
        <w:autoSpaceDE/>
        <w:autoSpaceDN/>
        <w:bidi w:val="0"/>
        <w:spacing w:line="440" w:lineRule="atLeas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特别说明：政采云公司如对电子化开标及评审程序有调整的，按调整后的程序操作。</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4、本项目采用政采云电子磋商开标及评审程序，磋商时出现电子磋商响应文件无法解密或解密失败等情况时，招标方可上传供应商的电子备份磋商响应文件继续评审。</w:t>
      </w:r>
    </w:p>
    <w:p>
      <w:pPr>
        <w:pStyle w:val="4"/>
        <w:keepNext w:val="0"/>
        <w:keepLines w:val="0"/>
        <w:pageBreakBefore/>
        <w:spacing w:line="360" w:lineRule="auto"/>
        <w:jc w:val="center"/>
        <w:rPr>
          <w:rFonts w:ascii="宋体" w:hAnsi="宋体" w:eastAsia="宋体" w:cs="宋体"/>
          <w:color w:val="auto"/>
          <w:sz w:val="24"/>
          <w:szCs w:val="24"/>
          <w:highlight w:val="none"/>
        </w:rPr>
      </w:pPr>
      <w:bookmarkStart w:id="24" w:name="_Toc9214"/>
      <w:r>
        <w:rPr>
          <w:rFonts w:hint="eastAsia" w:ascii="宋体" w:hAnsi="宋体" w:eastAsia="宋体" w:cs="宋体"/>
          <w:color w:val="auto"/>
          <w:sz w:val="24"/>
          <w:szCs w:val="24"/>
          <w:highlight w:val="none"/>
        </w:rPr>
        <w:t>五、</w:t>
      </w:r>
      <w:bookmarkEnd w:id="23"/>
      <w:r>
        <w:rPr>
          <w:rFonts w:hint="eastAsia" w:ascii="宋体" w:hAnsi="宋体" w:eastAsia="宋体" w:cs="宋体"/>
          <w:color w:val="auto"/>
          <w:sz w:val="24"/>
          <w:szCs w:val="24"/>
          <w:highlight w:val="none"/>
        </w:rPr>
        <w:t>磋商</w:t>
      </w:r>
      <w:bookmarkEnd w:id="24"/>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（一）组建磋商小组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本项目磋商小组由采购人代表和评审专家共3人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以上单数组成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其中评审专家人数不得少于磋商小组成员总数的2/3。</w:t>
      </w:r>
      <w:r>
        <w:rPr>
          <w:rFonts w:hint="eastAsia" w:ascii="宋体" w:hAnsi="宋体" w:eastAsia="宋体" w:cs="宋体"/>
          <w:color w:val="auto"/>
          <w:sz w:val="24"/>
          <w:szCs w:val="24"/>
          <w:highlight w:val="none"/>
        </w:rPr>
        <w:t>（允许采购人不推荐采购人代表参加，如采购人不推荐采购人代表参加评审时，磋商小组都从评标专家库中抽取）。</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val="en-US" w:eastAsia="zh-CN"/>
        </w:rPr>
        <w:t>磋商响应方未按磋商文件要求派代表参加电子开标会议的，视同认可磋商结果，不得对磋商过程及结果提出质疑。</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（二）磋商的方式</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本项目采用不公开方式磋商，磋商的依据为磋商文件和磋商响应文件。</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（三）磋商程序</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1.形式审查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招标方工作人员协助磋商小组对供应商的商务技术</w:t>
      </w:r>
      <w:r>
        <w:rPr>
          <w:rFonts w:hint="eastAsia" w:ascii="宋体" w:hAnsi="宋体" w:eastAsia="宋体" w:cs="宋体"/>
          <w:color w:val="auto"/>
          <w:sz w:val="24"/>
          <w:highlight w:val="none"/>
          <w:lang w:val="en-US" w:eastAsia="zh-CN"/>
        </w:rPr>
        <w:t>资信</w:t>
      </w:r>
      <w:r>
        <w:rPr>
          <w:rFonts w:hint="eastAsia" w:ascii="宋体" w:hAnsi="宋体" w:eastAsia="宋体" w:cs="宋体"/>
          <w:color w:val="auto"/>
          <w:sz w:val="24"/>
          <w:highlight w:val="none"/>
        </w:rPr>
        <w:t>文件、报价文件的完整性、合法性等进行审查。</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2.实质审查与比较</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（1）磋商小组审查磋商响应文件的实质性内容是否符合磋商文件的实质性要求。</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（2）磋商小组将对供应商的磋商响应文件进行审查、核对,如有疑问,将对供应商进行电子询标,供应商须在规定的时间内向磋商小组澄清有关问题,并在政采云上进行询标答复。</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供应商代表未在规定的时间内进行澄清、拒绝澄清或者澄清的内容改变了磋商响应文件的实质性内容的，磋商小组有权对该磋商响应文件作出不利于供应商的评判。</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（3）各供应商的技术得分为所有评委的有效评分的算术平均数，由指定专人进行计算复核。</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（4）招标方工作人员协助磋商小组审核商务报价有无计算错误，并根据本项目的评分标准计算各供应商的商务报价得分。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（5）磋商小组完成磋商后,招标方工作人员对系统中的得分汇总进行复核,计算出本项目最终得分，磋商小组按磋商原则推荐中标候选人并起草磋商报告。</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（四）澄清问题的形式</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磋商响应文件中含义不明确、同类问题表述不一致或者有明显文字和计算错误的内容，磋商小组可要求供应商作出必要的澄清、说明或者纠正，供应商应在询标规定时间内进行澄清或说明（需盖CA电子签章或实体公章），并不得超出磋商响应文件的范围或者改变磋商响应文件的实质性内容。</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（五）错误修正</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磋商响应文件如果出现计算或表达上的错误，修正错误的原则如下：</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磋商响应文件中开标一览表（报价表）内容与磋商响应文件中相应内容不一致的，以开标一览表（报价表）为准；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5.政采云系统磋商报价与磋商响应文件中开标一览表（报价表）相应内容不一致的，以开标一览表（报价表）为准。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6.对不同文字文本磋商响应文件的解释发生异议的，以中文文本为准。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政府采购货物和服务招标投标管理办法》（第87号令）第五十一条第二款规定：供应商的澄清、说明或者补正应当采用书面形式，并加盖公章，或者由法定代表人或其授权的代表签字。供应商的澄清、说明或者补正不得超出磋商响应文件的范围或者改变磋商响应文件的实质性内容的规定经供应商确认后产生约束力，供应商不确认的，其磋商无效。</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（六）磋商原则和磋商办法</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1.磋商小组必须公平、公正评审，遵纪守法，客观、廉洁地履行职责。</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2.磋商小组在评审开始前，应关闭并上交随身携带的各种通信工具。</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3.磋商小组在评审过程中，未经许可不得中途离开评审现场，不得迟到早退。</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4.磋商小组和工作人员不得透露评审过程中的讨论情况和评审结果。</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评审时，磋商小组须按竞争性磋商文件规定的程序、条件和标准，对供应商投标文件的合规性、完整性和有效性进行审查、比较和评估，其中对供应商的资格条件、主要技术参数、商务报价和其他评审要素等，磋商小组应逐项进行审查、比较，不得漏评少评。如发现与竞争性磋商文件要求相偏离的，应对其偏离情形进行必要的核实，并在工作底稿中予以说明；如属于实质性偏离或符合无效投标文件的，可询问供应商，并允许供应商进行陈述申辩，但不允许其对偏离条款进行补充、修正或撤回。</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6.采购人、招标方不得向评审委员会的磋商小组作倾向性、误导性的解释或者说明。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招标方应当为磋商小组提供必要的评审条件和相应的评审工作底稿，并严格按规定程序组织磋商小组有步骤地进行项目评审，对各磋商小组的评审情况和评审意见进行合理性和合规性审查，对明显畸高、畸低的重大差异评审情况（其总评分偏离平均分30%以上），提醒相关磋商小组进行复核或书面说明理由。</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8.磋商小组在评审过程中不得将自己的观点强加给其他磋商小组，磋商小组应自主发表见解，对评审意见承担个人责任。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评审结束后，评审委员会应向招标方提交项目评审报告。评审报告是采购人确定中标人的合法依据，评审委员会应当如实、客观地反映评审情况，按竞争性磋商文件的评审办法和细则的规定推荐中标候选人，说明推荐理由，并重点对中标候选人的技术、服务和价格等情况进行评价和比较。如排名第一的供应商报价为最高报价的，评审报告中须对其报价的合理性等进行分析和特别说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10.磋商小组应当独立、客观、公正地提出评审意见，不得带有倾向性，不得影响其他磋商小组评审，并在评审报告上签字；如对评审报告有异议的，可在报告上签署不同意见，并说明理由，否则将视为同意。</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11.磋商小组应当遵守评审工作纪律，不得泄露评审文件、评审情况和评审中获悉的商业秘密。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评审委员会在评审过程中发现供应商有行贿、提供虚假材料或者串通等违法行为的，应当及时向财政部门报告。</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12.竞争性磋商文件内容违反国家有关强制性规定的，评审委员会应当停止评审并向招标方说明情况。</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13.磋商小组应当配合招标方答复供应商提出的质疑。</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14.磋商小组应当配合财政部门的投诉处理工作。</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15.磋商小组有如下行为之一的，责令改正，给予警告，可以并处一千元以下的罚款：</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①明知应当回避而未主动回避的；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②在得知自己为磋商小组身份后至评审结束前时段内私下接触供应商的；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③在评审过程中擅离职守，影响评审程序正常进行的；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④在评审过程有明显不合理或者不正当倾向性的；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⑤未按竞争性磋商文件规定的评审方法和标准进行评审的。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⑥上述①至⑤行为影响中标结果的，中标结果无效。</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政府采购磋商小组未按照竞争性磋商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政府采购磋商小组与供应商存在利害关系未回避的，处2万元以上5万元以下的罚款，禁止其参加政府采购评审活动。</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政府采购磋商小组收受采购人、招标方、供应商贿赂或者获取其他不正当利益，构成犯罪的，依法追究刑事责任；尚不构成犯罪的，处2万元以上5万元以下的罚款，禁止其参加政府采购评审活动。</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政府采购磋商小组有上述违法行为的，其评审意见无效，不得获取评审费；有违法所得的，没收违法所得；给他人造成损失的，依法承担民事责任。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17.磋商办法。本项目磋商办法是：综合评分法（其中报价分为两轮），具体磋商内容及评分标准等详见《第四章：磋商办法及评分标准》。</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w:t>
      </w:r>
      <w:r>
        <w:rPr>
          <w:rFonts w:hint="eastAsia" w:ascii="宋体" w:hAnsi="宋体" w:eastAsia="宋体" w:cs="宋体"/>
          <w:b/>
          <w:bCs/>
          <w:color w:val="auto"/>
          <w:sz w:val="24"/>
          <w:highlight w:val="none"/>
        </w:rPr>
        <w:t>磋商</w:t>
      </w:r>
      <w:r>
        <w:rPr>
          <w:rFonts w:hint="eastAsia" w:ascii="宋体" w:hAnsi="宋体" w:eastAsia="宋体" w:cs="宋体"/>
          <w:b/>
          <w:color w:val="auto"/>
          <w:sz w:val="24"/>
          <w:highlight w:val="none"/>
        </w:rPr>
        <w:t>过程的监控</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本项目磋商过程实行全程录音、录像监控，供应商在磋商过程中所进行的试图影响磋商结果的不公正活动，可能导致其磋商被拒绝。</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（八）其他</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采购过程中出现以下情形，导致电子交易平台无法正常运行，或者无法保证电子交易的公平、公正和安全时，采购组织机构可中止电子交易活动：</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1、电子交易平台发生故障而无法登录访问的；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4、病毒发作导致不能进行正常操作的；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5、其他无法保证电子交易的公平、公正和安全的情况。</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出现前款规定情形，不影响采购公平、公正性的，采购组织机构可以待上述情形消除后继续组织电子交易活动；影响或可能影响采购公平、公正性的，应当重新采购。</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6、投标截止时间后及评审过程中，有效供应商不足2家的项目，则予以废标。</w:t>
      </w:r>
    </w:p>
    <w:p>
      <w:pPr>
        <w:pStyle w:val="4"/>
        <w:keepNext w:val="0"/>
        <w:keepLines w:val="0"/>
        <w:pageBreakBefore/>
        <w:spacing w:line="240" w:lineRule="auto"/>
        <w:jc w:val="center"/>
        <w:rPr>
          <w:rFonts w:ascii="宋体" w:hAnsi="宋体" w:eastAsia="宋体" w:cs="宋体"/>
          <w:color w:val="auto"/>
          <w:sz w:val="24"/>
          <w:szCs w:val="24"/>
          <w:highlight w:val="none"/>
        </w:rPr>
      </w:pPr>
      <w:bookmarkStart w:id="25" w:name="_Toc9495"/>
      <w:bookmarkStart w:id="26" w:name="_Toc458697272"/>
      <w:r>
        <w:rPr>
          <w:rFonts w:hint="eastAsia" w:ascii="宋体" w:hAnsi="宋体" w:eastAsia="宋体" w:cs="宋体"/>
          <w:color w:val="auto"/>
          <w:sz w:val="24"/>
          <w:szCs w:val="24"/>
          <w:highlight w:val="none"/>
        </w:rPr>
        <w:t>六、定标</w:t>
      </w:r>
      <w:bookmarkEnd w:id="25"/>
      <w:bookmarkEnd w:id="26"/>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（一）确定中标人 。</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rPr>
        <w:t>本项目由采购人授权磋商小组确定中标人。</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1.招标方在磋商结束后2个工作日内将磋商报告交采购人确认。</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2.采购人应在收到磋商报告后5个工作日内对磋商结果进行确认。如有供应商对磋商结果提出质疑的，采购人可在质疑处理完毕后确定中标人。</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3.采购人依法确定中标人后2个工作日内，招标方以书面形式发出《中标通知书》,并同时在相关网站上发布中标公告。</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 确定中标人后，中标人应在三个工作日内，向招标方领取《中标通知书》，否则按放弃中标资格处理，并因违反诚信原则，提交财政部门列入政府采购黑名单。</w:t>
      </w:r>
    </w:p>
    <w:p>
      <w:pPr>
        <w:pStyle w:val="4"/>
        <w:keepNext w:val="0"/>
        <w:keepLines w:val="0"/>
        <w:pageBreakBefore/>
        <w:spacing w:line="240" w:lineRule="auto"/>
        <w:jc w:val="center"/>
        <w:rPr>
          <w:rFonts w:ascii="宋体" w:hAnsi="宋体" w:eastAsia="宋体" w:cs="宋体"/>
          <w:color w:val="auto"/>
          <w:sz w:val="24"/>
          <w:szCs w:val="24"/>
          <w:highlight w:val="none"/>
        </w:rPr>
      </w:pPr>
      <w:bookmarkStart w:id="27" w:name="_Toc22771"/>
      <w:bookmarkStart w:id="28" w:name="_Toc458697273"/>
      <w:r>
        <w:rPr>
          <w:rFonts w:hint="eastAsia" w:ascii="宋体" w:hAnsi="宋体" w:eastAsia="宋体" w:cs="宋体"/>
          <w:color w:val="auto"/>
          <w:sz w:val="24"/>
          <w:szCs w:val="24"/>
          <w:highlight w:val="none"/>
        </w:rPr>
        <w:t>七、合同授予</w:t>
      </w:r>
      <w:bookmarkEnd w:id="27"/>
      <w:bookmarkEnd w:id="28"/>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（一）签订合同</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1.除不可抗力等特殊情况外，采购人原则上应当在中标通知书发出之日起20日内，与成交人按照采购文件确定的事项签订政府采购合同，并在签订之日起2个工作日内将政府采购合同在浙江政府采购网上公告。</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2.成交人按规定的日期、时间、地点，由法定代表人或其授权代表与采购人代表签订合同。如成交人为联合体的，由联合体成员各方法定代表人或其授权代表与采购人代表签订合同。</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3.如签订合同并生效后，供应商无故拒绝或延期，除按照合同条款处理外，列入不良行为记录一次，并给予通报。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4.成交人拒绝与采购人签订合同的，采购人可以按照评审报告推荐的中标或者成交候选人名单排序，确定下一候选人为成交人，也可以重新开展政府采购活动。</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5.采购人与成交人根据采购文件、磋商响应文件等内容签订政府采购合同，合同签订后送东阳市财政局采监科备案。</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6.政府采购货物和服务项目不得收取质量保证金。政府采购工程以及与工程建设有关的货物、服务，采用招标方式采购的，按国家和省有关规定执行。</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（二）履约保证金</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中标人在收到中标通知书后，需向采购人提供</w:t>
      </w:r>
      <w:r>
        <w:rPr>
          <w:rFonts w:hint="eastAsia" w:ascii="宋体" w:hAnsi="宋体" w:cs="宋体"/>
          <w:color w:val="auto"/>
          <w:sz w:val="24"/>
          <w:szCs w:val="24"/>
          <w:highlight w:val="none"/>
          <w:lang w:val="en-US" w:eastAsia="zh-CN"/>
        </w:rPr>
        <w:t>合同金额的1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的履约保证金，在中标人与采购人签订合同前递交，磋商响应方需以支票、汇票、本票或者金融机构、保险公司、担保机构出具的保函/保险（可在政采云平台购买，咨询热线4009039583）等非现金形式提交（保函期限应大于履约期限2个月）</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color w:val="auto"/>
          <w:sz w:val="24"/>
          <w:szCs w:val="24"/>
          <w:highlight w:val="none"/>
          <w:lang w:eastAsia="zh-CN"/>
        </w:rPr>
      </w:pPr>
      <w:r>
        <w:rPr>
          <w:rFonts w:hint="eastAsia" w:ascii="宋体" w:hAnsi="宋体" w:cs="宋体"/>
          <w:color w:val="auto"/>
          <w:sz w:val="24"/>
          <w:szCs w:val="24"/>
          <w:highlight w:val="none"/>
          <w:lang w:val="en-US" w:eastAsia="zh-CN"/>
        </w:rPr>
        <w:t>中标人也</w:t>
      </w:r>
      <w:r>
        <w:rPr>
          <w:rFonts w:hint="eastAsia" w:ascii="宋体" w:hAnsi="宋体" w:cs="宋体"/>
          <w:color w:val="auto"/>
          <w:sz w:val="24"/>
          <w:szCs w:val="24"/>
          <w:highlight w:val="none"/>
        </w:rPr>
        <w:t>可登录政采云平台-【金融服务】—【我的项目】—【已备案合同】以保函形式提供：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在合同列表选择需要投保的合同，点击[保函推荐]。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在弹框里查看推荐的保函产品，</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自行选择保函产品，点击[立即申请]。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在弹框里填写保函申请信息。具体步骤：选择产品—填写供应商信息—选择中标项目—确认信息—等待保险/保函受理—确认保单—支付保费—成功出单。政采云金融专线400-903-9583。</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t>2.签订合同后，如中标人不按双方合同约定履约，则没收其全部履约保证金，履约保证金不足以赔偿损失的，按实际损失赔偿。</w:t>
      </w:r>
    </w:p>
    <w:p>
      <w:pPr>
        <w:pStyle w:val="23"/>
        <w:pageBreakBefore/>
        <w:snapToGrid w:val="0"/>
        <w:spacing w:before="120" w:after="120" w:line="360" w:lineRule="auto"/>
        <w:jc w:val="center"/>
        <w:outlineLvl w:val="0"/>
        <w:rPr>
          <w:rFonts w:ascii="宋体" w:hAnsi="宋体" w:cs="宋体"/>
          <w:b/>
          <w:color w:val="auto"/>
          <w:sz w:val="28"/>
          <w:szCs w:val="28"/>
          <w:highlight w:val="none"/>
        </w:rPr>
      </w:pPr>
      <w:bookmarkStart w:id="29" w:name="_Toc4252"/>
      <w:r>
        <w:rPr>
          <w:rFonts w:hint="eastAsia" w:ascii="宋体" w:hAnsi="宋体" w:cs="宋体"/>
          <w:b/>
          <w:color w:val="auto"/>
          <w:sz w:val="28"/>
          <w:szCs w:val="28"/>
          <w:highlight w:val="none"/>
        </w:rPr>
        <w:t>第四章  磋商办法及评分标准</w:t>
      </w:r>
      <w:bookmarkEnd w:id="29"/>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为公正、公平、科学地选择中标人，根据《中华人民共和国政府采购法》等有关法律法规的规定，并结合本项目的实际，制定本办法。</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本办法适用于</w:t>
      </w:r>
      <w:r>
        <w:rPr>
          <w:rFonts w:hint="eastAsia" w:ascii="宋体" w:hAnsi="宋体" w:cs="宋体"/>
          <w:color w:val="auto"/>
          <w:sz w:val="24"/>
          <w:highlight w:val="none"/>
          <w:lang w:eastAsia="zh-CN"/>
        </w:rPr>
        <w:t>六石安置区二期水系联通工程</w:t>
      </w:r>
      <w:r>
        <w:rPr>
          <w:rFonts w:hint="eastAsia" w:ascii="宋体" w:hAnsi="宋体" w:cs="宋体"/>
          <w:color w:val="auto"/>
          <w:sz w:val="24"/>
          <w:highlight w:val="none"/>
        </w:rPr>
        <w:t>的磋商。</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096" w:firstLineChars="1700"/>
        <w:textAlignment w:val="auto"/>
        <w:rPr>
          <w:rFonts w:ascii="宋体" w:hAnsi="宋体" w:cs="宋体"/>
          <w:b/>
          <w:color w:val="auto"/>
          <w:sz w:val="24"/>
          <w:highlight w:val="none"/>
        </w:rPr>
      </w:pPr>
      <w:bookmarkStart w:id="30" w:name="_Toc12525"/>
      <w:bookmarkStart w:id="31" w:name="_Toc31315"/>
      <w:bookmarkStart w:id="32" w:name="_Toc26574"/>
      <w:bookmarkStart w:id="33" w:name="_Toc452728219"/>
      <w:r>
        <w:rPr>
          <w:rFonts w:hint="eastAsia" w:ascii="宋体" w:hAnsi="宋体" w:cs="宋体"/>
          <w:b/>
          <w:color w:val="auto"/>
          <w:sz w:val="24"/>
          <w:highlight w:val="none"/>
        </w:rPr>
        <w:t>一、总则</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次磋商采用综合评分法，总分为100分，其中价格分30分，技术、商务、资信及其他分70分；合格供应商的磋商得分为各项目汇总得分，中标候选资格按磋商综合得分由高到低顺序排列，得分相同的，按最终轮磋商报价由低到高顺序排列；得分且最终轮磋商报价相同的，按技术得分由高到低顺序排列。</w:t>
      </w:r>
      <w:r>
        <w:rPr>
          <w:rFonts w:hint="eastAsia" w:ascii="宋体" w:hAnsi="宋体"/>
          <w:color w:val="auto"/>
          <w:sz w:val="24"/>
          <w:szCs w:val="24"/>
          <w:highlight w:val="none"/>
        </w:rPr>
        <w:t>排名第一的供应商为中标候选人,排名第二的供应商为候补中标候选人</w:t>
      </w:r>
      <w:r>
        <w:rPr>
          <w:rFonts w:hint="eastAsia" w:ascii="宋体" w:hAnsi="宋体"/>
          <w:color w:val="auto"/>
          <w:sz w:val="24"/>
          <w:szCs w:val="24"/>
          <w:highlight w:val="none"/>
          <w:lang w:eastAsia="zh-CN"/>
        </w:rPr>
        <w:t>（</w:t>
      </w:r>
      <w:r>
        <w:rPr>
          <w:rFonts w:hint="eastAsia" w:ascii="宋体" w:hAnsi="宋体" w:cs="宋体"/>
          <w:color w:val="auto"/>
          <w:sz w:val="24"/>
          <w:highlight w:val="none"/>
        </w:rPr>
        <w:t>有效磋商响应方为 3家时推荐2名中标候选人，有效</w:t>
      </w:r>
      <w:r>
        <w:rPr>
          <w:rFonts w:hint="eastAsia" w:ascii="宋体" w:hAnsi="宋体" w:cs="宋体"/>
          <w:color w:val="auto"/>
          <w:sz w:val="24"/>
          <w:highlight w:val="none"/>
          <w:lang w:val="en-US" w:eastAsia="zh-CN"/>
        </w:rPr>
        <w:t>磋商响应方</w:t>
      </w:r>
      <w:r>
        <w:rPr>
          <w:rFonts w:hint="eastAsia" w:ascii="宋体" w:hAnsi="宋体" w:cs="宋体"/>
          <w:color w:val="auto"/>
          <w:sz w:val="24"/>
          <w:highlight w:val="none"/>
        </w:rPr>
        <w:t>大于 3 家时，推荐 3名中标候选人</w:t>
      </w:r>
      <w:r>
        <w:rPr>
          <w:rFonts w:hint="eastAsia" w:ascii="宋体" w:hAnsi="宋体"/>
          <w:color w:val="auto"/>
          <w:sz w:val="24"/>
          <w:szCs w:val="24"/>
          <w:highlight w:val="none"/>
          <w:lang w:eastAsia="zh-CN"/>
        </w:rPr>
        <w:t>）</w:t>
      </w:r>
      <w:r>
        <w:rPr>
          <w:rFonts w:hint="eastAsia" w:ascii="宋体" w:hAnsi="宋体" w:cs="宋体"/>
          <w:color w:val="auto"/>
          <w:sz w:val="24"/>
          <w:highlight w:val="none"/>
        </w:rPr>
        <w:t>……其他供应商中标候选资格</w:t>
      </w:r>
      <w:r>
        <w:rPr>
          <w:rFonts w:hint="eastAsia" w:ascii="宋体" w:hAnsi="宋体" w:cs="宋体"/>
          <w:color w:val="auto"/>
          <w:sz w:val="24"/>
          <w:highlight w:val="none"/>
          <w:lang w:eastAsia="zh-CN"/>
        </w:rPr>
        <w:t>以此类推</w:t>
      </w:r>
      <w:r>
        <w:rPr>
          <w:rFonts w:hint="eastAsia" w:ascii="宋体" w:hAnsi="宋体" w:cs="宋体"/>
          <w:color w:val="auto"/>
          <w:sz w:val="24"/>
          <w:highlight w:val="none"/>
        </w:rPr>
        <w:t>。评分过程中采用四舍五入法，并保留小数2位。</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供应商磋商综合得分=价格分+(技术分+商务分+资信及其他分)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left="0" w:leftChars="0" w:firstLine="3373" w:firstLineChars="1400"/>
        <w:textAlignment w:val="auto"/>
        <w:rPr>
          <w:rFonts w:ascii="宋体" w:hAnsi="宋体" w:cs="宋体"/>
          <w:b/>
          <w:color w:val="auto"/>
          <w:sz w:val="24"/>
          <w:highlight w:val="none"/>
        </w:rPr>
      </w:pPr>
      <w:bookmarkStart w:id="34" w:name="_Toc6122"/>
      <w:bookmarkStart w:id="35" w:name="_Toc452728220"/>
      <w:bookmarkStart w:id="36" w:name="_Toc16785"/>
      <w:bookmarkStart w:id="37" w:name="_Toc12387"/>
      <w:r>
        <w:rPr>
          <w:rFonts w:hint="default" w:ascii="宋体" w:hAnsi="宋体" w:eastAsia="宋体" w:cs="宋体"/>
          <w:b/>
          <w:color w:val="auto"/>
          <w:kern w:val="2"/>
          <w:sz w:val="24"/>
          <w:szCs w:val="24"/>
          <w:lang w:val="en-US" w:eastAsia="zh-CN" w:bidi="ar-SA"/>
        </w:rPr>
        <w:t>二、</w:t>
      </w:r>
      <w:r>
        <w:rPr>
          <w:rFonts w:hint="eastAsia" w:ascii="宋体" w:hAnsi="宋体" w:cs="宋体"/>
          <w:b/>
          <w:color w:val="auto"/>
          <w:sz w:val="24"/>
          <w:highlight w:val="none"/>
        </w:rPr>
        <w:t>磋商内容及标准</w:t>
      </w:r>
      <w:bookmarkEnd w:id="34"/>
      <w:bookmarkEnd w:id="35"/>
      <w:bookmarkEnd w:id="36"/>
      <w:bookmarkEnd w:id="37"/>
      <w:bookmarkStart w:id="38" w:name="_Toc502652282"/>
      <w:bookmarkStart w:id="39" w:name="_Hlt452359758"/>
      <w:bookmarkStart w:id="40" w:name="_Hlt452359757"/>
    </w:p>
    <w:p>
      <w:pPr>
        <w:pStyle w:val="23"/>
        <w:keepNext w:val="0"/>
        <w:keepLines w:val="0"/>
        <w:pageBreakBefore w:val="0"/>
        <w:widowControl w:val="0"/>
        <w:kinsoku/>
        <w:wordWrap/>
        <w:overflowPunct/>
        <w:topLinePunct w:val="0"/>
        <w:autoSpaceDE/>
        <w:autoSpaceDN/>
        <w:bidi w:val="0"/>
        <w:adjustRightInd/>
        <w:snapToGrid/>
        <w:spacing w:line="440" w:lineRule="atLeast"/>
        <w:ind w:left="0" w:leftChars="0" w:firstLine="482" w:firstLineChars="200"/>
        <w:textAlignment w:val="auto"/>
        <w:rPr>
          <w:rFonts w:ascii="宋体" w:hAnsi="宋体"/>
          <w:b/>
          <w:bCs/>
          <w:color w:val="auto"/>
          <w:szCs w:val="24"/>
          <w:highlight w:val="none"/>
        </w:rPr>
      </w:pPr>
      <w:r>
        <w:rPr>
          <w:rFonts w:hint="eastAsia" w:ascii="宋体" w:hAnsi="宋体"/>
          <w:b/>
          <w:bCs/>
          <w:color w:val="auto"/>
          <w:szCs w:val="24"/>
          <w:highlight w:val="none"/>
        </w:rPr>
        <w:t>（一）技术、商务、资信及其他分（70分）</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技术、商务资信及其他分响应标书要求的磋商单位全部进入商务报价评审。</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技术、商务、资信及其他分按照磋商小组成员的独立评分结果的算术平均分计算，计算公式为：</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hint="default" w:ascii="宋体" w:hAnsi="宋体"/>
          <w:color w:val="auto"/>
          <w:sz w:val="24"/>
          <w:highlight w:val="none"/>
          <w:lang w:val="en-US"/>
        </w:rPr>
      </w:pPr>
      <w:r>
        <w:rPr>
          <w:rFonts w:hint="eastAsia" w:ascii="宋体" w:hAnsi="宋体"/>
          <w:color w:val="auto"/>
          <w:sz w:val="24"/>
          <w:highlight w:val="none"/>
        </w:rPr>
        <w:t>技术商务资信及其他分=磋商小组所有成员有效评分合计数/</w:t>
      </w:r>
      <w:r>
        <w:rPr>
          <w:rFonts w:hint="eastAsia" w:ascii="宋体" w:hAnsi="宋体"/>
          <w:color w:val="auto"/>
          <w:sz w:val="24"/>
          <w:highlight w:val="none"/>
          <w:lang w:val="en-US" w:eastAsia="zh-CN"/>
        </w:rPr>
        <w:t>磋商小组人数</w:t>
      </w:r>
    </w:p>
    <w:p>
      <w:pPr>
        <w:pStyle w:val="11"/>
        <w:keepNext w:val="0"/>
        <w:keepLines w:val="0"/>
        <w:pageBreakBefore w:val="0"/>
        <w:widowControl w:val="0"/>
        <w:kinsoku/>
        <w:wordWrap/>
        <w:overflowPunct/>
        <w:topLinePunct w:val="0"/>
        <w:autoSpaceDE/>
        <w:autoSpaceDN/>
        <w:bidi w:val="0"/>
        <w:adjustRightInd/>
        <w:snapToGrid/>
        <w:spacing w:after="0" w:line="440" w:lineRule="atLeast"/>
        <w:ind w:left="0" w:leftChars="0" w:firstLine="482" w:firstLineChars="200"/>
        <w:textAlignment w:val="auto"/>
        <w:rPr>
          <w:rFonts w:ascii="宋体" w:hAnsi="宋体"/>
          <w:b/>
          <w:bCs/>
          <w:color w:val="auto"/>
          <w:sz w:val="24"/>
          <w:highlight w:val="none"/>
        </w:rPr>
      </w:pPr>
      <w:r>
        <w:rPr>
          <w:rFonts w:hint="eastAsia" w:ascii="宋体" w:hAnsi="宋体"/>
          <w:b/>
          <w:color w:val="auto"/>
          <w:sz w:val="24"/>
          <w:highlight w:val="none"/>
        </w:rPr>
        <w:t>（二）</w:t>
      </w:r>
      <w:r>
        <w:rPr>
          <w:rFonts w:hint="eastAsia" w:ascii="宋体" w:hAnsi="宋体"/>
          <w:b/>
          <w:bCs/>
          <w:color w:val="auto"/>
          <w:sz w:val="24"/>
          <w:highlight w:val="none"/>
        </w:rPr>
        <w:t xml:space="preserve">价格分（30分） </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价格分采用低价优先法计算，取所有技术、资信商务得分入围磋商响应方中，最终轮磋商报价以最低的磋商报价为基准价，其他磋商响应方的价格分按照下列公式计算：</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0" w:firstLineChars="200"/>
        <w:textAlignment w:val="auto"/>
        <w:rPr>
          <w:rFonts w:hint="eastAsia" w:ascii="宋体" w:hAnsi="宋体" w:eastAsia="宋体"/>
          <w:b/>
          <w:color w:val="auto"/>
          <w:sz w:val="24"/>
          <w:highlight w:val="none"/>
          <w:lang w:val="en-US" w:eastAsia="zh-CN"/>
        </w:rPr>
      </w:pPr>
      <w:r>
        <w:rPr>
          <w:rFonts w:hint="eastAsia" w:ascii="宋体" w:hAnsi="宋体" w:cs="宋体"/>
          <w:color w:val="auto"/>
          <w:sz w:val="24"/>
          <w:highlight w:val="none"/>
        </w:rPr>
        <w:t>价格分=评标基准价/最终轮磋商报价×30</w:t>
      </w:r>
    </w:p>
    <w:p>
      <w:pPr>
        <w:pStyle w:val="11"/>
        <w:keepNext w:val="0"/>
        <w:keepLines w:val="0"/>
        <w:pageBreakBefore w:val="0"/>
        <w:widowControl w:val="0"/>
        <w:kinsoku/>
        <w:wordWrap/>
        <w:overflowPunct/>
        <w:topLinePunct w:val="0"/>
        <w:autoSpaceDE/>
        <w:autoSpaceDN/>
        <w:bidi w:val="0"/>
        <w:adjustRightInd/>
        <w:snapToGrid/>
        <w:spacing w:after="0" w:line="440" w:lineRule="atLeast"/>
        <w:ind w:left="0" w:leftChars="0"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三</w:t>
      </w:r>
      <w:r>
        <w:rPr>
          <w:rFonts w:hint="eastAsia" w:ascii="宋体" w:hAnsi="宋体"/>
          <w:b/>
          <w:color w:val="auto"/>
          <w:sz w:val="24"/>
          <w:highlight w:val="none"/>
          <w:lang w:eastAsia="zh-CN"/>
        </w:rPr>
        <w:t>）</w:t>
      </w:r>
      <w:r>
        <w:rPr>
          <w:rFonts w:hint="eastAsia" w:ascii="宋体" w:hAnsi="宋体"/>
          <w:b/>
          <w:color w:val="auto"/>
          <w:sz w:val="24"/>
          <w:highlight w:val="none"/>
        </w:rPr>
        <w:t>技术分、商务分、资信及其他分评分标准，共70分</w:t>
      </w:r>
    </w:p>
    <w:tbl>
      <w:tblPr>
        <w:tblStyle w:val="39"/>
        <w:tblW w:w="101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475"/>
        <w:gridCol w:w="1425"/>
        <w:gridCol w:w="6710"/>
        <w:gridCol w:w="8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9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评审内容</w:t>
            </w:r>
          </w:p>
        </w:tc>
        <w:tc>
          <w:tcPr>
            <w:tcW w:w="6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评分标准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861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技术分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58分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475" w:type="dxa"/>
            <w:vMerge w:val="restart"/>
            <w:tcBorders>
              <w:top w:val="nil"/>
              <w:left w:val="single" w:color="auto" w:sz="4" w:space="0"/>
              <w:right w:val="single" w:color="auto" w:sz="4" w:space="0"/>
            </w:tcBorders>
            <w:vAlign w:val="center"/>
          </w:tcPr>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技术服务水平</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项目理解</w:t>
            </w:r>
          </w:p>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情况</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对项目实施思路（0-1分）、技术要求（0-1分）、项目特点（0-1分）的理解情况，根据其科学性、合理性进行打分。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施工方案</w:t>
            </w:r>
          </w:p>
        </w:tc>
        <w:tc>
          <w:tcPr>
            <w:tcW w:w="67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施工方案内容齐全、结构完整、表述准确、条理清晰程度，与需求的吻合程度（0-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分），是否涵盖本次工程实施有关的内容（0-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分），包括方案的先进性、可行性和扩展性，进行打分。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材料</w:t>
            </w:r>
          </w:p>
        </w:tc>
        <w:tc>
          <w:tcPr>
            <w:tcW w:w="6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根据供应商所选用材料的品质</w:t>
            </w:r>
            <w:r>
              <w:rPr>
                <w:rFonts w:hint="eastAsia" w:ascii="宋体" w:hAnsi="宋体" w:cs="宋体"/>
                <w:i w:val="0"/>
                <w:iCs w:val="0"/>
                <w:color w:val="auto"/>
                <w:sz w:val="24"/>
                <w:highlight w:val="none"/>
              </w:rPr>
              <w:t>（0-</w:t>
            </w: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分）</w:t>
            </w:r>
            <w:r>
              <w:rPr>
                <w:rFonts w:hint="eastAsia" w:ascii="宋体" w:hAnsi="宋体" w:eastAsia="宋体" w:cs="宋体"/>
                <w:color w:val="auto"/>
                <w:sz w:val="24"/>
                <w:highlight w:val="none"/>
              </w:rPr>
              <w:t>、性能</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eastAsia="宋体" w:cs="宋体"/>
                <w:color w:val="auto"/>
                <w:sz w:val="24"/>
                <w:highlight w:val="none"/>
              </w:rPr>
              <w:t>、实用性</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eastAsia="宋体" w:cs="宋体"/>
                <w:color w:val="auto"/>
                <w:sz w:val="24"/>
                <w:highlight w:val="none"/>
                <w:lang w:val="en-US" w:eastAsia="zh-CN"/>
              </w:rPr>
              <w:t>进行打分。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施工技术</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针对本项目施工环境需要采取的专门的施工技术内容是否科学合理且针对性强等进行打分。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施工进度</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根据项目工期要求，施工进度安排合理、准确（0-1分），关键节点的控制措施（0-1分）进行打分。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475"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cs="宋体" w:eastAsiaTheme="minorEastAsia"/>
                <w:color w:val="auto"/>
                <w:sz w:val="24"/>
                <w:highlight w:val="none"/>
                <w:lang w:val="en-US" w:eastAsia="zh-CN"/>
              </w:rPr>
            </w:pPr>
            <w:r>
              <w:rPr>
                <w:rFonts w:hint="eastAsia" w:asciiTheme="minorEastAsia" w:hAnsiTheme="minorEastAsia" w:eastAsiaTheme="minorEastAsia" w:cstheme="minorEastAsia"/>
                <w:color w:val="auto"/>
                <w:kern w:val="0"/>
                <w:sz w:val="24"/>
                <w:highlight w:val="none"/>
              </w:rPr>
              <w:t>安全生产</w:t>
            </w:r>
            <w:r>
              <w:rPr>
                <w:rFonts w:hint="eastAsia" w:asciiTheme="minorEastAsia" w:hAnsiTheme="minorEastAsia" w:eastAsiaTheme="minorEastAsia" w:cstheme="minorEastAsia"/>
                <w:color w:val="auto"/>
                <w:kern w:val="0"/>
                <w:sz w:val="24"/>
                <w:highlight w:val="none"/>
                <w:lang w:val="en-US" w:eastAsia="zh-CN"/>
              </w:rPr>
              <w:t>及承诺</w:t>
            </w:r>
          </w:p>
        </w:tc>
        <w:tc>
          <w:tcPr>
            <w:tcW w:w="6710"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240" w:lineRule="auto"/>
              <w:textAlignment w:val="center"/>
              <w:rPr>
                <w:rFonts w:hint="eastAsia" w:ascii="宋体" w:hAnsi="宋体" w:cs="宋体" w:eastAsia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根据</w:t>
            </w:r>
            <w:r>
              <w:rPr>
                <w:rFonts w:hint="eastAsia" w:ascii="宋体" w:hAnsi="宋体" w:cs="宋体"/>
                <w:color w:val="auto"/>
                <w:sz w:val="24"/>
                <w:highlight w:val="none"/>
              </w:rPr>
              <w:t>磋商响应方</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val="en-US" w:eastAsia="zh-CN"/>
              </w:rPr>
              <w:t>安全生产</w:t>
            </w:r>
            <w:r>
              <w:rPr>
                <w:rFonts w:hint="eastAsia" w:asciiTheme="minorEastAsia" w:hAnsiTheme="minorEastAsia" w:eastAsiaTheme="minorEastAsia" w:cstheme="minorEastAsia"/>
                <w:color w:val="auto"/>
                <w:sz w:val="24"/>
                <w:highlight w:val="none"/>
              </w:rPr>
              <w:t>应急预案措施全面性、合理性及可行性等内容进行打分。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color w:val="auto"/>
                <w:highlight w:val="none"/>
                <w:lang w:val="en-US" w:eastAsia="zh-CN"/>
              </w:rPr>
            </w:pPr>
            <w:r>
              <w:rPr>
                <w:rFonts w:hint="eastAsia"/>
                <w:color w:val="auto"/>
                <w:highlight w:val="none"/>
                <w:lang w:val="en-US" w:eastAsia="zh-CN"/>
              </w:rPr>
              <w:t>7</w:t>
            </w:r>
          </w:p>
        </w:tc>
        <w:tc>
          <w:tcPr>
            <w:tcW w:w="4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color w:val="auto"/>
                <w:highlight w:val="none"/>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color w:val="auto"/>
                <w:highlight w:val="none"/>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240" w:lineRule="auto"/>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磋商响应方承诺对拟投入本项目现场的相关人员投保相关人身意外伤害等险种的得1分。</w:t>
            </w:r>
          </w:p>
          <w:p>
            <w:pPr>
              <w:widowControl/>
              <w:numPr>
                <w:ilvl w:val="0"/>
                <w:numId w:val="0"/>
              </w:numPr>
              <w:spacing w:line="240" w:lineRule="auto"/>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注：需提供承诺书（格式自拟），未提供不得分。</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475" w:type="dxa"/>
            <w:vMerge w:val="continue"/>
            <w:tcBorders>
              <w:top w:val="single" w:color="auto" w:sz="4" w:space="0"/>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质量保障</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施工质量目标明确（0-2分），质量控制措施（0-2分）科学、合理、有技术支撑进行打分。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安全、文明施工等的保证措施</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根据安全、文明施工（0-1分）及市政、市容、环保、消防的保证措施（0-1分），并具有详细可行的实施内容，进行打分。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vMerge w:val="continue"/>
            <w:tcBorders>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根据施工场地周边情况对扬尘治理、垃圾清运（0-1分）</w:t>
            </w:r>
            <w:r>
              <w:rPr>
                <w:rFonts w:hint="eastAsia" w:ascii="宋体" w:hAnsi="宋体" w:cs="宋体"/>
                <w:color w:val="auto"/>
                <w:sz w:val="24"/>
                <w:highlight w:val="none"/>
                <w:lang w:eastAsia="zh-CN"/>
              </w:rPr>
              <w:t>；</w:t>
            </w:r>
            <w:r>
              <w:rPr>
                <w:rFonts w:hint="eastAsia" w:ascii="宋体" w:hAnsi="宋体" w:cs="宋体"/>
                <w:color w:val="auto"/>
                <w:sz w:val="24"/>
                <w:highlight w:val="none"/>
              </w:rPr>
              <w:t>人员管理、降噪（0-1分）等措施进行打分。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施工机具</w:t>
            </w:r>
          </w:p>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设备</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施工机具设备的投入能够优于工程实施的需要，且与项目相适应，根据其针对性（0-1分）、合理性（0-1分）进行打分。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材料设备进场计划</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 xml:space="preserve">材料设备进场计划及施工计划情况：是否具有详细的材料设备进场计划、时间安排合理（0-1分）、材料数量清点情况（0-1分）、材料质量控制情况（0-1分）进行打分。 </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人员情况</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根据项目负责人的专业素质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、资历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、工作经验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等方面，进行打分。</w:t>
            </w:r>
          </w:p>
          <w:p>
            <w:pPr>
              <w:spacing w:line="240" w:lineRule="auto"/>
              <w:rPr>
                <w:rFonts w:ascii="宋体" w:hAnsi="宋体" w:cs="宋体"/>
                <w:color w:val="auto"/>
                <w:sz w:val="24"/>
                <w:highlight w:val="none"/>
              </w:rPr>
            </w:pPr>
            <w:r>
              <w:rPr>
                <w:rFonts w:hint="eastAsia" w:ascii="宋体" w:hAnsi="宋体" w:cs="宋体"/>
                <w:color w:val="auto"/>
                <w:sz w:val="24"/>
                <w:highlight w:val="none"/>
              </w:rPr>
              <w:t>注：须提供相关证明材料，并且项目负责人必须是供应商本单位在职员工，还须提供</w:t>
            </w:r>
            <w:r>
              <w:rPr>
                <w:rFonts w:hint="eastAsia" w:ascii="宋体" w:hAnsi="宋体" w:cs="宋体"/>
                <w:color w:val="auto"/>
                <w:sz w:val="24"/>
                <w:highlight w:val="none"/>
                <w:lang w:val="en-US" w:eastAsia="zh-CN"/>
              </w:rPr>
              <w:t>近三个月</w:t>
            </w:r>
            <w:r>
              <w:rPr>
                <w:rFonts w:hint="eastAsia" w:ascii="宋体" w:hAnsi="宋体" w:cs="宋体"/>
                <w:color w:val="auto"/>
                <w:sz w:val="24"/>
                <w:highlight w:val="none"/>
              </w:rPr>
              <w:t>已在本单位缴纳社保的</w:t>
            </w:r>
            <w:r>
              <w:rPr>
                <w:rFonts w:hint="eastAsia" w:ascii="宋体" w:hAnsi="宋体" w:cs="宋体"/>
                <w:color w:val="auto"/>
                <w:sz w:val="24"/>
                <w:highlight w:val="none"/>
                <w:lang w:val="en-US" w:eastAsia="zh-CN"/>
              </w:rPr>
              <w:t>凭证或</w:t>
            </w:r>
            <w:r>
              <w:rPr>
                <w:rFonts w:hint="eastAsia" w:ascii="宋体" w:hAnsi="宋体" w:cs="宋体"/>
                <w:color w:val="auto"/>
                <w:sz w:val="24"/>
                <w:highlight w:val="none"/>
              </w:rPr>
              <w:t>承诺书</w:t>
            </w:r>
            <w:r>
              <w:rPr>
                <w:rFonts w:hint="eastAsia" w:ascii="宋体" w:hAnsi="宋体" w:eastAsia="宋体" w:cs="宋体"/>
                <w:bCs/>
                <w:color w:val="auto"/>
                <w:sz w:val="24"/>
                <w:highlight w:val="none"/>
                <w:lang w:val="en-US" w:eastAsia="zh-CN"/>
              </w:rPr>
              <w:t>（承诺以上人员为本单位员工，格式自拟</w:t>
            </w:r>
            <w:r>
              <w:rPr>
                <w:rFonts w:hint="eastAsia" w:ascii="宋体" w:hAnsi="宋体" w:cs="宋体"/>
                <w:bCs/>
                <w:color w:val="auto"/>
                <w:sz w:val="24"/>
                <w:highlight w:val="none"/>
                <w:lang w:val="en-US" w:eastAsia="zh-CN"/>
              </w:rPr>
              <w:t>）</w:t>
            </w:r>
            <w:r>
              <w:rPr>
                <w:rFonts w:hint="eastAsia" w:ascii="宋体" w:hAnsi="宋体" w:cs="宋体"/>
                <w:color w:val="auto"/>
                <w:sz w:val="24"/>
                <w:highlight w:val="none"/>
              </w:rPr>
              <w:t>并加盖供应商公章，否则不得分。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p>
        </w:tc>
        <w:tc>
          <w:tcPr>
            <w:tcW w:w="475" w:type="dxa"/>
            <w:vMerge w:val="continue"/>
            <w:tcBorders>
              <w:left w:val="single" w:color="auto" w:sz="4" w:space="0"/>
              <w:right w:val="single" w:color="auto" w:sz="4" w:space="0"/>
            </w:tcBorders>
            <w:vAlign w:val="center"/>
          </w:tcPr>
          <w:p>
            <w:pPr>
              <w:spacing w:line="240" w:lineRule="auto"/>
              <w:rPr>
                <w:rFonts w:ascii="宋体" w:hAnsi="宋体" w:cs="宋体"/>
                <w:color w:val="auto"/>
                <w:sz w:val="24"/>
                <w:highlight w:val="none"/>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c>
          <w:tcPr>
            <w:tcW w:w="67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拟派项目组成员（除项目负责人外）的人员结构、专业配备的合理性、岗位设置情况（0-2分），专业素质、资质等级（0-2分），内部岗位责任制度、管理运作制度、工作考核奖励制度（0-2分）,同类工作经验（0-2分）等情况进行打分。</w:t>
            </w:r>
          </w:p>
          <w:p>
            <w:pPr>
              <w:spacing w:line="240" w:lineRule="auto"/>
              <w:rPr>
                <w:rFonts w:hint="eastAsia" w:ascii="宋体" w:hAnsi="宋体" w:cs="宋体"/>
                <w:color w:val="auto"/>
                <w:sz w:val="24"/>
                <w:highlight w:val="none"/>
                <w:lang w:val="en-US" w:eastAsia="zh-CN"/>
              </w:rPr>
            </w:pPr>
            <w:bookmarkStart w:id="121" w:name="_GoBack"/>
            <w:bookmarkEnd w:id="121"/>
            <w:r>
              <w:rPr>
                <w:rFonts w:hint="eastAsia" w:ascii="宋体" w:hAnsi="宋体" w:cs="宋体"/>
                <w:color w:val="auto"/>
                <w:sz w:val="24"/>
                <w:highlight w:val="none"/>
                <w:lang w:val="en-US" w:eastAsia="zh-CN"/>
              </w:rPr>
              <w:t>注：须提供相关证明材料，并且项目组成员必须是供应商本单位在职员工，还须提供近三个月已在本单位缴纳社保的凭证或承诺书（承诺以上人员为本单位员工，格式自拟）并加盖供应商公章，否则不得分。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475" w:type="dxa"/>
            <w:vMerge w:val="continue"/>
            <w:tcBorders>
              <w:left w:val="single" w:color="auto" w:sz="4" w:space="0"/>
              <w:right w:val="single" w:color="auto" w:sz="4" w:space="0"/>
            </w:tcBorders>
            <w:vAlign w:val="center"/>
          </w:tcPr>
          <w:p>
            <w:pPr>
              <w:spacing w:line="24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布置情况</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根据磋商响应方提供的材料堆场、施工通道的安排计划是否符合施工现场实际情况</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，安排是否科学、合理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c>
          <w:tcPr>
            <w:tcW w:w="475" w:type="dxa"/>
            <w:vMerge w:val="continue"/>
            <w:tcBorders>
              <w:left w:val="single" w:color="auto" w:sz="4" w:space="0"/>
              <w:right w:val="single" w:color="auto" w:sz="4" w:space="0"/>
            </w:tcBorders>
            <w:vAlign w:val="center"/>
          </w:tcPr>
          <w:p>
            <w:pPr>
              <w:spacing w:line="24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关键工序、复杂环节的相应技术措施</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关键工序（0-2分）、复杂环节（0-2分）的相应技术措施内容，根据其是否科学合理，针对性强进行打分。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p>
        </w:tc>
        <w:tc>
          <w:tcPr>
            <w:tcW w:w="475" w:type="dxa"/>
            <w:vMerge w:val="continue"/>
            <w:tcBorders>
              <w:left w:val="single" w:color="auto" w:sz="4" w:space="0"/>
              <w:right w:val="single" w:color="auto" w:sz="4" w:space="0"/>
            </w:tcBorders>
            <w:vAlign w:val="center"/>
          </w:tcPr>
          <w:p>
            <w:pPr>
              <w:spacing w:line="24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施工重点</w:t>
            </w:r>
          </w:p>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难点分析</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针对本项目施工重点、难点分析（0-2分），以及提出的重点、难点的相应解决方案（0-2分），根据其分析的全面性，解决方案的针对性，进行打分。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p>
        </w:tc>
        <w:tc>
          <w:tcPr>
            <w:tcW w:w="475" w:type="dxa"/>
            <w:vMerge w:val="continue"/>
            <w:tcBorders>
              <w:left w:val="single" w:color="auto" w:sz="4" w:space="0"/>
              <w:right w:val="single" w:color="auto" w:sz="4" w:space="0"/>
            </w:tcBorders>
            <w:vAlign w:val="center"/>
          </w:tcPr>
          <w:p>
            <w:pPr>
              <w:spacing w:line="24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成品保护的保证措施</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磋商响应方对成品保护的保证措施，是否合理（0-1分）、科学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，具有可操作性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8"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p>
        </w:tc>
        <w:tc>
          <w:tcPr>
            <w:tcW w:w="475" w:type="dxa"/>
            <w:vMerge w:val="continue"/>
            <w:tcBorders>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管理协调</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与其他部门或人员的管理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和协调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0-1分</w:t>
            </w:r>
            <w:r>
              <w:rPr>
                <w:rFonts w:hint="eastAsia" w:ascii="宋体" w:hAnsi="宋体" w:cs="宋体"/>
                <w:color w:val="auto"/>
                <w:sz w:val="24"/>
                <w:highlight w:val="none"/>
                <w:lang w:eastAsia="zh-CN"/>
              </w:rPr>
              <w:t>）</w:t>
            </w:r>
            <w:r>
              <w:rPr>
                <w:rFonts w:hint="eastAsia" w:ascii="宋体" w:hAnsi="宋体" w:cs="宋体"/>
                <w:color w:val="auto"/>
                <w:sz w:val="24"/>
                <w:highlight w:val="none"/>
              </w:rPr>
              <w:t>具体措施进行打分。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1"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8610" w:type="dxa"/>
            <w:gridSpan w:val="3"/>
            <w:tcBorders>
              <w:left w:val="single" w:color="auto" w:sz="4" w:space="0"/>
              <w:right w:val="single" w:color="auto" w:sz="4" w:space="0"/>
            </w:tcBorders>
            <w:vAlign w:val="center"/>
          </w:tcPr>
          <w:p>
            <w:pPr>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商务、资信及其他分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9"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475" w:type="dxa"/>
            <w:vMerge w:val="restart"/>
            <w:tcBorders>
              <w:top w:val="single" w:color="auto" w:sz="4" w:space="0"/>
              <w:left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履约及售后服务能力</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认证证书</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highlight w:val="none"/>
              </w:rPr>
            </w:pPr>
            <w:r>
              <w:rPr>
                <w:rFonts w:hint="eastAsia" w:ascii="宋体" w:hAnsi="宋体" w:cs="宋体"/>
                <w:color w:val="auto"/>
                <w:sz w:val="24"/>
                <w:highlight w:val="none"/>
              </w:rPr>
              <w:t>磋商响应方具有质量管理体系认证证书、环境管理体系认证证书、职业健康安全管理认证证书，且在有效期内，每个证书得1分，最多得3分，没有不得分。</w:t>
            </w:r>
          </w:p>
          <w:p>
            <w:pPr>
              <w:spacing w:line="240" w:lineRule="auto"/>
              <w:rPr>
                <w:rFonts w:ascii="宋体" w:hAnsi="宋体" w:cs="宋体"/>
                <w:color w:val="auto"/>
                <w:sz w:val="24"/>
                <w:highlight w:val="none"/>
              </w:rPr>
            </w:pPr>
            <w:r>
              <w:rPr>
                <w:rFonts w:hint="eastAsia" w:ascii="宋体" w:hAnsi="宋体" w:eastAsia="宋体" w:cs="宋体"/>
                <w:color w:val="auto"/>
                <w:sz w:val="24"/>
                <w:szCs w:val="24"/>
                <w:highlight w:val="none"/>
              </w:rPr>
              <w:t>注：提供有效期内的认证证书和全国认证认可信息公共服务平台http://cx.cnca.cn/的查询网页截图，缺项不提供不得分。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4"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同类项目</w:t>
            </w:r>
          </w:p>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业绩</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highlight w:val="none"/>
              </w:rPr>
            </w:pPr>
            <w:r>
              <w:rPr>
                <w:rFonts w:hint="eastAsia" w:ascii="宋体" w:hAnsi="宋体" w:cs="宋体"/>
                <w:color w:val="auto"/>
                <w:sz w:val="24"/>
                <w:highlight w:val="none"/>
              </w:rPr>
              <w:t>磋商响应方自202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年1月以来有同类项目业绩的，每个业绩得0.5分，最高得1.5分。</w:t>
            </w:r>
          </w:p>
          <w:p>
            <w:pPr>
              <w:spacing w:line="24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注：</w:t>
            </w:r>
            <w:r>
              <w:rPr>
                <w:rFonts w:hint="eastAsia" w:ascii="宋体" w:hAnsi="宋体" w:cs="宋体"/>
                <w:color w:val="auto"/>
                <w:sz w:val="24"/>
                <w:highlight w:val="none"/>
              </w:rPr>
              <w:t>以提供中标通知书</w:t>
            </w:r>
            <w:r>
              <w:rPr>
                <w:rFonts w:hint="eastAsia" w:ascii="宋体" w:hAnsi="宋体" w:cs="宋体"/>
                <w:color w:val="auto"/>
                <w:sz w:val="24"/>
                <w:highlight w:val="none"/>
                <w:lang w:eastAsia="zh-CN"/>
              </w:rPr>
              <w:t>和</w:t>
            </w:r>
            <w:r>
              <w:rPr>
                <w:rFonts w:hint="eastAsia" w:ascii="宋体" w:hAnsi="宋体" w:cs="宋体"/>
                <w:color w:val="auto"/>
                <w:sz w:val="24"/>
                <w:highlight w:val="none"/>
              </w:rPr>
              <w:t>合同复印件为准</w:t>
            </w:r>
            <w:r>
              <w:rPr>
                <w:rFonts w:hint="eastAsia" w:ascii="宋体" w:hAnsi="宋体" w:cs="宋体"/>
                <w:color w:val="auto"/>
                <w:sz w:val="24"/>
                <w:highlight w:val="none"/>
                <w:lang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售后保障</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根据磋商响应方提供的售后服务方案（0-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分）、售后服务承诺（0-1分）的可行性、完整性进行打分。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p>
        </w:tc>
        <w:tc>
          <w:tcPr>
            <w:tcW w:w="475"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根据磋商响应方提供售后服务的便捷性（0-1分）、售后服务响应时间的及时性（0-1分）进行打分。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p>
        </w:tc>
        <w:tc>
          <w:tcPr>
            <w:tcW w:w="475"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合理化建议</w:t>
            </w:r>
          </w:p>
        </w:tc>
        <w:tc>
          <w:tcPr>
            <w:tcW w:w="671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 w:val="24"/>
                <w:highlight w:val="none"/>
              </w:rPr>
            </w:pPr>
            <w:r>
              <w:rPr>
                <w:rFonts w:hint="eastAsia" w:ascii="宋体" w:hAnsi="宋体" w:cs="宋体"/>
                <w:color w:val="auto"/>
                <w:sz w:val="24"/>
                <w:highlight w:val="none"/>
              </w:rPr>
              <w:t>根据磋商响应方提供的针对本项目合理化建议，是否具有可操作性（0-1分）、针对性（0-1分），进行打分。</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r>
    </w:tbl>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1.1开启参加磋商的供应商的第一次报价。</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1.2磋商小组会对上述供应商的报价文件进行评审。</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trike/>
          <w:color w:val="auto"/>
          <w:sz w:val="24"/>
          <w:highlight w:val="none"/>
        </w:rPr>
      </w:pPr>
      <w:r>
        <w:rPr>
          <w:rFonts w:hint="eastAsia" w:ascii="宋体" w:hAnsi="宋体"/>
          <w:color w:val="auto"/>
          <w:sz w:val="24"/>
          <w:highlight w:val="none"/>
        </w:rPr>
        <w:t>1.3第一次报价评审有效的供应商在规定时间在线进行最终报价（如果出现异常，无法通过在线提交的，供应商应及时联系</w:t>
      </w:r>
      <w:r>
        <w:rPr>
          <w:rFonts w:hint="eastAsia" w:ascii="宋体" w:hAnsi="宋体" w:cs="宋体"/>
          <w:color w:val="auto"/>
          <w:sz w:val="24"/>
          <w:highlight w:val="none"/>
        </w:rPr>
        <w:t>招标方</w:t>
      </w:r>
      <w:r>
        <w:rPr>
          <w:rFonts w:hint="eastAsia" w:ascii="宋体" w:hAnsi="宋体"/>
          <w:color w:val="auto"/>
          <w:sz w:val="24"/>
          <w:highlight w:val="none"/>
        </w:rPr>
        <w:t>，通过指定的电子邮箱提供，指定邮箱：</w:t>
      </w:r>
      <w:r>
        <w:rPr>
          <w:rFonts w:hint="eastAsia" w:ascii="宋体" w:hAnsi="宋体"/>
          <w:color w:val="auto"/>
          <w:sz w:val="24"/>
          <w:highlight w:val="none"/>
          <w:lang w:eastAsia="zh-CN"/>
        </w:rPr>
        <w:t>467487412@qq.com</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1.4磋商小组对供应商的最终报价进行评审，磋商小组认为供应商的报价明显低于其他通过符合性审查供应商的报价，有可能影响服务质量或者不能诚信履约的，要求其在评审系统合理的时间内提供书面说明，必要时提交相关证明材料；供应商不能证明其报价合理性的，磋商小组应当将其作为无效磋商响应处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1.5磋商小组对最终报价审核有效的供应商，采用综合评分法进行综合评分（详见评分细则）。</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1.6磋商小组根据评审相关情况作出评审报告。</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1.7磋商结束后，在线公布最终的评审结果和成交供应商。</w:t>
      </w:r>
    </w:p>
    <w:p>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特别说明：“政采云”如对电子化磋商程序有调整的，按调整后的程序操作。</w:t>
      </w:r>
    </w:p>
    <w:p>
      <w:pPr>
        <w:pStyle w:val="3"/>
        <w:keepNext w:val="0"/>
        <w:keepLines w:val="0"/>
        <w:pageBreakBefore/>
        <w:numPr>
          <w:ilvl w:val="0"/>
          <w:numId w:val="5"/>
        </w:numPr>
        <w:spacing w:line="240" w:lineRule="auto"/>
        <w:jc w:val="center"/>
        <w:rPr>
          <w:rFonts w:ascii="宋体" w:hAnsi="宋体" w:cs="宋体"/>
          <w:bCs w:val="0"/>
          <w:color w:val="auto"/>
          <w:sz w:val="32"/>
          <w:szCs w:val="32"/>
          <w:highlight w:val="none"/>
        </w:rPr>
      </w:pPr>
      <w:bookmarkStart w:id="41" w:name="_Toc17882"/>
      <w:r>
        <w:rPr>
          <w:rFonts w:hint="eastAsia" w:ascii="宋体" w:hAnsi="宋体" w:cs="宋体"/>
          <w:bCs w:val="0"/>
          <w:color w:val="auto"/>
          <w:sz w:val="32"/>
          <w:szCs w:val="32"/>
          <w:highlight w:val="none"/>
        </w:rPr>
        <w:t>合同主要条款</w:t>
      </w:r>
      <w:bookmarkEnd w:id="38"/>
      <w:bookmarkEnd w:id="41"/>
    </w:p>
    <w:p>
      <w:pPr>
        <w:spacing w:before="156" w:beforeLines="50" w:after="156" w:afterLines="50"/>
        <w:jc w:val="center"/>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eastAsia="zh-CN"/>
        </w:rPr>
        <w:t>六石安置区二期水系联通工程</w:t>
      </w:r>
    </w:p>
    <w:p>
      <w:pPr>
        <w:pStyle w:val="10"/>
        <w:ind w:left="0" w:leftChars="0" w:firstLine="0" w:firstLineChars="0"/>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44"/>
          <w:szCs w:val="44"/>
          <w:highlight w:val="none"/>
          <w:lang w:val="en-US" w:eastAsia="zh-CN"/>
        </w:rPr>
        <w:t>（项目编号：DYBWZFCG2026-CS-009）</w:t>
      </w:r>
    </w:p>
    <w:p>
      <w:pPr>
        <w:tabs>
          <w:tab w:val="left" w:pos="0"/>
        </w:tabs>
        <w:adjustRightInd w:val="0"/>
        <w:snapToGrid w:val="0"/>
        <w:spacing w:line="360" w:lineRule="auto"/>
        <w:jc w:val="center"/>
        <w:rPr>
          <w:rFonts w:hint="eastAsia" w:ascii="仿宋" w:hAnsi="仿宋" w:eastAsia="仿宋" w:cs="仿宋"/>
          <w:b/>
          <w:color w:val="auto"/>
          <w:sz w:val="72"/>
          <w:szCs w:val="72"/>
          <w:highlight w:val="none"/>
          <w:lang w:val="en-US" w:eastAsia="zh-CN"/>
        </w:rPr>
      </w:pPr>
    </w:p>
    <w:p>
      <w:pPr>
        <w:tabs>
          <w:tab w:val="left" w:pos="0"/>
        </w:tabs>
        <w:adjustRightInd w:val="0"/>
        <w:snapToGrid w:val="0"/>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施</w:t>
      </w:r>
    </w:p>
    <w:p>
      <w:pPr>
        <w:tabs>
          <w:tab w:val="left" w:pos="0"/>
        </w:tabs>
        <w:adjustRightInd w:val="0"/>
        <w:snapToGrid w:val="0"/>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工</w:t>
      </w:r>
    </w:p>
    <w:p>
      <w:pPr>
        <w:tabs>
          <w:tab w:val="left" w:pos="0"/>
        </w:tabs>
        <w:adjustRightInd w:val="0"/>
        <w:snapToGrid w:val="0"/>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合</w:t>
      </w:r>
    </w:p>
    <w:p>
      <w:pPr>
        <w:tabs>
          <w:tab w:val="left" w:pos="0"/>
        </w:tabs>
        <w:adjustRightInd w:val="0"/>
        <w:snapToGrid w:val="0"/>
        <w:spacing w:line="360" w:lineRule="auto"/>
        <w:jc w:val="center"/>
        <w:rPr>
          <w:rFonts w:hint="eastAsia" w:ascii="宋体" w:hAnsi="宋体" w:eastAsia="宋体" w:cs="Times New Roman"/>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同</w:t>
      </w:r>
    </w:p>
    <w:p>
      <w:pPr>
        <w:autoSpaceDE w:val="0"/>
        <w:snapToGrid w:val="0"/>
        <w:spacing w:line="440" w:lineRule="exact"/>
        <w:ind w:firstLine="1440" w:firstLineChars="200"/>
        <w:rPr>
          <w:rFonts w:hint="eastAsia" w:ascii="宋体" w:hAnsi="宋体" w:eastAsia="宋体" w:cs="Times New Roman"/>
          <w:color w:val="auto"/>
          <w:sz w:val="72"/>
          <w:szCs w:val="72"/>
          <w:highlight w:val="none"/>
        </w:rPr>
      </w:pPr>
    </w:p>
    <w:p>
      <w:pPr>
        <w:adjustRightInd w:val="0"/>
        <w:snapToGrid w:val="0"/>
        <w:spacing w:line="360" w:lineRule="auto"/>
        <w:jc w:val="left"/>
        <w:rPr>
          <w:rFonts w:hint="eastAsia" w:ascii="仿宋" w:hAnsi="仿宋" w:eastAsia="仿宋" w:cs="仿宋"/>
          <w:b/>
          <w:color w:val="auto"/>
          <w:sz w:val="36"/>
          <w:szCs w:val="36"/>
          <w:highlight w:val="none"/>
        </w:rPr>
      </w:pPr>
    </w:p>
    <w:p>
      <w:pPr>
        <w:adjustRightInd w:val="0"/>
        <w:snapToGrid w:val="0"/>
        <w:spacing w:line="360" w:lineRule="auto"/>
        <w:ind w:firstLine="1084" w:firstLineChars="3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甲方</w:t>
      </w:r>
      <w:r>
        <w:rPr>
          <w:rFonts w:hint="eastAsia" w:ascii="仿宋" w:hAnsi="仿宋" w:eastAsia="仿宋" w:cs="仿宋"/>
          <w:b/>
          <w:color w:val="auto"/>
          <w:sz w:val="36"/>
          <w:szCs w:val="36"/>
          <w:highlight w:val="none"/>
        </w:rPr>
        <w:t>：</w:t>
      </w:r>
    </w:p>
    <w:p>
      <w:pPr>
        <w:adjustRightInd w:val="0"/>
        <w:snapToGrid w:val="0"/>
        <w:spacing w:line="360" w:lineRule="auto"/>
        <w:ind w:firstLine="1084" w:firstLineChars="3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乙方</w:t>
      </w:r>
      <w:r>
        <w:rPr>
          <w:rFonts w:hint="eastAsia" w:ascii="仿宋" w:hAnsi="仿宋" w:eastAsia="仿宋" w:cs="仿宋"/>
          <w:b/>
          <w:color w:val="auto"/>
          <w:sz w:val="36"/>
          <w:szCs w:val="36"/>
          <w:highlight w:val="none"/>
        </w:rPr>
        <w:t>：</w:t>
      </w:r>
    </w:p>
    <w:p>
      <w:pPr>
        <w:adjustRightInd w:val="0"/>
        <w:snapToGrid w:val="0"/>
        <w:spacing w:line="360" w:lineRule="auto"/>
        <w:ind w:firstLine="1084" w:firstLineChars="3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日  期： 年  月  日</w:t>
      </w:r>
    </w:p>
    <w:p>
      <w:pPr>
        <w:spacing w:line="360" w:lineRule="auto"/>
        <w:ind w:firstLine="482" w:firstLineChars="200"/>
        <w:rPr>
          <w:rFonts w:hint="eastAsia" w:ascii="宋体" w:hAnsi="宋体" w:eastAsia="宋体" w:cs="Times New Roman"/>
          <w:b/>
          <w:color w:val="auto"/>
          <w:sz w:val="24"/>
          <w:szCs w:val="24"/>
          <w:highlight w:val="none"/>
          <w:lang w:val="en-US" w:eastAsia="zh-CN"/>
        </w:rPr>
      </w:pPr>
    </w:p>
    <w:p>
      <w:pPr>
        <w:spacing w:line="360" w:lineRule="auto"/>
        <w:ind w:firstLine="482" w:firstLineChars="200"/>
        <w:rPr>
          <w:rFonts w:hint="eastAsia" w:ascii="宋体" w:hAnsi="宋体" w:eastAsia="宋体" w:cs="Times New Roman"/>
          <w:b/>
          <w:color w:val="auto"/>
          <w:sz w:val="24"/>
          <w:szCs w:val="24"/>
          <w:highlight w:val="none"/>
          <w:lang w:val="en-US" w:eastAsia="zh-CN"/>
        </w:rPr>
      </w:pPr>
    </w:p>
    <w:p>
      <w:pPr>
        <w:spacing w:line="360" w:lineRule="auto"/>
        <w:ind w:firstLine="482" w:firstLineChars="200"/>
        <w:rPr>
          <w:rFonts w:hint="eastAsia" w:ascii="宋体" w:hAnsi="宋体" w:eastAsia="宋体" w:cs="Times New Roman"/>
          <w:b/>
          <w:color w:val="auto"/>
          <w:sz w:val="24"/>
          <w:szCs w:val="24"/>
          <w:highlight w:val="none"/>
          <w:lang w:val="en-US" w:eastAsia="zh-CN"/>
        </w:rPr>
      </w:pPr>
    </w:p>
    <w:p>
      <w:pPr>
        <w:spacing w:line="360" w:lineRule="auto"/>
        <w:ind w:firstLine="482" w:firstLineChars="200"/>
        <w:rPr>
          <w:rFonts w:hint="eastAsia" w:ascii="宋体" w:hAnsi="宋体" w:eastAsia="宋体" w:cs="Times New Roman"/>
          <w:b/>
          <w:color w:val="auto"/>
          <w:sz w:val="24"/>
          <w:szCs w:val="24"/>
          <w:highlight w:val="none"/>
          <w:lang w:val="en-US" w:eastAsia="zh-CN"/>
        </w:rPr>
      </w:pPr>
    </w:p>
    <w:p>
      <w:pPr>
        <w:pageBreakBefore w:val="0"/>
        <w:kinsoku/>
        <w:wordWrap/>
        <w:overflowPunct/>
        <w:topLinePunct w:val="0"/>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lang w:val="en-US" w:eastAsia="zh-CN"/>
        </w:rPr>
        <w:t>甲方</w:t>
      </w:r>
      <w:r>
        <w:rPr>
          <w:rFonts w:hint="eastAsia" w:ascii="宋体" w:hAnsi="宋体" w:eastAsia="宋体" w:cs="宋体"/>
          <w:b/>
          <w:color w:val="auto"/>
          <w:sz w:val="24"/>
          <w:szCs w:val="24"/>
          <w:highlight w:val="none"/>
        </w:rPr>
        <w:t>（全称）：</w:t>
      </w:r>
      <w:r>
        <w:rPr>
          <w:rFonts w:hint="eastAsia" w:ascii="宋体" w:hAnsi="宋体" w:eastAsia="宋体" w:cs="宋体"/>
          <w:b/>
          <w:color w:val="auto"/>
          <w:sz w:val="24"/>
          <w:szCs w:val="24"/>
          <w:highlight w:val="none"/>
          <w:u w:val="single"/>
          <w:lang w:val="en-US" w:eastAsia="zh-CN"/>
        </w:rPr>
        <w:t xml:space="preserve">                        </w:t>
      </w:r>
    </w:p>
    <w:p>
      <w:pPr>
        <w:pageBreakBefore w:val="0"/>
        <w:kinsoku/>
        <w:wordWrap/>
        <w:overflowPunct/>
        <w:topLinePunct w:val="0"/>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u w:val="single"/>
          <w:lang w:eastAsia="zh-CN"/>
        </w:rPr>
      </w:pPr>
      <w:r>
        <w:rPr>
          <w:rFonts w:hint="eastAsia" w:ascii="宋体" w:hAnsi="宋体" w:eastAsia="宋体" w:cs="宋体"/>
          <w:b/>
          <w:color w:val="auto"/>
          <w:sz w:val="24"/>
          <w:szCs w:val="24"/>
          <w:highlight w:val="none"/>
          <w:lang w:val="en-US" w:eastAsia="zh-CN"/>
        </w:rPr>
        <w:t>乙方</w:t>
      </w:r>
      <w:r>
        <w:rPr>
          <w:rFonts w:hint="eastAsia" w:ascii="宋体" w:hAnsi="宋体" w:eastAsia="宋体" w:cs="宋体"/>
          <w:b/>
          <w:color w:val="auto"/>
          <w:sz w:val="24"/>
          <w:szCs w:val="24"/>
          <w:highlight w:val="none"/>
        </w:rPr>
        <w:t>（全称）：</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lang w:eastAsia="zh-CN"/>
        </w:rPr>
        <w:t xml:space="preserve"> </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》、《中华人民共和国政府采购法》、《中华人民共和国建筑法》及有关法律规定，遵循平等、自愿、公平和诚实信用的原则，双方就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施工及有关事项协商一致，共同达成如下协议：</w:t>
      </w:r>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b w:val="0"/>
          <w:color w:val="auto"/>
          <w:sz w:val="24"/>
          <w:szCs w:val="24"/>
          <w:highlight w:val="none"/>
          <w:lang w:val="en-US" w:eastAsia="zh-CN"/>
        </w:rPr>
      </w:pPr>
      <w:bookmarkStart w:id="42" w:name="_Toc351203481"/>
      <w:r>
        <w:rPr>
          <w:rFonts w:hint="eastAsia" w:ascii="宋体" w:hAnsi="宋体" w:eastAsia="宋体" w:cs="宋体"/>
          <w:b/>
          <w:bCs w:val="0"/>
          <w:color w:val="auto"/>
          <w:sz w:val="24"/>
          <w:szCs w:val="24"/>
          <w:highlight w:val="none"/>
          <w:lang w:val="en-US" w:eastAsia="zh-CN"/>
        </w:rPr>
        <w:t>一、合同文件</w:t>
      </w:r>
    </w:p>
    <w:p>
      <w:pPr>
        <w:pStyle w:val="2"/>
        <w:pageBreakBefore w:val="0"/>
        <w:kinsoku/>
        <w:wordWrap/>
        <w:overflowPunct/>
        <w:topLinePunct w:val="0"/>
        <w:autoSpaceDN/>
        <w:bidi w:val="0"/>
        <w:adjustRightInd/>
        <w:spacing w:before="0" w:after="0" w:line="440" w:lineRule="atLeast"/>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磋商</w:t>
      </w:r>
      <w:r>
        <w:rPr>
          <w:rFonts w:hint="eastAsia" w:ascii="宋体" w:hAnsi="宋体" w:eastAsia="宋体" w:cs="宋体"/>
          <w:b w:val="0"/>
          <w:color w:val="auto"/>
          <w:sz w:val="24"/>
          <w:szCs w:val="24"/>
          <w:highlight w:val="none"/>
        </w:rPr>
        <w:t>文件、</w:t>
      </w:r>
      <w:r>
        <w:rPr>
          <w:rFonts w:hint="eastAsia" w:ascii="宋体" w:hAnsi="宋体" w:eastAsia="宋体" w:cs="宋体"/>
          <w:b w:val="0"/>
          <w:color w:val="auto"/>
          <w:sz w:val="24"/>
          <w:szCs w:val="24"/>
          <w:highlight w:val="none"/>
          <w:lang w:val="en-US" w:eastAsia="zh-CN"/>
        </w:rPr>
        <w:t>磋商响应</w:t>
      </w:r>
      <w:r>
        <w:rPr>
          <w:rFonts w:hint="eastAsia" w:ascii="宋体" w:hAnsi="宋体" w:eastAsia="宋体" w:cs="宋体"/>
          <w:b w:val="0"/>
          <w:color w:val="auto"/>
          <w:sz w:val="24"/>
          <w:szCs w:val="24"/>
          <w:highlight w:val="none"/>
        </w:rPr>
        <w:t>文件、技术澄清及询标答复的所有内容是构成合同不可分割的部分，与本合同具有同等法律效力，当文件之间、文件与本合同之间有相互矛盾之处，以有利于甲方之解释为准。</w:t>
      </w:r>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rPr>
        <w:t>、工程概况</w:t>
      </w:r>
      <w:bookmarkEnd w:id="42"/>
    </w:p>
    <w:p>
      <w:pPr>
        <w:pageBreakBefore w:val="0"/>
        <w:kinsoku/>
        <w:wordWrap/>
        <w:overflowPunct/>
        <w:topLinePunct w:val="0"/>
        <w:autoSpaceDN/>
        <w:bidi w:val="0"/>
        <w:adjustRightInd/>
        <w:spacing w:line="440" w:lineRule="atLeas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六石安置区二期水系联通工程</w:t>
      </w:r>
      <w:r>
        <w:rPr>
          <w:rFonts w:hint="eastAsia" w:ascii="宋体" w:hAnsi="宋体" w:eastAsia="宋体" w:cs="宋体"/>
          <w:color w:val="auto"/>
          <w:sz w:val="24"/>
          <w:szCs w:val="24"/>
          <w:highlight w:val="none"/>
        </w:rPr>
        <w:t>。</w:t>
      </w:r>
    </w:p>
    <w:p>
      <w:pPr>
        <w:pageBreakBefore w:val="0"/>
        <w:kinsoku/>
        <w:wordWrap/>
        <w:overflowPunct/>
        <w:topLinePunct w:val="0"/>
        <w:autoSpaceDN/>
        <w:bidi w:val="0"/>
        <w:adjustRightInd/>
        <w:spacing w:line="440" w:lineRule="atLeas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lang w:val="en-US" w:eastAsia="zh-CN"/>
        </w:rPr>
        <w:t>六石安置区二期</w:t>
      </w:r>
      <w:r>
        <w:rPr>
          <w:rFonts w:hint="eastAsia" w:ascii="宋体" w:hAnsi="宋体" w:eastAsia="宋体" w:cs="宋体"/>
          <w:color w:val="auto"/>
          <w:sz w:val="24"/>
          <w:szCs w:val="24"/>
          <w:highlight w:val="none"/>
          <w:u w:val="none"/>
          <w:lang w:eastAsia="zh-CN"/>
        </w:rPr>
        <w:t>。</w:t>
      </w:r>
    </w:p>
    <w:p>
      <w:pPr>
        <w:pageBreakBefore w:val="0"/>
        <w:kinsoku/>
        <w:wordWrap/>
        <w:overflowPunct/>
        <w:topLinePunct w:val="0"/>
        <w:autoSpaceDN/>
        <w:bidi w:val="0"/>
        <w:adjustRightInd/>
        <w:spacing w:line="440" w:lineRule="atLeas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.工程内容：</w:t>
      </w:r>
      <w:r>
        <w:rPr>
          <w:rFonts w:hint="eastAsia" w:ascii="宋体" w:hAnsi="宋体" w:eastAsia="宋体" w:cs="宋体"/>
          <w:bCs/>
          <w:color w:val="auto"/>
          <w:sz w:val="24"/>
          <w:szCs w:val="24"/>
          <w:highlight w:val="none"/>
          <w:u w:val="single"/>
          <w:lang w:val="en-US" w:eastAsia="zh-CN"/>
        </w:rPr>
        <w:t>本工程为六石安置区二期水系联通工程，本工程原混凝土路面破除80.67m3,0.4*0.5排水沟183米,1*0.8排水沟180米,1*0.8盖板渠10米,1*1.3排水沟378米,1*1.3盖板渠31.5米，沉砂池2座,D800涵管78米,D1000涵管240米,1.5m*1.5m钢筋砼井3座,铸铁平板匣3套等。</w:t>
      </w:r>
    </w:p>
    <w:p>
      <w:pPr>
        <w:pageBreakBefore w:val="0"/>
        <w:kinsoku/>
        <w:wordWrap/>
        <w:overflowPunct/>
        <w:topLinePunct w:val="0"/>
        <w:autoSpaceDN/>
        <w:bidi w:val="0"/>
        <w:adjustRightInd/>
        <w:spacing w:line="440" w:lineRule="atLeas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.工程承包范围：</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提供的</w:t>
      </w:r>
      <w:r>
        <w:rPr>
          <w:rFonts w:hint="eastAsia" w:ascii="宋体" w:hAnsi="宋体" w:eastAsia="宋体" w:cs="宋体"/>
          <w:color w:val="auto"/>
          <w:sz w:val="24"/>
          <w:szCs w:val="24"/>
          <w:highlight w:val="none"/>
          <w:u w:val="single"/>
        </w:rPr>
        <w:t>施工图纸</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预算书</w:t>
      </w:r>
      <w:r>
        <w:rPr>
          <w:rFonts w:hint="eastAsia" w:ascii="宋体" w:hAnsi="宋体" w:eastAsia="宋体" w:cs="宋体"/>
          <w:color w:val="auto"/>
          <w:sz w:val="24"/>
          <w:szCs w:val="24"/>
          <w:highlight w:val="none"/>
          <w:u w:val="single"/>
          <w:lang w:eastAsia="zh-CN"/>
        </w:rPr>
        <w:t>所示全部工程</w:t>
      </w:r>
      <w:r>
        <w:rPr>
          <w:rFonts w:hint="eastAsia" w:ascii="宋体" w:hAnsi="宋体" w:eastAsia="宋体" w:cs="宋体"/>
          <w:color w:val="auto"/>
          <w:sz w:val="24"/>
          <w:szCs w:val="24"/>
          <w:highlight w:val="none"/>
          <w:u w:val="single"/>
        </w:rPr>
        <w:t>内</w:t>
      </w:r>
      <w:r>
        <w:rPr>
          <w:rFonts w:hint="eastAsia" w:ascii="宋体" w:hAnsi="宋体" w:eastAsia="宋体" w:cs="宋体"/>
          <w:color w:val="auto"/>
          <w:sz w:val="24"/>
          <w:szCs w:val="24"/>
          <w:highlight w:val="none"/>
          <w:u w:val="single"/>
          <w:lang w:val="en-US" w:eastAsia="zh-CN"/>
        </w:rPr>
        <w:t>容，包含为完成本工程所需的所有前期准备、施工、竣工、保修及所有相关附属工作，乙方不得就</w:t>
      </w:r>
      <w:r>
        <w:rPr>
          <w:rFonts w:hint="eastAsia" w:ascii="宋体" w:hAnsi="宋体" w:eastAsia="宋体" w:cs="宋体"/>
          <w:color w:val="auto"/>
          <w:sz w:val="24"/>
          <w:szCs w:val="24"/>
          <w:highlight w:val="none"/>
          <w:u w:val="single"/>
        </w:rPr>
        <w:t>承包</w:t>
      </w:r>
      <w:r>
        <w:rPr>
          <w:rFonts w:hint="eastAsia" w:ascii="宋体" w:hAnsi="宋体" w:eastAsia="宋体" w:cs="宋体"/>
          <w:color w:val="auto"/>
          <w:sz w:val="24"/>
          <w:szCs w:val="24"/>
          <w:highlight w:val="none"/>
          <w:u w:val="single"/>
          <w:lang w:eastAsia="zh-CN"/>
        </w:rPr>
        <w:t>范围漏项主张额外费用</w:t>
      </w:r>
      <w:r>
        <w:rPr>
          <w:rFonts w:hint="eastAsia" w:ascii="宋体" w:hAnsi="宋体" w:eastAsia="宋体" w:cs="宋体"/>
          <w:color w:val="auto"/>
          <w:sz w:val="24"/>
          <w:szCs w:val="24"/>
          <w:highlight w:val="none"/>
          <w:u w:val="none"/>
        </w:rPr>
        <w:t>。</w:t>
      </w:r>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b/>
          <w:bCs w:val="0"/>
          <w:color w:val="auto"/>
          <w:sz w:val="24"/>
          <w:szCs w:val="24"/>
          <w:highlight w:val="none"/>
        </w:rPr>
      </w:pPr>
      <w:bookmarkStart w:id="43" w:name="_Toc351203482"/>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、合同工期</w:t>
      </w:r>
      <w:bookmarkEnd w:id="43"/>
    </w:p>
    <w:p>
      <w:pPr>
        <w:pageBreakBefore w:val="0"/>
        <w:widowControl/>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计划开工日期：</w:t>
      </w:r>
      <w:r>
        <w:rPr>
          <w:rFonts w:hint="eastAsia" w:ascii="宋体" w:hAnsi="宋体" w:eastAsia="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lang w:val="en-US" w:eastAsia="zh-CN"/>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日。</w:t>
      </w:r>
    </w:p>
    <w:p>
      <w:pPr>
        <w:pageBreakBefore w:val="0"/>
        <w:widowControl/>
        <w:kinsoku/>
        <w:wordWrap/>
        <w:overflowPunct/>
        <w:topLinePunct w:val="0"/>
        <w:autoSpaceDN/>
        <w:bidi w:val="0"/>
        <w:adjustRightInd/>
        <w:spacing w:line="440" w:lineRule="atLeas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计划竣工日期：</w:t>
      </w:r>
      <w:r>
        <w:rPr>
          <w:rFonts w:hint="eastAsia" w:ascii="宋体" w:hAnsi="宋体" w:eastAsia="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lang w:val="en-US" w:eastAsia="zh-CN"/>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月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日。</w:t>
      </w:r>
    </w:p>
    <w:p>
      <w:pPr>
        <w:pStyle w:val="2"/>
        <w:pageBreakBefore w:val="0"/>
        <w:kinsoku/>
        <w:wordWrap/>
        <w:overflowPunct/>
        <w:topLinePunct w:val="0"/>
        <w:autoSpaceDN/>
        <w:bidi w:val="0"/>
        <w:adjustRightInd/>
        <w:spacing w:before="0" w:after="0" w:line="440" w:lineRule="atLeas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工期：</w:t>
      </w:r>
      <w:r>
        <w:rPr>
          <w:rFonts w:hint="eastAsia" w:ascii="宋体" w:hAnsi="宋体" w:eastAsia="宋体" w:cs="宋体"/>
          <w:b w:val="0"/>
          <w:bCs w:val="0"/>
          <w:color w:val="auto"/>
          <w:sz w:val="24"/>
          <w:szCs w:val="24"/>
          <w:highlight w:val="none"/>
          <w:lang w:eastAsia="zh-CN"/>
        </w:rPr>
        <w:t>合同签订后</w:t>
      </w:r>
      <w:r>
        <w:rPr>
          <w:rFonts w:hint="eastAsia" w:ascii="宋体" w:hAnsi="宋体" w:eastAsia="宋体" w:cs="宋体"/>
          <w:b w:val="0"/>
          <w:bCs w:val="0"/>
          <w:color w:val="auto"/>
          <w:sz w:val="24"/>
          <w:szCs w:val="24"/>
          <w:highlight w:val="none"/>
          <w:lang w:val="en-US" w:eastAsia="zh-CN"/>
        </w:rPr>
        <w:t>90日历天内</w:t>
      </w:r>
      <w:r>
        <w:rPr>
          <w:rFonts w:hint="eastAsia" w:ascii="宋体" w:hAnsi="宋体" w:eastAsia="宋体" w:cs="宋体"/>
          <w:b w:val="0"/>
          <w:bCs w:val="0"/>
          <w:color w:val="auto"/>
          <w:sz w:val="24"/>
          <w:szCs w:val="24"/>
          <w:highlight w:val="none"/>
          <w:lang w:eastAsia="zh-CN"/>
        </w:rPr>
        <w:t>完工；每延迟一天罚1000元，限额为合同总价的</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 xml:space="preserve"> %。如果实际施工工期提前于合同工期，</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eastAsia="zh-CN"/>
        </w:rPr>
        <w:t>不给</w:t>
      </w:r>
      <w:r>
        <w:rPr>
          <w:rFonts w:hint="eastAsia" w:ascii="宋体" w:hAnsi="宋体" w:eastAsia="宋体" w:cs="宋体"/>
          <w:b w:val="0"/>
          <w:bCs w:val="0"/>
          <w:color w:val="auto"/>
          <w:sz w:val="24"/>
          <w:szCs w:val="24"/>
          <w:highlight w:val="none"/>
        </w:rPr>
        <w:t>予奖</w:t>
      </w:r>
      <w:r>
        <w:rPr>
          <w:rFonts w:hint="eastAsia" w:ascii="宋体" w:hAnsi="宋体" w:eastAsia="宋体" w:cs="宋体"/>
          <w:b w:val="0"/>
          <w:bCs w:val="0"/>
          <w:color w:val="auto"/>
          <w:sz w:val="24"/>
          <w:szCs w:val="24"/>
          <w:highlight w:val="none"/>
          <w:lang w:val="en-US" w:eastAsia="zh-CN"/>
        </w:rPr>
        <w:t>励。如因甲方原因</w:t>
      </w:r>
      <w:r>
        <w:rPr>
          <w:rFonts w:hint="eastAsia" w:ascii="宋体" w:hAnsi="宋体" w:eastAsia="宋体" w:cs="宋体"/>
          <w:b w:val="0"/>
          <w:bCs w:val="0"/>
          <w:color w:val="auto"/>
          <w:sz w:val="24"/>
          <w:szCs w:val="24"/>
          <w:highlight w:val="none"/>
          <w:lang w:eastAsia="zh-CN"/>
        </w:rPr>
        <w:t>造成工期延误，</w:t>
      </w:r>
      <w:r>
        <w:rPr>
          <w:rFonts w:hint="eastAsia" w:ascii="宋体" w:hAnsi="宋体" w:eastAsia="宋体" w:cs="宋体"/>
          <w:b w:val="0"/>
          <w:bCs w:val="0"/>
          <w:color w:val="auto"/>
          <w:sz w:val="24"/>
          <w:szCs w:val="24"/>
          <w:highlight w:val="none"/>
        </w:rPr>
        <w:t xml:space="preserve">工期顺延。    </w:t>
      </w:r>
      <w:bookmarkStart w:id="44" w:name="_Toc351203483"/>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、质量标准</w:t>
      </w:r>
      <w:bookmarkEnd w:id="44"/>
    </w:p>
    <w:p>
      <w:pPr>
        <w:pageBreakBefore w:val="0"/>
        <w:kinsoku/>
        <w:wordWrap/>
        <w:overflowPunct/>
        <w:topLinePunct w:val="0"/>
        <w:autoSpaceDN/>
        <w:bidi w:val="0"/>
        <w:adjustRightInd/>
        <w:spacing w:line="440" w:lineRule="atLeas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r>
        <w:rPr>
          <w:rFonts w:hint="eastAsia" w:ascii="宋体" w:hAnsi="宋体" w:eastAsia="宋体" w:cs="宋体"/>
          <w:color w:val="auto"/>
          <w:sz w:val="24"/>
          <w:szCs w:val="24"/>
          <w:highlight w:val="none"/>
          <w:u w:val="single"/>
        </w:rPr>
        <w:t>符合国家相关验收合格</w:t>
      </w:r>
      <w:r>
        <w:rPr>
          <w:rFonts w:hint="eastAsia" w:ascii="宋体" w:hAnsi="宋体" w:eastAsia="宋体" w:cs="宋体"/>
          <w:color w:val="auto"/>
          <w:sz w:val="24"/>
          <w:szCs w:val="24"/>
          <w:highlight w:val="none"/>
        </w:rPr>
        <w:t>标准。</w:t>
      </w:r>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color w:val="auto"/>
          <w:sz w:val="24"/>
          <w:szCs w:val="24"/>
          <w:highlight w:val="none"/>
          <w:lang w:val="en-US" w:eastAsia="zh-CN"/>
        </w:rPr>
      </w:pPr>
      <w:bookmarkStart w:id="45" w:name="_Toc351203484"/>
      <w:r>
        <w:rPr>
          <w:rFonts w:hint="eastAsia" w:ascii="宋体" w:hAnsi="宋体" w:eastAsia="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w:t>
      </w:r>
      <w:bookmarkEnd w:id="45"/>
      <w:r>
        <w:rPr>
          <w:rFonts w:hint="eastAsia" w:ascii="宋体" w:hAnsi="宋体" w:eastAsia="宋体" w:cs="宋体"/>
          <w:b/>
          <w:bCs w:val="0"/>
          <w:color w:val="auto"/>
          <w:sz w:val="24"/>
          <w:szCs w:val="24"/>
          <w:highlight w:val="none"/>
          <w:lang w:val="en-US" w:eastAsia="zh-CN"/>
        </w:rPr>
        <w:t>合同金额</w:t>
      </w:r>
      <w:r>
        <w:rPr>
          <w:rFonts w:hint="eastAsia" w:ascii="宋体" w:hAnsi="宋体" w:eastAsia="宋体" w:cs="宋体"/>
          <w:b/>
          <w:bCs w:val="0"/>
          <w:color w:val="auto"/>
          <w:sz w:val="24"/>
          <w:szCs w:val="24"/>
          <w:highlight w:val="none"/>
        </w:rPr>
        <w:tab/>
      </w:r>
    </w:p>
    <w:p>
      <w:pPr>
        <w:pStyle w:val="23"/>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金额(大写)：</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(人民币) 小写：</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eastAsia="zh-CN"/>
        </w:rPr>
        <w:t>元</w:t>
      </w:r>
      <w:r>
        <w:rPr>
          <w:rFonts w:hint="eastAsia" w:ascii="宋体" w:hAnsi="宋体" w:eastAsia="宋体" w:cs="宋体"/>
          <w:b/>
          <w:bCs/>
          <w:color w:val="auto"/>
          <w:sz w:val="24"/>
          <w:szCs w:val="24"/>
          <w:highlight w:val="none"/>
          <w:u w:val="none"/>
          <w:lang w:eastAsia="zh-CN"/>
        </w:rPr>
        <w:t>。</w:t>
      </w:r>
    </w:p>
    <w:p>
      <w:pPr>
        <w:pStyle w:val="23"/>
        <w:keepNext w:val="0"/>
        <w:keepLines w:val="0"/>
        <w:pageBreakBefore w:val="0"/>
        <w:widowControl w:val="0"/>
        <w:kinsoku/>
        <w:wordWrap/>
        <w:overflowPunct/>
        <w:topLinePunct w:val="0"/>
        <w:autoSpaceDE/>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中标</w:t>
      </w:r>
      <w:r>
        <w:rPr>
          <w:rFonts w:hint="eastAsia" w:ascii="宋体" w:hAnsi="宋体" w:eastAsia="宋体" w:cs="宋体"/>
          <w:b/>
          <w:bCs/>
          <w:color w:val="auto"/>
          <w:sz w:val="24"/>
          <w:szCs w:val="24"/>
          <w:highlight w:val="none"/>
          <w:lang w:val="en-US" w:eastAsia="zh-CN"/>
        </w:rPr>
        <w:t>下浮</w:t>
      </w:r>
      <w:r>
        <w:rPr>
          <w:rFonts w:hint="eastAsia" w:ascii="宋体" w:hAnsi="宋体" w:eastAsia="宋体" w:cs="宋体"/>
          <w:b/>
          <w:bCs/>
          <w:color w:val="auto"/>
          <w:sz w:val="24"/>
          <w:szCs w:val="24"/>
          <w:highlight w:val="none"/>
          <w:lang w:eastAsia="zh-CN"/>
        </w:rPr>
        <w:t>率为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lang w:val="en-US" w:eastAsia="zh-CN"/>
        </w:rPr>
        <w:t>。</w:t>
      </w:r>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b/>
          <w:bCs w:val="0"/>
          <w:color w:val="auto"/>
          <w:sz w:val="24"/>
          <w:szCs w:val="24"/>
          <w:highlight w:val="none"/>
        </w:rPr>
      </w:pPr>
      <w:bookmarkStart w:id="46" w:name="_Toc351203485"/>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w:t>
      </w:r>
      <w:bookmarkEnd w:id="46"/>
      <w:r>
        <w:rPr>
          <w:rFonts w:hint="eastAsia" w:ascii="宋体" w:hAnsi="宋体" w:eastAsia="宋体" w:cs="宋体"/>
          <w:b/>
          <w:bCs w:val="0"/>
          <w:color w:val="auto"/>
          <w:sz w:val="24"/>
          <w:szCs w:val="24"/>
          <w:highlight w:val="none"/>
        </w:rPr>
        <w:t>项目经理</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
        <w:pageBreakBefore w:val="0"/>
        <w:numPr>
          <w:ilvl w:val="0"/>
          <w:numId w:val="0"/>
        </w:numPr>
        <w:kinsoku/>
        <w:wordWrap/>
        <w:overflowPunct/>
        <w:topLinePunct w:val="0"/>
        <w:autoSpaceDN/>
        <w:bidi w:val="0"/>
        <w:adjustRightInd/>
        <w:spacing w:before="0" w:after="0" w:line="440" w:lineRule="atLeas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合同价格形式与支付</w:t>
      </w:r>
    </w:p>
    <w:p>
      <w:pPr>
        <w:pageBreakBefore w:val="0"/>
        <w:kinsoku/>
        <w:wordWrap/>
        <w:overflowPunct/>
        <w:topLinePunct w:val="0"/>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合同价格形式：本工程合同价款为固定总价。</w:t>
      </w:r>
    </w:p>
    <w:p>
      <w:pPr>
        <w:pageBreakBefore w:val="0"/>
        <w:kinsoku/>
        <w:wordWrap/>
        <w:overflowPunct/>
        <w:topLinePunct w:val="0"/>
        <w:autoSpaceDN/>
        <w:bidi w:val="0"/>
        <w:adjustRightInd/>
        <w:spacing w:line="440" w:lineRule="atLeas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2、合同价款的支付</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bookmarkStart w:id="47" w:name="_Toc351203487"/>
      <w:r>
        <w:rPr>
          <w:rFonts w:hint="eastAsia" w:ascii="宋体" w:hAnsi="宋体" w:eastAsia="宋体" w:cs="宋体"/>
          <w:color w:val="auto"/>
          <w:sz w:val="24"/>
          <w:szCs w:val="24"/>
          <w:highlight w:val="none"/>
          <w:lang w:val="en-US" w:eastAsia="zh-CN"/>
        </w:rPr>
        <w:t>（1）合同生效以及具备实施条件后7个工作日内支付合同价款的30%作为预付款（乙方须提交预付款保函）；</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（2）全部工程完工后在7个工作日内支付至合同价款的85%；</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（3）其余工程款于工程最终验收合格并经结算审核完成后支付至审定价的100%（不计息），乙方须无条件配合审核工作。</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（4）农民工工资相关要求：农民工工资相关的管理、认定、支付等事项按东阳市根治欠薪工作领导小组办公室《关于落实“两备案一承诺”制度的通知》文件执行。</w:t>
      </w:r>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八、甲乙双方约定</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应在开工前,向乙方提供经确认的施工图纸或做法说明,并向乙方进行现场交底。向乙方提供施工所需的水、电接驳点，接驳后的管线铺设、使用费用全部由乙方自行承担，乙方须按供水供电部门要求按时缴纳费用，逾期缴纳产生的罚款、违约金全部由乙方承担，若甲方因此被处罚或垫付相关费用，有权从乙方应付工程款中直接扣除垫付金额及相应利息。办理施工所涉及的各种申请、审批等手续。</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应严格执行施工规范、安全操作规程、防火安全规定、环境保护规定。严格按照图纸或做法说明进行施工,做好各项质量检查记录。施工期间及后续质保维修期间，乙方发生的所有安全事故、人身损害、财产损失，一切责任和费用均由乙方承担，甲方不承担任何责任，若甲方因此被索赔或被处罚，有权向乙方全额追偿。</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3.乙方应遵守国家或地方政府及有关部门对施工现场管理的规定,妥善保护好施工现场周围建筑物、设备管线不受损坏。做好施工现场保卫和垃圾销纳等工作。</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4.本工程工期为</w:t>
      </w:r>
      <w:r>
        <w:rPr>
          <w:rFonts w:hint="eastAsia" w:ascii="宋体" w:hAnsi="宋体" w:eastAsia="宋体" w:cs="宋体"/>
          <w:color w:val="auto"/>
          <w:sz w:val="24"/>
          <w:szCs w:val="24"/>
          <w:highlight w:val="none"/>
          <w:u w:val="single"/>
          <w:lang w:val="en-US" w:eastAsia="zh-CN"/>
        </w:rPr>
        <w:t>合同签订后90日历天内完工（含节假日）</w:t>
      </w:r>
      <w:r>
        <w:rPr>
          <w:rFonts w:hint="eastAsia" w:ascii="宋体" w:hAnsi="宋体" w:eastAsia="宋体" w:cs="宋体"/>
          <w:color w:val="auto"/>
          <w:sz w:val="24"/>
          <w:szCs w:val="24"/>
          <w:highlight w:val="none"/>
          <w:lang w:val="en-US" w:eastAsia="zh-CN"/>
        </w:rPr>
        <w:t>, 每延迟一天罚1000元，限额为合同总价的1%。如果实际施工工期提前于合同工期，甲方不给予奖励。如因甲方原因造成工期延误，工期顺延。乙方应按约定完成施工任务。</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5.双方约定工期顺延的其他情况：对以下原因造成竣工日期推迟的，经甲方确认后，工期延长由双方协商解决：</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（1）由甲方原因造成的工期延误；（2）不可抗力原因造成的工期延误；（3）其它原因造成的工期延误由承包方负责；（4）工期延误除双方协商工期签证外，所产生的任何费用不计。</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工程质量应达到国家质量评定合格标准。如达不到约定的质量标准，甲方可要求乙方返工，直至达到约定的质量标准，并由乙方承担返工的一切费用。返工后仍达不到约定的质量标准，视为乙方严重违约，乙方除承担返工全部费用外，还应向甲方支付合同总价5%的违约金，且甲方有权单方解除合同并要求乙方赔偿全部实际损失，包括但不限于甲方另行委托第三方施工产生的费用、工期延误损失、行政罚款等。若违约金不足以弥补甲方实际损失的，乙方还应就差额部分向甲方承担赔偿责任。</w:t>
      </w:r>
    </w:p>
    <w:p>
      <w:pPr>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7.因甲方原因达不到约定的质量标准时，由甲方承担返工的经济支出，工期相应顺延。</w:t>
      </w:r>
    </w:p>
    <w:p>
      <w:pPr>
        <w:keepNext/>
        <w:keepLines/>
        <w:pageBreakBefore w:val="0"/>
        <w:widowControl w:val="0"/>
        <w:kinsoku/>
        <w:wordWrap/>
        <w:overflowPunct/>
        <w:topLinePunct w:val="0"/>
        <w:autoSpaceDN/>
        <w:bidi w:val="0"/>
        <w:adjustRightInd/>
        <w:spacing w:line="440" w:lineRule="atLeast"/>
        <w:jc w:val="both"/>
        <w:textAlignment w:val="auto"/>
        <w:outlineLvl w:val="3"/>
        <w:rPr>
          <w:rFonts w:hint="eastAsia" w:ascii="宋体" w:hAnsi="宋体" w:eastAsia="宋体" w:cs="宋体"/>
          <w:b w:val="0"/>
          <w:bCs w:val="0"/>
          <w:color w:val="auto"/>
          <w:kern w:val="0"/>
          <w:sz w:val="24"/>
          <w:szCs w:val="24"/>
          <w:lang w:val="en-US" w:eastAsia="zh-CN" w:bidi="ar-SA"/>
        </w:rPr>
      </w:pPr>
      <w:r>
        <w:rPr>
          <w:rFonts w:hint="eastAsia" w:ascii="宋体" w:hAnsi="宋体" w:cs="宋体"/>
          <w:b/>
          <w:bCs/>
          <w:color w:val="auto"/>
          <w:kern w:val="0"/>
          <w:sz w:val="24"/>
          <w:szCs w:val="24"/>
          <w:lang w:val="en-US" w:eastAsia="zh-CN" w:bidi="ar-SA"/>
        </w:rPr>
        <w:t>九</w:t>
      </w:r>
      <w:r>
        <w:rPr>
          <w:rFonts w:hint="eastAsia" w:ascii="宋体" w:hAnsi="宋体" w:eastAsia="宋体" w:cs="宋体"/>
          <w:b/>
          <w:bCs/>
          <w:color w:val="auto"/>
          <w:kern w:val="0"/>
          <w:sz w:val="24"/>
          <w:szCs w:val="24"/>
          <w:lang w:val="en-US" w:eastAsia="zh-CN" w:bidi="ar-SA"/>
        </w:rPr>
        <w:t>、履约保证金</w:t>
      </w:r>
    </w:p>
    <w:p>
      <w:pPr>
        <w:keepNext/>
        <w:keepLines/>
        <w:pageBreakBefore w:val="0"/>
        <w:widowControl w:val="0"/>
        <w:kinsoku/>
        <w:wordWrap/>
        <w:overflowPunct/>
        <w:topLinePunct w:val="0"/>
        <w:autoSpaceDN/>
        <w:bidi w:val="0"/>
        <w:adjustRightInd/>
        <w:spacing w:line="440" w:lineRule="atLeast"/>
        <w:ind w:firstLine="241" w:firstLineChars="100"/>
        <w:jc w:val="both"/>
        <w:textAlignment w:val="auto"/>
        <w:outlineLvl w:val="3"/>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r>
        <w:rPr>
          <w:rFonts w:hint="eastAsia" w:ascii="宋体" w:hAnsi="宋体" w:eastAsia="宋体" w:cs="宋体"/>
          <w:b w:val="0"/>
          <w:bCs w:val="0"/>
          <w:color w:val="auto"/>
          <w:kern w:val="0"/>
          <w:sz w:val="24"/>
          <w:szCs w:val="24"/>
          <w:lang w:val="en-US" w:eastAsia="zh-CN" w:bidi="ar-SA"/>
        </w:rPr>
        <w:t xml:space="preserve"> 履约保证金为合同金额的1%，共计人民币</w:t>
      </w:r>
      <w:r>
        <w:rPr>
          <w:rFonts w:hint="eastAsia" w:ascii="宋体" w:hAnsi="宋体" w:eastAsia="宋体" w:cs="宋体"/>
          <w:b w:val="0"/>
          <w:bCs w:val="0"/>
          <w:color w:val="auto"/>
          <w:kern w:val="0"/>
          <w:sz w:val="24"/>
          <w:szCs w:val="24"/>
          <w:u w:val="single"/>
          <w:lang w:val="en-US" w:eastAsia="zh-CN" w:bidi="ar-SA"/>
        </w:rPr>
        <w:t xml:space="preserve">    </w:t>
      </w:r>
      <w:r>
        <w:rPr>
          <w:rFonts w:hint="eastAsia" w:ascii="宋体" w:hAnsi="宋体" w:eastAsia="宋体" w:cs="宋体"/>
          <w:b w:val="0"/>
          <w:bCs w:val="0"/>
          <w:color w:val="auto"/>
          <w:kern w:val="0"/>
          <w:sz w:val="24"/>
          <w:szCs w:val="24"/>
          <w:lang w:val="en-US" w:eastAsia="zh-CN" w:bidi="ar-SA"/>
        </w:rPr>
        <w:t>元，履约保证金在项目验收合格后30个工作日内退还（不计息）。</w:t>
      </w:r>
    </w:p>
    <w:p>
      <w:pPr>
        <w:pStyle w:val="2"/>
        <w:pageBreakBefore w:val="0"/>
        <w:kinsoku/>
        <w:wordWrap/>
        <w:overflowPunct/>
        <w:topLinePunct w:val="0"/>
        <w:autoSpaceDN/>
        <w:bidi w:val="0"/>
        <w:adjustRightInd/>
        <w:spacing w:before="0" w:after="0" w:line="440" w:lineRule="atLeas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十</w:t>
      </w:r>
      <w:r>
        <w:rPr>
          <w:rFonts w:hint="eastAsia" w:ascii="宋体" w:hAnsi="宋体" w:eastAsia="宋体" w:cs="宋体"/>
          <w:b/>
          <w:bCs w:val="0"/>
          <w:color w:val="auto"/>
          <w:sz w:val="24"/>
          <w:szCs w:val="24"/>
          <w:highlight w:val="none"/>
        </w:rPr>
        <w:t>、</w:t>
      </w:r>
      <w:bookmarkEnd w:id="47"/>
      <w:r>
        <w:rPr>
          <w:rFonts w:hint="eastAsia" w:ascii="宋体" w:hAnsi="宋体" w:eastAsia="宋体" w:cs="宋体"/>
          <w:b/>
          <w:bCs w:val="0"/>
          <w:color w:val="auto"/>
          <w:sz w:val="24"/>
          <w:szCs w:val="24"/>
          <w:highlight w:val="none"/>
          <w:lang w:val="en-US" w:eastAsia="zh-CN"/>
        </w:rPr>
        <w:t>其他相关要求</w:t>
      </w:r>
    </w:p>
    <w:p>
      <w:pPr>
        <w:pageBreakBefore w:val="0"/>
        <w:widowControl/>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bookmarkStart w:id="48" w:name="_Toc351203488"/>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用于</w:t>
      </w:r>
      <w:r>
        <w:rPr>
          <w:rFonts w:hint="eastAsia" w:ascii="宋体" w:hAnsi="宋体" w:eastAsia="宋体" w:cs="宋体"/>
          <w:color w:val="auto"/>
          <w:sz w:val="24"/>
          <w:szCs w:val="24"/>
          <w:highlight w:val="none"/>
        </w:rPr>
        <w:t>本工程所用材料品质必须是正品，质量必须合格，并应符合施工和验收规范要求，进场后应按规定验收和试验、鉴定合格后方可使用于工程。</w:t>
      </w:r>
    </w:p>
    <w:p>
      <w:pPr>
        <w:pageBreakBefore w:val="0"/>
        <w:widowControl/>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施工单位对防治扬尘污染的管理按《东阳市建设工程扬尘污染防治管理办法》（东政发（2015）45号）文件执行。</w:t>
      </w:r>
    </w:p>
    <w:p>
      <w:pPr>
        <w:pageBreakBefore w:val="0"/>
        <w:kinsoku/>
        <w:wordWrap/>
        <w:overflowPunct/>
        <w:topLinePunct w:val="0"/>
        <w:autoSpaceDN/>
        <w:bidi w:val="0"/>
        <w:adjustRightInd/>
        <w:spacing w:line="44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工程</w:t>
      </w:r>
      <w:r>
        <w:rPr>
          <w:rFonts w:hint="eastAsia" w:ascii="宋体" w:hAnsi="宋体" w:eastAsia="宋体" w:cs="宋体"/>
          <w:b/>
          <w:bCs/>
          <w:color w:val="auto"/>
          <w:sz w:val="24"/>
          <w:szCs w:val="24"/>
          <w:highlight w:val="none"/>
          <w:lang w:val="en-US" w:eastAsia="zh-CN"/>
        </w:rPr>
        <w:t>质保期及</w:t>
      </w:r>
      <w:r>
        <w:rPr>
          <w:rFonts w:hint="eastAsia" w:ascii="宋体" w:hAnsi="宋体" w:eastAsia="宋体" w:cs="宋体"/>
          <w:b/>
          <w:bCs/>
          <w:color w:val="auto"/>
          <w:sz w:val="24"/>
          <w:szCs w:val="24"/>
          <w:highlight w:val="none"/>
        </w:rPr>
        <w:t>保修：</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1.施工质保期</w:t>
      </w:r>
      <w:r>
        <w:rPr>
          <w:rFonts w:hint="eastAsia" w:ascii="宋体" w:hAnsi="宋体" w:eastAsia="宋体" w:cs="宋体"/>
          <w:color w:val="auto"/>
          <w:sz w:val="24"/>
          <w:szCs w:val="24"/>
          <w:highlight w:val="none"/>
          <w:u w:val="single"/>
          <w:lang w:val="en-US" w:eastAsia="zh-CN"/>
        </w:rPr>
        <w:t xml:space="preserve">   年</w:t>
      </w:r>
      <w:r>
        <w:rPr>
          <w:rFonts w:hint="eastAsia" w:ascii="宋体" w:hAnsi="宋体" w:eastAsia="宋体" w:cs="宋体"/>
          <w:color w:val="auto"/>
          <w:sz w:val="24"/>
          <w:szCs w:val="24"/>
          <w:highlight w:val="none"/>
          <w:lang w:val="en-US" w:eastAsia="zh-CN"/>
        </w:rPr>
        <w:t>，自验收合格之日起计算。</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全部合同工程竣工后，仍由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方对工程质量实施保修，保修责任和办法按建设部《建设工程质量管理条例》执行。</w:t>
      </w:r>
    </w:p>
    <w:bookmarkEnd w:id="48"/>
    <w:p>
      <w:pPr>
        <w:pageBreakBefore w:val="0"/>
        <w:kinsoku/>
        <w:wordWrap/>
        <w:overflowPunct/>
        <w:topLinePunct w:val="0"/>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质保期内，乙方接到甲方维修通知后未在约定时间内派人维修的，甲方有权自行委托第三方维修，产生的全部维修费用由乙方承担。</w:t>
      </w:r>
    </w:p>
    <w:p>
      <w:pPr>
        <w:pageBreakBefore w:val="0"/>
        <w:kinsoku/>
        <w:wordWrap/>
        <w:overflowPunct/>
        <w:topLinePunct w:val="0"/>
        <w:autoSpaceDN/>
        <w:bidi w:val="0"/>
        <w:adjustRightInd/>
        <w:spacing w:line="440" w:lineRule="atLeas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十二</w:t>
      </w:r>
      <w:r>
        <w:rPr>
          <w:rFonts w:hint="eastAsia" w:ascii="宋体" w:hAnsi="宋体" w:eastAsia="宋体" w:cs="宋体"/>
          <w:b/>
          <w:color w:val="auto"/>
          <w:sz w:val="24"/>
          <w:szCs w:val="24"/>
          <w:highlight w:val="none"/>
        </w:rPr>
        <w:t>、转包或分包</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本项目不允许转包。</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本项目分包按照浙财采监[2022]3号文件执行。</w:t>
      </w:r>
    </w:p>
    <w:p>
      <w:pPr>
        <w:pageBreakBefore w:val="0"/>
        <w:kinsoku/>
        <w:wordWrap/>
        <w:overflowPunct/>
        <w:topLinePunct w:val="0"/>
        <w:autoSpaceDN/>
        <w:bidi w:val="0"/>
        <w:adjustRightInd/>
        <w:spacing w:line="440" w:lineRule="atLeas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、不可抗力事件处理</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在合同有效期内，任何一方因不可抗力事件导致不能履行合同，则合同履行期可延长，其延长期与不可抗力影响期相同。</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不可抗力事件发生后，应立即通知对方，并寄送有关权威机构出具的证明。</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不可抗力事件延续120天以上，双方应通过友好协商，确定是否继续履行合同。</w:t>
      </w:r>
    </w:p>
    <w:p>
      <w:pPr>
        <w:pageBreakBefore w:val="0"/>
        <w:kinsoku/>
        <w:wordWrap/>
        <w:overflowPunct/>
        <w:topLinePunct w:val="0"/>
        <w:autoSpaceDE w:val="0"/>
        <w:autoSpaceDN/>
        <w:bidi w:val="0"/>
        <w:adjustRightInd/>
        <w:snapToGrid w:val="0"/>
        <w:spacing w:line="440" w:lineRule="atLeast"/>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rPr>
        <w:t>、双方约定，本合同在履行期间,双方发生争议时：</w:t>
      </w:r>
    </w:p>
    <w:p>
      <w:pPr>
        <w:pageBreakBefore w:val="0"/>
        <w:kinsoku/>
        <w:wordWrap/>
        <w:overflowPunct/>
        <w:topLinePunct w:val="0"/>
        <w:autoSpaceDE w:val="0"/>
        <w:autoSpaceDN/>
        <w:bidi w:val="0"/>
        <w:adjustRightInd/>
        <w:snapToGrid w:val="0"/>
        <w:spacing w:line="440" w:lineRule="atLeast"/>
        <w:ind w:firstLine="240" w:firstLineChars="1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u w:val="single"/>
        </w:rPr>
        <w:t>请行业主管部门</w:t>
      </w:r>
      <w:r>
        <w:rPr>
          <w:rFonts w:hint="eastAsia" w:ascii="宋体" w:hAnsi="宋体" w:eastAsia="宋体" w:cs="宋体"/>
          <w:b w:val="0"/>
          <w:bCs/>
          <w:color w:val="auto"/>
          <w:sz w:val="24"/>
          <w:szCs w:val="24"/>
          <w:highlight w:val="none"/>
        </w:rPr>
        <w:t xml:space="preserve"> 调解；</w:t>
      </w:r>
    </w:p>
    <w:p>
      <w:pPr>
        <w:pageBreakBefore w:val="0"/>
        <w:kinsoku/>
        <w:wordWrap/>
        <w:overflowPunct/>
        <w:topLinePunct w:val="0"/>
        <w:autoSpaceDE w:val="0"/>
        <w:autoSpaceDN/>
        <w:bidi w:val="0"/>
        <w:adjustRightInd/>
        <w:snapToGrid w:val="0"/>
        <w:spacing w:line="440" w:lineRule="atLeast"/>
        <w:ind w:firstLine="240" w:firstLineChars="1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（2）采取第</w:t>
      </w:r>
      <w:r>
        <w:rPr>
          <w:rFonts w:hint="eastAsia" w:ascii="宋体" w:hAnsi="宋体" w:eastAsia="宋体" w:cs="宋体"/>
          <w:b w:val="0"/>
          <w:bCs/>
          <w:color w:val="auto"/>
          <w:sz w:val="24"/>
          <w:szCs w:val="24"/>
          <w:highlight w:val="none"/>
          <w:u w:val="single"/>
        </w:rPr>
        <w:t xml:space="preserve"> 二  </w:t>
      </w:r>
      <w:r>
        <w:rPr>
          <w:rFonts w:hint="eastAsia" w:ascii="宋体" w:hAnsi="宋体" w:eastAsia="宋体" w:cs="宋体"/>
          <w:b w:val="0"/>
          <w:bCs/>
          <w:color w:val="auto"/>
          <w:sz w:val="24"/>
          <w:szCs w:val="24"/>
          <w:highlight w:val="none"/>
        </w:rPr>
        <w:t>种方式解决；</w:t>
      </w:r>
    </w:p>
    <w:p>
      <w:pPr>
        <w:pageBreakBefore w:val="0"/>
        <w:kinsoku/>
        <w:wordWrap/>
        <w:overflowPunct/>
        <w:topLinePunct w:val="0"/>
        <w:autoSpaceDE w:val="0"/>
        <w:autoSpaceDN/>
        <w:bidi w:val="0"/>
        <w:adjustRightInd/>
        <w:snapToGrid w:val="0"/>
        <w:spacing w:line="440" w:lineRule="atLeast"/>
        <w:ind w:firstLine="720" w:firstLineChars="3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①向</w:t>
      </w:r>
      <w:r>
        <w:rPr>
          <w:rFonts w:hint="eastAsia" w:ascii="宋体" w:hAnsi="宋体" w:eastAsia="宋体" w:cs="宋体"/>
          <w:b w:val="0"/>
          <w:bCs/>
          <w:color w:val="auto"/>
          <w:sz w:val="24"/>
          <w:szCs w:val="24"/>
          <w:highlight w:val="none"/>
          <w:u w:val="single"/>
        </w:rPr>
        <w:t>金华仲裁委员会</w:t>
      </w:r>
      <w:r>
        <w:rPr>
          <w:rFonts w:hint="eastAsia" w:ascii="宋体" w:hAnsi="宋体" w:eastAsia="宋体" w:cs="宋体"/>
          <w:b w:val="0"/>
          <w:bCs/>
          <w:color w:val="auto"/>
          <w:sz w:val="24"/>
          <w:szCs w:val="24"/>
          <w:highlight w:val="none"/>
        </w:rPr>
        <w:t>提请仲裁；</w:t>
      </w:r>
    </w:p>
    <w:p>
      <w:pPr>
        <w:pageBreakBefore w:val="0"/>
        <w:kinsoku/>
        <w:wordWrap/>
        <w:overflowPunct/>
        <w:topLinePunct w:val="0"/>
        <w:autoSpaceDE w:val="0"/>
        <w:autoSpaceDN/>
        <w:bidi w:val="0"/>
        <w:adjustRightInd/>
        <w:snapToGrid w:val="0"/>
        <w:spacing w:line="440" w:lineRule="atLeast"/>
        <w:ind w:firstLine="720" w:firstLineChars="3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②向</w:t>
      </w:r>
      <w:r>
        <w:rPr>
          <w:rFonts w:hint="eastAsia" w:ascii="宋体" w:hAnsi="宋体" w:eastAsia="宋体" w:cs="宋体"/>
          <w:b w:val="0"/>
          <w:bCs/>
          <w:color w:val="auto"/>
          <w:sz w:val="24"/>
          <w:szCs w:val="24"/>
          <w:highlight w:val="none"/>
          <w:u w:val="single"/>
        </w:rPr>
        <w:t>东阳市</w:t>
      </w:r>
      <w:r>
        <w:rPr>
          <w:rFonts w:hint="eastAsia" w:ascii="宋体" w:hAnsi="宋体" w:eastAsia="宋体" w:cs="宋体"/>
          <w:b w:val="0"/>
          <w:bCs/>
          <w:color w:val="auto"/>
          <w:sz w:val="24"/>
          <w:szCs w:val="24"/>
          <w:highlight w:val="none"/>
          <w:u w:val="single"/>
          <w:lang w:eastAsia="zh-CN"/>
        </w:rPr>
        <w:t>有管辖权的</w:t>
      </w:r>
      <w:r>
        <w:rPr>
          <w:rFonts w:hint="eastAsia" w:ascii="宋体" w:hAnsi="宋体" w:eastAsia="宋体" w:cs="宋体"/>
          <w:b w:val="0"/>
          <w:bCs/>
          <w:color w:val="auto"/>
          <w:sz w:val="24"/>
          <w:szCs w:val="24"/>
          <w:highlight w:val="none"/>
          <w:u w:val="single"/>
        </w:rPr>
        <w:t>人民法院</w:t>
      </w:r>
      <w:r>
        <w:rPr>
          <w:rFonts w:hint="eastAsia" w:ascii="宋体" w:hAnsi="宋体" w:eastAsia="宋体" w:cs="宋体"/>
          <w:b w:val="0"/>
          <w:bCs/>
          <w:color w:val="auto"/>
          <w:sz w:val="24"/>
          <w:szCs w:val="24"/>
          <w:highlight w:val="none"/>
        </w:rPr>
        <w:t>提起诉讼</w:t>
      </w:r>
      <w:r>
        <w:rPr>
          <w:rFonts w:hint="eastAsia" w:ascii="宋体" w:hAnsi="宋体" w:eastAsia="宋体" w:cs="宋体"/>
          <w:b/>
          <w:bCs w:val="0"/>
          <w:color w:val="auto"/>
          <w:sz w:val="24"/>
          <w:szCs w:val="24"/>
          <w:highlight w:val="none"/>
        </w:rPr>
        <w:t>。</w:t>
      </w:r>
    </w:p>
    <w:p>
      <w:pPr>
        <w:pageBreakBefore w:val="0"/>
        <w:kinsoku/>
        <w:wordWrap/>
        <w:overflowPunct/>
        <w:topLinePunct w:val="0"/>
        <w:autoSpaceDE w:val="0"/>
        <w:autoSpaceDN/>
        <w:bidi w:val="0"/>
        <w:adjustRightInd/>
        <w:snapToGrid w:val="0"/>
        <w:spacing w:line="440" w:lineRule="atLeast"/>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、合同生效及其它</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双方法定代表人或授权代表签字并加盖单位公章后，报东阳市财政局采监科备案后生效。</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2.合同执行中涉及采购资金和采购内容修改或补充的，须经财政部门审批，并签书面补充协议报政府采购监督管理部门备案，方可作为主合同不可分割的一部分。</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3.本合同未尽事宜，遵照《中华人民共和国民法典》有关条文执行。</w:t>
      </w:r>
    </w:p>
    <w:p>
      <w:pPr>
        <w:pageBreakBefore w:val="0"/>
        <w:kinsoku/>
        <w:wordWrap/>
        <w:overflowPunct/>
        <w:topLinePunct w:val="0"/>
        <w:autoSpaceDN/>
        <w:bidi w:val="0"/>
        <w:adjustRightInd/>
        <w:spacing w:line="4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4.本合同一式</w:t>
      </w:r>
      <w:r>
        <w:rPr>
          <w:rFonts w:hint="eastAsia" w:ascii="宋体" w:hAnsi="宋体" w:eastAsia="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份，东阳市财政局采监科、招标代理机构各执一份，甲、乙双方各执</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份，其都具有同等法律效力。</w:t>
      </w:r>
    </w:p>
    <w:p>
      <w:pPr>
        <w:pageBreakBefore w:val="0"/>
        <w:kinsoku/>
        <w:wordWrap/>
        <w:overflowPunct/>
        <w:topLinePunct w:val="0"/>
        <w:autoSpaceDN/>
        <w:bidi w:val="0"/>
        <w:adjustRightInd/>
        <w:spacing w:line="440" w:lineRule="atLeas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后附</w:t>
      </w:r>
      <w:r>
        <w:rPr>
          <w:rFonts w:hint="eastAsia" w:ascii="宋体" w:hAnsi="宋体" w:eastAsia="宋体" w:cs="宋体"/>
          <w:b/>
          <w:color w:val="auto"/>
          <w:sz w:val="24"/>
          <w:szCs w:val="24"/>
          <w:highlight w:val="none"/>
          <w:lang w:val="en-US" w:eastAsia="zh-CN"/>
        </w:rPr>
        <w:t>工程质量保修书。</w:t>
      </w:r>
    </w:p>
    <w:p>
      <w:pPr>
        <w:pageBreakBefore w:val="0"/>
        <w:kinsoku/>
        <w:wordWrap/>
        <w:overflowPunct/>
        <w:topLinePunct w:val="0"/>
        <w:autoSpaceDN/>
        <w:bidi w:val="0"/>
        <w:adjustRightInd/>
        <w:spacing w:line="44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.后附政府采购廉洁承诺。</w:t>
      </w:r>
    </w:p>
    <w:p>
      <w:pPr>
        <w:spacing w:before="120" w:after="120" w:line="400" w:lineRule="exac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 xml:space="preserve"> </w:t>
      </w:r>
    </w:p>
    <w:p>
      <w:pPr>
        <w:spacing w:before="120" w:after="120" w:line="400" w:lineRule="exact"/>
        <w:ind w:firstLine="241" w:firstLineChars="100"/>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甲方</w:t>
      </w:r>
      <w:r>
        <w:rPr>
          <w:rFonts w:hint="eastAsia" w:ascii="宋体" w:hAnsi="宋体" w:eastAsia="宋体" w:cs="Times New Roman"/>
          <w:b/>
          <w:bCs/>
          <w:color w:val="auto"/>
          <w:sz w:val="24"/>
          <w:szCs w:val="24"/>
          <w:highlight w:val="none"/>
        </w:rPr>
        <w:t xml:space="preserve">（公章）：                       </w:t>
      </w:r>
      <w:r>
        <w:rPr>
          <w:rFonts w:hint="eastAsia" w:ascii="宋体" w:hAnsi="宋体" w:eastAsia="宋体" w:cs="Times New Roman"/>
          <w:b/>
          <w:bCs/>
          <w:color w:val="auto"/>
          <w:sz w:val="24"/>
          <w:szCs w:val="24"/>
          <w:highlight w:val="none"/>
          <w:lang w:val="en-US" w:eastAsia="zh-CN"/>
        </w:rPr>
        <w:t xml:space="preserve">    乙方</w:t>
      </w:r>
      <w:r>
        <w:rPr>
          <w:rFonts w:hint="eastAsia" w:ascii="宋体" w:hAnsi="宋体" w:eastAsia="宋体" w:cs="Times New Roman"/>
          <w:b/>
          <w:bCs/>
          <w:color w:val="auto"/>
          <w:sz w:val="24"/>
          <w:szCs w:val="24"/>
          <w:highlight w:val="none"/>
        </w:rPr>
        <w:t>（公章）：</w:t>
      </w:r>
    </w:p>
    <w:p>
      <w:pPr>
        <w:snapToGrid w:val="0"/>
        <w:spacing w:before="120" w:after="120" w:line="400" w:lineRule="exact"/>
        <w:ind w:firstLine="240" w:firstLineChars="1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法定代表人或受委托人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法定代表人或受委托人</w:t>
      </w:r>
    </w:p>
    <w:p>
      <w:pPr>
        <w:snapToGrid w:val="0"/>
        <w:spacing w:before="120" w:after="120" w:line="400" w:lineRule="exact"/>
        <w:ind w:firstLine="240" w:firstLineChars="1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（签字）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（签字）</w:t>
      </w:r>
    </w:p>
    <w:p>
      <w:pPr>
        <w:snapToGrid w:val="0"/>
        <w:spacing w:before="120" w:after="120" w:line="400" w:lineRule="exact"/>
        <w:ind w:left="237" w:leftChars="113" w:firstLine="237" w:firstLineChars="9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地址：                                  地址： </w:t>
      </w:r>
    </w:p>
    <w:p>
      <w:pPr>
        <w:snapToGrid w:val="0"/>
        <w:spacing w:before="120" w:after="120" w:line="400" w:lineRule="exact"/>
        <w:ind w:left="237" w:leftChars="113" w:firstLine="237" w:firstLineChars="9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邮编：                                  邮编：</w:t>
      </w:r>
    </w:p>
    <w:p>
      <w:pPr>
        <w:snapToGrid w:val="0"/>
        <w:spacing w:before="120" w:after="120" w:line="400" w:lineRule="exact"/>
        <w:ind w:left="237" w:leftChars="113" w:firstLine="237" w:firstLineChars="9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                                  电话：</w:t>
      </w:r>
    </w:p>
    <w:p>
      <w:pPr>
        <w:snapToGrid w:val="0"/>
        <w:spacing w:before="120" w:after="120" w:line="400" w:lineRule="exact"/>
        <w:ind w:leftChars="-1" w:hanging="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开户银行：</w:t>
      </w:r>
    </w:p>
    <w:p>
      <w:pPr>
        <w:snapToGrid w:val="0"/>
        <w:spacing w:before="120" w:after="120" w:line="400" w:lineRule="exact"/>
        <w:ind w:leftChars="-1" w:hanging="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账号：</w:t>
      </w:r>
    </w:p>
    <w:p>
      <w:pPr>
        <w:snapToGrid w:val="0"/>
        <w:spacing w:line="440" w:lineRule="exact"/>
        <w:ind w:firstLine="480" w:firstLineChars="200"/>
        <w:rPr>
          <w:rFonts w:hint="eastAsia" w:ascii="宋体" w:hAnsi="Times New Roman" w:eastAsia="宋体" w:cs="Times New Roman"/>
          <w:color w:val="auto"/>
          <w:sz w:val="30"/>
          <w:szCs w:val="30"/>
          <w:highlight w:val="none"/>
        </w:rPr>
      </w:pPr>
      <w:r>
        <w:rPr>
          <w:rFonts w:hint="eastAsia" w:ascii="宋体" w:hAnsi="宋体" w:eastAsia="宋体" w:cs="Times New Roman"/>
          <w:color w:val="auto"/>
          <w:sz w:val="24"/>
          <w:szCs w:val="24"/>
          <w:highlight w:val="none"/>
        </w:rPr>
        <w:t>签字日期：</w:t>
      </w:r>
      <w:r>
        <w:rPr>
          <w:rFonts w:hint="eastAsia" w:ascii="宋体"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年</w:t>
      </w:r>
      <w:r>
        <w:rPr>
          <w:rFonts w:hint="eastAsia" w:ascii="宋体"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月</w:t>
      </w:r>
      <w:r>
        <w:rPr>
          <w:rFonts w:hint="eastAsia" w:ascii="宋体"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日</w:t>
      </w:r>
      <w:r>
        <w:rPr>
          <w:rFonts w:hint="eastAsia" w:ascii="宋体"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签字日期：</w:t>
      </w:r>
      <w:r>
        <w:rPr>
          <w:rFonts w:hint="eastAsia" w:ascii="宋体"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年</w:t>
      </w:r>
      <w:r>
        <w:rPr>
          <w:rFonts w:hint="eastAsia" w:ascii="宋体"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月</w:t>
      </w:r>
      <w:r>
        <w:rPr>
          <w:rFonts w:hint="eastAsia" w:ascii="宋体"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日</w:t>
      </w:r>
    </w:p>
    <w:p>
      <w:pPr>
        <w:pStyle w:val="23"/>
        <w:spacing w:line="44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w:t>
      </w:r>
    </w:p>
    <w:p>
      <w:pPr>
        <w:pStyle w:val="23"/>
        <w:spacing w:line="440" w:lineRule="exact"/>
        <w:ind w:firstLine="480" w:firstLineChars="200"/>
        <w:rPr>
          <w:rFonts w:hint="eastAsia" w:ascii="Times New Roman" w:hAnsi="Times New Roman" w:eastAsia="宋体" w:cs="Times New Roman"/>
          <w:color w:val="auto"/>
          <w:highlight w:val="none"/>
        </w:rPr>
      </w:pPr>
      <w:r>
        <w:rPr>
          <w:rFonts w:hint="eastAsia" w:ascii="宋体" w:hAnsi="宋体" w:eastAsia="宋体" w:cs="Times New Roman"/>
          <w:color w:val="auto"/>
          <w:highlight w:val="none"/>
        </w:rPr>
        <w:t>鉴证方</w:t>
      </w:r>
      <w:r>
        <w:rPr>
          <w:rFonts w:hint="eastAsia" w:ascii="Times New Roman" w:hAnsi="Times New Roman" w:eastAsia="宋体" w:cs="Times New Roman"/>
          <w:color w:val="auto"/>
          <w:highlight w:val="none"/>
        </w:rPr>
        <w:t>:</w:t>
      </w:r>
    </w:p>
    <w:p>
      <w:pPr>
        <w:pStyle w:val="23"/>
        <w:spacing w:line="440" w:lineRule="exact"/>
        <w:ind w:firstLine="480" w:firstLineChars="200"/>
        <w:rPr>
          <w:rFonts w:hint="eastAsia" w:ascii="Times New Roman" w:hAnsi="Times New Roman" w:eastAsia="宋体" w:cs="Times New Roman"/>
          <w:color w:val="auto"/>
          <w:highlight w:val="none"/>
        </w:rPr>
      </w:pPr>
      <w:r>
        <w:rPr>
          <w:rFonts w:hint="eastAsia" w:ascii="宋体" w:hAnsi="宋体" w:eastAsia="宋体" w:cs="Times New Roman"/>
          <w:color w:val="auto"/>
          <w:highlight w:val="none"/>
        </w:rPr>
        <w:t>法定代表人或主要负责人</w:t>
      </w:r>
      <w:r>
        <w:rPr>
          <w:rFonts w:hint="eastAsia" w:ascii="Times New Roman" w:hAnsi="Times New Roman" w:eastAsia="宋体" w:cs="Times New Roman"/>
          <w:color w:val="auto"/>
          <w:highlight w:val="none"/>
        </w:rPr>
        <w:t>:</w:t>
      </w:r>
    </w:p>
    <w:p>
      <w:pPr>
        <w:pStyle w:val="1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b/>
          <w:color w:val="auto"/>
          <w:sz w:val="24"/>
          <w:highlight w:val="none"/>
        </w:rPr>
      </w:pPr>
    </w:p>
    <w:p>
      <w:pPr>
        <w:pStyle w:val="10"/>
        <w:rPr>
          <w:rFonts w:ascii="宋体" w:hAnsi="宋体"/>
          <w:color w:val="auto"/>
          <w:sz w:val="24"/>
          <w:szCs w:val="24"/>
          <w:highlight w:val="none"/>
        </w:rPr>
      </w:pPr>
    </w:p>
    <w:p>
      <w:pPr>
        <w:spacing w:line="420" w:lineRule="exact"/>
        <w:jc w:val="center"/>
        <w:rPr>
          <w:rFonts w:ascii="宋体" w:hAnsi="宋体"/>
          <w:color w:val="auto"/>
          <w:sz w:val="24"/>
          <w:highlight w:val="none"/>
        </w:rPr>
      </w:pPr>
      <w:r>
        <w:rPr>
          <w:rFonts w:hint="eastAsia" w:ascii="宋体" w:hAnsi="宋体" w:cs="宋体"/>
          <w:b/>
          <w:color w:val="auto"/>
          <w:sz w:val="24"/>
          <w:highlight w:val="none"/>
        </w:rPr>
        <w:t>注：签订合同时，可以使用项目相关国家标准合同文本。</w:t>
      </w:r>
    </w:p>
    <w:p>
      <w:pPr>
        <w:pageBreakBefore/>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政府采购廉洁承诺书</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（中标人须将此表附在合同后）</w:t>
      </w:r>
    </w:p>
    <w:p>
      <w:pPr>
        <w:spacing w:line="360" w:lineRule="auto"/>
        <w:jc w:val="center"/>
        <w:rPr>
          <w:rFonts w:ascii="宋体" w:hAnsi="宋体" w:cs="宋体"/>
          <w:b/>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项目名称：                                     项目编号：</w:t>
      </w:r>
    </w:p>
    <w:p>
      <w:pPr>
        <w:spacing w:line="360" w:lineRule="auto"/>
        <w:rPr>
          <w:rFonts w:ascii="宋体" w:hAnsi="宋体" w:cs="宋体"/>
          <w:color w:val="auto"/>
          <w:sz w:val="24"/>
          <w:highlight w:val="none"/>
        </w:rPr>
      </w:pPr>
      <w:r>
        <w:rPr>
          <w:rFonts w:hint="eastAsia" w:ascii="宋体" w:hAnsi="宋体" w:cs="宋体"/>
          <w:color w:val="auto"/>
          <w:sz w:val="24"/>
          <w:highlight w:val="none"/>
        </w:rPr>
        <w:t>中标人：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加强政府采购活动中的廉政建设，防止发生商业贿赂等违法违纪行为，保护国家、集体和当事人的合法权益，根据《中华人民共和国政府采购法》和党风廉政建设及反腐败工作有关规定，我方自愿签订本承诺书，并严格执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第一条参与政府采购活动时，除具备采购文件规定的资格、资质要求外，我方还将严格遵守有关法律、法规、政策以及国家、地方关于廉政建设的各项规定。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第二条遵循公开、公平、公正、诚实信用原则，不发生损害上述原则及各方当事人合法权益得不正当竞争行为。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第三条与政府采购各方当事人保持正常的业务交往，不向采购人、采购代理机构、监督机构、评审专家、工作人员及其他参与采购活动的人员提供不正当利益。主要有：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（一）向上述人员赠送礼金、有价证券、贵重物品及回扣、好处费、感谢费等。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（二）为上述人员或单位报销应由对方支付的费用。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（三）暗示为上述人员装修住房、婚丧嫁娶、配偶子女的工作安排以及出国（境）、旅游等提供方便。</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（四）为上述人员或单位提供可能影响采购活动开展的宴请、健身、娱乐等活动。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第四条严格执行采购合同，自觉按合同办事；在合同执行过程中，不发生本承诺书第三条中所列不良行为。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第五条 发现采购活动各方当事人有违规、违纪、违法行为的，及时提醒对方，情节严重的，主动向其主管部门或纪检监察、司法等机关举报。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第六条 自觉接受政府采购管理部门的监管。在采购活动中出现违反本承诺书规定行为的，自觉接受政府采购管理部门的处罚，因违法违规行为给其他当事人造成经济损失的，按规定予以赔偿。</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第七条 本承诺书自签署之日起生效。</w:t>
      </w:r>
    </w:p>
    <w:p>
      <w:pPr>
        <w:spacing w:line="360" w:lineRule="auto"/>
        <w:ind w:left="840" w:hanging="840" w:hangingChars="350"/>
        <w:jc w:val="center"/>
        <w:rPr>
          <w:rFonts w:ascii="宋体" w:hAnsi="宋体" w:cs="宋体"/>
          <w:color w:val="auto"/>
          <w:sz w:val="24"/>
          <w:highlight w:val="none"/>
        </w:rPr>
      </w:pPr>
    </w:p>
    <w:p>
      <w:pPr>
        <w:spacing w:line="360" w:lineRule="auto"/>
        <w:ind w:left="840" w:hanging="840" w:hangingChars="350"/>
        <w:jc w:val="center"/>
        <w:rPr>
          <w:rFonts w:ascii="宋体" w:hAnsi="宋体" w:cs="宋体"/>
          <w:color w:val="auto"/>
          <w:sz w:val="24"/>
          <w:highlight w:val="none"/>
        </w:rPr>
      </w:pPr>
      <w:r>
        <w:rPr>
          <w:rFonts w:hint="eastAsia" w:ascii="宋体" w:hAnsi="宋体" w:cs="宋体"/>
          <w:color w:val="auto"/>
          <w:sz w:val="24"/>
          <w:highlight w:val="none"/>
        </w:rPr>
        <w:t xml:space="preserve"> 供应商（盖章）：</w:t>
      </w:r>
    </w:p>
    <w:p>
      <w:pPr>
        <w:spacing w:line="360" w:lineRule="auto"/>
        <w:ind w:left="840" w:hanging="840" w:hangingChars="35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法定代表人：</w:t>
      </w:r>
    </w:p>
    <w:p>
      <w:pPr>
        <w:spacing w:line="360" w:lineRule="auto"/>
        <w:ind w:left="840" w:hanging="840" w:hangingChars="350"/>
        <w:rPr>
          <w:rFonts w:ascii="宋体" w:hAnsi="宋体" w:cs="宋体"/>
          <w:color w:val="auto"/>
          <w:sz w:val="24"/>
          <w:highlight w:val="none"/>
        </w:rPr>
      </w:pPr>
      <w:r>
        <w:rPr>
          <w:rFonts w:hint="eastAsia" w:ascii="宋体" w:hAnsi="宋体" w:cs="宋体"/>
          <w:color w:val="auto"/>
          <w:sz w:val="24"/>
          <w:highlight w:val="none"/>
        </w:rPr>
        <w:t xml:space="preserve">                                                    年    月   日</w:t>
      </w:r>
    </w:p>
    <w:p>
      <w:pPr>
        <w:spacing w:line="360" w:lineRule="auto"/>
        <w:ind w:left="840" w:hanging="840" w:hangingChars="350"/>
        <w:rPr>
          <w:rFonts w:ascii="宋体" w:hAnsi="宋体" w:cs="宋体"/>
          <w:color w:val="auto"/>
          <w:sz w:val="24"/>
          <w:highlight w:val="none"/>
        </w:rPr>
      </w:pPr>
    </w:p>
    <w:p>
      <w:pPr>
        <w:keepNext w:val="0"/>
        <w:keepLines w:val="0"/>
        <w:pageBreakBefore/>
        <w:widowControl w:val="0"/>
        <w:kinsoku/>
        <w:wordWrap/>
        <w:overflowPunct/>
        <w:topLinePunct w:val="0"/>
        <w:autoSpaceDE/>
        <w:autoSpaceDN/>
        <w:bidi w:val="0"/>
        <w:adjustRightInd w:val="0"/>
        <w:snapToGrid/>
        <w:spacing w:line="400" w:lineRule="exact"/>
        <w:ind w:firstLine="3534" w:firstLineChars="1100"/>
        <w:jc w:val="both"/>
        <w:textAlignment w:val="auto"/>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工程质量保修书</w:t>
      </w:r>
    </w:p>
    <w:p>
      <w:pPr>
        <w:spacing w:line="360" w:lineRule="exact"/>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 xml:space="preserve"> </w:t>
      </w:r>
    </w:p>
    <w:p>
      <w:pPr>
        <w:pStyle w:val="23"/>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甲方</w:t>
      </w:r>
      <w:r>
        <w:rPr>
          <w:rFonts w:ascii="Times New Roman" w:hAnsi="Times New Roman" w:eastAsia="宋体" w:cs="Times New Roman"/>
          <w:color w:val="auto"/>
          <w:sz w:val="24"/>
          <w:szCs w:val="24"/>
          <w:highlight w:val="none"/>
        </w:rPr>
        <w:t>（全称）：</w:t>
      </w:r>
      <w:r>
        <w:rPr>
          <w:rFonts w:hint="eastAsia" w:ascii="Times New Roman" w:hAnsi="Times New Roman" w:eastAsia="宋体" w:cs="Times New Roman"/>
          <w:color w:val="auto"/>
          <w:sz w:val="24"/>
          <w:szCs w:val="24"/>
          <w:highlight w:val="none"/>
          <w:u w:val="single"/>
          <w:lang w:val="en-US" w:eastAsia="zh-CN"/>
        </w:rPr>
        <w:t xml:space="preserve">                </w:t>
      </w:r>
    </w:p>
    <w:p>
      <w:pPr>
        <w:spacing w:line="400" w:lineRule="exact"/>
        <w:ind w:firstLine="480" w:firstLineChars="200"/>
        <w:rPr>
          <w:rFonts w:hint="eastAsia" w:ascii="宋体" w:hAnsi="宋体" w:eastAsia="宋体" w:cs="Times New Roman"/>
          <w:color w:val="auto"/>
          <w:sz w:val="24"/>
          <w:highlight w:val="none"/>
          <w:u w:val="single"/>
          <w:lang w:eastAsia="zh-CN"/>
        </w:rPr>
      </w:pPr>
      <w:r>
        <w:rPr>
          <w:rFonts w:hint="eastAsia" w:ascii="宋体" w:hAnsi="宋体" w:eastAsia="宋体" w:cs="Times New Roman"/>
          <w:color w:val="auto"/>
          <w:sz w:val="24"/>
          <w:highlight w:val="none"/>
          <w:lang w:val="en-US" w:eastAsia="zh-CN"/>
        </w:rPr>
        <w:t>乙方</w:t>
      </w:r>
      <w:r>
        <w:rPr>
          <w:rFonts w:hint="eastAsia" w:ascii="宋体" w:hAnsi="宋体" w:eastAsia="宋体" w:cs="Times New Roman"/>
          <w:color w:val="auto"/>
          <w:sz w:val="24"/>
          <w:highlight w:val="none"/>
        </w:rPr>
        <w:t>（全称）：</w:t>
      </w:r>
      <w:r>
        <w:rPr>
          <w:rFonts w:hint="eastAsia" w:ascii="宋体" w:hAnsi="宋体" w:eastAsia="宋体" w:cs="Times New Roman"/>
          <w:color w:val="auto"/>
          <w:sz w:val="24"/>
          <w:highlight w:val="none"/>
          <w:u w:val="single"/>
          <w:lang w:val="en-US" w:eastAsia="zh-CN"/>
        </w:rPr>
        <w:t xml:space="preserve">               </w:t>
      </w:r>
      <w:r>
        <w:rPr>
          <w:rFonts w:hint="eastAsia" w:ascii="宋体" w:hAnsi="Courier New" w:eastAsia="宋体" w:cs="宋体"/>
          <w:color w:val="auto"/>
          <w:kern w:val="2"/>
          <w:sz w:val="24"/>
          <w:szCs w:val="24"/>
          <w:highlight w:val="none"/>
          <w:u w:val="single"/>
          <w:lang w:val="en-US" w:eastAsia="zh-CN" w:bidi="ar-SA"/>
        </w:rPr>
        <w:t xml:space="preserve"> </w:t>
      </w:r>
    </w:p>
    <w:p>
      <w:pPr>
        <w:spacing w:line="400" w:lineRule="exact"/>
        <w:ind w:firstLine="480" w:firstLineChars="200"/>
        <w:rPr>
          <w:rFonts w:ascii="宋体" w:hAnsi="宋体" w:eastAsia="宋体" w:cs="Times New Roman"/>
          <w:b/>
          <w:color w:val="auto"/>
          <w:sz w:val="24"/>
          <w:highlight w:val="none"/>
        </w:rPr>
      </w:pPr>
      <w:r>
        <w:rPr>
          <w:rFonts w:hint="eastAsia" w:ascii="宋体" w:hAnsi="宋体" w:eastAsia="宋体" w:cs="Times New Roman"/>
          <w:color w:val="auto"/>
          <w:sz w:val="24"/>
          <w:highlight w:val="none"/>
          <w:lang w:val="en-US" w:eastAsia="zh-CN"/>
        </w:rPr>
        <w:t>甲方</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乙方</w:t>
      </w:r>
      <w:r>
        <w:rPr>
          <w:rFonts w:hint="eastAsia" w:ascii="宋体" w:hAnsi="宋体" w:eastAsia="宋体" w:cs="Times New Roman"/>
          <w:color w:val="auto"/>
          <w:sz w:val="24"/>
          <w:highlight w:val="none"/>
        </w:rPr>
        <w:t>根据《中华人民共和国建筑法》、《建设工程质量管理条例》和《房屋建筑工程质量保修办法》，经协商一致，对</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rPr>
        <w:t>签订工程质量保修书。</w:t>
      </w:r>
    </w:p>
    <w:p>
      <w:pPr>
        <w:spacing w:line="400" w:lineRule="exact"/>
        <w:ind w:firstLine="573"/>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一、工程质量保修范围和内容</w:t>
      </w:r>
    </w:p>
    <w:p>
      <w:pPr>
        <w:pStyle w:val="25"/>
        <w:spacing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乙方</w:t>
      </w:r>
      <w:r>
        <w:rPr>
          <w:rFonts w:hint="eastAsia" w:ascii="宋体" w:hAnsi="宋体" w:eastAsia="宋体" w:cs="Times New Roman"/>
          <w:color w:val="auto"/>
          <w:sz w:val="24"/>
          <w:highlight w:val="none"/>
        </w:rPr>
        <w:t>在质量保修期内，按照有关法律、法规、规章规定和双方约定，承担本工程质量保修责任。</w:t>
      </w:r>
    </w:p>
    <w:p>
      <w:pPr>
        <w:spacing w:line="360" w:lineRule="auto"/>
        <w:ind w:left="0" w:leftChars="0" w:firstLine="42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质量保修范围</w:t>
      </w:r>
      <w:r>
        <w:rPr>
          <w:rFonts w:hint="eastAsia" w:ascii="宋体" w:hAnsi="宋体" w:eastAsia="宋体" w:cs="Times New Roman"/>
          <w:color w:val="auto"/>
          <w:sz w:val="24"/>
          <w:highlight w:val="none"/>
          <w:lang w:eastAsia="zh-CN"/>
        </w:rPr>
        <w:t>（本工程图纸设计及预算书范围内）</w:t>
      </w:r>
      <w:r>
        <w:rPr>
          <w:rFonts w:hint="eastAsia" w:ascii="宋体" w:hAnsi="宋体" w:eastAsia="宋体" w:cs="Times New Roman"/>
          <w:color w:val="auto"/>
          <w:sz w:val="24"/>
          <w:highlight w:val="none"/>
        </w:rPr>
        <w:t>包含</w:t>
      </w:r>
      <w:r>
        <w:rPr>
          <w:rFonts w:hint="eastAsia" w:ascii="宋体" w:hAnsi="宋体" w:eastAsia="宋体" w:cs="Times New Roman"/>
          <w:color w:val="auto"/>
          <w:kern w:val="2"/>
          <w:sz w:val="24"/>
          <w:szCs w:val="20"/>
          <w:highlight w:val="none"/>
          <w:u w:val="single"/>
          <w:lang w:val="en-US" w:eastAsia="zh-CN" w:bidi="ar-SA"/>
        </w:rPr>
        <w:t xml:space="preserve">      </w:t>
      </w:r>
      <w:r>
        <w:rPr>
          <w:rFonts w:hint="eastAsia" w:ascii="Times New Roman" w:hAnsi="Times New Roman" w:eastAsia="宋体" w:cs="Times New Roman"/>
          <w:color w:val="auto"/>
          <w:sz w:val="24"/>
          <w:highlight w:val="none"/>
          <w:u w:val="single"/>
          <w:lang w:eastAsia="zh-CN"/>
        </w:rPr>
        <w:t>等</w:t>
      </w:r>
      <w:r>
        <w:rPr>
          <w:rFonts w:hint="eastAsia" w:ascii="宋体" w:hAnsi="宋体" w:eastAsia="宋体" w:cs="Times New Roman"/>
          <w:color w:val="auto"/>
          <w:sz w:val="24"/>
          <w:highlight w:val="none"/>
          <w:u w:val="none"/>
          <w:lang w:val="zh-CN"/>
        </w:rPr>
        <w:t>，</w:t>
      </w:r>
      <w:r>
        <w:rPr>
          <w:rFonts w:hint="eastAsia" w:ascii="宋体" w:hAnsi="宋体" w:eastAsia="宋体" w:cs="Times New Roman"/>
          <w:color w:val="auto"/>
          <w:sz w:val="24"/>
          <w:highlight w:val="none"/>
        </w:rPr>
        <w:t>以及双方约定的其他项目。具体保修的内容，双方约定如下：</w:t>
      </w:r>
    </w:p>
    <w:p>
      <w:pPr>
        <w:spacing w:line="400" w:lineRule="exact"/>
        <w:ind w:firstLine="57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u w:val="single"/>
        </w:rPr>
        <w:t>按国家及省市现行有关条例执行。</w:t>
      </w:r>
    </w:p>
    <w:p>
      <w:pPr>
        <w:spacing w:line="400" w:lineRule="exact"/>
        <w:ind w:firstLine="573"/>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二、质量保修期</w:t>
      </w:r>
    </w:p>
    <w:p>
      <w:pPr>
        <w:spacing w:line="400" w:lineRule="exact"/>
        <w:ind w:firstLine="573"/>
        <w:rPr>
          <w:rFonts w:ascii="宋体" w:hAnsi="宋体" w:eastAsia="宋体" w:cs="Times New Roman"/>
          <w:color w:val="auto"/>
          <w:sz w:val="24"/>
          <w:highlight w:val="none"/>
        </w:rPr>
      </w:pPr>
      <w:r>
        <w:rPr>
          <w:rFonts w:hint="eastAsia" w:ascii="宋体" w:hAnsi="宋体" w:eastAsia="宋体" w:cs="Times New Roman"/>
          <w:color w:val="auto"/>
          <w:sz w:val="24"/>
          <w:highlight w:val="none"/>
        </w:rPr>
        <w:t>双方根据《建设工程质量管理条例》及有关规定，约定本工程的质量保修期如下：</w:t>
      </w:r>
    </w:p>
    <w:p>
      <w:pPr>
        <w:spacing w:line="400" w:lineRule="exact"/>
        <w:ind w:firstLine="573"/>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本工程为</w:t>
      </w:r>
      <w:r>
        <w:rPr>
          <w:rFonts w:hint="eastAsia" w:ascii="宋体" w:hAnsi="宋体" w:eastAsia="宋体" w:cs="Times New Roman"/>
          <w:color w:val="auto"/>
          <w:sz w:val="24"/>
          <w:highlight w:val="none"/>
          <w:u w:val="single"/>
          <w:lang w:val="en-US" w:eastAsia="zh-CN"/>
        </w:rPr>
        <w:t xml:space="preserve">  贰  </w:t>
      </w:r>
      <w:r>
        <w:rPr>
          <w:rFonts w:hint="eastAsia" w:ascii="宋体" w:hAnsi="宋体" w:eastAsia="宋体" w:cs="Times New Roman"/>
          <w:color w:val="auto"/>
          <w:sz w:val="24"/>
          <w:highlight w:val="none"/>
          <w:lang w:val="en-US" w:eastAsia="zh-CN"/>
        </w:rPr>
        <w:t>年；</w:t>
      </w:r>
    </w:p>
    <w:p>
      <w:pPr>
        <w:spacing w:line="400" w:lineRule="exact"/>
        <w:ind w:firstLine="573"/>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、其他项目保修期限约定如下：</w:t>
      </w:r>
      <w:r>
        <w:rPr>
          <w:rFonts w:hint="eastAsia" w:ascii="宋体" w:hAnsi="宋体" w:eastAsia="宋体" w:cs="Times New Roman"/>
          <w:color w:val="auto"/>
          <w:sz w:val="24"/>
          <w:highlight w:val="none"/>
          <w:u w:val="single"/>
        </w:rPr>
        <w:t>按国家及省市现有条例执行</w:t>
      </w:r>
      <w:r>
        <w:rPr>
          <w:rFonts w:hint="eastAsia" w:ascii="宋体" w:hAnsi="宋体" w:eastAsia="宋体" w:cs="Times New Roman"/>
          <w:color w:val="auto"/>
          <w:sz w:val="24"/>
          <w:highlight w:val="none"/>
        </w:rPr>
        <w:t>。</w:t>
      </w:r>
    </w:p>
    <w:p>
      <w:pPr>
        <w:spacing w:line="400" w:lineRule="exact"/>
        <w:ind w:firstLine="573"/>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三、质量保修责任</w:t>
      </w:r>
    </w:p>
    <w:p>
      <w:pPr>
        <w:spacing w:line="400" w:lineRule="exact"/>
        <w:ind w:firstLine="573"/>
        <w:rPr>
          <w:rFonts w:ascii="宋体" w:hAnsi="宋体" w:eastAsia="宋体" w:cs="Times New Roman"/>
          <w:color w:val="auto"/>
          <w:sz w:val="24"/>
          <w:highlight w:val="none"/>
        </w:rPr>
      </w:pPr>
      <w:r>
        <w:rPr>
          <w:rFonts w:hint="eastAsia" w:ascii="宋体" w:hAnsi="宋体" w:eastAsia="宋体" w:cs="Times New Roman"/>
          <w:color w:val="auto"/>
          <w:sz w:val="24"/>
          <w:highlight w:val="none"/>
        </w:rPr>
        <w:t>1、属于保修范围、内容的项目，承包人应当在接到保修通知之日起7天内派人保修。承包人不在约定期限内派人保修的，发包人可以委托他人修理。</w:t>
      </w:r>
    </w:p>
    <w:p>
      <w:pPr>
        <w:spacing w:line="400" w:lineRule="exact"/>
        <w:ind w:firstLine="573"/>
        <w:rPr>
          <w:rFonts w:ascii="宋体" w:hAnsi="宋体" w:eastAsia="宋体" w:cs="Times New Roman"/>
          <w:color w:val="auto"/>
          <w:sz w:val="24"/>
          <w:highlight w:val="none"/>
        </w:rPr>
      </w:pPr>
      <w:r>
        <w:rPr>
          <w:rFonts w:hint="eastAsia" w:ascii="宋体" w:hAnsi="宋体" w:eastAsia="宋体" w:cs="Times New Roman"/>
          <w:color w:val="auto"/>
          <w:sz w:val="24"/>
          <w:highlight w:val="none"/>
        </w:rPr>
        <w:t>2、发生紧急抢修事故的，承包人在接到事故通知后，应当立即到达事故现场抢修。</w:t>
      </w:r>
    </w:p>
    <w:p>
      <w:pPr>
        <w:spacing w:line="400" w:lineRule="exact"/>
        <w:ind w:firstLine="573"/>
        <w:rPr>
          <w:rFonts w:ascii="宋体" w:hAnsi="宋体" w:eastAsia="宋体" w:cs="Times New Roman"/>
          <w:color w:val="auto"/>
          <w:sz w:val="24"/>
          <w:highlight w:val="none"/>
        </w:rPr>
      </w:pPr>
      <w:r>
        <w:rPr>
          <w:rFonts w:hint="eastAsia" w:ascii="宋体" w:hAnsi="宋体" w:eastAsia="宋体" w:cs="Times New Roman"/>
          <w:color w:val="auto"/>
          <w:sz w:val="24"/>
          <w:highlight w:val="none"/>
        </w:rPr>
        <w:t>3、对于涉及结构安全的质量问题，应当按照《建设工程质量管理条例》的规定，立即向当地建设行政主管部门报告，采取安全防范措施；由原设计单位或者具有相应资质等级的设计单位提出保修方案，承包人实施保修。</w:t>
      </w:r>
    </w:p>
    <w:p>
      <w:pPr>
        <w:spacing w:line="400" w:lineRule="exact"/>
        <w:ind w:firstLine="573"/>
        <w:rPr>
          <w:rFonts w:ascii="宋体" w:hAnsi="宋体" w:eastAsia="宋体" w:cs="Times New Roman"/>
          <w:color w:val="auto"/>
          <w:sz w:val="24"/>
          <w:highlight w:val="none"/>
        </w:rPr>
      </w:pPr>
      <w:r>
        <w:rPr>
          <w:rFonts w:hint="eastAsia" w:ascii="宋体" w:hAnsi="宋体" w:eastAsia="宋体" w:cs="Times New Roman"/>
          <w:color w:val="auto"/>
          <w:sz w:val="24"/>
          <w:highlight w:val="none"/>
        </w:rPr>
        <w:t>4、质量保修完成后，由发包人组织验收。</w:t>
      </w:r>
    </w:p>
    <w:p>
      <w:pPr>
        <w:spacing w:line="400" w:lineRule="exac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四、保修费用</w:t>
      </w:r>
    </w:p>
    <w:p>
      <w:pPr>
        <w:spacing w:line="400" w:lineRule="exact"/>
        <w:ind w:firstLine="573"/>
        <w:rPr>
          <w:rFonts w:ascii="宋体" w:hAnsi="宋体" w:eastAsia="宋体" w:cs="Times New Roman"/>
          <w:color w:val="auto"/>
          <w:sz w:val="24"/>
          <w:highlight w:val="none"/>
        </w:rPr>
      </w:pPr>
      <w:r>
        <w:rPr>
          <w:rFonts w:hint="eastAsia" w:ascii="宋体" w:hAnsi="宋体" w:eastAsia="宋体" w:cs="Times New Roman"/>
          <w:color w:val="auto"/>
          <w:sz w:val="24"/>
          <w:highlight w:val="none"/>
        </w:rPr>
        <w:t>保修费用由造成质量缺陷的责任方承担。</w:t>
      </w:r>
    </w:p>
    <w:p>
      <w:pPr>
        <w:spacing w:line="400" w:lineRule="exac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五、其他</w:t>
      </w:r>
    </w:p>
    <w:p>
      <w:pPr>
        <w:spacing w:line="400" w:lineRule="exact"/>
        <w:ind w:firstLine="573"/>
        <w:rPr>
          <w:rFonts w:hint="eastAsia" w:ascii="宋体" w:hAnsi="宋体" w:eastAsia="宋体" w:cs="Times New Roman"/>
          <w:b/>
          <w:bCs/>
          <w:color w:val="auto"/>
          <w:sz w:val="24"/>
          <w:highlight w:val="none"/>
          <w:u w:val="single"/>
          <w:lang w:val="en-US" w:eastAsia="zh-CN"/>
        </w:rPr>
      </w:pPr>
      <w:r>
        <w:rPr>
          <w:rFonts w:hint="eastAsia" w:ascii="宋体" w:hAnsi="宋体" w:eastAsia="宋体" w:cs="Times New Roman"/>
          <w:color w:val="auto"/>
          <w:sz w:val="24"/>
          <w:highlight w:val="none"/>
        </w:rPr>
        <w:t>双方约定的其他工程质量保修事项：</w:t>
      </w:r>
      <w:r>
        <w:rPr>
          <w:rFonts w:hint="eastAsia" w:ascii="宋体" w:hAnsi="宋体" w:eastAsia="宋体" w:cs="Times New Roman"/>
          <w:b/>
          <w:color w:val="auto"/>
          <w:sz w:val="24"/>
          <w:highlight w:val="none"/>
          <w:u w:val="single"/>
          <w:lang w:val="en-US" w:eastAsia="zh-CN"/>
        </w:rPr>
        <w:t xml:space="preserve"> /</w:t>
      </w:r>
      <w:r>
        <w:rPr>
          <w:rFonts w:hint="eastAsia" w:ascii="宋体" w:hAnsi="宋体" w:eastAsia="宋体" w:cs="Times New Roman"/>
          <w:b/>
          <w:color w:val="auto"/>
          <w:sz w:val="24"/>
          <w:highlight w:val="none"/>
          <w:u w:val="single"/>
        </w:rPr>
        <w:t>。</w:t>
      </w:r>
    </w:p>
    <w:p>
      <w:pPr>
        <w:spacing w:line="400" w:lineRule="exact"/>
        <w:ind w:firstLine="600" w:firstLineChars="250"/>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本工程质量保修书，由施工合同双方在竣工验收前共同签署，作为施工合同附件，其有效期限至保修期满。</w:t>
      </w:r>
    </w:p>
    <w:p>
      <w:pPr>
        <w:spacing w:line="40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pacing w:line="400" w:lineRule="exact"/>
        <w:rPr>
          <w:rFonts w:ascii="宋体" w:hAnsi="宋体" w:eastAsia="宋体" w:cs="Times New Roman"/>
          <w:color w:val="auto"/>
          <w:sz w:val="24"/>
          <w:highlight w:val="none"/>
        </w:rPr>
      </w:pPr>
    </w:p>
    <w:p>
      <w:pPr>
        <w:spacing w:line="400" w:lineRule="exact"/>
        <w:rPr>
          <w:rFonts w:ascii="宋体" w:hAnsi="宋体" w:eastAsia="宋体" w:cs="Times New Roman"/>
          <w:color w:val="auto"/>
          <w:sz w:val="24"/>
          <w:highlight w:val="none"/>
        </w:rPr>
      </w:pPr>
    </w:p>
    <w:p>
      <w:pPr>
        <w:spacing w:line="400" w:lineRule="exact"/>
        <w:rPr>
          <w:rFonts w:ascii="宋体" w:hAnsi="宋体" w:eastAsia="宋体" w:cs="Times New Roman"/>
          <w:color w:val="auto"/>
          <w:sz w:val="24"/>
          <w:highlight w:val="none"/>
        </w:rPr>
      </w:pPr>
    </w:p>
    <w:p>
      <w:pPr>
        <w:spacing w:line="400" w:lineRule="exact"/>
        <w:ind w:firstLine="360" w:firstLineChars="150"/>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甲方</w:t>
      </w:r>
      <w:r>
        <w:rPr>
          <w:rFonts w:ascii="宋体" w:hAnsi="宋体" w:eastAsia="宋体" w:cs="Times New Roman"/>
          <w:color w:val="auto"/>
          <w:sz w:val="24"/>
          <w:highlight w:val="none"/>
        </w:rPr>
        <w:t>：（公章）　</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　</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lang w:val="en-US" w:eastAsia="zh-CN"/>
        </w:rPr>
        <w:t>乙方</w:t>
      </w:r>
      <w:r>
        <w:rPr>
          <w:rFonts w:ascii="宋体" w:hAnsi="宋体" w:eastAsia="宋体" w:cs="Times New Roman"/>
          <w:color w:val="auto"/>
          <w:sz w:val="24"/>
          <w:highlight w:val="none"/>
        </w:rPr>
        <w:t>：（公章）</w:t>
      </w:r>
      <w:r>
        <w:rPr>
          <w:rFonts w:hint="eastAsia" w:ascii="宋体" w:hAnsi="宋体" w:eastAsia="宋体" w:cs="Times New Roman"/>
          <w:color w:val="auto"/>
          <w:sz w:val="24"/>
          <w:highlight w:val="none"/>
        </w:rPr>
        <w:t xml:space="preserve">        </w:t>
      </w:r>
    </w:p>
    <w:p>
      <w:pPr>
        <w:spacing w:line="400" w:lineRule="exact"/>
        <w:ind w:left="6239" w:leftChars="171" w:hanging="5880" w:hangingChars="2450"/>
        <w:rPr>
          <w:rFonts w:ascii="宋体" w:hAnsi="宋体" w:eastAsia="宋体" w:cs="Times New Roman"/>
          <w:color w:val="auto"/>
          <w:sz w:val="24"/>
          <w:highlight w:val="none"/>
        </w:rPr>
      </w:pPr>
      <w:r>
        <w:rPr>
          <w:rFonts w:ascii="宋体" w:hAnsi="宋体" w:eastAsia="宋体" w:cs="Times New Roman"/>
          <w:color w:val="auto"/>
          <w:sz w:val="24"/>
          <w:highlight w:val="none"/>
        </w:rPr>
        <w:t>住</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所：</w:t>
      </w:r>
      <w:r>
        <w:rPr>
          <w:rFonts w:hint="eastAsia" w:ascii="宋体" w:hAnsi="宋体" w:eastAsia="宋体" w:cs="Times New Roman"/>
          <w:color w:val="auto"/>
          <w:sz w:val="24"/>
          <w:highlight w:val="none"/>
        </w:rPr>
        <w:t xml:space="preserve">                                住  所：</w:t>
      </w:r>
    </w:p>
    <w:p>
      <w:pPr>
        <w:spacing w:line="400" w:lineRule="exact"/>
        <w:ind w:firstLine="360" w:firstLineChars="150"/>
        <w:rPr>
          <w:rFonts w:ascii="宋体" w:hAnsi="宋体" w:eastAsia="宋体" w:cs="Times New Roman"/>
          <w:color w:val="auto"/>
          <w:sz w:val="24"/>
          <w:highlight w:val="none"/>
        </w:rPr>
      </w:pPr>
      <w:r>
        <w:rPr>
          <w:rFonts w:ascii="宋体" w:hAnsi="宋体" w:eastAsia="宋体" w:cs="Times New Roman"/>
          <w:color w:val="auto"/>
          <w:sz w:val="24"/>
          <w:highlight w:val="none"/>
        </w:rPr>
        <w:t>法定代表人：　　　　</w:t>
      </w:r>
      <w:r>
        <w:rPr>
          <w:rFonts w:hint="eastAsia" w:ascii="宋体" w:hAnsi="宋体" w:eastAsia="宋体" w:cs="Times New Roman"/>
          <w:color w:val="auto"/>
          <w:sz w:val="24"/>
          <w:highlight w:val="none"/>
        </w:rPr>
        <w:t xml:space="preserve">                    法定代表人：</w:t>
      </w:r>
    </w:p>
    <w:p>
      <w:pPr>
        <w:spacing w:line="400" w:lineRule="exact"/>
        <w:ind w:firstLine="360" w:firstLineChars="150"/>
        <w:rPr>
          <w:rFonts w:ascii="宋体" w:hAnsi="宋体" w:eastAsia="宋体" w:cs="Times New Roman"/>
          <w:color w:val="auto"/>
          <w:sz w:val="24"/>
          <w:highlight w:val="none"/>
        </w:rPr>
      </w:pPr>
      <w:r>
        <w:rPr>
          <w:rFonts w:ascii="宋体" w:hAnsi="宋体" w:eastAsia="宋体" w:cs="Times New Roman"/>
          <w:color w:val="auto"/>
          <w:sz w:val="24"/>
          <w:highlight w:val="none"/>
        </w:rPr>
        <w:t>委托代</w:t>
      </w:r>
      <w:r>
        <w:rPr>
          <w:rFonts w:hint="eastAsia" w:ascii="宋体" w:hAnsi="宋体" w:eastAsia="宋体" w:cs="Times New Roman"/>
          <w:color w:val="auto"/>
          <w:sz w:val="24"/>
          <w:highlight w:val="none"/>
        </w:rPr>
        <w:t>理</w:t>
      </w:r>
      <w:r>
        <w:rPr>
          <w:rFonts w:ascii="宋体" w:hAnsi="宋体" w:eastAsia="宋体" w:cs="Times New Roman"/>
          <w:color w:val="auto"/>
          <w:sz w:val="24"/>
          <w:highlight w:val="none"/>
        </w:rPr>
        <w:t>人：　　　　</w:t>
      </w:r>
      <w:r>
        <w:rPr>
          <w:rFonts w:hint="eastAsia" w:ascii="宋体" w:hAnsi="宋体" w:eastAsia="宋体" w:cs="Times New Roman"/>
          <w:color w:val="auto"/>
          <w:sz w:val="24"/>
          <w:highlight w:val="none"/>
        </w:rPr>
        <w:t xml:space="preserve">                    委托代理人：</w:t>
      </w:r>
    </w:p>
    <w:p>
      <w:pPr>
        <w:spacing w:line="400" w:lineRule="exact"/>
        <w:ind w:firstLine="360" w:firstLineChars="150"/>
        <w:rPr>
          <w:rFonts w:ascii="宋体" w:hAnsi="宋体" w:eastAsia="宋体" w:cs="Times New Roman"/>
          <w:color w:val="auto"/>
          <w:sz w:val="24"/>
          <w:highlight w:val="none"/>
        </w:rPr>
      </w:pPr>
      <w:r>
        <w:rPr>
          <w:rFonts w:ascii="宋体" w:hAnsi="宋体" w:eastAsia="宋体" w:cs="Times New Roman"/>
          <w:color w:val="auto"/>
          <w:sz w:val="24"/>
          <w:highlight w:val="none"/>
        </w:rPr>
        <w:t>电</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话：　　　</w:t>
      </w:r>
      <w:r>
        <w:rPr>
          <w:rFonts w:hint="eastAsia" w:ascii="宋体" w:hAnsi="宋体" w:eastAsia="宋体" w:cs="Times New Roman"/>
          <w:color w:val="auto"/>
          <w:sz w:val="24"/>
          <w:highlight w:val="none"/>
        </w:rPr>
        <w:t xml:space="preserve">                          电   话：  </w:t>
      </w:r>
    </w:p>
    <w:p>
      <w:pPr>
        <w:spacing w:line="400" w:lineRule="exact"/>
        <w:ind w:firstLine="360" w:firstLineChars="150"/>
        <w:rPr>
          <w:rFonts w:ascii="宋体" w:hAnsi="宋体" w:eastAsia="宋体" w:cs="Times New Roman"/>
          <w:color w:val="auto"/>
          <w:sz w:val="24"/>
          <w:highlight w:val="none"/>
        </w:rPr>
      </w:pPr>
      <w:r>
        <w:rPr>
          <w:rFonts w:ascii="宋体" w:hAnsi="宋体" w:eastAsia="宋体" w:cs="Times New Roman"/>
          <w:color w:val="auto"/>
          <w:sz w:val="24"/>
          <w:highlight w:val="none"/>
        </w:rPr>
        <w:t>传</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真：　　</w:t>
      </w:r>
      <w:r>
        <w:rPr>
          <w:rFonts w:hint="eastAsia" w:ascii="宋体" w:hAnsi="宋体" w:eastAsia="宋体" w:cs="Times New Roman"/>
          <w:color w:val="auto"/>
          <w:sz w:val="24"/>
          <w:highlight w:val="none"/>
        </w:rPr>
        <w:t xml:space="preserve">                            传   真：</w:t>
      </w:r>
    </w:p>
    <w:p>
      <w:pPr>
        <w:spacing w:line="400" w:lineRule="exact"/>
        <w:ind w:firstLine="320" w:firstLineChars="100"/>
        <w:rPr>
          <w:rFonts w:ascii="宋体" w:hAnsi="宋体" w:eastAsia="宋体" w:cs="Times New Roman"/>
          <w:color w:val="auto"/>
          <w:sz w:val="24"/>
          <w:highlight w:val="none"/>
        </w:rPr>
      </w:pPr>
      <w:r>
        <w:rPr>
          <w:rFonts w:ascii="宋体" w:hAnsi="宋体" w:eastAsia="宋体" w:cs="Times New Roman"/>
          <w:color w:val="auto"/>
          <w:spacing w:val="40"/>
          <w:sz w:val="24"/>
          <w:highlight w:val="none"/>
        </w:rPr>
        <w:t>开户银行</w:t>
      </w:r>
      <w:r>
        <w:rPr>
          <w:rFonts w:ascii="宋体" w:hAnsi="宋体" w:eastAsia="宋体" w:cs="Times New Roman"/>
          <w:color w:val="auto"/>
          <w:sz w:val="24"/>
          <w:highlight w:val="none"/>
        </w:rPr>
        <w:t>：　　　</w:t>
      </w:r>
      <w:r>
        <w:rPr>
          <w:rFonts w:hint="eastAsia" w:ascii="宋体" w:hAnsi="宋体" w:eastAsia="宋体" w:cs="Times New Roman"/>
          <w:color w:val="auto"/>
          <w:sz w:val="24"/>
          <w:highlight w:val="none"/>
        </w:rPr>
        <w:t xml:space="preserve">                      开户银行：</w:t>
      </w:r>
    </w:p>
    <w:p>
      <w:pPr>
        <w:spacing w:line="400" w:lineRule="exact"/>
        <w:ind w:firstLine="360" w:firstLineChars="150"/>
        <w:rPr>
          <w:rFonts w:ascii="宋体" w:hAnsi="宋体" w:eastAsia="宋体" w:cs="Times New Roman"/>
          <w:color w:val="auto"/>
          <w:sz w:val="24"/>
          <w:highlight w:val="none"/>
        </w:rPr>
      </w:pPr>
      <w:r>
        <w:rPr>
          <w:rFonts w:ascii="宋体" w:hAnsi="宋体" w:eastAsia="宋体" w:cs="Times New Roman"/>
          <w:color w:val="auto"/>
          <w:sz w:val="24"/>
          <w:highlight w:val="none"/>
        </w:rPr>
        <w:t>账</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号：</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　</w:t>
      </w:r>
      <w:r>
        <w:rPr>
          <w:rFonts w:hint="eastAsia" w:ascii="宋体" w:hAnsi="宋体" w:eastAsia="宋体" w:cs="Times New Roman"/>
          <w:color w:val="auto"/>
          <w:sz w:val="24"/>
          <w:highlight w:val="none"/>
        </w:rPr>
        <w:t xml:space="preserve">                           账  号：</w:t>
      </w:r>
    </w:p>
    <w:p>
      <w:pPr>
        <w:spacing w:line="400" w:lineRule="exact"/>
        <w:ind w:firstLine="320" w:firstLineChars="100"/>
        <w:rPr>
          <w:rFonts w:ascii="宋体" w:hAnsi="宋体" w:eastAsia="宋体" w:cs="Times New Roman"/>
          <w:color w:val="auto"/>
          <w:sz w:val="24"/>
          <w:highlight w:val="none"/>
        </w:rPr>
      </w:pPr>
      <w:r>
        <w:rPr>
          <w:rFonts w:ascii="宋体" w:hAnsi="宋体" w:eastAsia="宋体" w:cs="Times New Roman"/>
          <w:color w:val="auto"/>
          <w:spacing w:val="40"/>
          <w:sz w:val="24"/>
          <w:highlight w:val="none"/>
        </w:rPr>
        <w:t>邮政编码</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　</w:t>
      </w:r>
      <w:r>
        <w:rPr>
          <w:rFonts w:hint="eastAsia" w:ascii="宋体" w:hAnsi="宋体" w:eastAsia="宋体" w:cs="Times New Roman"/>
          <w:color w:val="auto"/>
          <w:sz w:val="24"/>
          <w:highlight w:val="none"/>
        </w:rPr>
        <w:t xml:space="preserve">                     邮政编码：</w:t>
      </w:r>
    </w:p>
    <w:p>
      <w:pPr>
        <w:spacing w:line="400" w:lineRule="exact"/>
        <w:ind w:firstLine="240" w:firstLineChars="100"/>
        <w:rPr>
          <w:rFonts w:ascii="宋体" w:hAnsi="宋体" w:eastAsia="宋体" w:cs="Times New Roman"/>
          <w:color w:val="auto"/>
          <w:sz w:val="24"/>
          <w:highlight w:val="none"/>
        </w:rPr>
      </w:pPr>
    </w:p>
    <w:p>
      <w:pPr>
        <w:ind w:firstLine="240" w:firstLineChars="100"/>
        <w:rPr>
          <w:rFonts w:hint="eastAsia" w:ascii="宋体" w:hAnsi="Courier New" w:eastAsia="宋体" w:cs="Times New Roman"/>
          <w:b/>
          <w:bCs/>
          <w:color w:val="auto"/>
          <w:sz w:val="24"/>
          <w:szCs w:val="24"/>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日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pStyle w:val="2"/>
      </w:pPr>
    </w:p>
    <w:p>
      <w:pPr>
        <w:pStyle w:val="3"/>
        <w:keepNext/>
        <w:keepLines/>
        <w:pageBreakBefore/>
        <w:widowControl w:val="0"/>
        <w:kinsoku/>
        <w:wordWrap/>
        <w:overflowPunct/>
        <w:topLinePunct w:val="0"/>
        <w:autoSpaceDE/>
        <w:autoSpaceDN/>
        <w:bidi w:val="0"/>
        <w:adjustRightInd/>
        <w:snapToGrid/>
        <w:spacing w:line="579" w:lineRule="auto"/>
        <w:jc w:val="center"/>
        <w:textAlignment w:val="auto"/>
        <w:rPr>
          <w:rFonts w:ascii="宋体" w:hAnsi="宋体" w:cs="宋体"/>
          <w:color w:val="auto"/>
          <w:sz w:val="24"/>
          <w:szCs w:val="24"/>
          <w:highlight w:val="none"/>
        </w:rPr>
      </w:pPr>
      <w:bookmarkStart w:id="49" w:name="_Toc20387"/>
      <w:r>
        <w:rPr>
          <w:rFonts w:hint="eastAsia" w:ascii="宋体" w:hAnsi="宋体" w:cs="宋体"/>
          <w:color w:val="auto"/>
          <w:sz w:val="24"/>
          <w:szCs w:val="24"/>
          <w:highlight w:val="none"/>
        </w:rPr>
        <w:t>第六章　磋商响应文件组成内容及格式</w:t>
      </w:r>
      <w:bookmarkEnd w:id="49"/>
    </w:p>
    <w:bookmarkEnd w:id="39"/>
    <w:bookmarkEnd w:id="40"/>
    <w:p>
      <w:pPr>
        <w:pStyle w:val="23"/>
        <w:spacing w:before="120" w:after="120" w:line="360" w:lineRule="auto"/>
        <w:outlineLvl w:val="9"/>
        <w:rPr>
          <w:rFonts w:ascii="宋体" w:hAnsi="宋体" w:cs="宋体"/>
          <w:color w:val="auto"/>
          <w:szCs w:val="24"/>
          <w:highlight w:val="none"/>
          <w:u w:val="single"/>
        </w:rPr>
      </w:pPr>
    </w:p>
    <w:p>
      <w:pPr>
        <w:jc w:val="center"/>
        <w:outlineLvl w:val="9"/>
        <w:rPr>
          <w:rFonts w:ascii="宋体" w:hAnsi="宋体" w:eastAsia="宋体" w:cs="宋体"/>
          <w:b/>
          <w:bCs/>
          <w:color w:val="auto"/>
          <w:sz w:val="24"/>
          <w:szCs w:val="24"/>
          <w:highlight w:val="none"/>
        </w:rPr>
      </w:pPr>
      <w:bookmarkStart w:id="50" w:name="_Toc405368940"/>
      <w:r>
        <w:rPr>
          <w:rFonts w:hint="eastAsia" w:ascii="宋体" w:hAnsi="宋体" w:eastAsia="宋体" w:cs="宋体"/>
          <w:b/>
          <w:bCs/>
          <w:color w:val="auto"/>
          <w:sz w:val="24"/>
          <w:szCs w:val="24"/>
          <w:highlight w:val="none"/>
        </w:rPr>
        <w:t>一、磋商响应文件封面格式</w:t>
      </w:r>
      <w:bookmarkEnd w:id="50"/>
    </w:p>
    <w:p>
      <w:pPr>
        <w:outlineLvl w:val="9"/>
        <w:rPr>
          <w:rFonts w:ascii="宋体" w:hAnsi="宋体" w:cs="宋体"/>
          <w:color w:val="auto"/>
          <w:sz w:val="24"/>
          <w:highlight w:val="none"/>
        </w:rPr>
      </w:pPr>
    </w:p>
    <w:p>
      <w:pPr>
        <w:outlineLvl w:val="9"/>
        <w:rPr>
          <w:rFonts w:ascii="宋体" w:hAnsi="宋体" w:cs="宋体"/>
          <w:color w:val="auto"/>
          <w:sz w:val="24"/>
          <w:highlight w:val="none"/>
        </w:rPr>
      </w:pPr>
    </w:p>
    <w:p>
      <w:pPr>
        <w:outlineLvl w:val="9"/>
        <w:rPr>
          <w:rFonts w:ascii="宋体" w:hAnsi="宋体" w:cs="宋体"/>
          <w:b/>
          <w:bCs/>
          <w:color w:val="auto"/>
          <w:sz w:val="24"/>
          <w:highlight w:val="none"/>
        </w:rPr>
      </w:pPr>
    </w:p>
    <w:p>
      <w:pPr>
        <w:spacing w:line="360" w:lineRule="auto"/>
        <w:outlineLvl w:val="9"/>
        <w:rPr>
          <w:rFonts w:ascii="宋体" w:hAnsi="宋体" w:cs="宋体"/>
          <w:b/>
          <w:bCs/>
          <w:color w:val="auto"/>
          <w:sz w:val="24"/>
          <w:highlight w:val="none"/>
        </w:rPr>
      </w:pPr>
      <w:r>
        <w:rPr>
          <w:rFonts w:hint="eastAsia" w:ascii="宋体" w:hAnsi="宋体" w:cs="宋体"/>
          <w:b/>
          <w:bCs/>
          <w:color w:val="auto"/>
          <w:sz w:val="24"/>
          <w:highlight w:val="none"/>
        </w:rPr>
        <w:t xml:space="preserve">1.磋商响应文件封面格式： </w:t>
      </w:r>
    </w:p>
    <w:p>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outlineLvl w:val="9"/>
        <w:rPr>
          <w:rFonts w:ascii="宋体" w:hAnsi="宋体" w:cs="宋体"/>
          <w:color w:val="auto"/>
          <w:sz w:val="24"/>
          <w:highlight w:val="none"/>
        </w:rPr>
      </w:pPr>
    </w:p>
    <w:p>
      <w:pPr>
        <w:spacing w:line="360" w:lineRule="auto"/>
        <w:outlineLvl w:val="9"/>
        <w:rPr>
          <w:rFonts w:ascii="宋体" w:hAnsi="宋体" w:cs="宋体"/>
          <w:color w:val="auto"/>
          <w:sz w:val="24"/>
          <w:highlight w:val="none"/>
        </w:rPr>
      </w:pPr>
    </w:p>
    <w:p>
      <w:pPr>
        <w:spacing w:line="360" w:lineRule="auto"/>
        <w:outlineLvl w:val="9"/>
        <w:rPr>
          <w:rFonts w:ascii="宋体" w:hAnsi="宋体" w:cs="宋体"/>
          <w:color w:val="auto"/>
          <w:sz w:val="24"/>
          <w:highlight w:val="none"/>
        </w:rPr>
      </w:pPr>
    </w:p>
    <w:p>
      <w:pPr>
        <w:spacing w:line="360" w:lineRule="auto"/>
        <w:outlineLvl w:val="9"/>
        <w:rPr>
          <w:rFonts w:ascii="宋体" w:hAnsi="宋体" w:cs="宋体"/>
          <w:color w:val="auto"/>
          <w:sz w:val="24"/>
          <w:highlight w:val="none"/>
        </w:rPr>
      </w:pPr>
    </w:p>
    <w:p>
      <w:pPr>
        <w:spacing w:line="360" w:lineRule="auto"/>
        <w:outlineLvl w:val="9"/>
        <w:rPr>
          <w:rFonts w:ascii="宋体" w:hAnsi="宋体" w:cs="宋体"/>
          <w:color w:val="auto"/>
          <w:sz w:val="24"/>
          <w:highlight w:val="none"/>
        </w:rPr>
      </w:pPr>
    </w:p>
    <w:p>
      <w:pPr>
        <w:spacing w:line="480" w:lineRule="auto"/>
        <w:rPr>
          <w:rFonts w:ascii="宋体" w:hAnsi="宋体" w:cs="宋体"/>
          <w:color w:val="auto"/>
          <w:sz w:val="24"/>
          <w:highlight w:val="none"/>
        </w:rPr>
      </w:pPr>
      <w:r>
        <w:rPr>
          <w:rFonts w:hint="eastAsia" w:ascii="宋体" w:hAnsi="宋体" w:cs="宋体"/>
          <w:color w:val="auto"/>
          <w:sz w:val="24"/>
          <w:highlight w:val="none"/>
        </w:rPr>
        <w:t>资格审查文件、商务技术</w:t>
      </w:r>
      <w:r>
        <w:rPr>
          <w:rFonts w:hint="eastAsia" w:ascii="宋体" w:hAnsi="宋体" w:cs="宋体"/>
          <w:color w:val="auto"/>
          <w:sz w:val="24"/>
          <w:highlight w:val="none"/>
          <w:lang w:val="en-US" w:eastAsia="zh-CN"/>
        </w:rPr>
        <w:t>资信</w:t>
      </w:r>
      <w:r>
        <w:rPr>
          <w:rFonts w:hint="eastAsia" w:ascii="宋体" w:hAnsi="宋体" w:cs="宋体"/>
          <w:color w:val="auto"/>
          <w:sz w:val="24"/>
          <w:highlight w:val="none"/>
        </w:rPr>
        <w:t>文件、报价文件（相应选择一个磋商响应文件封面名称）</w:t>
      </w:r>
    </w:p>
    <w:p>
      <w:pPr>
        <w:spacing w:line="480" w:lineRule="auto"/>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六石安置区二期水系联通工程</w:t>
      </w:r>
    </w:p>
    <w:p>
      <w:pPr>
        <w:spacing w:line="48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DYBWZFCG2026-CS-009</w:t>
      </w:r>
    </w:p>
    <w:p>
      <w:pPr>
        <w:spacing w:line="480" w:lineRule="auto"/>
        <w:rPr>
          <w:rFonts w:ascii="宋体" w:hAnsi="宋体" w:cs="宋体"/>
          <w:color w:val="auto"/>
          <w:sz w:val="24"/>
          <w:highlight w:val="none"/>
        </w:rPr>
      </w:pPr>
      <w:r>
        <w:rPr>
          <w:rFonts w:hint="eastAsia" w:ascii="宋体" w:hAnsi="宋体" w:cs="宋体"/>
          <w:color w:val="auto"/>
          <w:sz w:val="24"/>
          <w:highlight w:val="none"/>
        </w:rPr>
        <w:t>标项：</w:t>
      </w:r>
    </w:p>
    <w:p>
      <w:pPr>
        <w:spacing w:line="480" w:lineRule="auto"/>
        <w:rPr>
          <w:rFonts w:ascii="宋体" w:hAnsi="宋体" w:cs="宋体"/>
          <w:color w:val="auto"/>
          <w:sz w:val="24"/>
          <w:highlight w:val="none"/>
        </w:rPr>
      </w:pPr>
      <w:r>
        <w:rPr>
          <w:rFonts w:hint="eastAsia" w:ascii="宋体" w:hAnsi="宋体" w:cs="宋体"/>
          <w:color w:val="auto"/>
          <w:sz w:val="24"/>
          <w:highlight w:val="none"/>
        </w:rPr>
        <w:t>供应商名称：</w:t>
      </w:r>
    </w:p>
    <w:p>
      <w:pPr>
        <w:spacing w:line="480" w:lineRule="auto"/>
        <w:rPr>
          <w:rFonts w:ascii="宋体" w:hAnsi="宋体" w:cs="宋体"/>
          <w:color w:val="auto"/>
          <w:sz w:val="24"/>
          <w:highlight w:val="none"/>
        </w:rPr>
      </w:pPr>
      <w:r>
        <w:rPr>
          <w:rFonts w:hint="eastAsia" w:ascii="宋体" w:hAnsi="宋体" w:cs="宋体"/>
          <w:color w:val="auto"/>
          <w:sz w:val="24"/>
          <w:highlight w:val="none"/>
        </w:rPr>
        <w:t>供应商地址：</w:t>
      </w:r>
    </w:p>
    <w:p>
      <w:pPr>
        <w:spacing w:line="48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pPr>
        <w:spacing w:line="360" w:lineRule="auto"/>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rPr>
          <w:color w:val="auto"/>
          <w:highlight w:val="none"/>
        </w:rPr>
      </w:pPr>
    </w:p>
    <w:p>
      <w:pPr>
        <w:spacing w:line="430" w:lineRule="exact"/>
        <w:rPr>
          <w:rFonts w:hint="eastAsia" w:ascii="宋体" w:hAnsi="宋体" w:cs="宋体"/>
          <w:b/>
          <w:color w:val="auto"/>
          <w:sz w:val="24"/>
          <w:highlight w:val="none"/>
          <w:lang w:val="en-US" w:eastAsia="zh-CN"/>
        </w:rPr>
      </w:pPr>
    </w:p>
    <w:p>
      <w:pPr>
        <w:spacing w:line="430" w:lineRule="exact"/>
        <w:rPr>
          <w:rFonts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.资格审查文件：</w:t>
      </w:r>
    </w:p>
    <w:p>
      <w:pPr>
        <w:spacing w:line="43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（1）有效的营业执照复印件</w:t>
      </w:r>
      <w:r>
        <w:rPr>
          <w:rFonts w:hint="eastAsia" w:ascii="宋体" w:hAnsi="宋体" w:cs="宋体"/>
          <w:color w:val="auto"/>
          <w:sz w:val="24"/>
          <w:highlight w:val="none"/>
          <w:lang w:eastAsia="zh-CN"/>
        </w:rPr>
        <w:t>；</w:t>
      </w:r>
    </w:p>
    <w:p>
      <w:pPr>
        <w:spacing w:line="43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有效的市政工程施工总承包三级（含）以上资质证书复印件</w:t>
      </w:r>
      <w:r>
        <w:rPr>
          <w:rFonts w:hint="eastAsia" w:ascii="宋体" w:hAnsi="宋体" w:cs="宋体"/>
          <w:color w:val="auto"/>
          <w:sz w:val="24"/>
          <w:highlight w:val="none"/>
          <w:lang w:eastAsia="zh-CN"/>
        </w:rPr>
        <w:t>；</w:t>
      </w:r>
    </w:p>
    <w:p>
      <w:pPr>
        <w:spacing w:line="43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）有效的企业安全生产许可证证书复印件</w:t>
      </w:r>
      <w:r>
        <w:rPr>
          <w:rFonts w:hint="eastAsia" w:ascii="宋体" w:hAnsi="宋体" w:cs="宋体"/>
          <w:color w:val="auto"/>
          <w:sz w:val="24"/>
          <w:highlight w:val="none"/>
          <w:lang w:eastAsia="zh-CN"/>
        </w:rPr>
        <w:t>；</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）法定代表人身份证复印件或法定代表人授权委托书(格式见附件)；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）符合参加政府采购活动应当具备的一般条件的承诺函（格式见附件）；</w:t>
      </w:r>
    </w:p>
    <w:p>
      <w:pPr>
        <w:spacing w:line="430" w:lineRule="exact"/>
        <w:rPr>
          <w:rFonts w:hint="eastAsia" w:ascii="宋体" w:hAnsi="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信用记录网络查询页面截图（以省级及以上政府采购网和信用中国查询截图为准）；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）东阳市政府采购代理机构社会评价表（格式见附件）；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）磋商声明书 (格式见附件) ；</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）政府采购活动现场确认声明书 (格式见附件) ；</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）联合体协议书（联合体投标时提供）（格式见附件）；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）供应商为中小企业/小微企业，提供《中小企业声明函》（格式见附件）；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）分包意向协议；（分包时提供，格式见附件）。</w:t>
      </w: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.商务技术资信文件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（1）供应商资信商务、技术自评得分表（格式见附件）；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（2）资信商务、技术文件响应表（格式见附件）；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）项目理解情况；</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）施工方案；</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）材料；</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）施工技术；</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）施工进度；</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）安全生产及承诺；</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）质量保障；</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）安全、文明施工等的保证措施；</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）施工机具设备；</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）材料设备进场计划；</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）人员情况（格式见附件）；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）布置情况；</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）关键工序、复杂环节的相应技术措施；</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）施工重点；</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）难点分析；</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）成品保护的保证措施；</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）管理协调；</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）认证证书；</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）同类项目业绩（格式见附件）；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）售后保障；</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）合理化建议；</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）安全生产及其他承诺函（格式见附件）；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）人员现场到位率承诺书（格式见附件）；</w:t>
      </w:r>
    </w:p>
    <w:p>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）供应商需要说明的其他文件和说明。</w:t>
      </w: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color w:val="auto"/>
          <w:sz w:val="24"/>
          <w:highlight w:val="none"/>
          <w:lang w:val="en-US" w:eastAsia="zh-CN"/>
        </w:rPr>
      </w:pPr>
    </w:p>
    <w:p>
      <w:pPr>
        <w:spacing w:line="430" w:lineRule="exac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.报价文件</w:t>
      </w:r>
    </w:p>
    <w:p>
      <w:pPr>
        <w:spacing w:line="43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（1）磋商响应函（格式见附件）； </w:t>
      </w:r>
    </w:p>
    <w:p>
      <w:pPr>
        <w:spacing w:line="43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▲（2）初次报价表（格式见附件）； </w:t>
      </w:r>
    </w:p>
    <w:p>
      <w:pPr>
        <w:spacing w:line="43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（3）异常低价证明材料，包括但不限于原材料成本、人工成本、制造费用等（投标总价低于最高限价45%以上时提供）；</w:t>
      </w:r>
    </w:p>
    <w:p>
      <w:pPr>
        <w:spacing w:line="430" w:lineRule="exact"/>
        <w:ind w:firstLine="240" w:firstLineChars="100"/>
        <w:rPr>
          <w:rFonts w:ascii="宋体" w:hAnsi="宋体" w:cs="宋体"/>
          <w:b/>
          <w:bCs/>
          <w:color w:val="auto"/>
          <w:sz w:val="24"/>
          <w:highlight w:val="none"/>
        </w:rPr>
      </w:pPr>
      <w:r>
        <w:rPr>
          <w:rFonts w:hint="eastAsia" w:ascii="宋体" w:hAnsi="宋体" w:cs="宋体"/>
          <w:color w:val="auto"/>
          <w:sz w:val="24"/>
          <w:highlight w:val="none"/>
        </w:rPr>
        <w:t>（4）供应商针对报价需要说明的其他文件和说明（格式自拟）；</w:t>
      </w:r>
    </w:p>
    <w:p>
      <w:pPr>
        <w:pStyle w:val="4"/>
        <w:keepNext w:val="0"/>
        <w:keepLines w:val="0"/>
        <w:pageBreakBefore/>
        <w:spacing w:line="360" w:lineRule="auto"/>
        <w:rPr>
          <w:rFonts w:ascii="宋体" w:hAnsi="宋体" w:eastAsia="宋体" w:cs="宋体"/>
          <w:b/>
          <w:bCs w:val="0"/>
          <w:color w:val="auto"/>
          <w:sz w:val="24"/>
          <w:szCs w:val="24"/>
          <w:highlight w:val="none"/>
        </w:rPr>
      </w:pPr>
      <w:bookmarkStart w:id="51" w:name="_Toc15152"/>
      <w:r>
        <w:rPr>
          <w:rFonts w:hint="eastAsia" w:ascii="宋体" w:hAnsi="宋体" w:eastAsia="宋体" w:cs="宋体"/>
          <w:b/>
          <w:bCs w:val="0"/>
          <w:color w:val="auto"/>
          <w:sz w:val="24"/>
          <w:szCs w:val="24"/>
          <w:highlight w:val="none"/>
        </w:rPr>
        <w:t>附件一：磋商声明书</w:t>
      </w:r>
      <w:bookmarkEnd w:id="51"/>
    </w:p>
    <w:p>
      <w:pPr>
        <w:snapToGrid w:val="0"/>
        <w:spacing w:beforeLines="50" w:after="50" w:line="276" w:lineRule="auto"/>
        <w:jc w:val="center"/>
        <w:rPr>
          <w:rFonts w:ascii="宋体" w:hAnsi="宋体" w:cs="宋体"/>
          <w:b/>
          <w:color w:val="auto"/>
          <w:sz w:val="24"/>
          <w:highlight w:val="none"/>
        </w:rPr>
      </w:pPr>
      <w:r>
        <w:rPr>
          <w:rFonts w:hint="eastAsia" w:ascii="宋体" w:hAnsi="宋体" w:cs="宋体"/>
          <w:b/>
          <w:color w:val="auto"/>
          <w:sz w:val="24"/>
          <w:highlight w:val="none"/>
        </w:rPr>
        <w:t>磋商声明书</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napToGrid w:val="0"/>
        <w:spacing w:beforeLines="50" w:after="50" w:line="276" w:lineRule="auto"/>
        <w:ind w:firstLine="720" w:firstLineChars="3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beforeLines="50" w:after="50" w:line="276" w:lineRule="auto"/>
        <w:ind w:firstLine="645"/>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（供应商名称）的法定代表人，我方愿意参加贵方组织的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项目的磋商，为便于贵方公正、择优地确定中标人及其磋商服务，我方就本次磋商有关事项郑重声明如下：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1.我方向贵方提交的所有磋商响应文件、资料都是准确的和真实的。若有违背，我公司愿为由此而产生的一切后果负责。</w:t>
      </w:r>
    </w:p>
    <w:p>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2.我方不是采购人的附属机构；在获知本项目采购信息后，与采购人聘请的为此项目提供咨询服务的公司及其附属机构没有任何联系。</w:t>
      </w:r>
    </w:p>
    <w:p>
      <w:pPr>
        <w:snapToGrid w:val="0"/>
        <w:spacing w:beforeLines="50"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我方诚意提请贵方关注：近期有</w:t>
      </w:r>
      <w:r>
        <w:rPr>
          <w:rFonts w:hint="eastAsia" w:ascii="宋体" w:hAnsi="宋体" w:cs="宋体"/>
          <w:color w:val="auto"/>
          <w:sz w:val="24"/>
          <w:highlight w:val="none"/>
          <w:u w:val="single"/>
        </w:rPr>
        <w:t xml:space="preserve">                   （采购内容）</w:t>
      </w:r>
      <w:r>
        <w:rPr>
          <w:rFonts w:hint="eastAsia" w:ascii="宋体" w:hAnsi="宋体" w:cs="宋体"/>
          <w:color w:val="auto"/>
          <w:sz w:val="24"/>
          <w:highlight w:val="none"/>
        </w:rPr>
        <w:t>等方面的重大决策和事项有：</w:t>
      </w:r>
    </w:p>
    <w:p>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pPr>
        <w:snapToGrid w:val="0"/>
        <w:spacing w:beforeLines="50"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w:t>
      </w:r>
    </w:p>
    <w:p>
      <w:pPr>
        <w:pStyle w:val="11"/>
        <w:snapToGrid w:val="0"/>
        <w:spacing w:line="276" w:lineRule="auto"/>
        <w:rPr>
          <w:rFonts w:ascii="宋体" w:hAnsi="宋体" w:cs="宋体"/>
          <w:color w:val="auto"/>
          <w:sz w:val="24"/>
          <w:highlight w:val="none"/>
        </w:rPr>
      </w:pPr>
      <w:r>
        <w:rPr>
          <w:rFonts w:hint="eastAsia" w:ascii="宋体" w:hAnsi="宋体" w:cs="宋体"/>
          <w:color w:val="auto"/>
          <w:sz w:val="24"/>
          <w:highlight w:val="none"/>
        </w:rPr>
        <w:t>4.我方及由本人担任法定代表人的其他机构最近三年内被通报或者被处罚的违法行为有：</w:t>
      </w:r>
    </w:p>
    <w:p>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pPr>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5.以上事项如有虚假或隐瞒，我方愿意承担一切后果，并不再寻求任何旨在减轻或免除法律责任的辩解。</w:t>
      </w:r>
    </w:p>
    <w:p>
      <w:pPr>
        <w:pStyle w:val="21"/>
        <w:tabs>
          <w:tab w:val="left" w:pos="939"/>
        </w:tabs>
        <w:snapToGrid w:val="0"/>
        <w:spacing w:line="276" w:lineRule="auto"/>
        <w:ind w:left="773" w:leftChars="150" w:hanging="458" w:hangingChars="191"/>
        <w:rPr>
          <w:rFonts w:ascii="宋体" w:hAnsi="宋体" w:cs="宋体"/>
          <w:color w:val="auto"/>
          <w:sz w:val="24"/>
          <w:highlight w:val="none"/>
        </w:rPr>
      </w:pPr>
    </w:p>
    <w:p>
      <w:pPr>
        <w:pStyle w:val="72"/>
        <w:snapToGrid w:val="0"/>
        <w:spacing w:beforeLines="50" w:line="276" w:lineRule="auto"/>
        <w:ind w:firstLine="200"/>
        <w:rPr>
          <w:rFonts w:ascii="宋体" w:hAnsi="宋体" w:cs="宋体"/>
          <w:color w:val="auto"/>
          <w:szCs w:val="24"/>
          <w:highlight w:val="none"/>
        </w:rPr>
      </w:pPr>
    </w:p>
    <w:p>
      <w:pPr>
        <w:snapToGrid w:val="0"/>
        <w:spacing w:beforeLines="50" w:line="276" w:lineRule="auto"/>
        <w:ind w:firstLine="319" w:firstLineChars="133"/>
        <w:rPr>
          <w:rFonts w:ascii="宋体" w:hAnsi="宋体" w:cs="宋体"/>
          <w:color w:val="auto"/>
          <w:sz w:val="24"/>
          <w:highlight w:val="none"/>
          <w:u w:val="singl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w:t>
      </w:r>
      <w:r>
        <w:rPr>
          <w:rFonts w:hint="eastAsia" w:ascii="宋体" w:hAnsi="宋体" w:cs="宋体"/>
          <w:color w:val="auto"/>
          <w:sz w:val="24"/>
          <w:highlight w:val="none"/>
          <w:lang w:val="en-US" w:eastAsia="zh-CN"/>
        </w:rPr>
        <w:t>或签名章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napToGrid w:val="0"/>
        <w:spacing w:beforeLines="50" w:after="50" w:line="276"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盖章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beforeLines="50" w:after="50" w:line="276"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年    月    日</w:t>
      </w:r>
    </w:p>
    <w:p>
      <w:pPr>
        <w:snapToGrid w:val="0"/>
        <w:spacing w:beforeLines="50" w:after="50" w:line="276" w:lineRule="auto"/>
        <w:ind w:firstLine="6240" w:firstLineChars="2600"/>
        <w:rPr>
          <w:rFonts w:ascii="宋体" w:hAnsi="宋体" w:cs="宋体"/>
          <w:color w:val="auto"/>
          <w:sz w:val="24"/>
          <w:highlight w:val="none"/>
        </w:rPr>
      </w:pPr>
    </w:p>
    <w:p>
      <w:pPr>
        <w:snapToGrid w:val="0"/>
        <w:spacing w:beforeLines="50" w:after="50" w:line="276" w:lineRule="auto"/>
        <w:ind w:firstLine="6240" w:firstLineChars="2600"/>
        <w:rPr>
          <w:rFonts w:ascii="宋体" w:hAnsi="宋体" w:cs="宋体"/>
          <w:color w:val="auto"/>
          <w:sz w:val="24"/>
          <w:highlight w:val="none"/>
        </w:rPr>
      </w:pPr>
    </w:p>
    <w:p>
      <w:pPr>
        <w:snapToGrid w:val="0"/>
        <w:spacing w:beforeLines="50" w:after="50" w:line="276" w:lineRule="auto"/>
        <w:ind w:firstLine="6240" w:firstLineChars="2600"/>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pStyle w:val="4"/>
        <w:keepNext w:val="0"/>
        <w:keepLines w:val="0"/>
        <w:pageBreakBefore/>
        <w:spacing w:line="360" w:lineRule="auto"/>
        <w:rPr>
          <w:rFonts w:ascii="宋体" w:hAnsi="宋体" w:eastAsia="宋体" w:cs="宋体"/>
          <w:b w:val="0"/>
          <w:bCs w:val="0"/>
          <w:color w:val="auto"/>
          <w:sz w:val="24"/>
          <w:szCs w:val="24"/>
          <w:highlight w:val="none"/>
        </w:rPr>
      </w:pPr>
      <w:bookmarkStart w:id="52" w:name="_Toc30843"/>
      <w:bookmarkStart w:id="53" w:name="_Toc24340"/>
      <w:bookmarkStart w:id="54" w:name="_Toc3669"/>
      <w:bookmarkStart w:id="55" w:name="_Toc3455"/>
      <w:bookmarkStart w:id="56" w:name="_Toc23315"/>
      <w:bookmarkStart w:id="57" w:name="_Toc10320"/>
      <w:r>
        <w:rPr>
          <w:rFonts w:hint="eastAsia" w:ascii="宋体" w:hAnsi="宋体" w:eastAsia="宋体" w:cs="宋体"/>
          <w:b/>
          <w:bCs/>
          <w:color w:val="auto"/>
          <w:sz w:val="24"/>
          <w:szCs w:val="24"/>
          <w:highlight w:val="none"/>
        </w:rPr>
        <w:t>附件二：</w:t>
      </w:r>
      <w:bookmarkEnd w:id="52"/>
      <w:bookmarkEnd w:id="53"/>
      <w:r>
        <w:rPr>
          <w:rFonts w:hint="eastAsia" w:ascii="宋体" w:hAnsi="宋体" w:eastAsia="宋体" w:cs="宋体"/>
          <w:b/>
          <w:bCs/>
          <w:color w:val="auto"/>
          <w:sz w:val="24"/>
          <w:szCs w:val="24"/>
          <w:highlight w:val="none"/>
        </w:rPr>
        <w:t>符合参加政府采购活动应当具备的一般条件的承诺函</w:t>
      </w:r>
      <w:bookmarkEnd w:id="54"/>
      <w:bookmarkEnd w:id="55"/>
      <w:bookmarkEnd w:id="56"/>
    </w:p>
    <w:p>
      <w:pPr>
        <w:pStyle w:val="36"/>
        <w:spacing w:before="100" w:after="100" w:line="360" w:lineRule="auto"/>
        <w:jc w:val="center"/>
        <w:rPr>
          <w:color w:val="auto"/>
          <w:highlight w:val="none"/>
        </w:rPr>
      </w:pPr>
      <w:r>
        <w:rPr>
          <w:rFonts w:hint="eastAsia"/>
          <w:b/>
          <w:bCs/>
          <w:color w:val="auto"/>
          <w:sz w:val="27"/>
          <w:szCs w:val="27"/>
          <w:highlight w:val="none"/>
        </w:rPr>
        <w:t>符合参加政府采购活动应当具备的一般条件的承诺函</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pStyle w:val="36"/>
        <w:spacing w:before="0" w:after="0" w:line="360" w:lineRule="auto"/>
        <w:ind w:left="480"/>
        <w:jc w:val="both"/>
        <w:rPr>
          <w:color w:val="auto"/>
          <w:kern w:val="2"/>
          <w:highlight w:val="none"/>
        </w:rPr>
      </w:pPr>
      <w:r>
        <w:rPr>
          <w:rFonts w:hint="eastAsia"/>
          <w:color w:val="auto"/>
          <w:kern w:val="2"/>
          <w:highlight w:val="none"/>
        </w:rPr>
        <w:t>我方参与</w:t>
      </w:r>
      <w:r>
        <w:rPr>
          <w:rFonts w:hint="eastAsia"/>
          <w:color w:val="auto"/>
          <w:highlight w:val="none"/>
          <w:u w:val="single"/>
        </w:rPr>
        <w:t xml:space="preserve">              </w:t>
      </w:r>
      <w:r>
        <w:rPr>
          <w:rFonts w:hint="eastAsia"/>
          <w:color w:val="auto"/>
          <w:kern w:val="2"/>
          <w:highlight w:val="none"/>
        </w:rPr>
        <w:t>项目【项目编号：</w:t>
      </w:r>
      <w:r>
        <w:rPr>
          <w:rFonts w:hint="eastAsia"/>
          <w:color w:val="auto"/>
          <w:highlight w:val="none"/>
          <w:u w:val="single"/>
        </w:rPr>
        <w:t xml:space="preserve">             </w:t>
      </w:r>
      <w:r>
        <w:rPr>
          <w:rFonts w:hint="eastAsia"/>
          <w:color w:val="auto"/>
          <w:kern w:val="2"/>
          <w:highlight w:val="none"/>
        </w:rPr>
        <w:t>】政府采购活动，郑重承诺：</w:t>
      </w:r>
    </w:p>
    <w:p>
      <w:pPr>
        <w:pStyle w:val="36"/>
        <w:spacing w:before="0" w:after="0" w:line="360" w:lineRule="auto"/>
        <w:ind w:left="480"/>
        <w:jc w:val="both"/>
        <w:rPr>
          <w:color w:val="auto"/>
          <w:kern w:val="2"/>
          <w:highlight w:val="none"/>
        </w:rPr>
      </w:pPr>
      <w:r>
        <w:rPr>
          <w:rFonts w:hint="eastAsia"/>
          <w:color w:val="auto"/>
          <w:kern w:val="2"/>
          <w:highlight w:val="none"/>
        </w:rPr>
        <w:t>（一）具备《中华人民共和国政府采购法》第二十二条第一款规定的条件：</w:t>
      </w:r>
    </w:p>
    <w:p>
      <w:pPr>
        <w:pStyle w:val="36"/>
        <w:spacing w:before="0" w:after="0" w:line="360" w:lineRule="auto"/>
        <w:ind w:left="480"/>
        <w:jc w:val="both"/>
        <w:rPr>
          <w:color w:val="auto"/>
          <w:kern w:val="2"/>
          <w:highlight w:val="none"/>
        </w:rPr>
      </w:pPr>
      <w:r>
        <w:rPr>
          <w:rFonts w:hint="eastAsia"/>
          <w:color w:val="auto"/>
          <w:kern w:val="2"/>
          <w:highlight w:val="none"/>
        </w:rPr>
        <w:t>1、具有独立承担民事责任的能力；</w:t>
      </w:r>
    </w:p>
    <w:p>
      <w:pPr>
        <w:pStyle w:val="36"/>
        <w:spacing w:before="0" w:after="0" w:line="360" w:lineRule="auto"/>
        <w:ind w:left="480"/>
        <w:jc w:val="both"/>
        <w:rPr>
          <w:color w:val="auto"/>
          <w:kern w:val="2"/>
          <w:highlight w:val="none"/>
        </w:rPr>
      </w:pPr>
      <w:r>
        <w:rPr>
          <w:rFonts w:hint="eastAsia"/>
          <w:color w:val="auto"/>
          <w:kern w:val="2"/>
          <w:highlight w:val="none"/>
        </w:rPr>
        <w:t xml:space="preserve">2、具有良好的商业信誉和健全的财务会计制度； </w:t>
      </w:r>
    </w:p>
    <w:p>
      <w:pPr>
        <w:pStyle w:val="36"/>
        <w:spacing w:before="0" w:after="0" w:line="360" w:lineRule="auto"/>
        <w:ind w:left="480"/>
        <w:jc w:val="both"/>
        <w:rPr>
          <w:color w:val="auto"/>
          <w:kern w:val="2"/>
          <w:highlight w:val="none"/>
        </w:rPr>
      </w:pPr>
      <w:r>
        <w:rPr>
          <w:rFonts w:hint="eastAsia"/>
          <w:color w:val="auto"/>
          <w:kern w:val="2"/>
          <w:highlight w:val="none"/>
        </w:rPr>
        <w:t>3、具有履行合同所必需的设备和专业技术能力；</w:t>
      </w:r>
    </w:p>
    <w:p>
      <w:pPr>
        <w:pStyle w:val="36"/>
        <w:spacing w:before="0" w:after="0" w:line="360" w:lineRule="auto"/>
        <w:ind w:left="480"/>
        <w:jc w:val="both"/>
        <w:rPr>
          <w:color w:val="auto"/>
          <w:kern w:val="2"/>
          <w:highlight w:val="none"/>
        </w:rPr>
      </w:pPr>
      <w:r>
        <w:rPr>
          <w:rFonts w:hint="eastAsia"/>
          <w:color w:val="auto"/>
          <w:kern w:val="2"/>
          <w:highlight w:val="none"/>
        </w:rPr>
        <w:t>4、有依法缴纳税收和社会保障资金的良好记录；</w:t>
      </w:r>
    </w:p>
    <w:p>
      <w:pPr>
        <w:pStyle w:val="36"/>
        <w:spacing w:before="0" w:after="0" w:line="360" w:lineRule="auto"/>
        <w:ind w:left="480"/>
        <w:jc w:val="both"/>
        <w:rPr>
          <w:color w:val="auto"/>
          <w:kern w:val="2"/>
          <w:highlight w:val="none"/>
        </w:rPr>
      </w:pPr>
      <w:r>
        <w:rPr>
          <w:rFonts w:hint="eastAsia"/>
          <w:color w:val="auto"/>
          <w:kern w:val="2"/>
          <w:highlight w:val="none"/>
        </w:rPr>
        <w:t>5、参加政府采购活动前三年内，在经营活动中没有重大违法记录；</w:t>
      </w:r>
    </w:p>
    <w:p>
      <w:pPr>
        <w:pStyle w:val="36"/>
        <w:spacing w:before="0" w:after="0" w:line="360" w:lineRule="auto"/>
        <w:ind w:left="480"/>
        <w:jc w:val="both"/>
        <w:rPr>
          <w:color w:val="auto"/>
          <w:kern w:val="2"/>
          <w:highlight w:val="none"/>
        </w:rPr>
      </w:pPr>
      <w:r>
        <w:rPr>
          <w:rFonts w:hint="eastAsia"/>
          <w:color w:val="auto"/>
          <w:kern w:val="2"/>
          <w:highlight w:val="none"/>
        </w:rPr>
        <w:t>6、具有法律、行政法规规定的其他条件。</w:t>
      </w:r>
    </w:p>
    <w:p>
      <w:pPr>
        <w:pStyle w:val="36"/>
        <w:spacing w:before="0" w:after="0" w:line="360" w:lineRule="auto"/>
        <w:ind w:left="480"/>
        <w:jc w:val="both"/>
        <w:rPr>
          <w:color w:val="auto"/>
          <w:kern w:val="2"/>
          <w:highlight w:val="none"/>
        </w:rPr>
      </w:pPr>
      <w:r>
        <w:rPr>
          <w:rFonts w:hint="eastAsia"/>
          <w:color w:val="auto"/>
          <w:kern w:val="2"/>
          <w:highlight w:val="none"/>
        </w:rPr>
        <w:t>（二）未被信用中国（www.creditchina.gov.cn)、中国政府采购网（www.ccgp.gov.cn）列入失信被执行人、重大税收违法案件当事人名单、政府采购严重违法失信行为记录名单。</w:t>
      </w:r>
    </w:p>
    <w:p>
      <w:pPr>
        <w:pStyle w:val="36"/>
        <w:spacing w:before="0" w:after="0" w:line="360" w:lineRule="auto"/>
        <w:ind w:left="480"/>
        <w:jc w:val="both"/>
        <w:rPr>
          <w:color w:val="auto"/>
          <w:kern w:val="2"/>
          <w:highlight w:val="none"/>
        </w:rPr>
      </w:pPr>
      <w:r>
        <w:rPr>
          <w:rFonts w:hint="eastAsia"/>
          <w:color w:val="auto"/>
          <w:kern w:val="2"/>
          <w:highlight w:val="none"/>
        </w:rPr>
        <w:t>（三）不存在以下情况：</w:t>
      </w:r>
    </w:p>
    <w:p>
      <w:pPr>
        <w:pStyle w:val="36"/>
        <w:spacing w:before="0" w:after="0" w:line="360" w:lineRule="auto"/>
        <w:ind w:left="480"/>
        <w:jc w:val="both"/>
        <w:rPr>
          <w:color w:val="auto"/>
          <w:kern w:val="2"/>
          <w:highlight w:val="none"/>
        </w:rPr>
      </w:pPr>
      <w:r>
        <w:rPr>
          <w:rFonts w:hint="eastAsia"/>
          <w:color w:val="auto"/>
          <w:kern w:val="2"/>
          <w:highlight w:val="none"/>
        </w:rPr>
        <w:t>1、单位负责人为同一人或者存在直接控股、管理关系的不同供应商参加同一合同项下的政府采购活动的；</w:t>
      </w:r>
    </w:p>
    <w:p>
      <w:pPr>
        <w:pStyle w:val="36"/>
        <w:spacing w:before="0" w:after="0" w:line="360" w:lineRule="auto"/>
        <w:ind w:left="480"/>
        <w:jc w:val="both"/>
        <w:rPr>
          <w:color w:val="auto"/>
          <w:kern w:val="2"/>
          <w:highlight w:val="none"/>
        </w:rPr>
      </w:pPr>
      <w:r>
        <w:rPr>
          <w:rFonts w:hint="eastAsia"/>
          <w:color w:val="auto"/>
          <w:kern w:val="2"/>
          <w:highlight w:val="none"/>
        </w:rPr>
        <w:t>2、为采购项目提供整体设计、规范编制或者项目管理、监理、检测等服务后再参加该采购项目的其他采购活动的。</w:t>
      </w:r>
    </w:p>
    <w:p>
      <w:pPr>
        <w:pStyle w:val="36"/>
        <w:spacing w:before="0" w:after="0" w:line="360" w:lineRule="auto"/>
        <w:ind w:left="480"/>
        <w:jc w:val="both"/>
        <w:rPr>
          <w:color w:val="auto"/>
          <w:kern w:val="2"/>
          <w:highlight w:val="none"/>
        </w:rPr>
      </w:pPr>
    </w:p>
    <w:p>
      <w:pPr>
        <w:pStyle w:val="36"/>
        <w:spacing w:before="0" w:after="0" w:line="360" w:lineRule="auto"/>
        <w:ind w:left="480"/>
        <w:jc w:val="both"/>
        <w:rPr>
          <w:color w:val="auto"/>
          <w:kern w:val="2"/>
          <w:highlight w:val="none"/>
        </w:rPr>
      </w:pPr>
    </w:p>
    <w:p>
      <w:pPr>
        <w:pStyle w:val="36"/>
        <w:spacing w:before="0" w:after="0" w:line="360" w:lineRule="auto"/>
        <w:ind w:left="480"/>
        <w:jc w:val="both"/>
        <w:rPr>
          <w:color w:val="auto"/>
          <w:kern w:val="2"/>
          <w:highlight w:val="none"/>
        </w:rPr>
      </w:pPr>
    </w:p>
    <w:p>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w:t>
      </w:r>
      <w:r>
        <w:rPr>
          <w:rFonts w:hint="eastAsia" w:ascii="宋体" w:hAnsi="宋体" w:cs="宋体"/>
          <w:color w:val="auto"/>
          <w:sz w:val="24"/>
          <w:highlight w:val="none"/>
          <w:lang w:val="en-US" w:eastAsia="zh-CN"/>
        </w:rPr>
        <w:t>或签名章）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pPr>
        <w:snapToGrid w:val="0"/>
        <w:spacing w:beforeLines="50"/>
        <w:rPr>
          <w:rFonts w:ascii="宋体" w:hAnsi="宋体" w:cs="宋体"/>
          <w:color w:val="auto"/>
          <w:sz w:val="24"/>
          <w:highlight w:val="none"/>
        </w:rPr>
      </w:pPr>
      <w:r>
        <w:rPr>
          <w:rFonts w:hint="eastAsia" w:ascii="宋体" w:hAnsi="宋体" w:cs="宋体"/>
          <w:color w:val="auto"/>
          <w:spacing w:val="20"/>
          <w:sz w:val="24"/>
          <w:highlight w:val="none"/>
        </w:rPr>
        <w:t>供应商</w:t>
      </w:r>
      <w:r>
        <w:rPr>
          <w:rFonts w:hint="eastAsia" w:ascii="宋体" w:hAnsi="宋体" w:cs="宋体"/>
          <w:color w:val="auto"/>
          <w:spacing w:val="20"/>
          <w:sz w:val="24"/>
          <w:highlight w:val="none"/>
          <w:lang w:eastAsia="zh-CN"/>
        </w:rPr>
        <w:t>（</w:t>
      </w:r>
      <w:r>
        <w:rPr>
          <w:rFonts w:hint="eastAsia" w:ascii="宋体" w:hAnsi="宋体" w:cs="宋体"/>
          <w:color w:val="auto"/>
          <w:spacing w:val="20"/>
          <w:sz w:val="24"/>
          <w:highlight w:val="none"/>
        </w:rPr>
        <w:t>盖章</w:t>
      </w:r>
      <w:r>
        <w:rPr>
          <w:rFonts w:hint="eastAsia" w:ascii="宋体" w:hAnsi="宋体" w:cs="宋体"/>
          <w:color w:val="auto"/>
          <w:spacing w:val="20"/>
          <w:sz w:val="24"/>
          <w:highlight w:val="none"/>
          <w:lang w:eastAsia="zh-CN"/>
        </w:rPr>
        <w:t>）</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pPr>
        <w:rPr>
          <w:rFonts w:ascii="宋体" w:hAnsi="宋体" w:cs="宋体"/>
          <w:color w:val="auto"/>
          <w:sz w:val="24"/>
          <w:highlight w:val="none"/>
        </w:rPr>
      </w:pPr>
    </w:p>
    <w:p>
      <w:pPr>
        <w:pageBreakBefore/>
        <w:spacing w:before="260" w:after="260" w:line="415" w:lineRule="auto"/>
        <w:outlineLvl w:val="1"/>
        <w:rPr>
          <w:rFonts w:hint="eastAsia" w:ascii="宋体" w:hAnsi="宋体" w:eastAsia="宋体" w:cs="宋体"/>
          <w:bCs/>
          <w:color w:val="auto"/>
          <w:sz w:val="24"/>
          <w:highlight w:val="none"/>
        </w:rPr>
      </w:pPr>
      <w:bookmarkStart w:id="58" w:name="_Toc26637"/>
      <w:bookmarkStart w:id="59" w:name="_Toc2204"/>
      <w:r>
        <w:rPr>
          <w:rFonts w:hint="eastAsia" w:ascii="宋体" w:hAnsi="宋体" w:eastAsia="宋体" w:cs="宋体"/>
          <w:b/>
          <w:bCs w:val="0"/>
          <w:color w:val="auto"/>
          <w:sz w:val="24"/>
          <w:highlight w:val="none"/>
        </w:rPr>
        <w:t>附件</w:t>
      </w:r>
      <w:r>
        <w:rPr>
          <w:rFonts w:hint="eastAsia" w:ascii="宋体" w:hAnsi="宋体" w:eastAsia="宋体" w:cs="宋体"/>
          <w:b/>
          <w:bCs w:val="0"/>
          <w:color w:val="auto"/>
          <w:sz w:val="24"/>
          <w:highlight w:val="none"/>
          <w:lang w:val="en-US" w:eastAsia="zh-CN"/>
        </w:rPr>
        <w:t>三</w:t>
      </w:r>
      <w:r>
        <w:rPr>
          <w:rFonts w:hint="eastAsia" w:ascii="宋体" w:hAnsi="宋体" w:eastAsia="宋体" w:cs="宋体"/>
          <w:b/>
          <w:bCs w:val="0"/>
          <w:color w:val="auto"/>
          <w:sz w:val="24"/>
          <w:highlight w:val="none"/>
        </w:rPr>
        <w:t>：东阳市政府采购代理机构社会评价表</w:t>
      </w:r>
      <w:bookmarkEnd w:id="58"/>
      <w:bookmarkEnd w:id="59"/>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东阳市政府采购代理机构社会评价表</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代理机构名称：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552"/>
        <w:gridCol w:w="735"/>
        <w:gridCol w:w="1128"/>
        <w:gridCol w:w="1089"/>
        <w:gridCol w:w="836"/>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填表人类别</w:t>
            </w:r>
          </w:p>
        </w:tc>
        <w:tc>
          <w:tcPr>
            <w:tcW w:w="8387" w:type="dxa"/>
            <w:gridSpan w:val="6"/>
            <w:tcBorders>
              <w:top w:val="single" w:color="auto" w:sz="4" w:space="0"/>
              <w:left w:val="nil"/>
              <w:bottom w:val="single" w:color="auto" w:sz="4" w:space="0"/>
              <w:right w:val="single" w:color="auto" w:sz="4" w:space="0"/>
            </w:tcBorders>
            <w:vAlign w:val="center"/>
          </w:tcPr>
          <w:p>
            <w:pPr>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□采购单位      □供应商      □专家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填表人名称或姓名</w:t>
            </w:r>
          </w:p>
        </w:tc>
        <w:tc>
          <w:tcPr>
            <w:tcW w:w="4504"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c>
          <w:tcPr>
            <w:tcW w:w="8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c>
          <w:tcPr>
            <w:tcW w:w="73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21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c>
          <w:tcPr>
            <w:tcW w:w="8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12"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对代理机构的评价</w:t>
            </w:r>
          </w:p>
        </w:tc>
        <w:tc>
          <w:tcPr>
            <w:tcW w:w="3415"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4972"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评价（请在分值范围内进行打分）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是否严格执行政府采购纪律、法规和规章制度等（2分）。</w:t>
            </w:r>
          </w:p>
        </w:tc>
        <w:tc>
          <w:tcPr>
            <w:tcW w:w="4972"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操作程序是否规范，采购行为、过程、结果是否公开、公平、公正，采购组织管理是否规范严谨（2分）</w:t>
            </w:r>
            <w:r>
              <w:rPr>
                <w:rFonts w:hint="eastAsia" w:ascii="宋体" w:hAnsi="宋体" w:eastAsia="宋体" w:cs="宋体"/>
                <w:color w:val="auto"/>
                <w:kern w:val="0"/>
                <w:sz w:val="24"/>
                <w:highlight w:val="none"/>
              </w:rPr>
              <w:t>。</w:t>
            </w:r>
          </w:p>
        </w:tc>
        <w:tc>
          <w:tcPr>
            <w:tcW w:w="4972"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3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是否及时组织采购，是否有承诺办事时间并能限时办结（2分）</w:t>
            </w:r>
            <w:r>
              <w:rPr>
                <w:rFonts w:hint="eastAsia" w:ascii="宋体" w:hAnsi="宋体" w:eastAsia="宋体" w:cs="宋体"/>
                <w:color w:val="auto"/>
                <w:kern w:val="0"/>
                <w:sz w:val="24"/>
                <w:highlight w:val="none"/>
              </w:rPr>
              <w:t>。</w:t>
            </w:r>
          </w:p>
        </w:tc>
        <w:tc>
          <w:tcPr>
            <w:tcW w:w="4972"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是否能积极</w:t>
            </w:r>
            <w:r>
              <w:rPr>
                <w:rFonts w:hint="eastAsia" w:ascii="宋体" w:hAnsi="宋体" w:eastAsia="宋体" w:cs="宋体"/>
                <w:color w:val="auto"/>
                <w:kern w:val="0"/>
                <w:sz w:val="24"/>
                <w:highlight w:val="none"/>
              </w:rPr>
              <w:t>主动</w:t>
            </w:r>
            <w:r>
              <w:rPr>
                <w:rFonts w:hint="eastAsia" w:ascii="宋体" w:hAnsi="宋体" w:eastAsia="宋体" w:cs="宋体"/>
                <w:color w:val="auto"/>
                <w:sz w:val="24"/>
                <w:highlight w:val="none"/>
              </w:rPr>
              <w:t>与当事人沟通</w:t>
            </w:r>
            <w:r>
              <w:rPr>
                <w:rFonts w:hint="eastAsia" w:ascii="宋体" w:hAnsi="宋体" w:eastAsia="宋体" w:cs="宋体"/>
                <w:color w:val="auto"/>
                <w:kern w:val="0"/>
                <w:sz w:val="24"/>
                <w:highlight w:val="none"/>
              </w:rPr>
              <w:t>对接；对采购政策进行详细解读；</w:t>
            </w:r>
            <w:r>
              <w:rPr>
                <w:rFonts w:hint="eastAsia" w:ascii="宋体" w:hAnsi="宋体" w:eastAsia="宋体" w:cs="宋体"/>
                <w:color w:val="auto"/>
                <w:sz w:val="24"/>
                <w:highlight w:val="none"/>
              </w:rPr>
              <w:t>咨询答复是否热情周到、耐心细致（2分）</w:t>
            </w:r>
            <w:r>
              <w:rPr>
                <w:rFonts w:hint="eastAsia" w:ascii="宋体" w:hAnsi="宋体" w:eastAsia="宋体" w:cs="宋体"/>
                <w:color w:val="auto"/>
                <w:kern w:val="0"/>
                <w:sz w:val="24"/>
                <w:highlight w:val="none"/>
              </w:rPr>
              <w:t>。</w:t>
            </w:r>
          </w:p>
        </w:tc>
        <w:tc>
          <w:tcPr>
            <w:tcW w:w="4972"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采购的质量、服务是否满意（2分）。</w:t>
            </w:r>
          </w:p>
        </w:tc>
        <w:tc>
          <w:tcPr>
            <w:tcW w:w="4972"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4972" w:type="dxa"/>
            <w:gridSpan w:val="3"/>
            <w:tcBorders>
              <w:top w:val="single" w:color="auto" w:sz="4" w:space="0"/>
              <w:left w:val="nil"/>
              <w:bottom w:val="single" w:color="auto" w:sz="4" w:space="0"/>
              <w:right w:val="single" w:color="auto" w:sz="4" w:space="0"/>
            </w:tcBorders>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对代理机构的意见和建议</w:t>
            </w:r>
          </w:p>
        </w:tc>
        <w:tc>
          <w:tcPr>
            <w:tcW w:w="8387" w:type="dxa"/>
            <w:gridSpan w:val="6"/>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387" w:type="dxa"/>
            <w:gridSpan w:val="6"/>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r>
    </w:tbl>
    <w:p>
      <w:pPr>
        <w:spacing w:after="120"/>
        <w:ind w:right="1240"/>
        <w:rPr>
          <w:rFonts w:hint="eastAsia" w:ascii="宋体" w:hAnsi="宋体" w:eastAsia="宋体" w:cs="宋体"/>
          <w:color w:val="auto"/>
          <w:sz w:val="24"/>
          <w:highlight w:val="none"/>
        </w:rPr>
      </w:pPr>
      <w:r>
        <w:rPr>
          <w:rFonts w:hint="eastAsia" w:ascii="宋体" w:hAnsi="宋体" w:eastAsia="宋体" w:cs="宋体"/>
          <w:color w:val="auto"/>
          <w:sz w:val="24"/>
          <w:highlight w:val="none"/>
        </w:rPr>
        <w:t>填表人签字盖章：                    日期</w:t>
      </w:r>
    </w:p>
    <w:p>
      <w:pPr>
        <w:spacing w:after="120"/>
        <w:ind w:right="-154"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注：投标单位须加盖单位</w:t>
      </w:r>
      <w:r>
        <w:rPr>
          <w:rFonts w:hint="eastAsia" w:ascii="宋体" w:hAnsi="宋体" w:cs="宋体"/>
          <w:color w:val="auto"/>
          <w:szCs w:val="21"/>
          <w:highlight w:val="none"/>
          <w:lang w:val="en-US" w:eastAsia="zh-CN"/>
        </w:rPr>
        <w:t>公章</w:t>
      </w:r>
      <w:r>
        <w:rPr>
          <w:rFonts w:hint="eastAsia" w:ascii="宋体" w:hAnsi="宋体" w:eastAsia="宋体" w:cs="宋体"/>
          <w:color w:val="auto"/>
          <w:szCs w:val="21"/>
          <w:highlight w:val="none"/>
        </w:rPr>
        <w:t>。</w:t>
      </w:r>
    </w:p>
    <w:p>
      <w:pPr>
        <w:pStyle w:val="4"/>
        <w:keepNext w:val="0"/>
        <w:keepLines w:val="0"/>
        <w:pageBreakBefore/>
        <w:spacing w:line="360" w:lineRule="auto"/>
        <w:rPr>
          <w:rFonts w:ascii="宋体" w:hAnsi="宋体" w:eastAsia="宋体" w:cs="宋体"/>
          <w:b/>
          <w:bCs/>
          <w:color w:val="auto"/>
          <w:sz w:val="24"/>
          <w:szCs w:val="24"/>
          <w:highlight w:val="none"/>
        </w:rPr>
      </w:pPr>
      <w:bookmarkStart w:id="60" w:name="_Toc28249"/>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：政府采购活动现场确认声明书</w:t>
      </w:r>
      <w:bookmarkEnd w:id="57"/>
      <w:bookmarkEnd w:id="60"/>
    </w:p>
    <w:p>
      <w:pPr>
        <w:snapToGrid w:val="0"/>
        <w:spacing w:beforeLines="50" w:after="50" w:line="480" w:lineRule="auto"/>
        <w:jc w:val="center"/>
        <w:rPr>
          <w:rFonts w:ascii="宋体" w:hAnsi="宋体" w:cs="宋体"/>
          <w:b/>
          <w:color w:val="auto"/>
          <w:sz w:val="24"/>
          <w:highlight w:val="none"/>
        </w:rPr>
      </w:pPr>
      <w:r>
        <w:rPr>
          <w:rFonts w:hint="eastAsia" w:ascii="宋体" w:hAnsi="宋体" w:cs="宋体"/>
          <w:b/>
          <w:color w:val="auto"/>
          <w:sz w:val="24"/>
          <w:highlight w:val="none"/>
        </w:rPr>
        <w:t>政府采购活动现场确认声明书</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napToGrid w:val="0"/>
        <w:spacing w:beforeLines="50" w:after="50" w:line="276"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（授权代表姓名），经由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（法定代表人姓名）合法授权参加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）政府采购活动．经与本单位法人代表（负责人）联系确认，现就有关公平竞争事项郑重声明如下:</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一、本单位与采购人之间口不存在利害关系口存在下列利害关系: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A．投资关系</w:t>
      </w:r>
      <w:r>
        <w:rPr>
          <w:rFonts w:hint="eastAsia" w:ascii="宋体" w:hAnsi="宋体" w:cs="宋体"/>
          <w:color w:val="auto"/>
          <w:sz w:val="24"/>
          <w:highlight w:val="none"/>
        </w:rPr>
        <w:tab/>
      </w:r>
      <w:r>
        <w:rPr>
          <w:rFonts w:hint="eastAsia" w:ascii="宋体" w:hAnsi="宋体" w:cs="宋体"/>
          <w:color w:val="auto"/>
          <w:sz w:val="24"/>
          <w:highlight w:val="none"/>
        </w:rPr>
        <w:t>B．行政隶属关系</w:t>
      </w:r>
      <w:r>
        <w:rPr>
          <w:rFonts w:hint="eastAsia" w:ascii="宋体" w:hAnsi="宋体" w:cs="宋体"/>
          <w:color w:val="auto"/>
          <w:sz w:val="24"/>
          <w:highlight w:val="none"/>
        </w:rPr>
        <w:tab/>
      </w:r>
      <w:r>
        <w:rPr>
          <w:rFonts w:hint="eastAsia" w:ascii="宋体" w:hAnsi="宋体" w:cs="宋体"/>
          <w:color w:val="auto"/>
          <w:sz w:val="24"/>
          <w:highlight w:val="none"/>
        </w:rPr>
        <w:t>C．业务指导关系  D．其他可能影响采购公正的利害关系（如有，请如实说明）。</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现</w:t>
      </w:r>
      <w:r>
        <w:rPr>
          <w:rFonts w:hint="eastAsia" w:ascii="宋体" w:hAnsi="宋体" w:cs="宋体"/>
          <w:color w:val="auto"/>
          <w:sz w:val="24"/>
          <w:highlight w:val="none"/>
          <w:lang w:val="en-US" w:eastAsia="zh-CN"/>
        </w:rPr>
        <w:t>已</w:t>
      </w:r>
      <w:r>
        <w:rPr>
          <w:rFonts w:hint="eastAsia" w:ascii="宋体" w:hAnsi="宋体" w:cs="宋体"/>
          <w:color w:val="auto"/>
          <w:sz w:val="24"/>
          <w:highlight w:val="none"/>
        </w:rPr>
        <w:t xml:space="preserve">清楚知道参加本项目采购活动的其他所有供应商名称，本单位 口与其他所有供应商之间均不存在利害关系 口与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（供应商名称）之间存在下列利害关系: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A．法定代表人或负责人或实际控制人是同一人B．法定代表人或负责人或实际控制人是夫妻关系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C.法定代表人或负责人或实际控制人是直系血亲关系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D.法定代表人或负责人或实际控制人存在三代以内旁系血亲关系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E．法定代表人或负责人或实际控制人存在近姻亲关系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F．法定代表人或负责人或实际控制人存在股份控制或实际控制关系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G．存在共同直接或间接投资设立子公司、联营企业和合营企业情况</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H.存在分级代理或代销关系、同一生产制造商关系、管理关系、重要业务（占</w:t>
      </w:r>
      <w:r>
        <w:rPr>
          <w:rFonts w:hint="eastAsia" w:ascii="宋体" w:hAnsi="宋体" w:cs="宋体"/>
          <w:color w:val="auto"/>
          <w:sz w:val="24"/>
          <w:highlight w:val="none"/>
          <w:lang w:eastAsia="zh-CN"/>
        </w:rPr>
        <w:t>主营业务收入</w:t>
      </w:r>
      <w:r>
        <w:rPr>
          <w:rFonts w:hint="eastAsia" w:ascii="宋体" w:hAnsi="宋体" w:cs="宋体"/>
          <w:color w:val="auto"/>
          <w:sz w:val="24"/>
          <w:highlight w:val="none"/>
        </w:rPr>
        <w:t xml:space="preserve"> 50 ％以上）或重要财务往来关系（如融资）等其他实质性控制关系</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I.其他利害关系情况</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三、现</w:t>
      </w:r>
      <w:r>
        <w:rPr>
          <w:rFonts w:hint="eastAsia" w:ascii="宋体" w:hAnsi="宋体" w:cs="宋体"/>
          <w:color w:val="auto"/>
          <w:sz w:val="24"/>
          <w:highlight w:val="none"/>
          <w:lang w:eastAsia="zh-CN"/>
        </w:rPr>
        <w:t>已清楚</w:t>
      </w:r>
      <w:r>
        <w:rPr>
          <w:rFonts w:hint="eastAsia" w:ascii="宋体" w:hAnsi="宋体" w:cs="宋体"/>
          <w:color w:val="auto"/>
          <w:sz w:val="24"/>
          <w:highlight w:val="none"/>
        </w:rPr>
        <w:t>知道并严格遵守政府采购法律法规和现场纪律。</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四、我发现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供应商之间存在或可能存在上述第二条第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项利害关系。</w:t>
      </w:r>
    </w:p>
    <w:p>
      <w:pPr>
        <w:snapToGrid w:val="0"/>
        <w:spacing w:beforeLines="50" w:after="50" w:line="276" w:lineRule="auto"/>
        <w:rPr>
          <w:rFonts w:ascii="宋体" w:hAnsi="宋体" w:cs="宋体"/>
          <w:color w:val="auto"/>
          <w:sz w:val="24"/>
          <w:highlight w:val="none"/>
        </w:rPr>
      </w:pPr>
    </w:p>
    <w:p>
      <w:pPr>
        <w:pStyle w:val="18"/>
        <w:rPr>
          <w:color w:val="auto"/>
          <w:highlight w:val="none"/>
        </w:rPr>
      </w:pPr>
    </w:p>
    <w:p>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 xml:space="preserve">（供应商代表签名）: </w:t>
      </w:r>
    </w:p>
    <w:p>
      <w:pPr>
        <w:snapToGrid w:val="0"/>
        <w:spacing w:beforeLines="50" w:after="50" w:line="276" w:lineRule="auto"/>
        <w:jc w:val="center"/>
        <w:rPr>
          <w:rFonts w:ascii="宋体" w:hAnsi="宋体" w:cs="宋体"/>
          <w:b/>
          <w:color w:val="auto"/>
          <w:sz w:val="24"/>
          <w:highlight w:val="none"/>
        </w:rPr>
      </w:pPr>
      <w:r>
        <w:rPr>
          <w:rFonts w:hint="eastAsia" w:ascii="宋体" w:hAnsi="宋体" w:cs="宋体"/>
          <w:color w:val="auto"/>
          <w:sz w:val="24"/>
          <w:highlight w:val="none"/>
        </w:rPr>
        <w:t xml:space="preserve">                                                     年   月   日</w:t>
      </w:r>
    </w:p>
    <w:p>
      <w:pPr>
        <w:pStyle w:val="4"/>
        <w:keepNext w:val="0"/>
        <w:keepLines w:val="0"/>
        <w:pageBreakBefore/>
        <w:spacing w:line="276" w:lineRule="auto"/>
        <w:rPr>
          <w:rFonts w:ascii="宋体" w:hAnsi="宋体" w:eastAsia="宋体" w:cs="宋体"/>
          <w:b/>
          <w:bCs w:val="0"/>
          <w:color w:val="auto"/>
          <w:sz w:val="24"/>
          <w:szCs w:val="24"/>
          <w:highlight w:val="none"/>
        </w:rPr>
      </w:pPr>
      <w:bookmarkStart w:id="61" w:name="_Toc28758"/>
      <w:r>
        <w:rPr>
          <w:rFonts w:hint="eastAsia" w:ascii="宋体" w:hAnsi="宋体" w:eastAsia="宋体" w:cs="宋体"/>
          <w:b/>
          <w:bCs w:val="0"/>
          <w:color w:val="auto"/>
          <w:sz w:val="24"/>
          <w:szCs w:val="24"/>
          <w:highlight w:val="none"/>
        </w:rPr>
        <w:t>附件</w:t>
      </w:r>
      <w:r>
        <w:rPr>
          <w:rFonts w:hint="eastAsia" w:ascii="宋体" w:hAnsi="宋体" w:eastAsia="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：法定代表人授权委托书</w:t>
      </w:r>
      <w:bookmarkEnd w:id="61"/>
    </w:p>
    <w:p>
      <w:pPr>
        <w:snapToGrid w:val="0"/>
        <w:spacing w:beforeLines="50" w:after="50" w:line="276" w:lineRule="auto"/>
        <w:jc w:val="center"/>
        <w:rPr>
          <w:rFonts w:ascii="宋体" w:hAnsi="宋体" w:cs="宋体"/>
          <w:b/>
          <w:color w:val="auto"/>
          <w:sz w:val="24"/>
          <w:highlight w:val="none"/>
        </w:rPr>
      </w:pPr>
      <w:r>
        <w:rPr>
          <w:rFonts w:hint="eastAsia" w:ascii="宋体" w:hAnsi="宋体" w:cs="宋体"/>
          <w:b/>
          <w:color w:val="auto"/>
          <w:sz w:val="24"/>
          <w:highlight w:val="none"/>
        </w:rPr>
        <w:t>法定代表人授权委托书</w:t>
      </w:r>
    </w:p>
    <w:p>
      <w:pPr>
        <w:snapToGrid w:val="0"/>
        <w:spacing w:beforeLines="50" w:after="50" w:line="276" w:lineRule="auto"/>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napToGrid w:val="0"/>
        <w:spacing w:beforeLines="50" w:after="50" w:line="276"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（供应商名称）的法定代表人，现授权委托本单位在职职工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lang w:eastAsia="zh-CN"/>
        </w:rPr>
        <w:t xml:space="preserve">六石安置区二期水系联通工程 </w:t>
      </w:r>
      <w:r>
        <w:rPr>
          <w:rFonts w:hint="eastAsia" w:ascii="宋体" w:hAnsi="宋体" w:cs="宋体"/>
          <w:color w:val="auto"/>
          <w:sz w:val="24"/>
          <w:highlight w:val="none"/>
        </w:rPr>
        <w:t>的磋商活动，并代表我方全权办理针对上述项目的磋商、开标、签约等具体事务和签署相关文件。</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我方对委托代理人的签名事项负全部责任。</w:t>
      </w:r>
    </w:p>
    <w:p>
      <w:pPr>
        <w:snapToGrid w:val="0"/>
        <w:spacing w:beforeLines="50" w:after="50" w:line="276" w:lineRule="auto"/>
        <w:ind w:firstLine="480"/>
        <w:rPr>
          <w:rFonts w:ascii="宋体" w:hAnsi="宋体" w:cs="宋体"/>
          <w:color w:val="auto"/>
          <w:sz w:val="24"/>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委托代理人在授权书有效期内签署的所有文件不因授权的撤销而失效。</w:t>
      </w:r>
    </w:p>
    <w:p>
      <w:pPr>
        <w:snapToGrid w:val="0"/>
        <w:spacing w:beforeLines="50" w:after="50" w:line="276" w:lineRule="auto"/>
        <w:ind w:firstLine="48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napToGrid w:val="0"/>
        <w:spacing w:beforeLines="50" w:after="50" w:line="276" w:lineRule="auto"/>
        <w:rPr>
          <w:rFonts w:ascii="宋体" w:hAnsi="宋体" w:cs="宋体"/>
          <w:color w:val="auto"/>
          <w:sz w:val="24"/>
          <w:highlight w:val="none"/>
          <w:u w:val="single"/>
        </w:rPr>
      </w:pPr>
      <w:r>
        <w:rPr>
          <w:rFonts w:hint="eastAsia" w:ascii="宋体" w:hAnsi="宋体" w:cs="宋体"/>
          <w:color w:val="auto"/>
          <w:sz w:val="24"/>
          <w:highlight w:val="none"/>
        </w:rPr>
        <w:t>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w:t>
      </w:r>
      <w:r>
        <w:rPr>
          <w:rFonts w:hint="eastAsia" w:ascii="宋体" w:hAnsi="宋体" w:cs="宋体"/>
          <w:color w:val="auto"/>
          <w:sz w:val="24"/>
          <w:highlight w:val="none"/>
          <w:lang w:val="en-US" w:eastAsia="zh-CN"/>
        </w:rPr>
        <w:t>或签名章）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w:t>
      </w:r>
      <w:r>
        <w:rPr>
          <w:rFonts w:hint="eastAsia" w:ascii="宋体" w:hAnsi="宋体" w:cs="宋体"/>
          <w:color w:val="auto"/>
          <w:sz w:val="24"/>
          <w:highlight w:val="none"/>
          <w:lang w:val="en-US" w:eastAsia="zh-CN"/>
        </w:rPr>
        <w:t>或签名章）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napToGrid w:val="0"/>
        <w:spacing w:beforeLines="50" w:after="50" w:line="276" w:lineRule="auto"/>
        <w:ind w:firstLine="960" w:firstLineChars="400"/>
        <w:rPr>
          <w:rFonts w:ascii="宋体" w:hAnsi="宋体" w:cs="宋体"/>
          <w:color w:val="auto"/>
          <w:sz w:val="24"/>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委托代理人身份证复印件（正反双面）：</w:t>
      </w:r>
    </w:p>
    <w:tbl>
      <w:tblPr>
        <w:tblStyle w:val="39"/>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3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232" w:hRule="atLeast"/>
        </w:trPr>
        <w:tc>
          <w:tcPr>
            <w:tcW w:w="5328" w:type="dxa"/>
            <w:vAlign w:val="top"/>
          </w:tcPr>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粘</w:t>
            </w:r>
          </w:p>
          <w:p>
            <w:pPr>
              <w:snapToGrid w:val="0"/>
              <w:spacing w:beforeLines="50" w:after="50" w:line="276" w:lineRule="auto"/>
              <w:jc w:val="center"/>
              <w:rPr>
                <w:rFonts w:ascii="宋体" w:hAnsi="宋体" w:cs="宋体"/>
                <w:color w:val="auto"/>
                <w:sz w:val="24"/>
                <w:highlight w:val="none"/>
              </w:rPr>
            </w:pPr>
          </w:p>
          <w:p>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贴</w:t>
            </w:r>
          </w:p>
          <w:p>
            <w:pPr>
              <w:snapToGrid w:val="0"/>
              <w:spacing w:beforeLines="50" w:after="50" w:line="276" w:lineRule="auto"/>
              <w:jc w:val="center"/>
              <w:rPr>
                <w:rFonts w:ascii="宋体" w:hAnsi="宋体" w:cs="宋体"/>
                <w:color w:val="auto"/>
                <w:sz w:val="24"/>
                <w:highlight w:val="none"/>
              </w:rPr>
            </w:pPr>
          </w:p>
          <w:p>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处</w:t>
            </w:r>
          </w:p>
        </w:tc>
      </w:tr>
    </w:tbl>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beforeLines="50" w:after="50" w:line="276" w:lineRule="auto"/>
        <w:rPr>
          <w:rFonts w:ascii="宋体" w:hAnsi="宋体" w:cs="宋体"/>
          <w:color w:val="auto"/>
          <w:sz w:val="24"/>
          <w:highlight w:val="none"/>
        </w:rPr>
      </w:pPr>
    </w:p>
    <w:p>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盖</w:t>
      </w:r>
      <w:r>
        <w:rPr>
          <w:rFonts w:hint="eastAsia" w:ascii="宋体" w:hAnsi="宋体" w:cs="宋体"/>
          <w:color w:val="auto"/>
          <w:sz w:val="24"/>
          <w:highlight w:val="none"/>
        </w:rPr>
        <w:t>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napToGrid w:val="0"/>
        <w:spacing w:beforeLines="50" w:after="50" w:line="276" w:lineRule="auto"/>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注；此表格格式不得修改。</w:t>
      </w:r>
    </w:p>
    <w:p>
      <w:pPr>
        <w:pStyle w:val="4"/>
        <w:keepNext w:val="0"/>
        <w:keepLines w:val="0"/>
        <w:pageBreakBefore/>
        <w:spacing w:line="276" w:lineRule="auto"/>
        <w:rPr>
          <w:rFonts w:ascii="宋体" w:hAnsi="宋体" w:eastAsia="宋体" w:cs="宋体"/>
          <w:b/>
          <w:bCs w:val="0"/>
          <w:color w:val="auto"/>
          <w:sz w:val="24"/>
          <w:szCs w:val="24"/>
          <w:highlight w:val="none"/>
        </w:rPr>
      </w:pPr>
      <w:bookmarkStart w:id="62" w:name="_Toc25167"/>
      <w:bookmarkStart w:id="63" w:name="_Toc26477"/>
      <w:bookmarkStart w:id="64" w:name="_Toc22508"/>
      <w:r>
        <w:rPr>
          <w:rFonts w:hint="eastAsia" w:ascii="宋体" w:hAnsi="宋体" w:eastAsia="宋体" w:cs="宋体"/>
          <w:b/>
          <w:bCs w:val="0"/>
          <w:color w:val="auto"/>
          <w:sz w:val="24"/>
          <w:szCs w:val="24"/>
          <w:highlight w:val="none"/>
        </w:rPr>
        <w:t>附件</w:t>
      </w:r>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：联合体协议</w:t>
      </w:r>
      <w:bookmarkEnd w:id="62"/>
      <w:bookmarkEnd w:id="63"/>
      <w:bookmarkEnd w:id="64"/>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联合体协议</w:t>
      </w:r>
    </w:p>
    <w:p>
      <w:pPr>
        <w:snapToGrid w:val="0"/>
        <w:spacing w:line="360" w:lineRule="auto"/>
        <w:ind w:firstLine="576"/>
        <w:rPr>
          <w:rFonts w:hint="eastAsia" w:ascii="宋体" w:hAnsi="宋体" w:eastAsia="宋体" w:cs="宋体"/>
          <w:b/>
          <w:bCs/>
          <w:color w:val="auto"/>
          <w:kern w:val="0"/>
          <w:sz w:val="24"/>
          <w:highlight w:val="none"/>
          <w:u w:val="single"/>
        </w:rPr>
      </w:pPr>
      <w:r>
        <w:rPr>
          <w:rFonts w:hint="eastAsia" w:ascii="宋体" w:hAnsi="宋体" w:eastAsia="宋体" w:cs="宋体"/>
          <w:b/>
          <w:bCs/>
          <w:color w:val="auto"/>
          <w:kern w:val="0"/>
          <w:sz w:val="24"/>
          <w:highlight w:val="none"/>
          <w:u w:val="single"/>
        </w:rPr>
        <w:t>（以联合体形式投标的，提供联合协议；本项目不接受联合体投标或者供应商不以联合体形式投标的，则不需要提供）</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组成一个联合体，以一个供应商的身份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授权代表根据竞争性磋商文件规定及投标内容而对采购人、采购机构所作的任何合法承诺，包括书面澄清及</w:t>
      </w:r>
      <w:r>
        <w:rPr>
          <w:rFonts w:hint="eastAsia" w:ascii="宋体" w:hAnsi="宋体" w:cs="宋体"/>
          <w:color w:val="auto"/>
          <w:kern w:val="0"/>
          <w:sz w:val="24"/>
          <w:highlight w:val="none"/>
          <w:lang w:val="zh-CN"/>
        </w:rPr>
        <w:t>响应</w:t>
      </w:r>
      <w:r>
        <w:rPr>
          <w:rFonts w:hint="eastAsia" w:ascii="宋体" w:hAnsi="宋体" w:eastAsia="宋体" w:cs="宋体"/>
          <w:color w:val="auto"/>
          <w:kern w:val="0"/>
          <w:sz w:val="24"/>
          <w:highlight w:val="none"/>
          <w:lang w:val="zh-CN"/>
        </w:rPr>
        <w:t>等均对联合投标各方产生约束力。</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r>
        <w:rPr>
          <w:rFonts w:hint="eastAsia" w:ascii="宋体" w:hAnsi="宋体" w:eastAsia="宋体" w:cs="宋体"/>
          <w:color w:val="auto"/>
          <w:kern w:val="0"/>
          <w:sz w:val="24"/>
          <w:highlight w:val="none"/>
          <w:u w:val="single"/>
        </w:rPr>
        <w:t>（联合体其中一方成员名称）</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w:t>
      </w:r>
      <w:r>
        <w:rPr>
          <w:rFonts w:hint="eastAsia" w:ascii="宋体" w:hAnsi="宋体" w:eastAsia="宋体" w:cs="宋体"/>
          <w:color w:val="auto"/>
          <w:kern w:val="0"/>
          <w:sz w:val="24"/>
          <w:highlight w:val="none"/>
          <w:u w:val="single"/>
        </w:rPr>
        <w:t>（联合体其中一方成员名称）</w:t>
      </w:r>
      <w:r>
        <w:rPr>
          <w:rFonts w:hint="eastAsia" w:ascii="宋体" w:hAnsi="宋体" w:eastAsia="宋体" w:cs="宋体"/>
          <w:color w:val="auto"/>
          <w:kern w:val="0"/>
          <w:sz w:val="24"/>
          <w:highlight w:val="none"/>
        </w:rPr>
        <w:t>提供的全部货物/服务由小微企业制造/服务，其合同份额占到合同总金额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联合体成员名称(公章)：</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pPr>
        <w:snapToGrid w:val="0"/>
        <w:spacing w:line="360" w:lineRule="auto"/>
        <w:ind w:right="480"/>
        <w:rPr>
          <w:rFonts w:hint="eastAsia" w:ascii="宋体" w:hAnsi="宋体" w:eastAsia="宋体" w:cs="宋体"/>
          <w:b/>
          <w:color w:val="auto"/>
          <w:kern w:val="0"/>
          <w:sz w:val="32"/>
          <w:szCs w:val="32"/>
          <w:highlight w:val="none"/>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pPr>
        <w:pStyle w:val="4"/>
        <w:rPr>
          <w:rFonts w:hint="eastAsia" w:ascii="宋体" w:hAnsi="宋体" w:eastAsia="宋体" w:cs="宋体"/>
          <w:b/>
          <w:bCs w:val="0"/>
          <w:color w:val="auto"/>
          <w:sz w:val="24"/>
          <w:szCs w:val="24"/>
          <w:highlight w:val="none"/>
        </w:rPr>
      </w:pPr>
      <w:bookmarkStart w:id="65" w:name="_Toc20690"/>
      <w:bookmarkStart w:id="66" w:name="_Toc1774"/>
      <w:bookmarkStart w:id="67" w:name="_Toc2319"/>
      <w:r>
        <w:rPr>
          <w:rFonts w:hint="eastAsia" w:ascii="宋体" w:hAnsi="宋体" w:eastAsia="宋体" w:cs="宋体"/>
          <w:b/>
          <w:bCs w:val="0"/>
          <w:color w:val="auto"/>
          <w:sz w:val="24"/>
          <w:szCs w:val="24"/>
          <w:highlight w:val="none"/>
        </w:rPr>
        <w:t>附件</w:t>
      </w: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：分包意向协议</w:t>
      </w:r>
      <w:bookmarkEnd w:id="65"/>
      <w:bookmarkEnd w:id="66"/>
      <w:bookmarkEnd w:id="67"/>
    </w:p>
    <w:p>
      <w:pPr>
        <w:snapToGrid w:val="0"/>
        <w:spacing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分包意向协议</w:t>
      </w:r>
    </w:p>
    <w:p>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中标后以分包方式履行合同的，提供分包意向协议；采购人不同意分包或者供应商中标后不以分包方式履行合同的，则不需要提供。</w:t>
      </w:r>
      <w:r>
        <w:rPr>
          <w:rFonts w:hint="eastAsia" w:ascii="宋体" w:hAnsi="宋体" w:eastAsia="宋体" w:cs="宋体"/>
          <w:color w:val="auto"/>
          <w:sz w:val="24"/>
          <w:highlight w:val="none"/>
        </w:rPr>
        <w:t>）</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（某分包供应商名称）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（某分包供应商名称），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pPr>
        <w:snapToGrid w:val="0"/>
        <w:spacing w:line="360" w:lineRule="auto"/>
        <w:ind w:firstLine="576"/>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二、分包工作履行期限、地点、方式</w:t>
      </w:r>
    </w:p>
    <w:p>
      <w:pPr>
        <w:snapToGrid w:val="0"/>
        <w:spacing w:line="360" w:lineRule="auto"/>
        <w:ind w:firstLine="57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三、质量</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四、价款或者报酬</w:t>
      </w:r>
    </w:p>
    <w:p>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五、违约责任</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六、争议解决的办法</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七、其他</w:t>
      </w:r>
    </w:p>
    <w:p>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u w:val="single"/>
        </w:rPr>
        <w:t>（分包供应商名称）提供的货物/服务全部由小微企业制造/服务，</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sz w:val="24"/>
          <w:highlight w:val="none"/>
        </w:rPr>
        <w:t>。</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供应商名称(盖章)：</w:t>
      </w:r>
    </w:p>
    <w:p>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p>
    <w:p>
      <w:pPr>
        <w:snapToGrid w:val="0"/>
        <w:spacing w:line="360" w:lineRule="auto"/>
        <w:ind w:firstLine="5760" w:firstLineChars="2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pPr>
        <w:pageBreakBefore/>
        <w:spacing w:before="260" w:after="260" w:line="415" w:lineRule="auto"/>
        <w:outlineLvl w:val="1"/>
        <w:rPr>
          <w:rFonts w:hint="eastAsia" w:ascii="宋体" w:hAnsi="宋体" w:eastAsia="宋体" w:cs="宋体"/>
          <w:b/>
          <w:bCs w:val="0"/>
          <w:color w:val="auto"/>
          <w:sz w:val="24"/>
          <w:highlight w:val="none"/>
        </w:rPr>
      </w:pPr>
      <w:bookmarkStart w:id="68" w:name="_Toc26112"/>
      <w:bookmarkStart w:id="69" w:name="_Toc26189"/>
      <w:r>
        <w:rPr>
          <w:rFonts w:hint="eastAsia" w:ascii="宋体" w:hAnsi="宋体" w:eastAsia="宋体" w:cs="宋体"/>
          <w:b/>
          <w:bCs w:val="0"/>
          <w:color w:val="auto"/>
          <w:sz w:val="24"/>
          <w:highlight w:val="none"/>
        </w:rPr>
        <w:t>附件</w:t>
      </w:r>
      <w:r>
        <w:rPr>
          <w:rFonts w:hint="eastAsia" w:ascii="宋体" w:hAnsi="宋体" w:eastAsia="宋体" w:cs="宋体"/>
          <w:b/>
          <w:bCs w:val="0"/>
          <w:color w:val="auto"/>
          <w:sz w:val="24"/>
          <w:highlight w:val="none"/>
          <w:lang w:val="en-US" w:eastAsia="zh-CN"/>
        </w:rPr>
        <w:t>八</w:t>
      </w:r>
      <w:r>
        <w:rPr>
          <w:rFonts w:hint="eastAsia" w:ascii="宋体" w:hAnsi="宋体" w:eastAsia="宋体" w:cs="宋体"/>
          <w:b/>
          <w:bCs w:val="0"/>
          <w:color w:val="auto"/>
          <w:sz w:val="24"/>
          <w:highlight w:val="none"/>
        </w:rPr>
        <w:t>：中小企业声明函（工程、服务）</w:t>
      </w:r>
      <w:bookmarkEnd w:id="68"/>
      <w:bookmarkEnd w:id="69"/>
    </w:p>
    <w:p>
      <w:pPr>
        <w:snapToGrid w:val="0"/>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中小企业声明函（工程、服务）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建筑业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建筑业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pPr>
        <w:spacing w:line="360" w:lineRule="auto"/>
        <w:rPr>
          <w:rFonts w:hint="eastAsia" w:ascii="宋体" w:hAnsi="宋体" w:eastAsia="宋体" w:cs="宋体"/>
          <w:color w:val="auto"/>
          <w:sz w:val="24"/>
          <w:highlight w:val="none"/>
        </w:rPr>
      </w:pPr>
    </w:p>
    <w:p>
      <w:pPr>
        <w:spacing w:line="360" w:lineRule="auto"/>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pPr>
        <w:spacing w:line="360" w:lineRule="auto"/>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1312" behindDoc="1" locked="0" layoutInCell="1" allowOverlap="1">
                <wp:simplePos x="0" y="0"/>
                <wp:positionH relativeFrom="page">
                  <wp:posOffset>1143000</wp:posOffset>
                </wp:positionH>
                <wp:positionV relativeFrom="paragraph">
                  <wp:posOffset>111125</wp:posOffset>
                </wp:positionV>
                <wp:extent cx="1828800" cy="0"/>
                <wp:effectExtent l="0" t="4445" r="0" b="5080"/>
                <wp:wrapTopAndBottom/>
                <wp:docPr id="10" name="直线 6"/>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0" cmpd="sng">
                          <a:solidFill>
                            <a:srgbClr val="000000"/>
                          </a:solidFill>
                          <a:round/>
                        </a:ln>
                        <a:effectLst/>
                      </wps:spPr>
                      <wps:bodyPr/>
                    </wps:wsp>
                  </a:graphicData>
                </a:graphic>
              </wp:anchor>
            </w:drawing>
          </mc:Choice>
          <mc:Fallback>
            <w:pict>
              <v:line id="直线 6" o:spid="_x0000_s1026" o:spt="20" style="position:absolute;left:0pt;margin-left:90pt;margin-top:8.75pt;height:0pt;width:144pt;mso-position-horizontal-relative:page;mso-wrap-distance-bottom:0pt;mso-wrap-distance-top:0pt;z-index:-251655168;mso-width-relative:page;mso-height-relative:page;" filled="f" stroked="t" coordsize="21600,21600" o:gfxdata="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2yG49UAAAAJAQAADwAAAAAAAAABACAAAAAiAAAAZHJzL2Rvd25yZXYueG1s&#10;UEsBAhQAFAAAAAgAh07iQA4+5PPCAQAAagMAAA4AAAAAAAAAAQAgAAAAJAEAAGRycy9lMm9Eb2Mu&#10;eG1sUEsFBgAAAAAGAAYAWQEAAFgFAAAAAA==&#10;">
                <v:fill on="f" focussize="0,0"/>
                <v:stroke weight="0pt" color="#000000" joinstyle="round"/>
                <v:imagedata o:title=""/>
                <o:lock v:ext="edit" aspectratio="f"/>
                <w10:wrap type="topAndBottom"/>
              </v:line>
            </w:pict>
          </mc:Fallback>
        </mc:AlternateConten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、从业人员、营业收入、资产总额填报上一年度数据，无上一年度数据的新成立企业可不填报。</w:t>
      </w:r>
    </w:p>
    <w:p>
      <w:pPr>
        <w:pStyle w:val="18"/>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、如中标人声明为小微企业，本声明函将随中标结果同时公告，接受社会监督。</w:t>
      </w:r>
    </w:p>
    <w:p>
      <w:pPr>
        <w:pStyle w:val="4"/>
        <w:keepNext w:val="0"/>
        <w:keepLines w:val="0"/>
        <w:pageBreakBefore/>
        <w:spacing w:line="415" w:lineRule="auto"/>
        <w:rPr>
          <w:rFonts w:hint="eastAsia" w:ascii="宋体" w:hAnsi="宋体" w:eastAsia="宋体" w:cs="宋体"/>
          <w:b/>
          <w:bCs w:val="0"/>
          <w:color w:val="auto"/>
          <w:sz w:val="24"/>
          <w:szCs w:val="24"/>
          <w:highlight w:val="none"/>
        </w:rPr>
      </w:pPr>
      <w:bookmarkStart w:id="70" w:name="_Toc24672"/>
      <w:bookmarkStart w:id="71" w:name="_Toc27135"/>
      <w:bookmarkStart w:id="72" w:name="_Toc5557"/>
      <w:r>
        <w:rPr>
          <w:rFonts w:hint="eastAsia" w:ascii="宋体" w:hAnsi="宋体" w:eastAsia="宋体" w:cs="宋体"/>
          <w:b/>
          <w:bCs w:val="0"/>
          <w:color w:val="auto"/>
          <w:sz w:val="24"/>
          <w:szCs w:val="24"/>
          <w:highlight w:val="none"/>
        </w:rPr>
        <w:t>附件</w:t>
      </w:r>
      <w:r>
        <w:rPr>
          <w:rFonts w:hint="eastAsia" w:ascii="宋体" w:hAnsi="宋体" w:eastAsia="宋体" w:cs="宋体"/>
          <w:b/>
          <w:bCs w:val="0"/>
          <w:color w:val="auto"/>
          <w:sz w:val="24"/>
          <w:szCs w:val="24"/>
          <w:highlight w:val="none"/>
          <w:lang w:val="en-US" w:eastAsia="zh-CN"/>
        </w:rPr>
        <w:t>九</w:t>
      </w:r>
      <w:r>
        <w:rPr>
          <w:rFonts w:hint="eastAsia" w:ascii="宋体" w:hAnsi="宋体" w:eastAsia="宋体" w:cs="宋体"/>
          <w:b/>
          <w:bCs w:val="0"/>
          <w:color w:val="auto"/>
          <w:sz w:val="24"/>
          <w:szCs w:val="24"/>
          <w:highlight w:val="none"/>
        </w:rPr>
        <w:t>：残疾人福利性单位声明函</w:t>
      </w:r>
      <w:bookmarkEnd w:id="70"/>
      <w:bookmarkEnd w:id="71"/>
      <w:bookmarkEnd w:id="72"/>
    </w:p>
    <w:p>
      <w:pPr>
        <w:spacing w:after="120"/>
        <w:ind w:right="960" w:firstLine="2533" w:firstLineChars="701"/>
        <w:jc w:val="left"/>
        <w:rPr>
          <w:rFonts w:hint="eastAsia" w:ascii="宋体" w:hAnsi="宋体" w:cs="宋体"/>
          <w:b/>
          <w:color w:val="auto"/>
          <w:sz w:val="36"/>
          <w:highlight w:val="none"/>
        </w:rPr>
      </w:pPr>
      <w:r>
        <w:rPr>
          <w:rFonts w:hint="eastAsia" w:ascii="宋体" w:hAnsi="宋体" w:cs="宋体"/>
          <w:b/>
          <w:color w:val="auto"/>
          <w:sz w:val="36"/>
          <w:highlight w:val="none"/>
        </w:rPr>
        <w:t>残疾人福利性单位声明函</w:t>
      </w:r>
    </w:p>
    <w:p>
      <w:pPr>
        <w:spacing w:after="120" w:line="360" w:lineRule="auto"/>
        <w:ind w:right="960" w:firstLine="548" w:firstLineChars="196"/>
        <w:jc w:val="left"/>
        <w:rPr>
          <w:rFonts w:hint="eastAsia" w:ascii="宋体" w:hAnsi="宋体" w:cs="宋体"/>
          <w:color w:val="auto"/>
          <w:sz w:val="28"/>
          <w:highlight w:val="none"/>
        </w:rPr>
      </w:pPr>
    </w:p>
    <w:p>
      <w:pPr>
        <w:spacing w:after="120" w:line="360" w:lineRule="auto"/>
        <w:ind w:right="960" w:firstLine="548" w:firstLineChars="196"/>
        <w:jc w:val="left"/>
        <w:rPr>
          <w:rFonts w:hint="eastAsia" w:ascii="宋体" w:hAnsi="宋体" w:cs="宋体"/>
          <w:color w:val="auto"/>
          <w:sz w:val="28"/>
          <w:highlight w:val="none"/>
        </w:rPr>
      </w:pPr>
      <w:r>
        <w:rPr>
          <w:rFonts w:hint="eastAsia" w:ascii="宋体" w:hAnsi="宋体" w:cs="宋体"/>
          <w:color w:val="auto"/>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8"/>
          <w:highlight w:val="none"/>
          <w:u w:val="single"/>
        </w:rPr>
        <w:t xml:space="preserve">               </w:t>
      </w:r>
      <w:r>
        <w:rPr>
          <w:rFonts w:hint="eastAsia" w:ascii="宋体" w:hAnsi="宋体" w:cs="宋体"/>
          <w:color w:val="auto"/>
          <w:sz w:val="28"/>
          <w:highlight w:val="none"/>
        </w:rPr>
        <w:t>单位的</w:t>
      </w:r>
      <w:r>
        <w:rPr>
          <w:rFonts w:hint="eastAsia" w:ascii="宋体" w:hAnsi="宋体" w:cs="宋体"/>
          <w:color w:val="auto"/>
          <w:sz w:val="28"/>
          <w:highlight w:val="none"/>
          <w:u w:val="single"/>
        </w:rPr>
        <w:t xml:space="preserve">        </w:t>
      </w:r>
      <w:r>
        <w:rPr>
          <w:rFonts w:hint="eastAsia" w:ascii="宋体" w:hAnsi="宋体" w:cs="宋体"/>
          <w:color w:val="auto"/>
          <w:sz w:val="28"/>
          <w:highlight w:val="none"/>
        </w:rPr>
        <w:t>项目采购活动提供本单位制造的货物（由本单位承担工程/服务），或者提供其他残疾人福利性单位制造的货物（不包括使用非残疾人福利性单位注册商标的货物）。</w:t>
      </w:r>
    </w:p>
    <w:p>
      <w:pPr>
        <w:spacing w:after="120" w:line="360" w:lineRule="auto"/>
        <w:ind w:right="960" w:firstLine="548" w:firstLineChars="196"/>
        <w:jc w:val="left"/>
        <w:rPr>
          <w:rFonts w:hint="eastAsia" w:ascii="宋体" w:hAnsi="宋体" w:cs="宋体"/>
          <w:color w:val="auto"/>
          <w:sz w:val="28"/>
          <w:highlight w:val="none"/>
        </w:rPr>
      </w:pPr>
      <w:r>
        <w:rPr>
          <w:rFonts w:hint="eastAsia" w:ascii="宋体" w:hAnsi="宋体" w:cs="宋体"/>
          <w:color w:val="auto"/>
          <w:sz w:val="28"/>
          <w:highlight w:val="none"/>
        </w:rPr>
        <w:t>本单位对上述声明的真实性负责。如有虚假，将依法承担相应责任。</w:t>
      </w:r>
    </w:p>
    <w:p>
      <w:pPr>
        <w:spacing w:after="120" w:line="360" w:lineRule="auto"/>
        <w:ind w:right="960" w:firstLine="4200" w:firstLineChars="1500"/>
        <w:jc w:val="left"/>
        <w:rPr>
          <w:rFonts w:hint="eastAsia" w:ascii="宋体" w:hAnsi="宋体" w:cs="宋体"/>
          <w:color w:val="auto"/>
          <w:sz w:val="28"/>
          <w:highlight w:val="none"/>
        </w:rPr>
      </w:pPr>
    </w:p>
    <w:p>
      <w:pPr>
        <w:spacing w:after="120" w:line="360" w:lineRule="auto"/>
        <w:ind w:right="960" w:firstLine="4200" w:firstLineChars="1500"/>
        <w:jc w:val="left"/>
        <w:rPr>
          <w:rFonts w:hint="eastAsia" w:ascii="宋体" w:hAnsi="宋体" w:cs="宋体"/>
          <w:color w:val="auto"/>
          <w:sz w:val="28"/>
          <w:highlight w:val="none"/>
        </w:rPr>
      </w:pPr>
    </w:p>
    <w:p>
      <w:pPr>
        <w:spacing w:after="120" w:line="360" w:lineRule="auto"/>
        <w:ind w:right="960" w:firstLine="4200" w:firstLineChars="1500"/>
        <w:jc w:val="left"/>
        <w:rPr>
          <w:rFonts w:hint="eastAsia" w:ascii="宋体" w:hAnsi="宋体" w:cs="宋体"/>
          <w:color w:val="auto"/>
          <w:sz w:val="28"/>
          <w:highlight w:val="none"/>
        </w:rPr>
      </w:pPr>
      <w:r>
        <w:rPr>
          <w:rFonts w:hint="eastAsia" w:ascii="宋体" w:hAnsi="宋体" w:cs="宋体"/>
          <w:color w:val="auto"/>
          <w:sz w:val="28"/>
          <w:highlight w:val="none"/>
        </w:rPr>
        <w:t>单位名称（盖章）:</w:t>
      </w:r>
    </w:p>
    <w:p>
      <w:pPr>
        <w:spacing w:after="120" w:line="360" w:lineRule="auto"/>
        <w:ind w:right="960" w:firstLine="4200" w:firstLineChars="1500"/>
        <w:jc w:val="left"/>
        <w:rPr>
          <w:rFonts w:hint="eastAsia" w:ascii="宋体" w:hAnsi="宋体" w:cs="宋体"/>
          <w:color w:val="auto"/>
          <w:sz w:val="28"/>
          <w:highlight w:val="none"/>
        </w:rPr>
      </w:pPr>
      <w:r>
        <w:rPr>
          <w:rFonts w:hint="eastAsia" w:ascii="宋体" w:hAnsi="宋体" w:cs="宋体"/>
          <w:color w:val="auto"/>
          <w:sz w:val="28"/>
          <w:highlight w:val="none"/>
        </w:rPr>
        <w:t xml:space="preserve">日期：        </w:t>
      </w:r>
    </w:p>
    <w:p>
      <w:pPr>
        <w:spacing w:after="120"/>
        <w:jc w:val="center"/>
        <w:rPr>
          <w:rFonts w:hint="eastAsia" w:ascii="宋体" w:hAnsi="宋体" w:cs="宋体"/>
          <w:b/>
          <w:color w:val="auto"/>
          <w:sz w:val="36"/>
          <w:szCs w:val="36"/>
          <w:highlight w:val="none"/>
        </w:rPr>
      </w:pPr>
    </w:p>
    <w:p>
      <w:pPr>
        <w:numPr>
          <w:ilvl w:val="0"/>
          <w:numId w:val="6"/>
        </w:numPr>
        <w:tabs>
          <w:tab w:val="left" w:pos="420"/>
          <w:tab w:val="clear" w:pos="1244"/>
        </w:tabs>
        <w:spacing w:before="100" w:beforeAutospacing="1" w:after="100" w:afterAutospacing="1" w:line="432" w:lineRule="auto"/>
        <w:ind w:hanging="1244"/>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残疾人福利性单位视同小型、微型企业，享受</w:t>
      </w:r>
      <w:r>
        <w:rPr>
          <w:rFonts w:hint="eastAsia" w:ascii="宋体" w:hAnsi="宋体" w:cs="Times New Roman"/>
          <w:b/>
          <w:color w:val="auto"/>
          <w:szCs w:val="21"/>
          <w:highlight w:val="none"/>
          <w:lang w:val="en-US" w:eastAsia="zh-CN"/>
        </w:rPr>
        <w:t>政策扶持</w:t>
      </w:r>
      <w:r>
        <w:rPr>
          <w:rFonts w:hint="eastAsia" w:ascii="宋体" w:hAnsi="宋体" w:eastAsia="宋体" w:cs="Times New Roman"/>
          <w:b/>
          <w:color w:val="auto"/>
          <w:szCs w:val="21"/>
          <w:highlight w:val="none"/>
        </w:rPr>
        <w:t>。</w:t>
      </w:r>
    </w:p>
    <w:p>
      <w:pPr>
        <w:numPr>
          <w:ilvl w:val="0"/>
          <w:numId w:val="6"/>
        </w:numPr>
        <w:tabs>
          <w:tab w:val="left" w:pos="420"/>
          <w:tab w:val="clear" w:pos="1244"/>
        </w:tabs>
        <w:spacing w:before="100" w:beforeAutospacing="1" w:after="100" w:afterAutospacing="1" w:line="432" w:lineRule="auto"/>
        <w:ind w:hanging="1244"/>
        <w:rPr>
          <w:rFonts w:hint="eastAsia" w:ascii="宋体" w:hAnsi="宋体" w:eastAsia="宋体" w:cs="宋体"/>
          <w:bCs/>
          <w:color w:val="auto"/>
          <w:sz w:val="24"/>
          <w:highlight w:val="none"/>
        </w:rPr>
      </w:pPr>
      <w:r>
        <w:rPr>
          <w:rFonts w:hint="eastAsia" w:ascii="宋体" w:hAnsi="宋体"/>
          <w:b/>
          <w:color w:val="auto"/>
          <w:szCs w:val="21"/>
          <w:highlight w:val="none"/>
        </w:rPr>
        <w:t>如中标人声明为残疾人福利性单位，本声明函将随中标结果同时公告，接受社会监督。</w:t>
      </w:r>
    </w:p>
    <w:p>
      <w:pPr>
        <w:pStyle w:val="4"/>
        <w:keepNext/>
        <w:keepLines/>
        <w:pageBreakBefore/>
        <w:widowControl w:val="0"/>
        <w:kinsoku/>
        <w:wordWrap/>
        <w:overflowPunct/>
        <w:topLinePunct w:val="0"/>
        <w:autoSpaceDE/>
        <w:autoSpaceDN/>
        <w:bidi w:val="0"/>
        <w:adjustRightInd/>
        <w:snapToGrid/>
        <w:spacing w:line="416" w:lineRule="auto"/>
        <w:textAlignment w:val="auto"/>
        <w:rPr>
          <w:rFonts w:hint="eastAsia" w:ascii="宋体" w:hAnsi="宋体" w:eastAsia="宋体" w:cs="宋体"/>
          <w:b/>
          <w:bCs w:val="0"/>
          <w:color w:val="auto"/>
          <w:sz w:val="24"/>
          <w:szCs w:val="24"/>
          <w:highlight w:val="none"/>
        </w:rPr>
      </w:pPr>
      <w:bookmarkStart w:id="73" w:name="_Toc10024"/>
      <w:r>
        <w:rPr>
          <w:rFonts w:hint="eastAsia" w:ascii="宋体" w:hAnsi="宋体" w:eastAsia="宋体" w:cs="宋体"/>
          <w:b/>
          <w:bCs w:val="0"/>
          <w:color w:val="auto"/>
          <w:sz w:val="24"/>
          <w:szCs w:val="24"/>
          <w:highlight w:val="none"/>
        </w:rPr>
        <w:t>附件</w:t>
      </w:r>
      <w:r>
        <w:rPr>
          <w:rFonts w:hint="eastAsia" w:ascii="宋体" w:hAnsi="宋体" w:eastAsia="宋体" w:cs="宋体"/>
          <w:b/>
          <w:bCs w:val="0"/>
          <w:color w:val="auto"/>
          <w:sz w:val="24"/>
          <w:szCs w:val="24"/>
          <w:highlight w:val="none"/>
          <w:lang w:val="en-US" w:eastAsia="zh-CN"/>
        </w:rPr>
        <w:t>十</w:t>
      </w:r>
      <w:r>
        <w:rPr>
          <w:rFonts w:hint="eastAsia" w:ascii="宋体" w:hAnsi="宋体" w:eastAsia="宋体" w:cs="宋体"/>
          <w:b/>
          <w:bCs w:val="0"/>
          <w:color w:val="auto"/>
          <w:sz w:val="24"/>
          <w:szCs w:val="24"/>
          <w:highlight w:val="none"/>
        </w:rPr>
        <w:t>：磋商响应方资信商务、技术自评得分表</w:t>
      </w:r>
      <w:bookmarkEnd w:id="73"/>
    </w:p>
    <w:p>
      <w:pPr>
        <w:snapToGrid w:val="0"/>
        <w:spacing w:before="50" w:after="50"/>
        <w:jc w:val="center"/>
        <w:rPr>
          <w:rFonts w:hint="eastAsia" w:ascii="宋体"/>
          <w:b/>
          <w:color w:val="auto"/>
          <w:sz w:val="36"/>
          <w:szCs w:val="36"/>
          <w:highlight w:val="none"/>
        </w:rPr>
      </w:pPr>
      <w:r>
        <w:rPr>
          <w:rFonts w:hint="eastAsia" w:ascii="宋体"/>
          <w:b/>
          <w:color w:val="auto"/>
          <w:sz w:val="36"/>
          <w:szCs w:val="36"/>
          <w:highlight w:val="none"/>
        </w:rPr>
        <w:t>磋商响应方资信商务、技术自评得分表</w:t>
      </w:r>
    </w:p>
    <w:p>
      <w:pPr>
        <w:snapToGrid w:val="0"/>
        <w:spacing w:before="50" w:after="50" w:line="360" w:lineRule="auto"/>
        <w:rPr>
          <w:rFonts w:ascii="宋体"/>
          <w:b/>
          <w:color w:val="auto"/>
          <w:sz w:val="24"/>
          <w:highlight w:val="none"/>
          <w:u w:val="single"/>
        </w:rPr>
      </w:pPr>
      <w:r>
        <w:rPr>
          <w:rFonts w:hint="eastAsia" w:ascii="宋体"/>
          <w:b/>
          <w:color w:val="auto"/>
          <w:sz w:val="24"/>
          <w:highlight w:val="none"/>
        </w:rPr>
        <w:t>投标单位名称：                                    标项：</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1"/>
        <w:gridCol w:w="1610"/>
        <w:gridCol w:w="1610"/>
        <w:gridCol w:w="1358"/>
        <w:gridCol w:w="1084"/>
        <w:gridCol w:w="3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r>
              <w:rPr>
                <w:rFonts w:hint="eastAsia" w:ascii="宋体" w:eastAsia="宋体"/>
                <w:b/>
                <w:bCs/>
                <w:color w:val="auto"/>
                <w:highlight w:val="none"/>
              </w:rPr>
              <w:t>序号</w:t>
            </w:r>
          </w:p>
        </w:tc>
        <w:tc>
          <w:tcPr>
            <w:tcW w:w="1610"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r>
              <w:rPr>
                <w:rFonts w:hint="eastAsia" w:ascii="宋体" w:eastAsia="宋体"/>
                <w:b/>
                <w:bCs/>
                <w:color w:val="auto"/>
                <w:highlight w:val="none"/>
              </w:rPr>
              <w:t>评审内容</w:t>
            </w:r>
          </w:p>
        </w:tc>
        <w:tc>
          <w:tcPr>
            <w:tcW w:w="1610"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rPr>
                <w:rFonts w:hint="eastAsia" w:ascii="宋体" w:eastAsia="宋体"/>
                <w:b/>
                <w:bCs/>
                <w:color w:val="auto"/>
                <w:highlight w:val="none"/>
              </w:rPr>
            </w:pPr>
            <w:r>
              <w:rPr>
                <w:rFonts w:hint="eastAsia" w:ascii="宋体" w:eastAsia="宋体"/>
                <w:b/>
                <w:bCs/>
                <w:color w:val="auto"/>
                <w:highlight w:val="none"/>
              </w:rPr>
              <w:t>评分标准</w:t>
            </w:r>
          </w:p>
        </w:tc>
        <w:tc>
          <w:tcPr>
            <w:tcW w:w="1358"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r>
              <w:rPr>
                <w:rFonts w:hint="eastAsia" w:ascii="宋体" w:eastAsia="宋体"/>
                <w:b/>
                <w:bCs/>
                <w:color w:val="auto"/>
                <w:highlight w:val="none"/>
              </w:rPr>
              <w:t>评分标准分值</w:t>
            </w:r>
          </w:p>
        </w:tc>
        <w:tc>
          <w:tcPr>
            <w:tcW w:w="108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r>
              <w:rPr>
                <w:rFonts w:hint="eastAsia" w:ascii="宋体" w:eastAsia="宋体"/>
                <w:b/>
                <w:bCs/>
                <w:color w:val="auto"/>
                <w:highlight w:val="none"/>
              </w:rPr>
              <w:t>自评得分</w:t>
            </w:r>
          </w:p>
        </w:tc>
        <w:tc>
          <w:tcPr>
            <w:tcW w:w="303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r>
              <w:rPr>
                <w:rFonts w:hint="eastAsia" w:ascii="宋体" w:eastAsia="宋体"/>
                <w:b/>
                <w:bCs/>
                <w:color w:val="auto"/>
                <w:highlight w:val="none"/>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r>
              <w:rPr>
                <w:rFonts w:hint="eastAsia" w:ascii="宋体" w:eastAsia="宋体"/>
                <w:b/>
                <w:bCs/>
                <w:color w:val="auto"/>
                <w:highlight w:val="none"/>
              </w:rPr>
              <w:t>一</w:t>
            </w:r>
          </w:p>
        </w:tc>
        <w:tc>
          <w:tcPr>
            <w:tcW w:w="1610"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r>
              <w:rPr>
                <w:rFonts w:hint="eastAsia" w:ascii="宋体" w:eastAsia="宋体"/>
                <w:b/>
                <w:bCs/>
                <w:color w:val="auto"/>
                <w:highlight w:val="none"/>
              </w:rPr>
              <w:t>技术分</w:t>
            </w:r>
          </w:p>
        </w:tc>
        <w:tc>
          <w:tcPr>
            <w:tcW w:w="1610" w:type="dxa"/>
            <w:tcBorders>
              <w:top w:val="single" w:color="auto" w:sz="4" w:space="0"/>
              <w:left w:val="single" w:color="auto" w:sz="4" w:space="0"/>
              <w:bottom w:val="single" w:color="auto" w:sz="4" w:space="0"/>
              <w:right w:val="single" w:color="auto" w:sz="4" w:space="0"/>
            </w:tcBorders>
            <w:vAlign w:val="center"/>
          </w:tcPr>
          <w:p>
            <w:pPr>
              <w:pStyle w:val="34"/>
              <w:ind w:firstLine="482"/>
              <w:jc w:val="center"/>
              <w:rPr>
                <w:rFonts w:hint="eastAsia" w:ascii="宋体" w:eastAsia="宋体"/>
                <w:b/>
                <w:bCs/>
                <w:color w:val="auto"/>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p>
        </w:tc>
        <w:tc>
          <w:tcPr>
            <w:tcW w:w="303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r>
              <w:rPr>
                <w:rFonts w:hint="eastAsia" w:ascii="宋体"/>
                <w:color w:val="auto"/>
                <w:sz w:val="24"/>
                <w:highlight w:val="none"/>
              </w:rPr>
              <w:t>1</w:t>
            </w:r>
          </w:p>
        </w:tc>
        <w:tc>
          <w:tcPr>
            <w:tcW w:w="1610" w:type="dxa"/>
            <w:tcBorders>
              <w:top w:val="single" w:color="auto" w:sz="4" w:space="0"/>
              <w:left w:val="single" w:color="auto" w:sz="4" w:space="0"/>
              <w:bottom w:val="single" w:color="auto" w:sz="4" w:space="0"/>
              <w:right w:val="single" w:color="auto" w:sz="4" w:space="0"/>
            </w:tcBorders>
            <w:vAlign w:val="center"/>
          </w:tcPr>
          <w:p>
            <w:pPr>
              <w:rPr>
                <w:rFonts w:hint="eastAsia" w:ascii="宋体"/>
                <w:color w:val="auto"/>
                <w:sz w:val="24"/>
                <w:highlight w:val="none"/>
              </w:rPr>
            </w:pPr>
          </w:p>
        </w:tc>
        <w:tc>
          <w:tcPr>
            <w:tcW w:w="1610" w:type="dxa"/>
            <w:tcBorders>
              <w:top w:val="single" w:color="auto" w:sz="4" w:space="0"/>
              <w:left w:val="single" w:color="auto" w:sz="4" w:space="0"/>
              <w:right w:val="single" w:color="auto" w:sz="4" w:space="0"/>
            </w:tcBorders>
            <w:vAlign w:val="center"/>
          </w:tcPr>
          <w:p>
            <w:pPr>
              <w:rPr>
                <w:rFonts w:hint="eastAsia" w:ascii="宋体"/>
                <w:color w:val="auto"/>
                <w:sz w:val="24"/>
                <w:highlight w:val="none"/>
              </w:rPr>
            </w:pPr>
          </w:p>
        </w:tc>
        <w:tc>
          <w:tcPr>
            <w:tcW w:w="1358" w:type="dxa"/>
            <w:tcBorders>
              <w:top w:val="single" w:color="auto" w:sz="4" w:space="0"/>
              <w:left w:val="single" w:color="auto" w:sz="4" w:space="0"/>
              <w:right w:val="single" w:color="auto" w:sz="4" w:space="0"/>
            </w:tcBorders>
            <w:vAlign w:val="center"/>
          </w:tcPr>
          <w:p>
            <w:pPr>
              <w:jc w:val="center"/>
              <w:rPr>
                <w:rFonts w:hint="eastAsia" w:ascii="宋体"/>
                <w:bCs/>
                <w:color w:val="auto"/>
                <w:sz w:val="24"/>
                <w:highlight w:val="none"/>
              </w:rPr>
            </w:pPr>
          </w:p>
        </w:tc>
        <w:tc>
          <w:tcPr>
            <w:tcW w:w="1084" w:type="dxa"/>
            <w:tcBorders>
              <w:top w:val="single" w:color="auto" w:sz="4" w:space="0"/>
              <w:left w:val="single" w:color="auto" w:sz="4" w:space="0"/>
              <w:right w:val="single" w:color="auto" w:sz="4" w:space="0"/>
            </w:tcBorders>
            <w:vAlign w:val="center"/>
          </w:tcPr>
          <w:p>
            <w:pPr>
              <w:jc w:val="center"/>
              <w:rPr>
                <w:rFonts w:hint="eastAsia" w:ascii="宋体"/>
                <w:bCs/>
                <w:color w:val="auto"/>
                <w:sz w:val="24"/>
                <w:highlight w:val="none"/>
              </w:rPr>
            </w:pPr>
          </w:p>
        </w:tc>
        <w:tc>
          <w:tcPr>
            <w:tcW w:w="3034" w:type="dxa"/>
            <w:tcBorders>
              <w:top w:val="single" w:color="auto" w:sz="4" w:space="0"/>
              <w:left w:val="single" w:color="auto" w:sz="4" w:space="0"/>
              <w:right w:val="single" w:color="auto" w:sz="4" w:space="0"/>
            </w:tcBorders>
            <w:vAlign w:val="center"/>
          </w:tcPr>
          <w:p>
            <w:pPr>
              <w:jc w:val="center"/>
              <w:rPr>
                <w:rFonts w:hint="eastAsia" w:ascii="宋体"/>
                <w:bCs/>
                <w:color w:val="auto"/>
                <w:sz w:val="24"/>
                <w:highlight w:val="none"/>
              </w:rPr>
            </w:pPr>
            <w:r>
              <w:rPr>
                <w:rFonts w:hint="eastAsia" w:ascii="宋体"/>
                <w:bCs/>
                <w:color w:val="auto"/>
                <w:sz w:val="24"/>
                <w:highlight w:val="none"/>
              </w:rPr>
              <w:t>详见</w:t>
            </w:r>
            <w:r>
              <w:rPr>
                <w:rFonts w:hint="eastAsia" w:ascii="宋体"/>
                <w:b/>
                <w:bCs/>
                <w:color w:val="auto"/>
                <w:sz w:val="24"/>
                <w:highlight w:val="none"/>
              </w:rPr>
              <w:t>商务技术响应文件</w:t>
            </w:r>
            <w:r>
              <w:rPr>
                <w:rFonts w:hint="eastAsia" w:ascii="宋体"/>
                <w:bCs/>
                <w:color w:val="auto"/>
                <w:sz w:val="24"/>
                <w:highlight w:val="none"/>
              </w:rPr>
              <w:t>第几页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9"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r>
              <w:rPr>
                <w:rFonts w:hint="eastAsia" w:ascii="宋体"/>
                <w:color w:val="auto"/>
                <w:sz w:val="24"/>
                <w:highlight w:val="none"/>
              </w:rPr>
              <w:t>2</w:t>
            </w:r>
          </w:p>
        </w:tc>
        <w:tc>
          <w:tcPr>
            <w:tcW w:w="1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color w:val="auto"/>
                <w:sz w:val="24"/>
                <w:highlight w:val="none"/>
              </w:rPr>
            </w:pPr>
          </w:p>
        </w:tc>
        <w:tc>
          <w:tcPr>
            <w:tcW w:w="1610" w:type="dxa"/>
            <w:tcBorders>
              <w:top w:val="single" w:color="auto" w:sz="4" w:space="0"/>
              <w:left w:val="single" w:color="auto" w:sz="4" w:space="0"/>
              <w:right w:val="single" w:color="auto" w:sz="4" w:space="0"/>
            </w:tcBorders>
            <w:vAlign w:val="center"/>
          </w:tcPr>
          <w:p>
            <w:pPr>
              <w:widowControl/>
              <w:rPr>
                <w:rFonts w:hint="eastAsia" w:ascii="宋体" w:cs="宋体"/>
                <w:color w:val="auto"/>
                <w:kern w:val="0"/>
                <w:sz w:val="24"/>
                <w:highlight w:val="none"/>
              </w:rPr>
            </w:pPr>
          </w:p>
        </w:tc>
        <w:tc>
          <w:tcPr>
            <w:tcW w:w="1358" w:type="dxa"/>
            <w:tcBorders>
              <w:top w:val="single" w:color="auto" w:sz="4" w:space="0"/>
              <w:left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1084" w:type="dxa"/>
            <w:tcBorders>
              <w:top w:val="single" w:color="auto" w:sz="4" w:space="0"/>
              <w:left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3034" w:type="dxa"/>
            <w:tcBorders>
              <w:top w:val="single" w:color="auto" w:sz="4" w:space="0"/>
              <w:left w:val="single" w:color="auto" w:sz="4" w:space="0"/>
              <w:right w:val="single" w:color="auto" w:sz="4" w:space="0"/>
            </w:tcBorders>
            <w:vAlign w:val="center"/>
          </w:tcPr>
          <w:p>
            <w:pPr>
              <w:jc w:val="center"/>
              <w:rPr>
                <w:rFonts w:hint="eastAsia" w:ascii="宋体"/>
                <w:bCs/>
                <w:color w:val="auto"/>
                <w:sz w:val="24"/>
                <w:highlight w:val="none"/>
              </w:rPr>
            </w:pPr>
            <w:r>
              <w:rPr>
                <w:rFonts w:hint="eastAsia" w:ascii="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961" w:type="dxa"/>
            <w:tcBorders>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r>
              <w:rPr>
                <w:rFonts w:hint="eastAsia" w:ascii="宋体"/>
                <w:color w:val="auto"/>
                <w:sz w:val="24"/>
                <w:highlight w:val="none"/>
              </w:rPr>
              <w:t>……</w:t>
            </w:r>
          </w:p>
        </w:tc>
        <w:tc>
          <w:tcPr>
            <w:tcW w:w="1610" w:type="dxa"/>
            <w:tcBorders>
              <w:left w:val="single" w:color="auto" w:sz="4" w:space="0"/>
              <w:bottom w:val="single" w:color="auto" w:sz="4" w:space="0"/>
              <w:right w:val="single" w:color="auto" w:sz="4" w:space="0"/>
            </w:tcBorders>
            <w:vAlign w:val="center"/>
          </w:tcPr>
          <w:p>
            <w:pPr>
              <w:widowControl/>
              <w:rPr>
                <w:rFonts w:hint="eastAsia" w:ascii="宋体" w:cs="宋体"/>
                <w:color w:val="auto"/>
                <w:kern w:val="0"/>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ind w:left="55" w:leftChars="26"/>
              <w:rPr>
                <w:rFonts w:hint="eastAsia" w:ascii="宋体" w:cs="宋体"/>
                <w:color w:val="auto"/>
                <w:kern w:val="0"/>
                <w:sz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3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5"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b/>
                <w:color w:val="auto"/>
                <w:sz w:val="24"/>
                <w:highlight w:val="none"/>
              </w:rPr>
            </w:pPr>
            <w:r>
              <w:rPr>
                <w:rFonts w:hint="eastAsia" w:ascii="宋体"/>
                <w:b/>
                <w:color w:val="auto"/>
                <w:sz w:val="24"/>
                <w:highlight w:val="none"/>
              </w:rPr>
              <w:t>二</w:t>
            </w:r>
          </w:p>
        </w:tc>
        <w:tc>
          <w:tcPr>
            <w:tcW w:w="161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b/>
                <w:color w:val="auto"/>
                <w:sz w:val="24"/>
                <w:highlight w:val="none"/>
              </w:rPr>
            </w:pPr>
            <w:r>
              <w:rPr>
                <w:rFonts w:hint="eastAsia" w:ascii="宋体"/>
                <w:b/>
                <w:color w:val="auto"/>
                <w:sz w:val="24"/>
                <w:highlight w:val="none"/>
              </w:rPr>
              <w:t>商务资信及其他分分</w:t>
            </w:r>
          </w:p>
        </w:tc>
        <w:tc>
          <w:tcPr>
            <w:tcW w:w="1610"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both"/>
              <w:rPr>
                <w:rFonts w:hint="eastAsia" w:ascii="宋体" w:eastAsia="宋体"/>
                <w:b/>
                <w:color w:val="auto"/>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color w:val="auto"/>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color w:val="auto"/>
                <w:highlight w:val="none"/>
              </w:rPr>
            </w:pPr>
          </w:p>
        </w:tc>
        <w:tc>
          <w:tcPr>
            <w:tcW w:w="303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5"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color w:val="auto"/>
                <w:kern w:val="0"/>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color w:val="auto"/>
                <w:kern w:val="0"/>
                <w:sz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p>
        </w:tc>
        <w:tc>
          <w:tcPr>
            <w:tcW w:w="3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bCs/>
                <w:color w:val="auto"/>
                <w:sz w:val="24"/>
                <w:highlight w:val="none"/>
              </w:rPr>
            </w:pPr>
            <w:r>
              <w:rPr>
                <w:rFonts w:hint="eastAsia" w:ascii="宋体"/>
                <w:bCs/>
                <w:color w:val="auto"/>
                <w:sz w:val="24"/>
                <w:highlight w:val="none"/>
              </w:rPr>
              <w:t>详见</w:t>
            </w:r>
            <w:r>
              <w:rPr>
                <w:rFonts w:hint="eastAsia" w:ascii="宋体"/>
                <w:b/>
                <w:bCs/>
                <w:color w:val="auto"/>
                <w:sz w:val="24"/>
                <w:highlight w:val="none"/>
              </w:rPr>
              <w:t>商务技术响应文件</w:t>
            </w:r>
          </w:p>
          <w:p>
            <w:pPr>
              <w:jc w:val="center"/>
              <w:rPr>
                <w:rFonts w:hint="eastAsia" w:ascii="宋体"/>
                <w:bCs/>
                <w:color w:val="auto"/>
                <w:sz w:val="24"/>
                <w:highlight w:val="none"/>
              </w:rPr>
            </w:pPr>
            <w:r>
              <w:rPr>
                <w:rFonts w:hint="eastAsia" w:ascii="宋体"/>
                <w:bCs/>
                <w:color w:val="auto"/>
                <w:sz w:val="24"/>
                <w:highlight w:val="none"/>
              </w:rPr>
              <w:t>第几页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rPr>
                <w:rFonts w:hint="eastAsia" w:ascii="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rPr>
                <w:rFonts w:hint="eastAsia" w:ascii="宋体"/>
                <w:color w:val="auto"/>
                <w:sz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p>
        </w:tc>
        <w:tc>
          <w:tcPr>
            <w:tcW w:w="303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r>
              <w:rPr>
                <w:rFonts w:hint="eastAsia" w:ascii="宋体" w:eastAsia="宋体"/>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rPr>
                <w:rFonts w:hint="eastAsia" w:ascii="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rPr>
                <w:rFonts w:hint="eastAsia" w:ascii="宋体"/>
                <w:color w:val="auto"/>
                <w:sz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p>
        </w:tc>
        <w:tc>
          <w:tcPr>
            <w:tcW w:w="3034"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4"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bCs/>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rPr>
                <w:rFonts w:hint="eastAsia" w:ascii="宋体"/>
                <w:bCs/>
                <w:color w:val="auto"/>
                <w:sz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3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bCs/>
                <w:color w:val="auto"/>
                <w:sz w:val="24"/>
                <w:highlight w:val="none"/>
              </w:rPr>
            </w:pPr>
            <w:r>
              <w:rPr>
                <w:rFonts w:hint="eastAsia" w:ascii="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bCs/>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pPr>
              <w:rPr>
                <w:rFonts w:hint="eastAsia" w:ascii="宋体"/>
                <w:bCs/>
                <w:color w:val="auto"/>
                <w:sz w:val="24"/>
                <w:highlight w:val="none"/>
              </w:rPr>
            </w:pPr>
          </w:p>
        </w:tc>
        <w:tc>
          <w:tcPr>
            <w:tcW w:w="1358" w:type="dxa"/>
            <w:tcBorders>
              <w:top w:val="single" w:color="auto" w:sz="4" w:space="0"/>
              <w:left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1084" w:type="dxa"/>
            <w:tcBorders>
              <w:top w:val="single" w:color="auto" w:sz="4" w:space="0"/>
              <w:left w:val="single" w:color="auto" w:sz="4" w:space="0"/>
              <w:right w:val="single" w:color="auto" w:sz="4" w:space="0"/>
            </w:tcBorders>
            <w:vAlign w:val="center"/>
          </w:tcPr>
          <w:p>
            <w:pPr>
              <w:spacing w:line="320" w:lineRule="exact"/>
              <w:jc w:val="center"/>
              <w:rPr>
                <w:rFonts w:hint="eastAsia" w:ascii="宋体"/>
                <w:bCs/>
                <w:color w:val="auto"/>
                <w:sz w:val="24"/>
                <w:highlight w:val="none"/>
              </w:rPr>
            </w:pPr>
          </w:p>
        </w:tc>
        <w:tc>
          <w:tcPr>
            <w:tcW w:w="3034" w:type="dxa"/>
            <w:tcBorders>
              <w:top w:val="single" w:color="auto" w:sz="4" w:space="0"/>
              <w:left w:val="single" w:color="auto" w:sz="4" w:space="0"/>
              <w:right w:val="single" w:color="auto" w:sz="4" w:space="0"/>
            </w:tcBorders>
            <w:vAlign w:val="center"/>
          </w:tcPr>
          <w:p>
            <w:pPr>
              <w:jc w:val="center"/>
              <w:rPr>
                <w:rFonts w:hint="eastAsia" w:ascii="宋体"/>
                <w:bCs/>
                <w:color w:val="auto"/>
                <w:sz w:val="24"/>
                <w:highlight w:val="none"/>
              </w:rPr>
            </w:pPr>
          </w:p>
        </w:tc>
      </w:tr>
    </w:tbl>
    <w:p>
      <w:pPr>
        <w:snapToGrid w:val="0"/>
        <w:spacing w:before="50" w:after="50"/>
        <w:rPr>
          <w:rFonts w:hint="eastAsia" w:ascii="宋体"/>
          <w:color w:val="auto"/>
          <w:sz w:val="24"/>
          <w:highlight w:val="none"/>
        </w:rPr>
      </w:pPr>
    </w:p>
    <w:p>
      <w:pPr>
        <w:snapToGrid w:val="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注：1、投标单位根据所投标项的评分表内容，按此格式提供评分响应表置于商务技术响应文件第1页。</w:t>
      </w:r>
    </w:p>
    <w:p>
      <w:pPr>
        <w:snapToGrid w:val="0"/>
        <w:rPr>
          <w:rFonts w:hint="eastAsia" w:ascii="宋体" w:hAnsi="Times New Roman" w:eastAsia="宋体" w:cs="Times New Roman"/>
          <w:color w:val="auto"/>
          <w:sz w:val="24"/>
          <w:highlight w:val="none"/>
          <w:lang w:eastAsia="zh-CN"/>
        </w:rPr>
      </w:pPr>
      <w:r>
        <w:rPr>
          <w:rFonts w:hint="eastAsia" w:ascii="宋体" w:cs="Times New Roman"/>
          <w:color w:val="auto"/>
          <w:sz w:val="24"/>
          <w:highlight w:val="none"/>
          <w:lang w:val="en-US" w:eastAsia="zh-CN"/>
        </w:rPr>
        <w:t>2</w:t>
      </w:r>
      <w:r>
        <w:rPr>
          <w:rFonts w:hint="eastAsia" w:ascii="宋体" w:hAnsi="Times New Roman" w:eastAsia="宋体" w:cs="Times New Roman"/>
          <w:color w:val="auto"/>
          <w:sz w:val="24"/>
          <w:highlight w:val="none"/>
        </w:rPr>
        <w:t>、上表中客观分得分分值须认真填写</w:t>
      </w:r>
      <w:r>
        <w:rPr>
          <w:rFonts w:hint="eastAsia" w:ascii="宋体" w:cs="Times New Roman"/>
          <w:color w:val="auto"/>
          <w:sz w:val="24"/>
          <w:highlight w:val="none"/>
          <w:lang w:eastAsia="zh-CN"/>
        </w:rPr>
        <w:t>。</w:t>
      </w:r>
    </w:p>
    <w:p>
      <w:pPr>
        <w:pStyle w:val="4"/>
        <w:keepNext w:val="0"/>
        <w:keepLines w:val="0"/>
        <w:pageBreakBefore/>
        <w:rPr>
          <w:rFonts w:hint="eastAsia" w:ascii="宋体" w:hAnsi="宋体" w:eastAsia="宋体" w:cs="宋体"/>
          <w:b/>
          <w:bCs w:val="0"/>
          <w:color w:val="auto"/>
          <w:sz w:val="24"/>
          <w:szCs w:val="24"/>
          <w:highlight w:val="none"/>
        </w:rPr>
      </w:pPr>
      <w:bookmarkStart w:id="74" w:name="_Toc17172"/>
      <w:bookmarkStart w:id="75" w:name="_Toc19931"/>
      <w:r>
        <w:rPr>
          <w:rFonts w:hint="eastAsia" w:ascii="宋体" w:hAnsi="宋体" w:eastAsia="宋体" w:cs="宋体"/>
          <w:b/>
          <w:bCs w:val="0"/>
          <w:color w:val="auto"/>
          <w:sz w:val="24"/>
          <w:szCs w:val="24"/>
          <w:highlight w:val="none"/>
        </w:rPr>
        <w:t>附件</w:t>
      </w:r>
      <w:r>
        <w:rPr>
          <w:rFonts w:hint="eastAsia" w:ascii="宋体" w:hAnsi="宋体" w:eastAsia="宋体" w:cs="宋体"/>
          <w:b/>
          <w:bCs w:val="0"/>
          <w:color w:val="auto"/>
          <w:sz w:val="24"/>
          <w:szCs w:val="24"/>
          <w:highlight w:val="none"/>
          <w:lang w:val="en-US" w:eastAsia="zh-CN"/>
        </w:rPr>
        <w:t>十一</w:t>
      </w:r>
      <w:r>
        <w:rPr>
          <w:rFonts w:hint="eastAsia" w:ascii="宋体" w:hAnsi="宋体" w:eastAsia="宋体" w:cs="宋体"/>
          <w:b/>
          <w:bCs w:val="0"/>
          <w:color w:val="auto"/>
          <w:sz w:val="24"/>
          <w:szCs w:val="24"/>
          <w:highlight w:val="none"/>
        </w:rPr>
        <w:t>：资信商务、技术文件响应表</w:t>
      </w:r>
      <w:bookmarkEnd w:id="74"/>
      <w:bookmarkEnd w:id="75"/>
    </w:p>
    <w:p>
      <w:pPr>
        <w:snapToGrid w:val="0"/>
        <w:spacing w:before="50" w:after="50"/>
        <w:jc w:val="center"/>
        <w:rPr>
          <w:rFonts w:hint="eastAsia" w:ascii="宋体" w:hAnsi="Times New Roman" w:eastAsia="宋体" w:cs="Times New Roman"/>
          <w:b/>
          <w:color w:val="auto"/>
          <w:sz w:val="36"/>
          <w:szCs w:val="36"/>
          <w:highlight w:val="none"/>
        </w:rPr>
      </w:pPr>
      <w:r>
        <w:rPr>
          <w:rFonts w:hint="eastAsia" w:ascii="宋体" w:hAnsi="Times New Roman" w:eastAsia="宋体" w:cs="Times New Roman"/>
          <w:b/>
          <w:color w:val="auto"/>
          <w:sz w:val="36"/>
          <w:szCs w:val="36"/>
          <w:highlight w:val="none"/>
        </w:rPr>
        <w:t>资信商务、技术文件响应表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55"/>
        <w:gridCol w:w="1957"/>
        <w:gridCol w:w="1620"/>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8" w:type="dxa"/>
            <w:tcBorders>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855" w:type="dxa"/>
            <w:tcBorders>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内容</w:t>
            </w:r>
          </w:p>
        </w:tc>
        <w:tc>
          <w:tcPr>
            <w:tcW w:w="1957" w:type="dxa"/>
            <w:tcBorders>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招标文件</w:t>
            </w:r>
          </w:p>
          <w:p>
            <w:pPr>
              <w:jc w:val="center"/>
              <w:rPr>
                <w:rFonts w:hint="eastAsia" w:ascii="宋体" w:hAnsi="宋体" w:cs="宋体"/>
                <w:color w:val="auto"/>
                <w:sz w:val="24"/>
                <w:highlight w:val="none"/>
              </w:rPr>
            </w:pPr>
            <w:r>
              <w:rPr>
                <w:rFonts w:hint="eastAsia" w:ascii="宋体" w:hAnsi="宋体" w:cs="宋体"/>
                <w:color w:val="auto"/>
                <w:sz w:val="24"/>
                <w:highlight w:val="none"/>
              </w:rPr>
              <w:t>规范要求</w:t>
            </w:r>
          </w:p>
        </w:tc>
        <w:tc>
          <w:tcPr>
            <w:tcW w:w="1620" w:type="dxa"/>
            <w:tcBorders>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投标文件</w:t>
            </w:r>
          </w:p>
          <w:p>
            <w:pPr>
              <w:jc w:val="center"/>
              <w:rPr>
                <w:rFonts w:hint="eastAsia" w:ascii="宋体" w:hAnsi="宋体" w:cs="宋体"/>
                <w:color w:val="auto"/>
                <w:sz w:val="24"/>
                <w:highlight w:val="none"/>
              </w:rPr>
            </w:pPr>
            <w:r>
              <w:rPr>
                <w:rFonts w:hint="eastAsia" w:ascii="宋体" w:hAnsi="宋体" w:cs="宋体"/>
                <w:color w:val="auto"/>
                <w:sz w:val="24"/>
                <w:highlight w:val="none"/>
              </w:rPr>
              <w:t>响应情况</w:t>
            </w:r>
          </w:p>
        </w:tc>
        <w:tc>
          <w:tcPr>
            <w:tcW w:w="1511" w:type="dxa"/>
            <w:tcBorders>
              <w:bottom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pPr>
              <w:jc w:val="center"/>
              <w:rPr>
                <w:rFonts w:hint="eastAsia" w:ascii="宋体" w:hAnsi="宋体" w:cs="宋体"/>
                <w:color w:val="auto"/>
                <w:sz w:val="24"/>
                <w:highlight w:val="none"/>
              </w:rPr>
            </w:pPr>
            <w:r>
              <w:rPr>
                <w:rFonts w:hint="eastAsia" w:ascii="宋体" w:hAnsi="宋体" w:cs="宋体"/>
                <w:color w:val="auto"/>
                <w:sz w:val="24"/>
                <w:highlight w:val="none"/>
              </w:rPr>
              <w:t>（注明正偏离、负偏离或无偏离）</w:t>
            </w:r>
          </w:p>
        </w:tc>
        <w:tc>
          <w:tcPr>
            <w:tcW w:w="1511" w:type="dxa"/>
            <w:tcBorders>
              <w:bottom w:val="single" w:color="auto" w:sz="4" w:space="0"/>
            </w:tcBorders>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佐证材料页码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878" w:type="dxa"/>
            <w:vAlign w:val="top"/>
          </w:tcPr>
          <w:p>
            <w:pPr>
              <w:jc w:val="cente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78" w:type="dxa"/>
            <w:vAlign w:val="top"/>
          </w:tcPr>
          <w:p>
            <w:pPr>
              <w:rPr>
                <w:rFonts w:hint="eastAsia" w:ascii="宋体" w:hAnsi="宋体" w:cs="宋体"/>
                <w:color w:val="auto"/>
                <w:sz w:val="24"/>
                <w:highlight w:val="none"/>
              </w:rPr>
            </w:pPr>
          </w:p>
        </w:tc>
        <w:tc>
          <w:tcPr>
            <w:tcW w:w="1855" w:type="dxa"/>
            <w:vAlign w:val="top"/>
          </w:tcPr>
          <w:p>
            <w:pPr>
              <w:rPr>
                <w:rFonts w:hint="eastAsia" w:ascii="宋体" w:hAnsi="宋体" w:cs="宋体"/>
                <w:color w:val="auto"/>
                <w:sz w:val="24"/>
                <w:highlight w:val="none"/>
              </w:rPr>
            </w:pPr>
          </w:p>
        </w:tc>
        <w:tc>
          <w:tcPr>
            <w:tcW w:w="1957" w:type="dxa"/>
            <w:vAlign w:val="top"/>
          </w:tcPr>
          <w:p>
            <w:pPr>
              <w:rPr>
                <w:rFonts w:hint="eastAsia" w:ascii="宋体" w:hAnsi="宋体" w:cs="宋体"/>
                <w:color w:val="auto"/>
                <w:sz w:val="24"/>
                <w:highlight w:val="none"/>
              </w:rPr>
            </w:pPr>
          </w:p>
        </w:tc>
        <w:tc>
          <w:tcPr>
            <w:tcW w:w="1620"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c>
          <w:tcPr>
            <w:tcW w:w="1511" w:type="dxa"/>
            <w:vAlign w:val="top"/>
          </w:tcPr>
          <w:p>
            <w:pPr>
              <w:rPr>
                <w:rFonts w:hint="eastAsia" w:ascii="宋体" w:hAnsi="宋体" w:cs="宋体"/>
                <w:color w:val="auto"/>
                <w:sz w:val="24"/>
                <w:highlight w:val="none"/>
              </w:rPr>
            </w:pPr>
          </w:p>
        </w:tc>
      </w:tr>
    </w:tbl>
    <w:p>
      <w:pPr>
        <w:pStyle w:val="17"/>
        <w:spacing w:line="360" w:lineRule="auto"/>
        <w:ind w:firstLine="315" w:firstLineChars="150"/>
        <w:rPr>
          <w:rFonts w:hint="eastAsia" w:hAnsi="宋体"/>
          <w:color w:val="auto"/>
          <w:sz w:val="21"/>
          <w:szCs w:val="21"/>
          <w:highlight w:val="none"/>
        </w:rPr>
      </w:pPr>
      <w:r>
        <w:rPr>
          <w:rFonts w:hint="eastAsia" w:hAnsi="宋体"/>
          <w:color w:val="auto"/>
          <w:sz w:val="21"/>
          <w:szCs w:val="21"/>
          <w:highlight w:val="none"/>
        </w:rPr>
        <w:t>注：</w:t>
      </w:r>
    </w:p>
    <w:p>
      <w:pPr>
        <w:pStyle w:val="17"/>
        <w:spacing w:line="288" w:lineRule="auto"/>
        <w:ind w:firstLine="315" w:firstLineChars="150"/>
        <w:rPr>
          <w:rFonts w:hint="eastAsia" w:hAnsi="宋体"/>
          <w:color w:val="auto"/>
          <w:sz w:val="21"/>
          <w:szCs w:val="21"/>
          <w:highlight w:val="none"/>
        </w:rPr>
      </w:pPr>
      <w:r>
        <w:rPr>
          <w:rFonts w:hint="eastAsia" w:hAnsi="宋体"/>
          <w:color w:val="auto"/>
          <w:sz w:val="21"/>
          <w:szCs w:val="21"/>
          <w:highlight w:val="none"/>
        </w:rPr>
        <w:t>1、磋商响应方应根据投标设备的性能指标、对照招标文件要求在“偏离情况”栏如实注明“正偏离”、“负偏离”或“无偏离”，如有发现本表填写的偏离情况与</w:t>
      </w:r>
      <w:r>
        <w:rPr>
          <w:rFonts w:hint="eastAsia" w:hAnsi="宋体"/>
          <w:color w:val="auto"/>
          <w:sz w:val="21"/>
          <w:szCs w:val="21"/>
          <w:highlight w:val="none"/>
          <w:lang w:eastAsia="zh-CN"/>
        </w:rPr>
        <w:t>产品</w:t>
      </w:r>
      <w:r>
        <w:rPr>
          <w:rFonts w:hint="eastAsia" w:hAnsi="宋体"/>
          <w:color w:val="auto"/>
          <w:sz w:val="21"/>
          <w:szCs w:val="21"/>
          <w:highlight w:val="none"/>
        </w:rPr>
        <w:t>彩页、产品样本等厂家提供的证明参数不一致的，作虚假应标处理，情节严重的，上报财政主管部门依规处理。</w:t>
      </w:r>
    </w:p>
    <w:p>
      <w:pPr>
        <w:pStyle w:val="17"/>
        <w:spacing w:line="288" w:lineRule="auto"/>
        <w:ind w:firstLine="315" w:firstLineChars="150"/>
        <w:rPr>
          <w:rFonts w:hint="eastAsia" w:hAnsi="宋体"/>
          <w:color w:val="auto"/>
          <w:sz w:val="21"/>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、评标委员会仅在供应商标注的页码范围内寻找评标依据，未标注页码范围或页码标注不准确造成评标委员会漏评的责任由供应商自行承担。</w:t>
      </w:r>
    </w:p>
    <w:p>
      <w:pPr>
        <w:snapToGrid w:val="0"/>
        <w:spacing w:before="50" w:after="50" w:line="288" w:lineRule="auto"/>
        <w:ind w:firstLine="6160" w:firstLineChars="2200"/>
        <w:rPr>
          <w:rFonts w:hint="eastAsia" w:ascii="宋体" w:hAnsi="宋体" w:cs="宋体"/>
          <w:color w:val="auto"/>
          <w:spacing w:val="20"/>
          <w:sz w:val="24"/>
          <w:highlight w:val="none"/>
        </w:rPr>
      </w:pPr>
      <w:r>
        <w:rPr>
          <w:rFonts w:hint="eastAsia" w:ascii="宋体" w:hAnsi="宋体" w:cs="宋体"/>
          <w:color w:val="auto"/>
          <w:spacing w:val="20"/>
          <w:sz w:val="24"/>
          <w:highlight w:val="none"/>
        </w:rPr>
        <w:t>磋商响应方</w:t>
      </w:r>
      <w:r>
        <w:rPr>
          <w:rFonts w:hint="eastAsia" w:ascii="宋体" w:hAnsi="宋体" w:cs="宋体"/>
          <w:color w:val="auto"/>
          <w:spacing w:val="20"/>
          <w:sz w:val="24"/>
          <w:highlight w:val="none"/>
          <w:lang w:eastAsia="zh-CN"/>
        </w:rPr>
        <w:t>（</w:t>
      </w:r>
      <w:r>
        <w:rPr>
          <w:rFonts w:hint="eastAsia" w:ascii="宋体" w:hAnsi="宋体" w:cs="宋体"/>
          <w:color w:val="auto"/>
          <w:spacing w:val="20"/>
          <w:sz w:val="24"/>
          <w:highlight w:val="none"/>
        </w:rPr>
        <w:t>盖章</w:t>
      </w:r>
      <w:r>
        <w:rPr>
          <w:rFonts w:hint="eastAsia" w:ascii="宋体" w:hAnsi="宋体" w:cs="宋体"/>
          <w:color w:val="auto"/>
          <w:spacing w:val="20"/>
          <w:sz w:val="24"/>
          <w:highlight w:val="none"/>
          <w:lang w:eastAsia="zh-CN"/>
        </w:rPr>
        <w:t>）</w:t>
      </w:r>
      <w:r>
        <w:rPr>
          <w:rFonts w:hint="eastAsia" w:ascii="宋体" w:hAnsi="宋体" w:cs="宋体"/>
          <w:color w:val="auto"/>
          <w:spacing w:val="20"/>
          <w:sz w:val="24"/>
          <w:highlight w:val="none"/>
        </w:rPr>
        <w:t>：</w:t>
      </w:r>
    </w:p>
    <w:p>
      <w:pPr>
        <w:snapToGrid w:val="0"/>
        <w:spacing w:before="50" w:after="50" w:line="360" w:lineRule="auto"/>
        <w:ind w:firstLine="6160" w:firstLineChars="2200"/>
        <w:rPr>
          <w:rFonts w:hint="eastAsia" w:ascii="宋体" w:hAnsi="宋体" w:cs="宋体"/>
          <w:color w:val="auto"/>
          <w:spacing w:val="20"/>
          <w:sz w:val="24"/>
          <w:highlight w:val="none"/>
        </w:rPr>
      </w:pPr>
      <w:r>
        <w:rPr>
          <w:rFonts w:hint="eastAsia" w:ascii="宋体" w:hAnsi="宋体" w:cs="宋体"/>
          <w:color w:val="auto"/>
          <w:spacing w:val="20"/>
          <w:sz w:val="24"/>
          <w:highlight w:val="none"/>
        </w:rPr>
        <w:t>日期：</w:t>
      </w:r>
    </w:p>
    <w:p>
      <w:pPr>
        <w:snapToGrid w:val="0"/>
        <w:spacing w:before="50" w:after="50"/>
        <w:rPr>
          <w:rFonts w:ascii="宋体" w:hAnsi="宋体" w:cs="宋体"/>
          <w:color w:val="auto"/>
          <w:sz w:val="24"/>
          <w:highlight w:val="none"/>
        </w:rPr>
      </w:pPr>
    </w:p>
    <w:p>
      <w:pPr>
        <w:snapToGrid w:val="0"/>
        <w:spacing w:before="50" w:afterLines="50"/>
        <w:jc w:val="left"/>
        <w:rPr>
          <w:rFonts w:ascii="宋体" w:hAnsi="宋体" w:cs="宋体"/>
          <w:color w:val="auto"/>
          <w:sz w:val="24"/>
          <w:highlight w:val="none"/>
        </w:rPr>
      </w:pPr>
    </w:p>
    <w:p>
      <w:pPr>
        <w:spacing w:before="260" w:after="260" w:line="415" w:lineRule="auto"/>
        <w:rPr>
          <w:rFonts w:ascii="宋体" w:hAnsi="宋体" w:cs="宋体"/>
          <w:bCs/>
          <w:color w:val="auto"/>
          <w:sz w:val="24"/>
          <w:highlight w:val="none"/>
        </w:rPr>
      </w:pPr>
    </w:p>
    <w:p>
      <w:pPr>
        <w:pStyle w:val="4"/>
        <w:keepNext w:val="0"/>
        <w:keepLines w:val="0"/>
        <w:pageBreakBefore/>
        <w:spacing w:line="415" w:lineRule="auto"/>
        <w:rPr>
          <w:rFonts w:hint="eastAsia" w:ascii="宋体" w:hAnsi="宋体" w:eastAsia="宋体" w:cs="宋体"/>
          <w:b/>
          <w:bCs/>
          <w:color w:val="auto"/>
          <w:sz w:val="24"/>
          <w:szCs w:val="24"/>
          <w:highlight w:val="none"/>
        </w:rPr>
      </w:pPr>
      <w:bookmarkStart w:id="76" w:name="_Toc14942619"/>
      <w:bookmarkStart w:id="77" w:name="_Toc22048"/>
      <w:bookmarkStart w:id="78" w:name="_Toc345575541"/>
      <w:bookmarkStart w:id="79" w:name="_Toc335039029"/>
      <w:bookmarkStart w:id="80" w:name="_Toc25841"/>
      <w:bookmarkStart w:id="81" w:name="_Toc21215"/>
      <w:bookmarkStart w:id="82" w:name="_Toc426996341"/>
      <w:bookmarkStart w:id="83" w:name="_Toc18731"/>
      <w:bookmarkStart w:id="84" w:name="_Toc3577"/>
      <w:bookmarkStart w:id="85" w:name="_Toc23147"/>
      <w:bookmarkStart w:id="86" w:name="_Toc24152"/>
      <w:bookmarkStart w:id="87" w:name="_Toc13087"/>
      <w:bookmarkStart w:id="88" w:name="_Toc4581"/>
      <w:bookmarkStart w:id="89" w:name="_Toc21446147"/>
      <w:bookmarkStart w:id="90" w:name="_Toc31640"/>
      <w:bookmarkStart w:id="91" w:name="_Toc21703809"/>
      <w:bookmarkStart w:id="92" w:name="_Toc536428271"/>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十二</w:t>
      </w:r>
      <w:r>
        <w:rPr>
          <w:rFonts w:hint="eastAsia" w:ascii="宋体" w:hAnsi="宋体" w:eastAsia="宋体" w:cs="宋体"/>
          <w:b/>
          <w:bCs/>
          <w:color w:val="auto"/>
          <w:sz w:val="24"/>
          <w:szCs w:val="24"/>
          <w:highlight w:val="none"/>
        </w:rPr>
        <w:t>：</w:t>
      </w:r>
      <w:bookmarkEnd w:id="76"/>
      <w:bookmarkEnd w:id="77"/>
      <w:bookmarkEnd w:id="78"/>
      <w:bookmarkEnd w:id="79"/>
      <w:bookmarkEnd w:id="80"/>
      <w:bookmarkEnd w:id="81"/>
      <w:bookmarkEnd w:id="82"/>
      <w:r>
        <w:rPr>
          <w:rFonts w:hint="eastAsia" w:ascii="宋体" w:hAnsi="宋体" w:eastAsia="宋体" w:cs="宋体"/>
          <w:b/>
          <w:bCs/>
          <w:color w:val="auto"/>
          <w:sz w:val="24"/>
          <w:szCs w:val="24"/>
          <w:highlight w:val="none"/>
        </w:rPr>
        <w:t>人员现场到位率承诺书</w:t>
      </w:r>
      <w:bookmarkEnd w:id="83"/>
      <w:bookmarkEnd w:id="84"/>
      <w:bookmarkEnd w:id="85"/>
      <w:bookmarkEnd w:id="86"/>
    </w:p>
    <w:p>
      <w:pPr>
        <w:snapToGrid w:val="0"/>
        <w:spacing w:before="50" w:afterLines="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人员现场到位率承诺书</w:t>
      </w:r>
    </w:p>
    <w:p>
      <w:pPr>
        <w:spacing w:line="360" w:lineRule="auto"/>
        <w:rPr>
          <w:rFonts w:hint="eastAsia" w:ascii="宋体" w:hAnsi="宋体" w:eastAsia="宋体"/>
          <w:bCs/>
          <w:color w:val="auto"/>
          <w:sz w:val="24"/>
          <w:highlight w:val="none"/>
          <w:lang w:eastAsia="zh-CN"/>
        </w:rPr>
      </w:pPr>
      <w:r>
        <w:rPr>
          <w:rFonts w:hint="eastAsia" w:ascii="宋体" w:hAnsi="宋体"/>
          <w:bCs/>
          <w:color w:val="auto"/>
          <w:sz w:val="24"/>
          <w:highlight w:val="none"/>
        </w:rPr>
        <w:t>致：</w:t>
      </w:r>
      <w:r>
        <w:rPr>
          <w:rFonts w:hint="eastAsia" w:ascii="宋体" w:hAnsi="宋体"/>
          <w:color w:val="auto"/>
          <w:sz w:val="24"/>
          <w:highlight w:val="none"/>
          <w:u w:val="single"/>
          <w:lang w:eastAsia="zh-CN"/>
        </w:rPr>
        <w:t>浙江东阳经济开发区管理委员会</w:t>
      </w:r>
    </w:p>
    <w:p>
      <w:pPr>
        <w:spacing w:line="360" w:lineRule="auto"/>
        <w:ind w:firstLine="960" w:firstLineChars="400"/>
        <w:jc w:val="left"/>
        <w:rPr>
          <w:rFonts w:hint="eastAsia" w:ascii="仿宋" w:eastAsia="仿宋"/>
          <w:b/>
          <w:bCs/>
          <w:color w:val="auto"/>
          <w:sz w:val="24"/>
          <w:highlight w:val="none"/>
        </w:rPr>
      </w:pPr>
      <w:r>
        <w:rPr>
          <w:rFonts w:hint="eastAsia" w:ascii="宋体" w:hAnsi="宋体"/>
          <w:bCs/>
          <w:color w:val="auto"/>
          <w:sz w:val="24"/>
          <w:highlight w:val="none"/>
        </w:rPr>
        <w:t>如有幸中标并参与</w:t>
      </w:r>
      <w:r>
        <w:rPr>
          <w:rFonts w:hint="eastAsia" w:ascii="宋体" w:hAnsi="宋体"/>
          <w:bCs/>
          <w:color w:val="auto"/>
          <w:sz w:val="24"/>
          <w:highlight w:val="none"/>
          <w:u w:val="single"/>
        </w:rPr>
        <w:t xml:space="preserve">                         项目</w:t>
      </w:r>
      <w:r>
        <w:rPr>
          <w:rFonts w:hint="eastAsia" w:ascii="宋体" w:hAnsi="宋体"/>
          <w:bCs/>
          <w:color w:val="auto"/>
          <w:sz w:val="24"/>
          <w:highlight w:val="none"/>
        </w:rPr>
        <w:t>工程的施工，我公司将派</w:t>
      </w:r>
      <w:r>
        <w:rPr>
          <w:rFonts w:hint="eastAsia" w:ascii="宋体" w:hAnsi="宋体"/>
          <w:bCs/>
          <w:color w:val="auto"/>
          <w:sz w:val="24"/>
          <w:highlight w:val="none"/>
          <w:u w:val="single"/>
        </w:rPr>
        <w:t xml:space="preserve">                                        </w:t>
      </w:r>
      <w:r>
        <w:rPr>
          <w:rFonts w:hint="eastAsia" w:ascii="宋体" w:hAnsi="宋体"/>
          <w:bCs/>
          <w:color w:val="auto"/>
          <w:sz w:val="24"/>
          <w:highlight w:val="none"/>
        </w:rPr>
        <w:t>（填写施工项目负责人姓名、负责人资格证书编号）为本工程的施工项目负责人，保证所有人员按</w:t>
      </w:r>
      <w:r>
        <w:rPr>
          <w:rFonts w:hint="eastAsia" w:ascii="宋体" w:hAnsi="宋体"/>
          <w:bCs/>
          <w:color w:val="auto"/>
          <w:sz w:val="24"/>
          <w:highlight w:val="none"/>
          <w:lang w:val="en-US" w:eastAsia="zh-CN"/>
        </w:rPr>
        <w:t>投标</w:t>
      </w:r>
      <w:r>
        <w:rPr>
          <w:rFonts w:hint="eastAsia" w:ascii="宋体" w:hAnsi="宋体"/>
          <w:bCs/>
          <w:color w:val="auto"/>
          <w:sz w:val="24"/>
          <w:highlight w:val="none"/>
        </w:rPr>
        <w:t>文件中拟派的履行；</w:t>
      </w:r>
      <w:r>
        <w:rPr>
          <w:rFonts w:hint="eastAsia" w:ascii="新宋体" w:hAnsi="新宋体" w:eastAsia="新宋体"/>
          <w:color w:val="auto"/>
          <w:sz w:val="24"/>
          <w:highlight w:val="none"/>
        </w:rPr>
        <w:t>合同执行期间，采购人对不称职人员如提出更换，我方保证不拒绝或拖延。</w:t>
      </w:r>
      <w:r>
        <w:rPr>
          <w:rFonts w:hint="eastAsia" w:ascii="宋体" w:hAnsi="宋体"/>
          <w:bCs/>
          <w:color w:val="auto"/>
          <w:sz w:val="24"/>
          <w:highlight w:val="none"/>
        </w:rPr>
        <w:t>如违反此承诺，愿按接受处罚：</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合同执行期间，采购人对不称职</w:t>
      </w:r>
      <w:r>
        <w:rPr>
          <w:rFonts w:hint="eastAsia" w:ascii="宋体" w:hAnsi="宋体"/>
          <w:bCs/>
          <w:color w:val="auto"/>
          <w:sz w:val="24"/>
          <w:highlight w:val="none"/>
        </w:rPr>
        <w:t>人员</w:t>
      </w:r>
      <w:r>
        <w:rPr>
          <w:rFonts w:hint="eastAsia" w:ascii="新宋体" w:hAnsi="新宋体" w:eastAsia="新宋体"/>
          <w:color w:val="auto"/>
          <w:sz w:val="24"/>
          <w:highlight w:val="none"/>
        </w:rPr>
        <w:t>提出更换意见，我方拒绝或拖延的，</w:t>
      </w:r>
      <w:r>
        <w:rPr>
          <w:rFonts w:hint="eastAsia" w:ascii="新宋体" w:hAnsi="新宋体" w:eastAsia="新宋体"/>
          <w:color w:val="auto"/>
          <w:sz w:val="24"/>
          <w:highlight w:val="none"/>
          <w:lang w:eastAsia="zh-CN"/>
        </w:rPr>
        <w:t>采购人有权扣除我方工程款</w:t>
      </w:r>
      <w:r>
        <w:rPr>
          <w:rFonts w:hint="eastAsia" w:ascii="新宋体" w:hAnsi="新宋体" w:eastAsia="新宋体"/>
          <w:color w:val="auto"/>
          <w:sz w:val="24"/>
          <w:highlight w:val="none"/>
        </w:rPr>
        <w:t>。</w:t>
      </w:r>
    </w:p>
    <w:p>
      <w:pPr>
        <w:widowControl/>
        <w:jc w:val="left"/>
        <w:rPr>
          <w:rFonts w:hint="eastAsia"/>
          <w:color w:val="auto"/>
          <w:kern w:val="0"/>
          <w:sz w:val="24"/>
          <w:szCs w:val="20"/>
          <w:highlight w:val="none"/>
        </w:rPr>
      </w:pPr>
    </w:p>
    <w:p>
      <w:pPr>
        <w:widowControl/>
        <w:jc w:val="left"/>
        <w:rPr>
          <w:rFonts w:hint="eastAsia"/>
          <w:color w:val="auto"/>
          <w:kern w:val="0"/>
          <w:sz w:val="24"/>
          <w:szCs w:val="20"/>
          <w:highlight w:val="none"/>
        </w:rPr>
      </w:pPr>
    </w:p>
    <w:p>
      <w:pPr>
        <w:widowControl/>
        <w:jc w:val="left"/>
        <w:rPr>
          <w:rFonts w:hint="eastAsia"/>
          <w:color w:val="auto"/>
          <w:kern w:val="0"/>
          <w:sz w:val="24"/>
          <w:szCs w:val="20"/>
          <w:highlight w:val="none"/>
        </w:rPr>
      </w:pPr>
    </w:p>
    <w:p>
      <w:pPr>
        <w:widowControl/>
        <w:jc w:val="left"/>
        <w:rPr>
          <w:rFonts w:hint="eastAsia"/>
          <w:color w:val="auto"/>
          <w:kern w:val="0"/>
          <w:sz w:val="24"/>
          <w:szCs w:val="20"/>
          <w:highlight w:val="none"/>
        </w:rPr>
      </w:pPr>
    </w:p>
    <w:p>
      <w:pPr>
        <w:pStyle w:val="10"/>
        <w:overflowPunct w:val="0"/>
        <w:spacing w:line="360" w:lineRule="auto"/>
        <w:ind w:right="420" w:firstLine="3300" w:firstLineChars="13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（单位盖章）：</w:t>
      </w:r>
    </w:p>
    <w:p>
      <w:pPr>
        <w:pStyle w:val="10"/>
        <w:overflowPunct w:val="0"/>
        <w:spacing w:line="360" w:lineRule="auto"/>
        <w:ind w:right="420"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法定代表人或委托代理人（签字或</w:t>
      </w:r>
      <w:r>
        <w:rPr>
          <w:rFonts w:hint="eastAsia" w:ascii="宋体" w:hAnsi="宋体" w:cs="宋体"/>
          <w:color w:val="auto"/>
          <w:sz w:val="24"/>
          <w:szCs w:val="24"/>
          <w:highlight w:val="none"/>
          <w:lang w:val="en-US" w:eastAsia="zh-CN"/>
        </w:rPr>
        <w:t>签名章</w:t>
      </w:r>
      <w:r>
        <w:rPr>
          <w:rFonts w:hint="eastAsia" w:ascii="宋体" w:hAnsi="宋体" w:cs="宋体"/>
          <w:color w:val="auto"/>
          <w:sz w:val="24"/>
          <w:szCs w:val="24"/>
          <w:highlight w:val="none"/>
        </w:rPr>
        <w:t xml:space="preserve">）：                         </w:t>
      </w:r>
    </w:p>
    <w:p>
      <w:pPr>
        <w:spacing w:beforeLines="50" w:line="360" w:lineRule="auto"/>
        <w:ind w:right="-21" w:rightChars="-10" w:firstLine="470" w:firstLineChars="196"/>
        <w:jc w:val="right"/>
        <w:rPr>
          <w:rFonts w:hint="eastAsia" w:ascii="宋体" w:hAnsi="宋体" w:cs="宋体"/>
          <w:color w:val="auto"/>
          <w:sz w:val="24"/>
          <w:highlight w:val="none"/>
        </w:rPr>
      </w:pPr>
      <w:r>
        <w:rPr>
          <w:rFonts w:hint="eastAsia" w:ascii="宋体" w:hAnsi="宋体" w:cs="宋体"/>
          <w:color w:val="auto"/>
          <w:sz w:val="24"/>
          <w:highlight w:val="none"/>
        </w:rPr>
        <w:t>年  月  日</w:t>
      </w:r>
    </w:p>
    <w:p>
      <w:pPr>
        <w:rPr>
          <w:color w:val="auto"/>
          <w:highlight w:val="none"/>
        </w:rPr>
      </w:pPr>
    </w:p>
    <w:p>
      <w:pPr>
        <w:pStyle w:val="4"/>
        <w:keepNext w:val="0"/>
        <w:keepLines w:val="0"/>
        <w:pageBreakBefore/>
        <w:spacing w:line="415" w:lineRule="auto"/>
        <w:rPr>
          <w:rFonts w:hint="eastAsia" w:ascii="宋体" w:hAnsi="宋体" w:eastAsia="宋体" w:cs="宋体"/>
          <w:b w:val="0"/>
          <w:bCs w:val="0"/>
          <w:color w:val="auto"/>
          <w:sz w:val="24"/>
          <w:szCs w:val="24"/>
          <w:highlight w:val="none"/>
        </w:rPr>
      </w:pPr>
      <w:bookmarkStart w:id="93" w:name="_Toc26142"/>
      <w:bookmarkStart w:id="94" w:name="_Toc8497"/>
      <w:bookmarkStart w:id="95" w:name="_Toc834"/>
      <w:bookmarkStart w:id="96" w:name="_Toc10463"/>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十三</w:t>
      </w:r>
      <w:r>
        <w:rPr>
          <w:rFonts w:hint="eastAsia" w:ascii="宋体" w:hAnsi="宋体" w:eastAsia="宋体" w:cs="宋体"/>
          <w:b/>
          <w:bCs/>
          <w:color w:val="auto"/>
          <w:sz w:val="24"/>
          <w:szCs w:val="24"/>
          <w:highlight w:val="none"/>
        </w:rPr>
        <w:t>：安全生产及其他承诺函</w:t>
      </w:r>
      <w:bookmarkEnd w:id="93"/>
      <w:bookmarkEnd w:id="94"/>
      <w:bookmarkEnd w:id="95"/>
      <w:bookmarkEnd w:id="96"/>
    </w:p>
    <w:p>
      <w:pPr>
        <w:snapToGrid w:val="0"/>
        <w:spacing w:before="50" w:afterLines="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安全生产及其他承诺函</w:t>
      </w:r>
    </w:p>
    <w:p>
      <w:pPr>
        <w:snapToGrid w:val="0"/>
        <w:spacing w:before="50" w:afterLines="50"/>
        <w:jc w:val="left"/>
        <w:rPr>
          <w:rFonts w:hint="eastAsia" w:ascii="宋体" w:hAnsi="宋体" w:cs="宋体"/>
          <w:b/>
          <w:color w:val="auto"/>
          <w:sz w:val="24"/>
          <w:highlight w:val="none"/>
        </w:rPr>
      </w:pP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none"/>
          <w:lang w:eastAsia="zh-CN"/>
        </w:rPr>
        <w:t>浙江东阳经济开发区管理委员会</w:t>
      </w:r>
    </w:p>
    <w:p>
      <w:pPr>
        <w:spacing w:line="360" w:lineRule="auto"/>
        <w:ind w:firstLine="560" w:firstLineChars="200"/>
        <w:rPr>
          <w:rFonts w:hint="eastAsia" w:ascii="宋体" w:hAnsi="宋体" w:cs="宋体"/>
          <w:color w:val="auto"/>
          <w:sz w:val="28"/>
          <w:szCs w:val="28"/>
          <w:highlight w:val="none"/>
        </w:rPr>
      </w:pPr>
      <w:r>
        <w:rPr>
          <w:rFonts w:hint="eastAsia" w:ascii="宋体" w:hAnsi="宋体"/>
          <w:color w:val="auto"/>
          <w:sz w:val="28"/>
          <w:szCs w:val="28"/>
          <w:highlight w:val="none"/>
        </w:rPr>
        <w:t>根据贵方</w:t>
      </w:r>
      <w:r>
        <w:rPr>
          <w:rFonts w:hint="eastAsia" w:ascii="宋体" w:hAnsi="宋体"/>
          <w:color w:val="auto"/>
          <w:sz w:val="28"/>
          <w:szCs w:val="28"/>
          <w:highlight w:val="none"/>
          <w:u w:val="single"/>
        </w:rPr>
        <w:t xml:space="preserve">                        项目</w:t>
      </w:r>
      <w:r>
        <w:rPr>
          <w:rFonts w:hint="eastAsia" w:ascii="宋体" w:hAnsi="宋体"/>
          <w:color w:val="auto"/>
          <w:sz w:val="28"/>
          <w:szCs w:val="28"/>
          <w:highlight w:val="none"/>
          <w:lang w:val="en-US" w:eastAsia="zh-CN"/>
        </w:rPr>
        <w:t>招标</w:t>
      </w:r>
      <w:r>
        <w:rPr>
          <w:rFonts w:hint="eastAsia" w:ascii="宋体" w:hAnsi="宋体"/>
          <w:color w:val="auto"/>
          <w:sz w:val="28"/>
          <w:szCs w:val="28"/>
          <w:highlight w:val="none"/>
        </w:rPr>
        <w:t>公告（项目编号：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（全名）经正式授权并代表</w:t>
      </w:r>
      <w:r>
        <w:rPr>
          <w:rFonts w:hint="eastAsia" w:ascii="宋体" w:hAnsi="宋体"/>
          <w:color w:val="auto"/>
          <w:sz w:val="28"/>
          <w:szCs w:val="28"/>
          <w:highlight w:val="none"/>
          <w:lang w:val="en-US" w:eastAsia="zh-CN"/>
        </w:rPr>
        <w:t>磋商响应方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磋商响应方</w:t>
      </w:r>
      <w:r>
        <w:rPr>
          <w:rFonts w:hint="eastAsia" w:ascii="宋体" w:hAnsi="宋体"/>
          <w:color w:val="auto"/>
          <w:sz w:val="28"/>
          <w:szCs w:val="28"/>
          <w:highlight w:val="none"/>
        </w:rPr>
        <w:t>名称）作出如下承诺：</w:t>
      </w:r>
    </w:p>
    <w:p>
      <w:pPr>
        <w:spacing w:line="360" w:lineRule="auto"/>
        <w:ind w:firstLine="560" w:firstLineChars="200"/>
        <w:rPr>
          <w:rFonts w:hint="eastAsia" w:ascii="宋体" w:hAnsi="宋体"/>
          <w:color w:val="auto"/>
          <w:sz w:val="28"/>
          <w:szCs w:val="28"/>
          <w:highlight w:val="none"/>
        </w:rPr>
      </w:pP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（1）我方承诺本项目在验收合格前所发生的一切经济、安全及其他责任事故以及验收合格后因</w:t>
      </w:r>
      <w:r>
        <w:rPr>
          <w:rFonts w:hint="eastAsia" w:ascii="宋体" w:hAnsi="宋体"/>
          <w:color w:val="auto"/>
          <w:sz w:val="28"/>
          <w:szCs w:val="28"/>
          <w:highlight w:val="none"/>
          <w:lang w:val="en-US" w:eastAsia="zh-CN"/>
        </w:rPr>
        <w:t>中标人</w:t>
      </w:r>
      <w:r>
        <w:rPr>
          <w:rFonts w:hint="eastAsia" w:ascii="宋体" w:hAnsi="宋体"/>
          <w:color w:val="auto"/>
          <w:sz w:val="28"/>
          <w:szCs w:val="28"/>
          <w:highlight w:val="none"/>
        </w:rPr>
        <w:t>原因导致的一切事故及损失均由我公司承担，与采购人无关。</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（2）工期按</w:t>
      </w:r>
      <w:r>
        <w:rPr>
          <w:rFonts w:hint="eastAsia" w:ascii="宋体" w:hAnsi="宋体"/>
          <w:color w:val="auto"/>
          <w:sz w:val="28"/>
          <w:szCs w:val="28"/>
          <w:highlight w:val="none"/>
          <w:lang w:val="en-US" w:eastAsia="zh-CN"/>
        </w:rPr>
        <w:t>招标</w:t>
      </w:r>
      <w:r>
        <w:rPr>
          <w:rFonts w:hint="eastAsia" w:ascii="宋体" w:hAnsi="宋体"/>
          <w:color w:val="auto"/>
          <w:sz w:val="28"/>
          <w:szCs w:val="28"/>
          <w:highlight w:val="none"/>
        </w:rPr>
        <w:t>文件规定实行，如工期延误的，由我公司承担全部损失。</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（3）在施工过程中产生的垃圾，由我公司清运、处置。</w:t>
      </w:r>
    </w:p>
    <w:p>
      <w:pPr>
        <w:rPr>
          <w:rFonts w:hint="eastAsia" w:ascii="宋体" w:hAnsi="宋体" w:cs="宋体"/>
          <w:color w:val="auto"/>
          <w:sz w:val="28"/>
          <w:szCs w:val="28"/>
          <w:highlight w:val="none"/>
        </w:rPr>
      </w:pPr>
    </w:p>
    <w:p>
      <w:pPr>
        <w:spacing w:line="360" w:lineRule="auto"/>
        <w:rPr>
          <w:rFonts w:hint="eastAsia" w:ascii="宋体" w:hAnsi="宋体" w:cs="宋体"/>
          <w:color w:val="auto"/>
          <w:sz w:val="28"/>
          <w:szCs w:val="28"/>
          <w:highlight w:val="none"/>
        </w:rPr>
      </w:pPr>
    </w:p>
    <w:p>
      <w:pPr>
        <w:spacing w:line="360" w:lineRule="auto"/>
        <w:ind w:firstLine="560" w:firstLineChars="200"/>
        <w:rPr>
          <w:rFonts w:hint="eastAsia" w:ascii="宋体" w:hAnsi="宋体"/>
          <w:color w:val="auto"/>
          <w:sz w:val="28"/>
          <w:szCs w:val="28"/>
          <w:highlight w:val="none"/>
        </w:rPr>
      </w:pPr>
    </w:p>
    <w:bookmarkEnd w:id="87"/>
    <w:bookmarkEnd w:id="88"/>
    <w:p>
      <w:pPr>
        <w:spacing w:line="360" w:lineRule="auto"/>
        <w:ind w:firstLine="3920" w:firstLineChars="1400"/>
        <w:rPr>
          <w:rFonts w:hint="eastAsia" w:ascii="宋体" w:hAnsi="宋体"/>
          <w:color w:val="auto"/>
          <w:sz w:val="28"/>
          <w:szCs w:val="28"/>
          <w:highlight w:val="none"/>
        </w:rPr>
      </w:pPr>
      <w:r>
        <w:rPr>
          <w:rFonts w:hint="eastAsia" w:ascii="宋体" w:hAnsi="宋体"/>
          <w:color w:val="auto"/>
          <w:sz w:val="28"/>
          <w:szCs w:val="28"/>
          <w:highlight w:val="none"/>
          <w:lang w:val="en-US" w:eastAsia="zh-CN"/>
        </w:rPr>
        <w:t>供应商</w:t>
      </w:r>
      <w:r>
        <w:rPr>
          <w:rFonts w:hint="eastAsia" w:ascii="宋体" w:hAnsi="宋体"/>
          <w:color w:val="auto"/>
          <w:sz w:val="28"/>
          <w:szCs w:val="28"/>
          <w:highlight w:val="none"/>
        </w:rPr>
        <w:t>（单位盖章）：</w:t>
      </w:r>
    </w:p>
    <w:p>
      <w:pPr>
        <w:spacing w:line="360" w:lineRule="auto"/>
        <w:ind w:firstLine="3920" w:firstLineChars="1400"/>
        <w:rPr>
          <w:rFonts w:hint="eastAsia" w:ascii="宋体" w:hAnsi="宋体" w:cs="宋体"/>
          <w:color w:val="auto"/>
          <w:sz w:val="24"/>
          <w:szCs w:val="24"/>
          <w:highlight w:val="none"/>
        </w:rPr>
      </w:pPr>
      <w:r>
        <w:rPr>
          <w:rFonts w:hint="eastAsia" w:ascii="宋体" w:hAnsi="宋体"/>
          <w:color w:val="auto"/>
          <w:sz w:val="28"/>
          <w:szCs w:val="28"/>
          <w:highlight w:val="none"/>
        </w:rPr>
        <w:t>法定代表人或委托代理人（签字或</w:t>
      </w:r>
      <w:r>
        <w:rPr>
          <w:rFonts w:hint="eastAsia" w:ascii="宋体" w:hAnsi="宋体"/>
          <w:color w:val="auto"/>
          <w:sz w:val="28"/>
          <w:szCs w:val="28"/>
          <w:highlight w:val="none"/>
          <w:lang w:val="en-US" w:eastAsia="zh-CN"/>
        </w:rPr>
        <w:t>签名章</w:t>
      </w:r>
      <w:r>
        <w:rPr>
          <w:rFonts w:hint="eastAsia" w:ascii="宋体" w:hAnsi="宋体"/>
          <w:color w:val="auto"/>
          <w:sz w:val="28"/>
          <w:szCs w:val="28"/>
          <w:highlight w:val="none"/>
        </w:rPr>
        <w:t xml:space="preserve">）：   </w:t>
      </w:r>
      <w:r>
        <w:rPr>
          <w:rFonts w:hint="eastAsia" w:ascii="宋体" w:hAnsi="宋体" w:cs="宋体"/>
          <w:color w:val="auto"/>
          <w:sz w:val="24"/>
          <w:szCs w:val="24"/>
          <w:highlight w:val="none"/>
        </w:rPr>
        <w:t xml:space="preserve">                      </w:t>
      </w:r>
    </w:p>
    <w:p>
      <w:pPr>
        <w:spacing w:line="360" w:lineRule="auto"/>
        <w:ind w:firstLine="4480" w:firstLineChars="1600"/>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年  月  日</w:t>
      </w:r>
    </w:p>
    <w:p>
      <w:pPr>
        <w:pStyle w:val="4"/>
        <w:keepNext w:val="0"/>
        <w:keepLines w:val="0"/>
        <w:pageBreakBefore/>
        <w:spacing w:line="415" w:lineRule="auto"/>
        <w:rPr>
          <w:rFonts w:hint="eastAsia" w:ascii="宋体" w:hAnsi="宋体" w:eastAsia="宋体" w:cs="宋体"/>
          <w:b/>
          <w:bCs/>
          <w:color w:val="auto"/>
          <w:sz w:val="24"/>
          <w:szCs w:val="24"/>
          <w:highlight w:val="none"/>
        </w:rPr>
      </w:pPr>
      <w:bookmarkStart w:id="97" w:name="_Toc31791"/>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项目负责人目无任何任职的</w:t>
      </w:r>
      <w:r>
        <w:rPr>
          <w:rFonts w:hint="eastAsia" w:ascii="宋体" w:hAnsi="宋体" w:eastAsia="宋体" w:cs="宋体"/>
          <w:b/>
          <w:bCs/>
          <w:color w:val="auto"/>
          <w:sz w:val="24"/>
          <w:szCs w:val="24"/>
          <w:highlight w:val="none"/>
        </w:rPr>
        <w:t>承诺函</w:t>
      </w:r>
    </w:p>
    <w:p>
      <w:pPr>
        <w:spacing w:line="360" w:lineRule="auto"/>
        <w:jc w:val="center"/>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项目负责人目无任何任职的承诺函</w:t>
      </w:r>
    </w:p>
    <w:p>
      <w:pPr>
        <w:spacing w:line="360" w:lineRule="auto"/>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致：浙江东阳经济开发区管理委员会</w:t>
      </w:r>
    </w:p>
    <w:p>
      <w:pPr>
        <w:ind w:firstLine="420" w:firstLineChars="200"/>
        <w:rPr>
          <w:rFonts w:hint="eastAsia"/>
          <w:lang w:val="en-US" w:eastAsia="zh-CN"/>
        </w:rPr>
      </w:pPr>
    </w:p>
    <w:p>
      <w:pPr>
        <w:spacing w:line="360" w:lineRule="auto"/>
        <w:ind w:firstLine="560" w:firstLineChars="200"/>
        <w:rPr>
          <w:rFonts w:hint="eastAsia" w:ascii="宋体" w:hAnsi="宋体" w:cs="宋体"/>
          <w:color w:val="auto"/>
          <w:sz w:val="28"/>
          <w:szCs w:val="28"/>
          <w:highlight w:val="none"/>
        </w:rPr>
      </w:pPr>
      <w:r>
        <w:rPr>
          <w:rFonts w:hint="eastAsia" w:ascii="宋体" w:hAnsi="宋体"/>
          <w:color w:val="auto"/>
          <w:sz w:val="28"/>
          <w:szCs w:val="28"/>
          <w:highlight w:val="none"/>
        </w:rPr>
        <w:t>根据贵方</w:t>
      </w:r>
      <w:r>
        <w:rPr>
          <w:rFonts w:hint="eastAsia" w:ascii="宋体" w:hAnsi="宋体"/>
          <w:color w:val="auto"/>
          <w:sz w:val="28"/>
          <w:szCs w:val="28"/>
          <w:highlight w:val="none"/>
          <w:u w:val="single"/>
        </w:rPr>
        <w:t xml:space="preserve">                        项目</w:t>
      </w:r>
      <w:r>
        <w:rPr>
          <w:rFonts w:hint="eastAsia" w:ascii="宋体" w:hAnsi="宋体"/>
          <w:color w:val="auto"/>
          <w:sz w:val="28"/>
          <w:szCs w:val="28"/>
          <w:highlight w:val="none"/>
          <w:lang w:val="en-US" w:eastAsia="zh-CN"/>
        </w:rPr>
        <w:t>招标</w:t>
      </w:r>
      <w:r>
        <w:rPr>
          <w:rFonts w:hint="eastAsia" w:ascii="宋体" w:hAnsi="宋体"/>
          <w:color w:val="auto"/>
          <w:sz w:val="28"/>
          <w:szCs w:val="28"/>
          <w:highlight w:val="none"/>
        </w:rPr>
        <w:t>公告（项目编号：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（全名）经正式授权并代表</w:t>
      </w:r>
      <w:r>
        <w:rPr>
          <w:rFonts w:hint="eastAsia" w:ascii="宋体" w:hAnsi="宋体"/>
          <w:color w:val="auto"/>
          <w:sz w:val="28"/>
          <w:szCs w:val="28"/>
          <w:highlight w:val="none"/>
          <w:lang w:val="en-US" w:eastAsia="zh-CN"/>
        </w:rPr>
        <w:t>磋商响应方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磋商响应方</w:t>
      </w:r>
      <w:r>
        <w:rPr>
          <w:rFonts w:hint="eastAsia" w:ascii="宋体" w:hAnsi="宋体"/>
          <w:color w:val="auto"/>
          <w:sz w:val="28"/>
          <w:szCs w:val="28"/>
          <w:highlight w:val="none"/>
        </w:rPr>
        <w:t>名称）作出如下承诺：</w:t>
      </w:r>
    </w:p>
    <w:p>
      <w:pPr>
        <w:spacing w:line="360" w:lineRule="auto"/>
        <w:ind w:firstLine="560" w:firstLineChars="200"/>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我方承诺项目负责人目前在其它工程项目（含预中标工程）中无任何任职。</w:t>
      </w:r>
    </w:p>
    <w:p>
      <w:pPr>
        <w:pStyle w:val="2"/>
        <w:rPr>
          <w:rFonts w:hint="eastAsia" w:ascii="宋体" w:hAnsi="宋体"/>
          <w:color w:val="auto"/>
          <w:sz w:val="28"/>
          <w:szCs w:val="28"/>
          <w:highlight w:val="none"/>
          <w:lang w:val="en-US" w:eastAsia="zh-CN"/>
        </w:rPr>
      </w:pPr>
    </w:p>
    <w:p>
      <w:pPr>
        <w:rPr>
          <w:rFonts w:hint="eastAsia" w:ascii="宋体" w:hAnsi="宋体"/>
          <w:color w:val="auto"/>
          <w:sz w:val="28"/>
          <w:szCs w:val="28"/>
          <w:highlight w:val="none"/>
          <w:lang w:val="en-US" w:eastAsia="zh-CN"/>
        </w:rPr>
      </w:pPr>
    </w:p>
    <w:p>
      <w:pPr>
        <w:spacing w:line="360" w:lineRule="auto"/>
        <w:ind w:firstLine="3920" w:firstLineChars="1400"/>
        <w:jc w:val="right"/>
        <w:rPr>
          <w:rFonts w:hint="eastAsia" w:ascii="宋体" w:hAnsi="宋体"/>
          <w:color w:val="auto"/>
          <w:sz w:val="28"/>
          <w:szCs w:val="28"/>
          <w:highlight w:val="none"/>
        </w:rPr>
      </w:pPr>
      <w:r>
        <w:rPr>
          <w:rFonts w:hint="eastAsia" w:ascii="宋体" w:hAnsi="宋体"/>
          <w:color w:val="auto"/>
          <w:sz w:val="28"/>
          <w:szCs w:val="28"/>
          <w:highlight w:val="none"/>
          <w:lang w:val="en-US" w:eastAsia="zh-CN"/>
        </w:rPr>
        <w:t>供应商</w:t>
      </w:r>
      <w:r>
        <w:rPr>
          <w:rFonts w:hint="eastAsia" w:ascii="宋体" w:hAnsi="宋体"/>
          <w:color w:val="auto"/>
          <w:sz w:val="28"/>
          <w:szCs w:val="28"/>
          <w:highlight w:val="none"/>
        </w:rPr>
        <w:t>（单位盖章）：</w:t>
      </w:r>
    </w:p>
    <w:p>
      <w:pPr>
        <w:spacing w:line="360" w:lineRule="auto"/>
        <w:ind w:firstLine="3920" w:firstLineChars="1400"/>
        <w:jc w:val="right"/>
        <w:rPr>
          <w:rFonts w:hint="eastAsia" w:ascii="宋体" w:hAnsi="宋体" w:cs="宋体"/>
          <w:color w:val="auto"/>
          <w:sz w:val="24"/>
          <w:szCs w:val="24"/>
          <w:highlight w:val="none"/>
        </w:rPr>
      </w:pPr>
      <w:r>
        <w:rPr>
          <w:rFonts w:hint="eastAsia" w:ascii="宋体" w:hAnsi="宋体"/>
          <w:color w:val="auto"/>
          <w:sz w:val="28"/>
          <w:szCs w:val="28"/>
          <w:highlight w:val="none"/>
        </w:rPr>
        <w:t>法定代表人或委托代理人（签字或</w:t>
      </w:r>
      <w:r>
        <w:rPr>
          <w:rFonts w:hint="eastAsia" w:ascii="宋体" w:hAnsi="宋体"/>
          <w:color w:val="auto"/>
          <w:sz w:val="28"/>
          <w:szCs w:val="28"/>
          <w:highlight w:val="none"/>
          <w:lang w:val="en-US" w:eastAsia="zh-CN"/>
        </w:rPr>
        <w:t>签名章</w:t>
      </w:r>
      <w:r>
        <w:rPr>
          <w:rFonts w:hint="eastAsia" w:ascii="宋体" w:hAnsi="宋体"/>
          <w:color w:val="auto"/>
          <w:sz w:val="28"/>
          <w:szCs w:val="28"/>
          <w:highlight w:val="none"/>
        </w:rPr>
        <w:t xml:space="preserve">）：   </w:t>
      </w:r>
      <w:r>
        <w:rPr>
          <w:rFonts w:hint="eastAsia" w:ascii="宋体" w:hAnsi="宋体" w:cs="宋体"/>
          <w:color w:val="auto"/>
          <w:sz w:val="24"/>
          <w:szCs w:val="24"/>
          <w:highlight w:val="none"/>
        </w:rPr>
        <w:t xml:space="preserve">                      </w:t>
      </w:r>
    </w:p>
    <w:p>
      <w:pPr>
        <w:spacing w:line="360" w:lineRule="auto"/>
        <w:ind w:firstLine="4480" w:firstLineChars="1600"/>
        <w:jc w:val="righ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年  月  日</w:t>
      </w:r>
    </w:p>
    <w:p>
      <w:pPr>
        <w:pStyle w:val="2"/>
        <w:rPr>
          <w:rFonts w:hint="eastAsia"/>
        </w:rPr>
      </w:pPr>
    </w:p>
    <w:p>
      <w:pPr>
        <w:pStyle w:val="4"/>
        <w:keepNext w:val="0"/>
        <w:keepLines w:val="0"/>
        <w:pageBreakBefore/>
        <w:spacing w:line="415"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附件十</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bookmarkEnd w:id="89"/>
      <w:bookmarkEnd w:id="90"/>
      <w:bookmarkEnd w:id="91"/>
      <w:bookmarkStart w:id="98" w:name="_Toc20267"/>
      <w:bookmarkStart w:id="99" w:name="_Toc31096"/>
      <w:r>
        <w:rPr>
          <w:rFonts w:hint="eastAsia" w:ascii="宋体" w:hAnsi="宋体" w:eastAsia="宋体" w:cs="宋体"/>
          <w:b/>
          <w:bCs/>
          <w:color w:val="auto"/>
          <w:sz w:val="24"/>
          <w:szCs w:val="24"/>
          <w:highlight w:val="none"/>
        </w:rPr>
        <w:t>拟投入本项目</w:t>
      </w:r>
      <w:bookmarkEnd w:id="98"/>
      <w:r>
        <w:rPr>
          <w:rFonts w:hint="eastAsia" w:ascii="宋体" w:hAnsi="宋体" w:eastAsia="宋体" w:cs="宋体"/>
          <w:b/>
          <w:bCs/>
          <w:color w:val="auto"/>
          <w:sz w:val="24"/>
          <w:szCs w:val="24"/>
          <w:highlight w:val="none"/>
        </w:rPr>
        <w:t>人员一览表</w:t>
      </w:r>
      <w:bookmarkEnd w:id="97"/>
      <w:bookmarkEnd w:id="99"/>
    </w:p>
    <w:p>
      <w:pPr>
        <w:jc w:val="center"/>
        <w:rPr>
          <w:rFonts w:ascii="宋体" w:hAnsi="宋体"/>
          <w:b/>
          <w:color w:val="auto"/>
          <w:sz w:val="28"/>
          <w:szCs w:val="28"/>
          <w:highlight w:val="none"/>
        </w:rPr>
      </w:pPr>
      <w:r>
        <w:rPr>
          <w:rFonts w:ascii="宋体" w:hAnsi="宋体"/>
          <w:b/>
          <w:color w:val="auto"/>
          <w:sz w:val="28"/>
          <w:szCs w:val="28"/>
          <w:highlight w:val="none"/>
        </w:rPr>
        <w:t>拟投入本项目人员一览表</w:t>
      </w:r>
    </w:p>
    <w:p>
      <w:pPr>
        <w:rPr>
          <w:rFonts w:ascii="宋体" w:hAnsi="宋体"/>
          <w:b/>
          <w:color w:val="auto"/>
          <w:sz w:val="28"/>
          <w:szCs w:val="28"/>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招标编号：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1080"/>
        <w:gridCol w:w="1440"/>
        <w:gridCol w:w="1620"/>
        <w:gridCol w:w="1458"/>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在本项目任职岗位</w:t>
            </w:r>
          </w:p>
        </w:tc>
        <w:tc>
          <w:tcPr>
            <w:tcW w:w="10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0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职称</w:t>
            </w:r>
          </w:p>
        </w:tc>
        <w:tc>
          <w:tcPr>
            <w:tcW w:w="4518" w:type="dxa"/>
            <w:gridSpan w:val="3"/>
            <w:vAlign w:val="center"/>
          </w:tcPr>
          <w:p>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150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vMerge w:val="continue"/>
            <w:vAlign w:val="top"/>
          </w:tcPr>
          <w:p>
            <w:pPr>
              <w:rPr>
                <w:rFonts w:ascii="宋体" w:hAnsi="宋体"/>
                <w:color w:val="auto"/>
                <w:szCs w:val="21"/>
                <w:highlight w:val="none"/>
              </w:rPr>
            </w:pPr>
          </w:p>
        </w:tc>
        <w:tc>
          <w:tcPr>
            <w:tcW w:w="1080" w:type="dxa"/>
            <w:vMerge w:val="continue"/>
            <w:vAlign w:val="top"/>
          </w:tcPr>
          <w:p>
            <w:pPr>
              <w:rPr>
                <w:rFonts w:ascii="宋体" w:hAnsi="宋体"/>
                <w:color w:val="auto"/>
                <w:szCs w:val="21"/>
                <w:highlight w:val="none"/>
              </w:rPr>
            </w:pPr>
          </w:p>
        </w:tc>
        <w:tc>
          <w:tcPr>
            <w:tcW w:w="1080" w:type="dxa"/>
            <w:vMerge w:val="continue"/>
            <w:vAlign w:val="top"/>
          </w:tcPr>
          <w:p>
            <w:pPr>
              <w:rPr>
                <w:rFonts w:ascii="宋体" w:hAnsi="宋体"/>
                <w:color w:val="auto"/>
                <w:szCs w:val="21"/>
                <w:highlight w:val="none"/>
              </w:rPr>
            </w:pPr>
          </w:p>
        </w:tc>
        <w:tc>
          <w:tcPr>
            <w:tcW w:w="1440" w:type="dxa"/>
            <w:vAlign w:val="center"/>
          </w:tcPr>
          <w:p>
            <w:pPr>
              <w:jc w:val="center"/>
              <w:rPr>
                <w:rFonts w:ascii="宋体" w:hAnsi="宋体"/>
                <w:color w:val="auto"/>
                <w:szCs w:val="21"/>
                <w:highlight w:val="none"/>
              </w:rPr>
            </w:pPr>
            <w:r>
              <w:rPr>
                <w:rFonts w:hint="eastAsia" w:ascii="宋体" w:hAnsi="宋体"/>
                <w:color w:val="auto"/>
                <w:szCs w:val="21"/>
                <w:highlight w:val="none"/>
              </w:rPr>
              <w:t>证书名称</w:t>
            </w:r>
          </w:p>
        </w:tc>
        <w:tc>
          <w:tcPr>
            <w:tcW w:w="1620" w:type="dxa"/>
            <w:vAlign w:val="center"/>
          </w:tcPr>
          <w:p>
            <w:pPr>
              <w:jc w:val="center"/>
              <w:rPr>
                <w:rFonts w:ascii="宋体" w:hAnsi="宋体"/>
                <w:color w:val="auto"/>
                <w:szCs w:val="21"/>
                <w:highlight w:val="none"/>
              </w:rPr>
            </w:pPr>
            <w:r>
              <w:rPr>
                <w:rFonts w:hint="eastAsia" w:ascii="宋体" w:hAnsi="宋体"/>
                <w:color w:val="auto"/>
                <w:szCs w:val="21"/>
                <w:highlight w:val="none"/>
              </w:rPr>
              <w:t>级别</w:t>
            </w:r>
          </w:p>
        </w:tc>
        <w:tc>
          <w:tcPr>
            <w:tcW w:w="1458" w:type="dxa"/>
            <w:vAlign w:val="center"/>
          </w:tcPr>
          <w:p>
            <w:pPr>
              <w:jc w:val="center"/>
              <w:rPr>
                <w:rFonts w:ascii="宋体" w:hAnsi="宋体"/>
                <w:color w:val="auto"/>
                <w:szCs w:val="21"/>
                <w:highlight w:val="none"/>
              </w:rPr>
            </w:pPr>
            <w:r>
              <w:rPr>
                <w:rFonts w:hint="eastAsia" w:ascii="宋体" w:hAnsi="宋体"/>
                <w:color w:val="auto"/>
                <w:szCs w:val="21"/>
                <w:highlight w:val="none"/>
              </w:rPr>
              <w:t>证号</w:t>
            </w:r>
          </w:p>
        </w:tc>
        <w:tc>
          <w:tcPr>
            <w:tcW w:w="1505" w:type="dxa"/>
            <w:vMerge w:val="continue"/>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080" w:type="dxa"/>
            <w:vAlign w:val="top"/>
          </w:tcPr>
          <w:p>
            <w:pPr>
              <w:rPr>
                <w:rFonts w:ascii="宋体" w:hAnsi="宋体"/>
                <w:color w:val="auto"/>
                <w:szCs w:val="21"/>
                <w:highlight w:val="none"/>
              </w:rPr>
            </w:pPr>
          </w:p>
        </w:tc>
        <w:tc>
          <w:tcPr>
            <w:tcW w:w="1440" w:type="dxa"/>
            <w:vAlign w:val="top"/>
          </w:tcPr>
          <w:p>
            <w:pPr>
              <w:rPr>
                <w:rFonts w:ascii="宋体" w:hAnsi="宋体"/>
                <w:color w:val="auto"/>
                <w:szCs w:val="21"/>
                <w:highlight w:val="none"/>
              </w:rPr>
            </w:pPr>
          </w:p>
        </w:tc>
        <w:tc>
          <w:tcPr>
            <w:tcW w:w="1620" w:type="dxa"/>
            <w:vAlign w:val="top"/>
          </w:tcPr>
          <w:p>
            <w:pPr>
              <w:rPr>
                <w:rFonts w:ascii="宋体" w:hAnsi="宋体"/>
                <w:color w:val="auto"/>
                <w:szCs w:val="21"/>
                <w:highlight w:val="none"/>
              </w:rPr>
            </w:pPr>
          </w:p>
        </w:tc>
        <w:tc>
          <w:tcPr>
            <w:tcW w:w="1458" w:type="dxa"/>
            <w:vAlign w:val="top"/>
          </w:tcPr>
          <w:p>
            <w:pPr>
              <w:rPr>
                <w:rFonts w:ascii="宋体" w:hAnsi="宋体"/>
                <w:color w:val="auto"/>
                <w:szCs w:val="21"/>
                <w:highlight w:val="none"/>
              </w:rPr>
            </w:pPr>
          </w:p>
        </w:tc>
        <w:tc>
          <w:tcPr>
            <w:tcW w:w="1505" w:type="dxa"/>
            <w:vAlign w:val="top"/>
          </w:tcPr>
          <w:p>
            <w:pPr>
              <w:rPr>
                <w:rFonts w:ascii="宋体" w:hAnsi="宋体"/>
                <w:color w:val="auto"/>
                <w:szCs w:val="21"/>
                <w:highlight w:val="none"/>
              </w:rPr>
            </w:pPr>
          </w:p>
        </w:tc>
      </w:tr>
    </w:tbl>
    <w:p>
      <w:pPr>
        <w:rPr>
          <w:rFonts w:ascii="宋体" w:hAnsi="宋体"/>
          <w:color w:val="auto"/>
          <w:sz w:val="24"/>
          <w:szCs w:val="20"/>
          <w:highlight w:val="none"/>
        </w:rPr>
      </w:pPr>
      <w:r>
        <w:rPr>
          <w:rFonts w:hint="eastAsia" w:ascii="宋体" w:hAnsi="宋体"/>
          <w:color w:val="auto"/>
          <w:szCs w:val="21"/>
          <w:highlight w:val="none"/>
        </w:rPr>
        <w:t>注：本表后附各人员</w:t>
      </w:r>
      <w:r>
        <w:rPr>
          <w:rFonts w:hint="eastAsia"/>
          <w:color w:val="auto"/>
          <w:szCs w:val="21"/>
          <w:highlight w:val="none"/>
        </w:rPr>
        <w:t>相关资料</w:t>
      </w:r>
      <w:r>
        <w:rPr>
          <w:rFonts w:hint="eastAsia" w:ascii="宋体" w:hAnsi="宋体"/>
          <w:color w:val="auto"/>
          <w:szCs w:val="21"/>
          <w:highlight w:val="none"/>
        </w:rPr>
        <w:t>复印件。</w:t>
      </w:r>
    </w:p>
    <w:p>
      <w:pPr>
        <w:snapToGrid w:val="0"/>
        <w:spacing w:line="360" w:lineRule="auto"/>
        <w:ind w:firstLine="480"/>
        <w:rPr>
          <w:rFonts w:ascii="宋体" w:hAnsi="宋体"/>
          <w:color w:val="auto"/>
          <w:sz w:val="24"/>
          <w:highlight w:val="none"/>
        </w:rPr>
      </w:pPr>
    </w:p>
    <w:p>
      <w:pPr>
        <w:snapToGrid w:val="0"/>
        <w:spacing w:line="360" w:lineRule="auto"/>
        <w:rPr>
          <w:rFonts w:ascii="宋体" w:hAnsi="宋体"/>
          <w:color w:val="auto"/>
          <w:sz w:val="24"/>
          <w:highlight w:val="none"/>
        </w:rPr>
      </w:pPr>
      <w:r>
        <w:rPr>
          <w:rFonts w:hint="eastAsia" w:ascii="宋体" w:hAnsi="宋体"/>
          <w:color w:val="auto"/>
          <w:sz w:val="24"/>
          <w:highlight w:val="none"/>
        </w:rPr>
        <w:t>法定代表人或授权委托人（签字或签名章）：</w:t>
      </w:r>
      <w:r>
        <w:rPr>
          <w:rFonts w:hint="eastAsia" w:ascii="宋体" w:hAnsi="宋体"/>
          <w:color w:val="auto"/>
          <w:spacing w:val="20"/>
          <w:sz w:val="24"/>
          <w:highlight w:val="none"/>
          <w:u w:val="single"/>
        </w:rPr>
        <w:t xml:space="preserve">            </w:t>
      </w:r>
    </w:p>
    <w:p>
      <w:pPr>
        <w:snapToGrid w:val="0"/>
        <w:spacing w:line="360" w:lineRule="auto"/>
        <w:jc w:val="left"/>
        <w:rPr>
          <w:rFonts w:ascii="宋体" w:hAnsi="宋体"/>
          <w:color w:val="auto"/>
          <w:spacing w:val="20"/>
          <w:sz w:val="24"/>
          <w:highlight w:val="none"/>
        </w:rPr>
      </w:pPr>
      <w:r>
        <w:rPr>
          <w:rFonts w:hint="eastAsia" w:ascii="宋体" w:hAnsi="宋体"/>
          <w:color w:val="auto"/>
          <w:spacing w:val="20"/>
          <w:sz w:val="24"/>
          <w:highlight w:val="none"/>
        </w:rPr>
        <w:t>供应商全称（盖章）：</w:t>
      </w:r>
      <w:r>
        <w:rPr>
          <w:rFonts w:hint="eastAsia" w:ascii="宋体" w:hAnsi="宋体"/>
          <w:color w:val="auto"/>
          <w:spacing w:val="20"/>
          <w:sz w:val="24"/>
          <w:highlight w:val="none"/>
          <w:u w:val="single"/>
        </w:rPr>
        <w:t xml:space="preserve">                    </w:t>
      </w:r>
    </w:p>
    <w:p>
      <w:pPr>
        <w:snapToGrid w:val="0"/>
        <w:spacing w:line="360" w:lineRule="auto"/>
        <w:jc w:val="left"/>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pPr>
        <w:snapToGrid w:val="0"/>
        <w:ind w:firstLine="470" w:firstLineChars="196"/>
        <w:jc w:val="left"/>
        <w:rPr>
          <w:rFonts w:ascii="宋体" w:hAnsi="宋体"/>
          <w:color w:val="auto"/>
          <w:sz w:val="24"/>
          <w:highlight w:val="none"/>
        </w:rPr>
      </w:pPr>
    </w:p>
    <w:p>
      <w:pPr>
        <w:rPr>
          <w:rFonts w:ascii="宋体" w:hAnsi="宋体" w:cs="宋体"/>
          <w:b/>
          <w:bCs/>
          <w:color w:val="auto"/>
          <w:sz w:val="24"/>
          <w:szCs w:val="32"/>
          <w:highlight w:val="none"/>
        </w:rPr>
      </w:pPr>
    </w:p>
    <w:bookmarkEnd w:id="92"/>
    <w:p>
      <w:pPr>
        <w:widowControl/>
        <w:spacing w:line="560" w:lineRule="exact"/>
        <w:ind w:firstLine="4080" w:firstLineChars="1700"/>
        <w:rPr>
          <w:rFonts w:ascii="宋体" w:hAnsi="宋体"/>
          <w:color w:val="auto"/>
          <w:sz w:val="24"/>
          <w:highlight w:val="none"/>
        </w:rPr>
      </w:pPr>
    </w:p>
    <w:p>
      <w:pPr>
        <w:pStyle w:val="4"/>
        <w:keepNext w:val="0"/>
        <w:keepLines w:val="0"/>
        <w:pageBreakBefore/>
        <w:spacing w:line="415" w:lineRule="auto"/>
        <w:rPr>
          <w:rFonts w:hint="eastAsia" w:ascii="宋体" w:hAnsi="宋体" w:eastAsia="宋体" w:cs="宋体"/>
          <w:b/>
          <w:bCs/>
          <w:color w:val="auto"/>
          <w:sz w:val="24"/>
          <w:szCs w:val="24"/>
          <w:highlight w:val="none"/>
        </w:rPr>
      </w:pPr>
      <w:bookmarkStart w:id="100" w:name="_Toc10587"/>
      <w:bookmarkStart w:id="101" w:name="_Toc16180"/>
      <w:r>
        <w:rPr>
          <w:rFonts w:hint="eastAsia" w:ascii="宋体" w:hAnsi="宋体" w:eastAsia="宋体" w:cs="宋体"/>
          <w:b/>
          <w:bCs/>
          <w:color w:val="auto"/>
          <w:sz w:val="24"/>
          <w:szCs w:val="24"/>
          <w:highlight w:val="none"/>
        </w:rPr>
        <w:t>附件十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：同类项目业绩</w:t>
      </w:r>
      <w:bookmarkEnd w:id="100"/>
      <w:bookmarkEnd w:id="101"/>
    </w:p>
    <w:p>
      <w:pPr>
        <w:widowControl/>
        <w:jc w:val="left"/>
        <w:rPr>
          <w:rFonts w:ascii="宋体" w:hAnsi="宋体" w:cs="宋体"/>
          <w:color w:val="auto"/>
          <w:kern w:val="0"/>
          <w:sz w:val="24"/>
          <w:szCs w:val="20"/>
          <w:highlight w:val="none"/>
        </w:rPr>
      </w:pPr>
    </w:p>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同类项目业绩</w:t>
      </w:r>
    </w:p>
    <w:p>
      <w:pPr>
        <w:outlineLvl w:val="9"/>
        <w:rPr>
          <w:color w:val="auto"/>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2"/>
        <w:gridCol w:w="1312"/>
        <w:gridCol w:w="1312"/>
        <w:gridCol w:w="1312"/>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312" w:type="dxa"/>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312" w:type="dxa"/>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w:t>
            </w:r>
          </w:p>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类型</w:t>
            </w:r>
          </w:p>
        </w:tc>
        <w:tc>
          <w:tcPr>
            <w:tcW w:w="1312" w:type="dxa"/>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简要描述</w:t>
            </w:r>
          </w:p>
        </w:tc>
        <w:tc>
          <w:tcPr>
            <w:tcW w:w="1312" w:type="dxa"/>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w:t>
            </w:r>
          </w:p>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金额</w:t>
            </w:r>
          </w:p>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（万元）</w:t>
            </w:r>
          </w:p>
        </w:tc>
        <w:tc>
          <w:tcPr>
            <w:tcW w:w="1312" w:type="dxa"/>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实施时间</w:t>
            </w:r>
          </w:p>
        </w:tc>
        <w:tc>
          <w:tcPr>
            <w:tcW w:w="1312" w:type="dxa"/>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项目单位、联系人及电话</w:t>
            </w:r>
          </w:p>
        </w:tc>
        <w:tc>
          <w:tcPr>
            <w:tcW w:w="1313" w:type="dxa"/>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pPr>
              <w:autoSpaceDE w:val="0"/>
              <w:autoSpaceDN w:val="0"/>
              <w:adjustRightInd w:val="0"/>
              <w:spacing w:line="360" w:lineRule="auto"/>
              <w:jc w:val="center"/>
              <w:rPr>
                <w:rFonts w:ascii="宋体" w:hAnsi="宋体" w:cs="宋体"/>
                <w:color w:val="auto"/>
                <w:sz w:val="24"/>
                <w:highlight w:val="none"/>
                <w:lang w:val="zh-CN"/>
              </w:rPr>
            </w:pPr>
          </w:p>
        </w:tc>
      </w:tr>
    </w:tbl>
    <w:p>
      <w:pPr>
        <w:snapToGrid w:val="0"/>
        <w:spacing w:line="360" w:lineRule="auto"/>
        <w:rPr>
          <w:rFonts w:ascii="宋体" w:hAnsi="宋体" w:cs="宋体"/>
          <w:b/>
          <w:color w:val="auto"/>
          <w:szCs w:val="21"/>
          <w:highlight w:val="none"/>
        </w:rPr>
      </w:pP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注：1、各供应商可以根据各自业绩量准备充分的表格，此页后须附证明材料。</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2、供应商须真实仔细地填写本表格。</w:t>
      </w:r>
    </w:p>
    <w:p>
      <w:pPr>
        <w:widowControl/>
        <w:jc w:val="left"/>
        <w:rPr>
          <w:rFonts w:ascii="宋体" w:hAnsi="宋体" w:cs="宋体"/>
          <w:color w:val="auto"/>
          <w:kern w:val="0"/>
          <w:sz w:val="24"/>
          <w:szCs w:val="20"/>
          <w:highlight w:val="none"/>
        </w:rPr>
      </w:pPr>
    </w:p>
    <w:p>
      <w:pPr>
        <w:widowControl/>
        <w:jc w:val="left"/>
        <w:rPr>
          <w:rFonts w:ascii="宋体" w:hAnsi="宋体" w:cs="宋体"/>
          <w:color w:val="auto"/>
          <w:kern w:val="0"/>
          <w:sz w:val="24"/>
          <w:szCs w:val="20"/>
          <w:highlight w:val="none"/>
        </w:rPr>
      </w:pPr>
    </w:p>
    <w:p>
      <w:pPr>
        <w:widowControl/>
        <w:jc w:val="left"/>
        <w:rPr>
          <w:rFonts w:ascii="宋体" w:hAnsi="宋体" w:cs="宋体"/>
          <w:color w:val="auto"/>
          <w:kern w:val="0"/>
          <w:sz w:val="24"/>
          <w:szCs w:val="20"/>
          <w:highlight w:val="none"/>
        </w:rPr>
      </w:pPr>
    </w:p>
    <w:p>
      <w:pPr>
        <w:pStyle w:val="10"/>
        <w:overflowPunct w:val="0"/>
        <w:spacing w:line="360" w:lineRule="auto"/>
        <w:ind w:right="420" w:firstLine="3300" w:firstLineChars="1375"/>
        <w:rPr>
          <w:rFonts w:ascii="宋体" w:hAnsi="宋体" w:cs="宋体"/>
          <w:color w:val="auto"/>
          <w:sz w:val="24"/>
          <w:szCs w:val="24"/>
          <w:highlight w:val="none"/>
        </w:rPr>
      </w:pPr>
      <w:r>
        <w:rPr>
          <w:rFonts w:hint="eastAsia" w:ascii="宋体" w:hAnsi="宋体" w:cs="宋体"/>
          <w:color w:val="auto"/>
          <w:sz w:val="24"/>
          <w:szCs w:val="24"/>
          <w:highlight w:val="none"/>
        </w:rPr>
        <w:t>供应商（单位盖章）：</w:t>
      </w:r>
    </w:p>
    <w:p>
      <w:pPr>
        <w:pStyle w:val="10"/>
        <w:overflowPunct w:val="0"/>
        <w:spacing w:line="360" w:lineRule="auto"/>
        <w:ind w:right="420" w:firstLine="3360" w:firstLineChars="1400"/>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法定代表人或委托代理人（签字或签名章）：                         </w:t>
      </w:r>
    </w:p>
    <w:p>
      <w:pPr>
        <w:spacing w:beforeLines="50" w:line="360" w:lineRule="auto"/>
        <w:ind w:right="-21" w:rightChars="-10" w:firstLine="470" w:firstLineChars="196"/>
        <w:jc w:val="right"/>
        <w:rPr>
          <w:rFonts w:ascii="宋体" w:hAnsi="宋体" w:cs="宋体"/>
          <w:color w:val="auto"/>
          <w:sz w:val="24"/>
          <w:highlight w:val="none"/>
        </w:rPr>
      </w:pPr>
      <w:r>
        <w:rPr>
          <w:rFonts w:hint="eastAsia" w:ascii="宋体" w:hAnsi="宋体" w:cs="宋体"/>
          <w:color w:val="auto"/>
          <w:sz w:val="24"/>
          <w:highlight w:val="none"/>
        </w:rPr>
        <w:t>年  月  日</w:t>
      </w:r>
    </w:p>
    <w:p>
      <w:pPr>
        <w:widowControl/>
        <w:jc w:val="left"/>
        <w:rPr>
          <w:rFonts w:ascii="宋体" w:hAnsi="宋体" w:cs="宋体"/>
          <w:color w:val="auto"/>
          <w:kern w:val="0"/>
          <w:sz w:val="24"/>
          <w:szCs w:val="20"/>
          <w:highlight w:val="none"/>
        </w:rPr>
      </w:pPr>
    </w:p>
    <w:p>
      <w:pPr>
        <w:rPr>
          <w:rFonts w:ascii="宋体" w:hAnsi="宋体" w:cs="宋体"/>
          <w:bCs/>
          <w:color w:val="auto"/>
          <w:sz w:val="24"/>
          <w:szCs w:val="32"/>
          <w:highlight w:val="none"/>
        </w:rPr>
      </w:pPr>
    </w:p>
    <w:p>
      <w:pPr>
        <w:pageBreakBefore/>
        <w:spacing w:before="260" w:after="260" w:line="415" w:lineRule="auto"/>
        <w:outlineLvl w:val="1"/>
        <w:rPr>
          <w:rFonts w:ascii="宋体" w:hAnsi="宋体" w:cs="宋体"/>
          <w:b/>
          <w:bCs w:val="0"/>
          <w:color w:val="auto"/>
          <w:sz w:val="24"/>
          <w:highlight w:val="none"/>
        </w:rPr>
      </w:pPr>
      <w:bookmarkStart w:id="102" w:name="_Toc496598995"/>
      <w:bookmarkStart w:id="103" w:name="_Toc5203"/>
      <w:r>
        <w:rPr>
          <w:rFonts w:hint="eastAsia" w:ascii="宋体" w:hAnsi="宋体" w:cs="宋体"/>
          <w:b/>
          <w:bCs w:val="0"/>
          <w:color w:val="auto"/>
          <w:sz w:val="24"/>
          <w:highlight w:val="none"/>
        </w:rPr>
        <w:t>附件十</w:t>
      </w:r>
      <w:r>
        <w:rPr>
          <w:rFonts w:hint="eastAsia" w:ascii="宋体" w:hAnsi="宋体" w:cs="宋体"/>
          <w:b/>
          <w:bCs w:val="0"/>
          <w:color w:val="auto"/>
          <w:sz w:val="24"/>
          <w:highlight w:val="none"/>
          <w:lang w:val="en-US" w:eastAsia="zh-CN"/>
        </w:rPr>
        <w:t>七</w:t>
      </w:r>
      <w:r>
        <w:rPr>
          <w:rFonts w:hint="eastAsia" w:ascii="宋体" w:hAnsi="宋体" w:cs="宋体"/>
          <w:b/>
          <w:bCs w:val="0"/>
          <w:color w:val="auto"/>
          <w:sz w:val="24"/>
          <w:highlight w:val="none"/>
        </w:rPr>
        <w:t>:</w:t>
      </w:r>
      <w:bookmarkEnd w:id="102"/>
      <w:r>
        <w:rPr>
          <w:rFonts w:hint="eastAsia" w:ascii="宋体" w:hAnsi="宋体" w:cs="宋体"/>
          <w:b/>
          <w:bCs w:val="0"/>
          <w:color w:val="auto"/>
          <w:sz w:val="24"/>
          <w:highlight w:val="none"/>
        </w:rPr>
        <w:t>磋商</w:t>
      </w:r>
      <w:r>
        <w:rPr>
          <w:rFonts w:hint="eastAsia" w:ascii="宋体" w:hAnsi="宋体" w:cs="宋体"/>
          <w:b/>
          <w:bCs w:val="0"/>
          <w:color w:val="auto"/>
          <w:sz w:val="24"/>
          <w:highlight w:val="none"/>
          <w:lang w:val="en-US" w:eastAsia="zh-CN"/>
        </w:rPr>
        <w:t>响应</w:t>
      </w:r>
      <w:r>
        <w:rPr>
          <w:rFonts w:hint="eastAsia" w:ascii="宋体" w:hAnsi="宋体" w:cs="宋体"/>
          <w:b/>
          <w:bCs w:val="0"/>
          <w:color w:val="auto"/>
          <w:sz w:val="24"/>
          <w:highlight w:val="none"/>
        </w:rPr>
        <w:t>函</w:t>
      </w:r>
      <w:bookmarkEnd w:id="103"/>
    </w:p>
    <w:p>
      <w:pPr>
        <w:snapToGrid w:val="0"/>
        <w:spacing w:beforeLines="50" w:after="50" w:line="480" w:lineRule="auto"/>
        <w:jc w:val="center"/>
        <w:rPr>
          <w:rFonts w:ascii="宋体" w:hAnsi="宋体" w:cs="宋体"/>
          <w:b/>
          <w:color w:val="auto"/>
          <w:sz w:val="40"/>
          <w:szCs w:val="40"/>
          <w:highlight w:val="none"/>
        </w:rPr>
      </w:pPr>
      <w:r>
        <w:rPr>
          <w:rFonts w:hint="eastAsia" w:ascii="宋体" w:hAnsi="宋体" w:cs="宋体"/>
          <w:b/>
          <w:color w:val="auto"/>
          <w:sz w:val="40"/>
          <w:szCs w:val="40"/>
          <w:highlight w:val="none"/>
        </w:rPr>
        <w:t>磋 商</w:t>
      </w:r>
      <w:r>
        <w:rPr>
          <w:rFonts w:hint="eastAsia" w:ascii="宋体" w:hAnsi="宋体" w:cs="宋体"/>
          <w:b/>
          <w:color w:val="auto"/>
          <w:sz w:val="40"/>
          <w:szCs w:val="40"/>
          <w:highlight w:val="none"/>
          <w:lang w:val="en-US" w:eastAsia="zh-CN"/>
        </w:rPr>
        <w:t xml:space="preserve"> 响 应</w:t>
      </w:r>
      <w:r>
        <w:rPr>
          <w:rFonts w:hint="eastAsia" w:ascii="宋体" w:hAnsi="宋体" w:cs="宋体"/>
          <w:b/>
          <w:color w:val="auto"/>
          <w:sz w:val="40"/>
          <w:szCs w:val="40"/>
          <w:highlight w:val="none"/>
        </w:rPr>
        <w:t xml:space="preserve"> 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eastAsia="zh-CN"/>
        </w:rPr>
        <w:t>贵方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项目的磋商公告/磋商邀请书</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（供应商名称）提交电子磋商响应文件。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据此函，签字代表宣布同意如下：</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1.供应商已详细审查全部“磋商文件”，包括修改文件（如有的话）以及全部参考资料和有关附件，已经了解我方对于磋商文件、采购过程、采购结果有依法进行询问、质疑、投诉的权利及相关渠道和要求。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2.供应商在磋商之前已经与贵方进行了充分的沟通，完全理解并接受磋商文件的各项规定和要求，对磋商文件的合理性、合法性不再有异议。</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3.本磋商响应文件有效期自开标日起 ______天。</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4.如中标，本磋商响应文件至本项目合同履行完毕止均保持有效，本供应商将按“磋商文件”及政府采购法律、法规的规定履行合同责任和义务。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5.供应商同意按照贵方要求提供与磋商有关的一切数据或资料。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6.与本磋商有关的一切正式往来信函请寄：</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地址：__________</w:t>
      </w:r>
      <w:r>
        <w:rPr>
          <w:rFonts w:hint="eastAsia" w:ascii="宋体" w:hAnsi="宋体" w:cs="宋体"/>
          <w:color w:val="auto"/>
          <w:sz w:val="24"/>
          <w:highlight w:val="none"/>
          <w:u w:val="single"/>
        </w:rPr>
        <w:t xml:space="preserve">        _</w:t>
      </w:r>
      <w:r>
        <w:rPr>
          <w:rFonts w:hint="eastAsia" w:ascii="宋体" w:hAnsi="宋体" w:cs="宋体"/>
          <w:color w:val="auto"/>
          <w:sz w:val="24"/>
          <w:highlight w:val="none"/>
        </w:rPr>
        <w:t>____邮编：__________   电话：______________</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传真：______________供应商代表姓名 ___________  职务：______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_______</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供应商名称(公章):___________________</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法定代表人或委托代理人（签字或签名章）：___________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日期:_____年___月___日</w:t>
      </w:r>
    </w:p>
    <w:p>
      <w:pPr>
        <w:snapToGrid w:val="0"/>
        <w:spacing w:before="156" w:after="156" w:line="360" w:lineRule="auto"/>
        <w:rPr>
          <w:rFonts w:ascii="宋体" w:hAnsi="宋体" w:cs="宋体"/>
          <w:color w:val="auto"/>
          <w:sz w:val="24"/>
          <w:highlight w:val="none"/>
        </w:rPr>
      </w:pPr>
    </w:p>
    <w:p>
      <w:pPr>
        <w:snapToGrid w:val="0"/>
        <w:spacing w:before="50" w:afterLines="50"/>
        <w:jc w:val="left"/>
        <w:rPr>
          <w:rFonts w:ascii="宋体" w:hAnsi="宋体" w:cs="宋体"/>
          <w:b/>
          <w:color w:val="auto"/>
          <w:sz w:val="24"/>
          <w:highlight w:val="none"/>
        </w:rPr>
      </w:pPr>
    </w:p>
    <w:p>
      <w:pPr>
        <w:snapToGrid w:val="0"/>
        <w:spacing w:before="50" w:afterLines="50"/>
        <w:jc w:val="left"/>
        <w:rPr>
          <w:rFonts w:ascii="宋体" w:hAnsi="宋体" w:cs="宋体"/>
          <w:b/>
          <w:color w:val="auto"/>
          <w:sz w:val="24"/>
          <w:highlight w:val="none"/>
        </w:rPr>
      </w:pPr>
    </w:p>
    <w:p>
      <w:pPr>
        <w:snapToGrid w:val="0"/>
        <w:spacing w:before="50" w:afterLines="50"/>
        <w:jc w:val="left"/>
        <w:rPr>
          <w:rFonts w:ascii="宋体" w:hAnsi="宋体" w:cs="宋体"/>
          <w:b/>
          <w:color w:val="auto"/>
          <w:sz w:val="24"/>
          <w:highlight w:val="none"/>
        </w:rPr>
      </w:pPr>
    </w:p>
    <w:p>
      <w:pPr>
        <w:keepNext/>
        <w:keepLines/>
        <w:pageBreakBefore/>
        <w:widowControl w:val="0"/>
        <w:kinsoku/>
        <w:wordWrap/>
        <w:overflowPunct/>
        <w:topLinePunct w:val="0"/>
        <w:autoSpaceDE/>
        <w:autoSpaceDN/>
        <w:bidi w:val="0"/>
        <w:adjustRightInd/>
        <w:snapToGrid/>
        <w:spacing w:before="260" w:after="260" w:line="360" w:lineRule="auto"/>
        <w:textAlignment w:val="auto"/>
        <w:outlineLvl w:val="1"/>
        <w:rPr>
          <w:rFonts w:ascii="宋体" w:hAnsi="宋体"/>
          <w:b/>
          <w:bCs w:val="0"/>
          <w:color w:val="auto"/>
          <w:sz w:val="24"/>
          <w:highlight w:val="none"/>
        </w:rPr>
      </w:pPr>
      <w:bookmarkStart w:id="104" w:name="_Toc14942623"/>
      <w:bookmarkStart w:id="105" w:name="_Toc12413"/>
      <w:bookmarkStart w:id="106" w:name="_Toc26482"/>
      <w:bookmarkStart w:id="107" w:name="_Toc11231"/>
      <w:bookmarkStart w:id="108" w:name="_Toc496598998"/>
      <w:bookmarkStart w:id="109" w:name="_Toc1663"/>
      <w:bookmarkStart w:id="110" w:name="_Toc2590"/>
      <w:r>
        <w:rPr>
          <w:rFonts w:hint="eastAsia" w:ascii="宋体" w:hAnsi="宋体"/>
          <w:b/>
          <w:bCs w:val="0"/>
          <w:color w:val="auto"/>
          <w:sz w:val="24"/>
          <w:highlight w:val="none"/>
        </w:rPr>
        <w:t>附件十</w:t>
      </w:r>
      <w:r>
        <w:rPr>
          <w:rFonts w:hint="eastAsia" w:ascii="宋体" w:hAnsi="宋体"/>
          <w:b/>
          <w:bCs w:val="0"/>
          <w:color w:val="auto"/>
          <w:sz w:val="24"/>
          <w:highlight w:val="none"/>
          <w:lang w:val="en-US" w:eastAsia="zh-CN"/>
        </w:rPr>
        <w:t>八</w:t>
      </w:r>
      <w:r>
        <w:rPr>
          <w:rFonts w:hint="eastAsia" w:ascii="宋体" w:hAnsi="宋体"/>
          <w:b/>
          <w:bCs w:val="0"/>
          <w:color w:val="auto"/>
          <w:sz w:val="24"/>
          <w:highlight w:val="none"/>
        </w:rPr>
        <w:t>：</w:t>
      </w:r>
      <w:bookmarkEnd w:id="104"/>
      <w:bookmarkEnd w:id="105"/>
      <w:bookmarkEnd w:id="106"/>
      <w:r>
        <w:rPr>
          <w:rFonts w:hint="eastAsia" w:ascii="宋体" w:hAnsi="宋体"/>
          <w:b/>
          <w:bCs w:val="0"/>
          <w:color w:val="auto"/>
          <w:sz w:val="24"/>
          <w:highlight w:val="none"/>
        </w:rPr>
        <w:t>初次报价表</w:t>
      </w:r>
      <w:bookmarkEnd w:id="107"/>
    </w:p>
    <w:p>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初次报价表</w:t>
      </w:r>
    </w:p>
    <w:p>
      <w:pPr>
        <w:spacing w:line="360" w:lineRule="auto"/>
        <w:rPr>
          <w:rFonts w:ascii="宋体" w:hAnsi="宋体"/>
          <w:b/>
          <w:color w:val="auto"/>
          <w:sz w:val="24"/>
          <w:highlight w:val="none"/>
        </w:rPr>
      </w:pPr>
      <w:r>
        <w:rPr>
          <w:rFonts w:hint="eastAsia" w:ascii="宋体" w:hAnsi="宋体"/>
          <w:b/>
          <w:color w:val="auto"/>
          <w:sz w:val="24"/>
          <w:highlight w:val="none"/>
        </w:rPr>
        <w:t xml:space="preserve">招标编号：                             </w:t>
      </w:r>
    </w:p>
    <w:p>
      <w:pPr>
        <w:spacing w:line="360" w:lineRule="auto"/>
        <w:rPr>
          <w:rFonts w:ascii="宋体" w:hAnsi="宋体"/>
          <w:b/>
          <w:color w:val="auto"/>
          <w:sz w:val="24"/>
          <w:highlight w:val="none"/>
        </w:rPr>
      </w:pPr>
      <w:r>
        <w:rPr>
          <w:rFonts w:hint="eastAsia" w:ascii="宋体" w:hAnsi="宋体"/>
          <w:b/>
          <w:color w:val="auto"/>
          <w:sz w:val="24"/>
          <w:highlight w:val="none"/>
        </w:rPr>
        <w:t>供应商名称：                                          单位：元</w:t>
      </w:r>
    </w:p>
    <w:tbl>
      <w:tblPr>
        <w:tblStyle w:val="39"/>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4236"/>
        <w:gridCol w:w="239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采购内容</w:t>
            </w:r>
          </w:p>
        </w:tc>
        <w:tc>
          <w:tcPr>
            <w:tcW w:w="23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eastAsia="zh-CN"/>
              </w:rPr>
              <w:t>下浮率</w:t>
            </w:r>
            <w:r>
              <w:rPr>
                <w:rFonts w:hint="eastAsia" w:ascii="宋体" w:hAnsi="宋体" w:eastAsia="宋体" w:cs="Times New Roman"/>
                <w:b/>
                <w:color w:val="auto"/>
                <w:sz w:val="24"/>
                <w:highlight w:val="none"/>
              </w:rPr>
              <w:t>(%)</w:t>
            </w:r>
          </w:p>
        </w:tc>
        <w:tc>
          <w:tcPr>
            <w:tcW w:w="2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磋商报价（元）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1</w:t>
            </w:r>
          </w:p>
        </w:tc>
        <w:tc>
          <w:tcPr>
            <w:tcW w:w="4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lang w:eastAsia="zh-CN"/>
              </w:rPr>
            </w:pPr>
            <w:r>
              <w:rPr>
                <w:rFonts w:hint="eastAsia" w:ascii="宋体" w:hAnsi="宋体" w:cs="Times New Roman"/>
                <w:b/>
                <w:color w:val="auto"/>
                <w:sz w:val="24"/>
                <w:highlight w:val="none"/>
                <w:lang w:eastAsia="zh-CN"/>
              </w:rPr>
              <w:t>六石安置区二期水系联通工程</w:t>
            </w:r>
          </w:p>
        </w:tc>
        <w:tc>
          <w:tcPr>
            <w:tcW w:w="23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p>
        </w:tc>
        <w:tc>
          <w:tcPr>
            <w:tcW w:w="2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97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磋商报价大写：</w:t>
            </w:r>
            <w:r>
              <w:rPr>
                <w:rFonts w:hint="eastAsia" w:ascii="宋体" w:hAnsi="宋体" w:eastAsia="宋体" w:cs="Times New Roman"/>
                <w:b/>
                <w:color w:val="auto"/>
                <w:sz w:val="24"/>
                <w:highlight w:val="none"/>
                <w:u w:val="single"/>
              </w:rPr>
              <w:t xml:space="preserve">                                </w:t>
            </w:r>
            <w:r>
              <w:rPr>
                <w:rFonts w:hint="eastAsia" w:ascii="宋体" w:hAnsi="宋体" w:eastAsia="宋体" w:cs="Times New Roman"/>
                <w:b/>
                <w:color w:val="auto"/>
                <w:sz w:val="24"/>
                <w:highlight w:val="none"/>
              </w:rPr>
              <w:t>小写：</w:t>
            </w:r>
            <w:r>
              <w:rPr>
                <w:rFonts w:hint="eastAsia" w:ascii="宋体" w:hAnsi="宋体" w:eastAsia="宋体" w:cs="Times New Roman"/>
                <w:b/>
                <w:color w:val="auto"/>
                <w:sz w:val="24"/>
                <w:highlight w:val="none"/>
                <w:u w:val="single"/>
              </w:rPr>
              <w:t xml:space="preserve">                                </w:t>
            </w:r>
          </w:p>
        </w:tc>
      </w:tr>
    </w:tbl>
    <w:p>
      <w:pPr>
        <w:spacing w:line="360" w:lineRule="auto"/>
        <w:jc w:val="left"/>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▲1、磋商报价一栏必须填写，否则其磋商作无效标处理。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▲2、磋商报价一经涂改，应在涂改处加盖单位公章或者由法定代表人或授权委托人签字或盖章，否则其磋商作无效标处理</w:t>
      </w:r>
      <w:r>
        <w:rPr>
          <w:rFonts w:hint="eastAsia" w:ascii="宋体" w:hAnsi="宋体" w:cs="Arial"/>
          <w:bCs/>
          <w:color w:val="auto"/>
          <w:sz w:val="24"/>
          <w:highlight w:val="none"/>
        </w:rPr>
        <w:t>；</w:t>
      </w:r>
    </w:p>
    <w:p>
      <w:pPr>
        <w:numPr>
          <w:ilvl w:val="0"/>
          <w:numId w:val="0"/>
        </w:numPr>
        <w:spacing w:line="360" w:lineRule="auto"/>
        <w:ind w:firstLine="480" w:firstLineChars="200"/>
        <w:jc w:val="left"/>
        <w:rPr>
          <w:rFonts w:hint="eastAsia" w:ascii="宋体" w:hAnsi="宋体" w:eastAsia="宋体" w:cs="Times New Roman"/>
          <w:color w:val="auto"/>
          <w:sz w:val="24"/>
          <w:szCs w:val="24"/>
          <w:highlight w:val="none"/>
          <w:lang w:eastAsia="zh-CN"/>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w:t>
      </w:r>
      <w:r>
        <w:rPr>
          <w:rFonts w:hint="eastAsia" w:ascii="宋体" w:hAnsi="宋体" w:eastAsia="宋体" w:cs="Times New Roman"/>
          <w:color w:val="auto"/>
          <w:sz w:val="24"/>
          <w:szCs w:val="24"/>
          <w:highlight w:val="none"/>
        </w:rPr>
        <w:t>本开标一览表中填报</w:t>
      </w:r>
      <w:r>
        <w:rPr>
          <w:rFonts w:hint="eastAsia" w:ascii="宋体" w:hAnsi="宋体" w:eastAsia="宋体" w:cs="Times New Roman"/>
          <w:color w:val="auto"/>
          <w:sz w:val="24"/>
          <w:szCs w:val="24"/>
          <w:highlight w:val="none"/>
          <w:lang w:eastAsia="zh-CN"/>
        </w:rPr>
        <w:t>下浮率</w:t>
      </w:r>
      <w:r>
        <w:rPr>
          <w:rFonts w:hint="eastAsia" w:ascii="宋体" w:hAnsi="宋体" w:eastAsia="宋体" w:cs="Times New Roman"/>
          <w:color w:val="auto"/>
          <w:sz w:val="24"/>
          <w:szCs w:val="24"/>
          <w:highlight w:val="none"/>
          <w:lang w:val="en-US" w:eastAsia="zh-CN"/>
        </w:rPr>
        <w:t>和磋商报价</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请勿错填</w:t>
      </w:r>
      <w:r>
        <w:rPr>
          <w:rFonts w:hint="eastAsia" w:ascii="宋体" w:hAnsi="宋体" w:eastAsia="宋体" w:cs="Times New Roman"/>
          <w:color w:val="auto"/>
          <w:sz w:val="24"/>
          <w:szCs w:val="24"/>
          <w:highlight w:val="none"/>
          <w:lang w:eastAsia="zh-CN"/>
        </w:rPr>
        <w:t>，【如下浮率</w:t>
      </w:r>
      <w:r>
        <w:rPr>
          <w:rFonts w:hint="eastAsia" w:ascii="宋体" w:hAnsi="宋体" w:eastAsia="宋体" w:cs="Times New Roman"/>
          <w:color w:val="auto"/>
          <w:sz w:val="24"/>
          <w:szCs w:val="24"/>
          <w:highlight w:val="none"/>
          <w:lang w:val="en-US" w:eastAsia="zh-CN"/>
        </w:rPr>
        <w:t>为90%</w:t>
      </w: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磋商报价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最高限价*（1-90%）</w:t>
      </w:r>
      <w:r>
        <w:rPr>
          <w:rFonts w:hint="eastAsia" w:ascii="宋体" w:hAnsi="宋体" w:cs="Times New Roman"/>
          <w:color w:val="auto"/>
          <w:sz w:val="24"/>
          <w:szCs w:val="24"/>
          <w:highlight w:val="none"/>
          <w:lang w:val="en-US" w:eastAsia="zh-CN"/>
        </w:rPr>
        <w:t>，磋商报价</w:t>
      </w:r>
      <w:r>
        <w:rPr>
          <w:rFonts w:hint="eastAsia" w:ascii="宋体" w:hAnsi="宋体" w:cs="宋体"/>
          <w:color w:val="auto"/>
          <w:kern w:val="0"/>
          <w:sz w:val="24"/>
          <w:highlight w:val="none"/>
        </w:rPr>
        <w:t>最终</w:t>
      </w:r>
      <w:r>
        <w:rPr>
          <w:rFonts w:hint="eastAsia" w:ascii="宋体" w:hAnsi="宋体" w:cs="宋体"/>
          <w:color w:val="auto"/>
          <w:kern w:val="0"/>
          <w:sz w:val="24"/>
          <w:highlight w:val="none"/>
          <w:lang w:val="en-US" w:eastAsia="zh-CN"/>
        </w:rPr>
        <w:t>只</w:t>
      </w:r>
      <w:r>
        <w:rPr>
          <w:rFonts w:hint="eastAsia" w:ascii="宋体" w:hAnsi="宋体" w:cs="宋体"/>
          <w:color w:val="auto"/>
          <w:kern w:val="0"/>
          <w:sz w:val="24"/>
          <w:highlight w:val="none"/>
        </w:rPr>
        <w:t>保留2位小数</w:t>
      </w:r>
      <w:r>
        <w:rPr>
          <w:rFonts w:hint="eastAsia" w:ascii="宋体" w:hAnsi="宋体" w:eastAsia="宋体" w:cs="Times New Roman"/>
          <w:color w:val="auto"/>
          <w:sz w:val="24"/>
          <w:szCs w:val="24"/>
          <w:highlight w:val="none"/>
          <w:lang w:eastAsia="zh-CN"/>
        </w:rPr>
        <w:t>】</w:t>
      </w:r>
    </w:p>
    <w:p>
      <w:pPr>
        <w:numPr>
          <w:ilvl w:val="0"/>
          <w:numId w:val="0"/>
        </w:numPr>
        <w:spacing w:line="360" w:lineRule="auto"/>
        <w:ind w:firstLine="480" w:firstLineChars="200"/>
        <w:jc w:val="left"/>
        <w:rPr>
          <w:rFonts w:ascii="宋体" w:hAnsi="宋体"/>
          <w:color w:val="auto"/>
          <w:sz w:val="24"/>
          <w:highlight w:val="none"/>
        </w:rPr>
      </w:pPr>
      <w:r>
        <w:rPr>
          <w:rFonts w:hint="eastAsia" w:ascii="宋体" w:hAnsi="宋体" w:cs="Times New Roman"/>
          <w:color w:val="auto"/>
          <w:kern w:val="2"/>
          <w:sz w:val="24"/>
          <w:szCs w:val="24"/>
          <w:highlight w:val="none"/>
          <w:lang w:val="en-US" w:eastAsia="zh-CN" w:bidi="ar-SA"/>
        </w:rPr>
        <w:t>4</w:t>
      </w:r>
      <w:r>
        <w:rPr>
          <w:rFonts w:hint="eastAsia" w:ascii="宋体" w:hAnsi="宋体" w:cs="Times New Roman"/>
          <w:color w:val="auto"/>
          <w:sz w:val="24"/>
          <w:highlight w:val="none"/>
          <w:lang w:val="en-US" w:eastAsia="zh-CN"/>
        </w:rPr>
        <w:t>、</w:t>
      </w:r>
      <w:r>
        <w:rPr>
          <w:rFonts w:hint="eastAsia" w:ascii="宋体" w:hAnsi="宋体"/>
          <w:color w:val="auto"/>
          <w:sz w:val="24"/>
          <w:highlight w:val="none"/>
        </w:rPr>
        <w:t>磋商报价包括施工所需的施工费、材料费、机械费、人工费、服务费、运输费、安全措施费、招标代理费等实施本项目相关的一切费用及税金。</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、本表格式不允许修改，否则作无效标处理。</w:t>
      </w:r>
    </w:p>
    <w:p>
      <w:pPr>
        <w:snapToGrid w:val="0"/>
        <w:spacing w:line="360" w:lineRule="auto"/>
        <w:ind w:firstLine="480" w:firstLineChars="200"/>
        <w:jc w:val="left"/>
        <w:rPr>
          <w:rFonts w:ascii="宋体" w:hAnsi="宋体"/>
          <w:color w:val="auto"/>
          <w:sz w:val="24"/>
          <w:highlight w:val="none"/>
        </w:rPr>
      </w:pPr>
    </w:p>
    <w:p>
      <w:pPr>
        <w:snapToGrid w:val="0"/>
        <w:spacing w:line="360" w:lineRule="auto"/>
        <w:ind w:firstLine="480" w:firstLineChars="200"/>
        <w:jc w:val="left"/>
        <w:rPr>
          <w:rFonts w:ascii="宋体" w:hAnsi="宋体"/>
          <w:color w:val="auto"/>
          <w:sz w:val="24"/>
          <w:highlight w:val="none"/>
        </w:rPr>
      </w:pPr>
    </w:p>
    <w:p>
      <w:pPr>
        <w:snapToGrid w:val="0"/>
        <w:spacing w:before="50" w:after="50"/>
        <w:ind w:left="-2" w:leftChars="-1" w:right="-817" w:rightChars="-389" w:firstLine="360" w:firstLineChars="150"/>
        <w:rPr>
          <w:rFonts w:ascii="宋体" w:hAnsi="宋体"/>
          <w:color w:val="auto"/>
          <w:sz w:val="24"/>
          <w:highlight w:val="none"/>
        </w:rPr>
      </w:pPr>
      <w:r>
        <w:rPr>
          <w:rFonts w:hint="eastAsia" w:ascii="宋体" w:hAnsi="宋体"/>
          <w:color w:val="auto"/>
          <w:sz w:val="24"/>
          <w:highlight w:val="none"/>
        </w:rPr>
        <w:t>法定代表人或委托代理人（签字或签名章）：</w:t>
      </w:r>
    </w:p>
    <w:p>
      <w:pPr>
        <w:snapToGrid w:val="0"/>
        <w:spacing w:before="50" w:after="50"/>
        <w:ind w:left="-2" w:leftChars="-1" w:right="-817" w:rightChars="-389" w:firstLine="360" w:firstLineChars="150"/>
        <w:rPr>
          <w:rFonts w:ascii="宋体" w:hAnsi="宋体"/>
          <w:color w:val="auto"/>
          <w:sz w:val="24"/>
          <w:highlight w:val="none"/>
        </w:rPr>
      </w:pPr>
    </w:p>
    <w:p>
      <w:pPr>
        <w:snapToGrid w:val="0"/>
        <w:spacing w:before="50" w:after="50"/>
        <w:ind w:right="-817" w:rightChars="-389" w:firstLine="360" w:firstLineChars="150"/>
        <w:rPr>
          <w:rFonts w:ascii="宋体" w:hAnsi="宋体"/>
          <w:color w:val="auto"/>
          <w:sz w:val="24"/>
          <w:highlight w:val="none"/>
        </w:rPr>
      </w:pPr>
      <w:r>
        <w:rPr>
          <w:rFonts w:hint="eastAsia" w:ascii="宋体" w:hAnsi="宋体"/>
          <w:color w:val="auto"/>
          <w:sz w:val="24"/>
          <w:highlight w:val="none"/>
        </w:rPr>
        <w:t xml:space="preserve">供应商名称（盖章）：                                         </w:t>
      </w:r>
    </w:p>
    <w:p>
      <w:pPr>
        <w:snapToGrid w:val="0"/>
        <w:spacing w:before="50" w:after="50"/>
        <w:ind w:right="-817" w:rightChars="-389"/>
        <w:rPr>
          <w:rFonts w:ascii="宋体" w:hAnsi="宋体"/>
          <w:color w:val="auto"/>
          <w:sz w:val="24"/>
          <w:highlight w:val="none"/>
        </w:rPr>
      </w:pPr>
    </w:p>
    <w:p>
      <w:pPr>
        <w:spacing w:line="380" w:lineRule="exact"/>
        <w:ind w:firstLine="6240" w:firstLineChars="2600"/>
        <w:rPr>
          <w:rFonts w:ascii="宋体" w:hAnsi="宋体"/>
          <w:b/>
          <w:color w:val="auto"/>
          <w:sz w:val="24"/>
          <w:highlight w:val="none"/>
        </w:rPr>
      </w:pPr>
      <w:r>
        <w:rPr>
          <w:rFonts w:hint="eastAsia" w:ascii="宋体" w:hAnsi="宋体"/>
          <w:color w:val="auto"/>
          <w:sz w:val="24"/>
          <w:highlight w:val="none"/>
        </w:rPr>
        <w:t>日期：    年   月   日</w:t>
      </w:r>
    </w:p>
    <w:p>
      <w:pPr>
        <w:outlineLvl w:val="9"/>
        <w:rPr>
          <w:color w:val="auto"/>
          <w:sz w:val="24"/>
          <w:szCs w:val="24"/>
          <w:highlight w:val="none"/>
        </w:rPr>
      </w:pPr>
    </w:p>
    <w:p>
      <w:pPr>
        <w:outlineLvl w:val="9"/>
        <w:rPr>
          <w:color w:val="auto"/>
          <w:highlight w:val="none"/>
        </w:rPr>
      </w:pPr>
    </w:p>
    <w:bookmarkEnd w:id="108"/>
    <w:bookmarkEnd w:id="109"/>
    <w:bookmarkEnd w:id="110"/>
    <w:p>
      <w:pPr>
        <w:spacing w:before="260" w:after="260" w:line="360" w:lineRule="auto"/>
        <w:outlineLvl w:val="9"/>
        <w:rPr>
          <w:rFonts w:ascii="宋体" w:hAnsi="宋体"/>
          <w:bCs/>
          <w:color w:val="auto"/>
          <w:sz w:val="24"/>
          <w:highlight w:val="none"/>
        </w:rPr>
      </w:pPr>
      <w:bookmarkStart w:id="111" w:name="_Toc496599000"/>
    </w:p>
    <w:p>
      <w:pPr>
        <w:pStyle w:val="2"/>
        <w:rPr>
          <w:rFonts w:ascii="宋体" w:hAnsi="宋体"/>
          <w:bCs/>
          <w:color w:val="auto"/>
          <w:sz w:val="24"/>
          <w:highlight w:val="none"/>
        </w:rPr>
      </w:pPr>
    </w:p>
    <w:p>
      <w:pPr>
        <w:rPr>
          <w:rFonts w:ascii="宋体" w:hAnsi="宋体"/>
          <w:bCs/>
          <w:color w:val="auto"/>
          <w:sz w:val="24"/>
          <w:highlight w:val="none"/>
        </w:rPr>
      </w:pPr>
    </w:p>
    <w:p>
      <w:pPr>
        <w:keepNext/>
        <w:keepLines/>
        <w:pageBreakBefore/>
        <w:widowControl w:val="0"/>
        <w:kinsoku/>
        <w:wordWrap/>
        <w:overflowPunct/>
        <w:topLinePunct w:val="0"/>
        <w:autoSpaceDE/>
        <w:autoSpaceDN/>
        <w:bidi w:val="0"/>
        <w:adjustRightInd/>
        <w:snapToGrid/>
        <w:spacing w:before="260" w:after="260" w:line="360" w:lineRule="auto"/>
        <w:textAlignment w:val="auto"/>
        <w:outlineLvl w:val="1"/>
        <w:rPr>
          <w:rFonts w:ascii="宋体" w:hAnsi="宋体"/>
          <w:b/>
          <w:bCs w:val="0"/>
          <w:color w:val="auto"/>
          <w:sz w:val="24"/>
          <w:highlight w:val="none"/>
        </w:rPr>
      </w:pPr>
      <w:bookmarkStart w:id="112" w:name="_Toc3125"/>
      <w:r>
        <w:rPr>
          <w:rFonts w:hint="eastAsia" w:ascii="宋体" w:hAnsi="宋体"/>
          <w:b/>
          <w:bCs w:val="0"/>
          <w:color w:val="auto"/>
          <w:sz w:val="24"/>
          <w:highlight w:val="none"/>
        </w:rPr>
        <w:t>附件十</w:t>
      </w:r>
      <w:r>
        <w:rPr>
          <w:rFonts w:hint="eastAsia" w:ascii="宋体" w:hAnsi="宋体"/>
          <w:b/>
          <w:bCs w:val="0"/>
          <w:color w:val="auto"/>
          <w:sz w:val="24"/>
          <w:highlight w:val="none"/>
          <w:lang w:val="en-US" w:eastAsia="zh-CN"/>
        </w:rPr>
        <w:t>九</w:t>
      </w:r>
      <w:r>
        <w:rPr>
          <w:rFonts w:hint="eastAsia" w:ascii="宋体" w:hAnsi="宋体"/>
          <w:b/>
          <w:bCs w:val="0"/>
          <w:color w:val="auto"/>
          <w:sz w:val="24"/>
          <w:highlight w:val="none"/>
        </w:rPr>
        <w:t>：</w:t>
      </w:r>
      <w:r>
        <w:rPr>
          <w:rFonts w:hint="eastAsia" w:ascii="宋体" w:hAnsi="宋体"/>
          <w:b/>
          <w:bCs w:val="0"/>
          <w:color w:val="auto"/>
          <w:sz w:val="24"/>
          <w:highlight w:val="none"/>
          <w:lang w:val="en-US" w:eastAsia="zh-CN"/>
        </w:rPr>
        <w:t>最终</w:t>
      </w:r>
      <w:r>
        <w:rPr>
          <w:rFonts w:hint="eastAsia" w:ascii="宋体" w:hAnsi="宋体"/>
          <w:b/>
          <w:bCs w:val="0"/>
          <w:color w:val="auto"/>
          <w:sz w:val="24"/>
          <w:highlight w:val="none"/>
        </w:rPr>
        <w:t>报价表</w:t>
      </w:r>
      <w:bookmarkEnd w:id="112"/>
    </w:p>
    <w:p>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最终</w:t>
      </w:r>
      <w:r>
        <w:rPr>
          <w:rFonts w:hint="eastAsia" w:ascii="宋体" w:hAnsi="宋体"/>
          <w:b/>
          <w:color w:val="auto"/>
          <w:sz w:val="24"/>
          <w:highlight w:val="none"/>
        </w:rPr>
        <w:t>报价表</w:t>
      </w:r>
    </w:p>
    <w:p>
      <w:pPr>
        <w:spacing w:line="360" w:lineRule="auto"/>
        <w:rPr>
          <w:rFonts w:ascii="宋体" w:hAnsi="宋体"/>
          <w:b/>
          <w:color w:val="auto"/>
          <w:sz w:val="24"/>
          <w:highlight w:val="none"/>
        </w:rPr>
      </w:pPr>
      <w:r>
        <w:rPr>
          <w:rFonts w:hint="eastAsia" w:ascii="宋体" w:hAnsi="宋体"/>
          <w:b/>
          <w:color w:val="auto"/>
          <w:sz w:val="24"/>
          <w:highlight w:val="none"/>
        </w:rPr>
        <w:t xml:space="preserve">招标编号：                             </w:t>
      </w:r>
    </w:p>
    <w:p>
      <w:pPr>
        <w:spacing w:line="360" w:lineRule="auto"/>
        <w:rPr>
          <w:rFonts w:ascii="宋体" w:hAnsi="宋体"/>
          <w:b/>
          <w:color w:val="auto"/>
          <w:sz w:val="24"/>
          <w:highlight w:val="none"/>
        </w:rPr>
      </w:pPr>
      <w:r>
        <w:rPr>
          <w:rFonts w:hint="eastAsia" w:ascii="宋体" w:hAnsi="宋体"/>
          <w:b/>
          <w:color w:val="auto"/>
          <w:sz w:val="24"/>
          <w:highlight w:val="none"/>
        </w:rPr>
        <w:t>供应商名称：                                          单位：元</w:t>
      </w:r>
    </w:p>
    <w:tbl>
      <w:tblPr>
        <w:tblStyle w:val="39"/>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4236"/>
        <w:gridCol w:w="239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采购内容</w:t>
            </w:r>
          </w:p>
        </w:tc>
        <w:tc>
          <w:tcPr>
            <w:tcW w:w="23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eastAsia="zh-CN"/>
              </w:rPr>
              <w:t>下浮率</w:t>
            </w:r>
            <w:r>
              <w:rPr>
                <w:rFonts w:hint="eastAsia" w:ascii="宋体" w:hAnsi="宋体" w:eastAsia="宋体" w:cs="Times New Roman"/>
                <w:b/>
                <w:color w:val="auto"/>
                <w:sz w:val="24"/>
                <w:highlight w:val="none"/>
              </w:rPr>
              <w:t>(%)</w:t>
            </w:r>
          </w:p>
        </w:tc>
        <w:tc>
          <w:tcPr>
            <w:tcW w:w="2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磋商报价（元）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1</w:t>
            </w:r>
          </w:p>
        </w:tc>
        <w:tc>
          <w:tcPr>
            <w:tcW w:w="4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lang w:eastAsia="zh-CN"/>
              </w:rPr>
            </w:pPr>
            <w:r>
              <w:rPr>
                <w:rFonts w:hint="eastAsia" w:ascii="宋体" w:hAnsi="宋体" w:cs="Times New Roman"/>
                <w:b/>
                <w:color w:val="auto"/>
                <w:sz w:val="24"/>
                <w:highlight w:val="none"/>
                <w:lang w:eastAsia="zh-CN"/>
              </w:rPr>
              <w:t>六石安置区二期水系联通工程</w:t>
            </w:r>
          </w:p>
        </w:tc>
        <w:tc>
          <w:tcPr>
            <w:tcW w:w="23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p>
        </w:tc>
        <w:tc>
          <w:tcPr>
            <w:tcW w:w="2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97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磋商报价大写：</w:t>
            </w:r>
            <w:r>
              <w:rPr>
                <w:rFonts w:hint="eastAsia" w:ascii="宋体" w:hAnsi="宋体" w:eastAsia="宋体" w:cs="Times New Roman"/>
                <w:b/>
                <w:color w:val="auto"/>
                <w:sz w:val="24"/>
                <w:highlight w:val="none"/>
                <w:u w:val="single"/>
              </w:rPr>
              <w:t xml:space="preserve">                                </w:t>
            </w:r>
            <w:r>
              <w:rPr>
                <w:rFonts w:hint="eastAsia" w:ascii="宋体" w:hAnsi="宋体" w:eastAsia="宋体" w:cs="Times New Roman"/>
                <w:b/>
                <w:color w:val="auto"/>
                <w:sz w:val="24"/>
                <w:highlight w:val="none"/>
              </w:rPr>
              <w:t>小写：</w:t>
            </w:r>
            <w:r>
              <w:rPr>
                <w:rFonts w:hint="eastAsia" w:ascii="宋体" w:hAnsi="宋体" w:eastAsia="宋体" w:cs="Times New Roman"/>
                <w:b/>
                <w:color w:val="auto"/>
                <w:sz w:val="24"/>
                <w:highlight w:val="none"/>
                <w:u w:val="single"/>
              </w:rPr>
              <w:t xml:space="preserve">                                </w:t>
            </w:r>
          </w:p>
        </w:tc>
      </w:tr>
    </w:tbl>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▲1、磋商报价一栏必须填写，否则其磋商作无效标处理。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▲2、磋商报价一经涂改，应在涂改处加盖单位公章或者由法定代表人或授权委托人签字或盖章，否则其磋商作无效标处理</w:t>
      </w:r>
      <w:r>
        <w:rPr>
          <w:rFonts w:hint="eastAsia" w:ascii="宋体" w:hAnsi="宋体" w:cs="Arial"/>
          <w:bCs/>
          <w:color w:val="auto"/>
          <w:sz w:val="24"/>
          <w:highlight w:val="none"/>
        </w:rPr>
        <w:t>；</w:t>
      </w:r>
    </w:p>
    <w:p>
      <w:pPr>
        <w:numPr>
          <w:ilvl w:val="0"/>
          <w:numId w:val="0"/>
        </w:numPr>
        <w:spacing w:line="360" w:lineRule="auto"/>
        <w:ind w:firstLine="480" w:firstLineChars="200"/>
        <w:jc w:val="left"/>
        <w:rPr>
          <w:rFonts w:hint="eastAsia" w:ascii="宋体" w:hAnsi="宋体" w:eastAsia="宋体" w:cs="Times New Roman"/>
          <w:color w:val="auto"/>
          <w:sz w:val="24"/>
          <w:szCs w:val="24"/>
          <w:highlight w:val="none"/>
          <w:lang w:eastAsia="zh-CN"/>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w:t>
      </w:r>
      <w:r>
        <w:rPr>
          <w:rFonts w:hint="eastAsia" w:ascii="宋体" w:hAnsi="宋体" w:eastAsia="宋体" w:cs="Times New Roman"/>
          <w:color w:val="auto"/>
          <w:sz w:val="24"/>
          <w:szCs w:val="24"/>
          <w:highlight w:val="none"/>
        </w:rPr>
        <w:t>本开标一览表中填报下浮率和磋商报价，供应商请勿错填，【如下浮率为90%，磋商报价=最高限价*（1-90%），磋商报价最终只保留2位小数】</w:t>
      </w:r>
    </w:p>
    <w:p>
      <w:pPr>
        <w:numPr>
          <w:ilvl w:val="0"/>
          <w:numId w:val="0"/>
        </w:numPr>
        <w:spacing w:line="360" w:lineRule="auto"/>
        <w:ind w:firstLine="480" w:firstLineChars="200"/>
        <w:jc w:val="left"/>
        <w:rPr>
          <w:rFonts w:ascii="宋体" w:hAnsi="宋体"/>
          <w:color w:val="auto"/>
          <w:sz w:val="24"/>
          <w:highlight w:val="none"/>
        </w:rPr>
      </w:pPr>
      <w:r>
        <w:rPr>
          <w:rFonts w:hint="eastAsia" w:ascii="宋体" w:hAnsi="宋体" w:cs="Times New Roman"/>
          <w:color w:val="auto"/>
          <w:kern w:val="2"/>
          <w:sz w:val="24"/>
          <w:szCs w:val="24"/>
          <w:highlight w:val="none"/>
          <w:lang w:val="en-US" w:eastAsia="zh-CN" w:bidi="ar-SA"/>
        </w:rPr>
        <w:t>4</w:t>
      </w:r>
      <w:r>
        <w:rPr>
          <w:rFonts w:hint="eastAsia" w:ascii="宋体" w:hAnsi="宋体" w:cs="Times New Roman"/>
          <w:color w:val="auto"/>
          <w:sz w:val="24"/>
          <w:highlight w:val="none"/>
          <w:lang w:val="en-US" w:eastAsia="zh-CN"/>
        </w:rPr>
        <w:t>、</w:t>
      </w:r>
      <w:r>
        <w:rPr>
          <w:rFonts w:hint="eastAsia" w:ascii="宋体" w:hAnsi="宋体"/>
          <w:color w:val="auto"/>
          <w:sz w:val="24"/>
          <w:highlight w:val="none"/>
        </w:rPr>
        <w:t>磋商报价包括施工所需的施工费、材料费、机械费、人工费、服务费、运输费、安全措施费、招标代理费等实施本项目相关的一切费用及税金。</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、本表格式不允许修改，否则作无效标处理。</w:t>
      </w:r>
    </w:p>
    <w:p>
      <w:pPr>
        <w:snapToGrid w:val="0"/>
        <w:spacing w:line="360" w:lineRule="auto"/>
        <w:ind w:firstLine="480" w:firstLineChars="200"/>
        <w:jc w:val="left"/>
        <w:rPr>
          <w:rFonts w:ascii="宋体" w:hAnsi="宋体"/>
          <w:color w:val="auto"/>
          <w:sz w:val="24"/>
          <w:highlight w:val="none"/>
        </w:rPr>
      </w:pPr>
    </w:p>
    <w:p>
      <w:pPr>
        <w:snapToGrid w:val="0"/>
        <w:spacing w:line="360" w:lineRule="auto"/>
        <w:ind w:firstLine="480" w:firstLineChars="200"/>
        <w:jc w:val="left"/>
        <w:rPr>
          <w:rFonts w:ascii="宋体" w:hAnsi="宋体"/>
          <w:color w:val="auto"/>
          <w:sz w:val="24"/>
          <w:highlight w:val="none"/>
        </w:rPr>
      </w:pPr>
    </w:p>
    <w:p>
      <w:pPr>
        <w:snapToGrid w:val="0"/>
        <w:spacing w:before="50" w:after="50"/>
        <w:ind w:left="-2" w:leftChars="-1" w:right="-817" w:rightChars="-389" w:firstLine="360" w:firstLineChars="150"/>
        <w:rPr>
          <w:rFonts w:ascii="宋体" w:hAnsi="宋体"/>
          <w:color w:val="auto"/>
          <w:sz w:val="24"/>
          <w:highlight w:val="none"/>
        </w:rPr>
      </w:pPr>
      <w:r>
        <w:rPr>
          <w:rFonts w:hint="eastAsia" w:ascii="宋体" w:hAnsi="宋体"/>
          <w:color w:val="auto"/>
          <w:sz w:val="24"/>
          <w:highlight w:val="none"/>
        </w:rPr>
        <w:t>法定代表人或委托代理人（签字或签名章）：</w:t>
      </w:r>
    </w:p>
    <w:p>
      <w:pPr>
        <w:snapToGrid w:val="0"/>
        <w:spacing w:before="50" w:after="50"/>
        <w:ind w:left="-2" w:leftChars="-1" w:right="-817" w:rightChars="-389" w:firstLine="360" w:firstLineChars="150"/>
        <w:rPr>
          <w:rFonts w:ascii="宋体" w:hAnsi="宋体"/>
          <w:color w:val="auto"/>
          <w:sz w:val="24"/>
          <w:highlight w:val="none"/>
        </w:rPr>
      </w:pPr>
    </w:p>
    <w:p>
      <w:pPr>
        <w:snapToGrid w:val="0"/>
        <w:spacing w:before="50" w:after="50"/>
        <w:ind w:right="-817" w:rightChars="-389" w:firstLine="360" w:firstLineChars="150"/>
        <w:rPr>
          <w:rFonts w:ascii="宋体" w:hAnsi="宋体"/>
          <w:color w:val="auto"/>
          <w:sz w:val="24"/>
          <w:highlight w:val="none"/>
        </w:rPr>
      </w:pPr>
      <w:r>
        <w:rPr>
          <w:rFonts w:hint="eastAsia" w:ascii="宋体" w:hAnsi="宋体"/>
          <w:color w:val="auto"/>
          <w:sz w:val="24"/>
          <w:highlight w:val="none"/>
        </w:rPr>
        <w:t xml:space="preserve">供应商名称（盖章）：                                         </w:t>
      </w:r>
    </w:p>
    <w:p>
      <w:pPr>
        <w:snapToGrid w:val="0"/>
        <w:spacing w:before="50" w:after="50"/>
        <w:ind w:right="-817" w:rightChars="-389"/>
        <w:rPr>
          <w:rFonts w:ascii="宋体" w:hAnsi="宋体"/>
          <w:color w:val="auto"/>
          <w:sz w:val="24"/>
          <w:highlight w:val="none"/>
        </w:rPr>
      </w:pPr>
    </w:p>
    <w:p>
      <w:pPr>
        <w:spacing w:line="380" w:lineRule="exact"/>
        <w:ind w:firstLine="6240" w:firstLineChars="2600"/>
        <w:rPr>
          <w:rFonts w:ascii="宋体" w:hAnsi="宋体"/>
          <w:b/>
          <w:color w:val="auto"/>
          <w:sz w:val="24"/>
          <w:highlight w:val="none"/>
        </w:rPr>
      </w:pPr>
      <w:r>
        <w:rPr>
          <w:rFonts w:hint="eastAsia" w:ascii="宋体" w:hAnsi="宋体"/>
          <w:color w:val="auto"/>
          <w:sz w:val="24"/>
          <w:highlight w:val="none"/>
        </w:rPr>
        <w:t>日期：    年   月   日</w:t>
      </w:r>
    </w:p>
    <w:p>
      <w:pPr>
        <w:pStyle w:val="2"/>
        <w:rPr>
          <w:color w:val="auto"/>
          <w:highlight w:val="none"/>
        </w:rPr>
      </w:pPr>
    </w:p>
    <w:bookmarkEnd w:id="111"/>
    <w:p>
      <w:pPr>
        <w:pageBreakBefore/>
        <w:spacing w:before="260" w:after="260" w:line="415" w:lineRule="auto"/>
        <w:outlineLvl w:val="1"/>
        <w:rPr>
          <w:rFonts w:ascii="宋体" w:hAnsi="宋体" w:cs="宋体"/>
          <w:b/>
          <w:bCs w:val="0"/>
          <w:color w:val="auto"/>
          <w:sz w:val="24"/>
          <w:highlight w:val="none"/>
        </w:rPr>
      </w:pPr>
      <w:bookmarkStart w:id="113" w:name="_Toc496599001"/>
      <w:bookmarkStart w:id="114" w:name="_Toc29491"/>
      <w:r>
        <w:rPr>
          <w:rFonts w:hint="eastAsia" w:ascii="宋体" w:hAnsi="宋体" w:cs="宋体"/>
          <w:b/>
          <w:bCs w:val="0"/>
          <w:color w:val="auto"/>
          <w:sz w:val="24"/>
          <w:highlight w:val="none"/>
        </w:rPr>
        <w:t>附件</w:t>
      </w:r>
      <w:r>
        <w:rPr>
          <w:rFonts w:hint="eastAsia" w:ascii="宋体" w:hAnsi="宋体" w:cs="宋体"/>
          <w:b/>
          <w:bCs w:val="0"/>
          <w:color w:val="auto"/>
          <w:sz w:val="24"/>
          <w:highlight w:val="none"/>
          <w:lang w:val="en-US" w:eastAsia="zh-CN"/>
        </w:rPr>
        <w:t>二十</w:t>
      </w:r>
      <w:r>
        <w:rPr>
          <w:rFonts w:hint="eastAsia" w:ascii="宋体" w:hAnsi="宋体" w:cs="宋体"/>
          <w:b/>
          <w:bCs w:val="0"/>
          <w:color w:val="auto"/>
          <w:sz w:val="24"/>
          <w:highlight w:val="none"/>
        </w:rPr>
        <w:t>：</w:t>
      </w:r>
      <w:bookmarkEnd w:id="113"/>
      <w:r>
        <w:rPr>
          <w:rFonts w:hint="eastAsia" w:ascii="宋体" w:hAnsi="宋体" w:cs="宋体"/>
          <w:b/>
          <w:bCs w:val="0"/>
          <w:color w:val="auto"/>
          <w:sz w:val="24"/>
          <w:highlight w:val="none"/>
        </w:rPr>
        <w:t>东阳市采购项目验收方案（投标时无需提供）</w:t>
      </w:r>
      <w:bookmarkEnd w:id="114"/>
    </w:p>
    <w:p>
      <w:pPr>
        <w:spacing w:after="120"/>
        <w:jc w:val="center"/>
        <w:rPr>
          <w:rFonts w:ascii="宋体" w:hAnsi="宋体" w:cs="宋体"/>
          <w:b/>
          <w:color w:val="auto"/>
          <w:sz w:val="24"/>
          <w:highlight w:val="none"/>
        </w:rPr>
      </w:pPr>
      <w:r>
        <w:rPr>
          <w:rFonts w:hint="eastAsia" w:ascii="宋体" w:hAnsi="宋体" w:cs="宋体"/>
          <w:b/>
          <w:color w:val="auto"/>
          <w:sz w:val="24"/>
          <w:highlight w:val="none"/>
        </w:rPr>
        <w:t>东阳市采购项目验收方案</w:t>
      </w:r>
    </w:p>
    <w:p>
      <w:pPr>
        <w:spacing w:beforeLines="50"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根据《政府采购法》及东阳市政府采购办东财预〔2009〕98号《关于加强政府采购管理工作的补充规定》等有关文件规定，为做好</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采购项目的验收管理工作，特制定本项目验收方案，具体如下。</w:t>
      </w: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一、验收项目说明</w:t>
      </w: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 xml:space="preserve">1、招标编号：               </w:t>
      </w: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2、采购内容：</w:t>
      </w:r>
    </w:p>
    <w:p>
      <w:pPr>
        <w:spacing w:after="120" w:line="360" w:lineRule="auto"/>
        <w:rPr>
          <w:rFonts w:ascii="宋体" w:hAnsi="宋体" w:cs="宋体"/>
          <w:b/>
          <w:color w:val="auto"/>
          <w:sz w:val="24"/>
          <w:highlight w:val="none"/>
        </w:rPr>
      </w:pPr>
    </w:p>
    <w:p>
      <w:pPr>
        <w:spacing w:after="12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二、验收小组人员</w:t>
      </w: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1、本次验收由</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rPr>
        <w:t>组织。</w:t>
      </w:r>
    </w:p>
    <w:p>
      <w:pPr>
        <w:spacing w:after="120" w:line="360" w:lineRule="auto"/>
        <w:ind w:firstLine="472" w:firstLineChars="196"/>
        <w:rPr>
          <w:rFonts w:ascii="宋体" w:hAnsi="宋体" w:cs="宋体"/>
          <w:b/>
          <w:color w:val="auto"/>
          <w:sz w:val="24"/>
          <w:highlight w:val="none"/>
          <w:u w:val="single"/>
        </w:rPr>
      </w:pPr>
      <w:r>
        <w:rPr>
          <w:rFonts w:hint="eastAsia" w:ascii="宋体" w:hAnsi="宋体" w:cs="宋体"/>
          <w:b/>
          <w:color w:val="auto"/>
          <w:sz w:val="24"/>
          <w:highlight w:val="none"/>
        </w:rPr>
        <w:t>2、验收小组成员名单：</w:t>
      </w:r>
      <w:r>
        <w:rPr>
          <w:rFonts w:hint="eastAsia" w:ascii="宋体" w:hAnsi="宋体" w:cs="宋体"/>
          <w:b/>
          <w:color w:val="auto"/>
          <w:sz w:val="24"/>
          <w:highlight w:val="none"/>
          <w:u w:val="single"/>
        </w:rPr>
        <w:t xml:space="preserve">                                                       </w:t>
      </w: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3、验收小组成员签名：</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三、验收方法与内容</w:t>
      </w:r>
    </w:p>
    <w:p>
      <w:pPr>
        <w:spacing w:after="120" w:line="360" w:lineRule="auto"/>
        <w:rPr>
          <w:rFonts w:ascii="宋体" w:hAnsi="宋体" w:cs="宋体"/>
          <w:b/>
          <w:color w:val="auto"/>
          <w:sz w:val="24"/>
          <w:highlight w:val="none"/>
        </w:rPr>
      </w:pPr>
    </w:p>
    <w:p>
      <w:pPr>
        <w:spacing w:after="12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四、验收时间</w:t>
      </w:r>
    </w:p>
    <w:p>
      <w:pPr>
        <w:spacing w:after="120" w:line="360" w:lineRule="auto"/>
        <w:rPr>
          <w:rFonts w:ascii="宋体" w:hAnsi="宋体" w:cs="宋体"/>
          <w:b/>
          <w:color w:val="auto"/>
          <w:sz w:val="24"/>
          <w:highlight w:val="none"/>
        </w:rPr>
      </w:pP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五、验收地点</w:t>
      </w:r>
    </w:p>
    <w:p>
      <w:pPr>
        <w:spacing w:after="120" w:line="360" w:lineRule="auto"/>
        <w:rPr>
          <w:rFonts w:ascii="宋体" w:hAnsi="宋体" w:cs="宋体"/>
          <w:b/>
          <w:color w:val="auto"/>
          <w:sz w:val="24"/>
          <w:highlight w:val="none"/>
        </w:rPr>
      </w:pPr>
    </w:p>
    <w:p>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六、验收程序</w:t>
      </w:r>
    </w:p>
    <w:p>
      <w:pPr>
        <w:spacing w:after="120" w:line="360" w:lineRule="auto"/>
        <w:ind w:left="479" w:leftChars="228" w:firstLine="470" w:firstLineChars="195"/>
        <w:rPr>
          <w:rFonts w:ascii="宋体" w:hAnsi="宋体" w:cs="宋体"/>
          <w:b/>
          <w:color w:val="auto"/>
          <w:sz w:val="24"/>
          <w:highlight w:val="none"/>
        </w:rPr>
      </w:pPr>
    </w:p>
    <w:p>
      <w:pPr>
        <w:spacing w:after="120" w:line="360" w:lineRule="auto"/>
        <w:ind w:left="479" w:leftChars="228" w:firstLine="470" w:firstLineChars="195"/>
        <w:rPr>
          <w:rFonts w:ascii="宋体" w:hAnsi="宋体" w:cs="宋体"/>
          <w:b/>
          <w:color w:val="auto"/>
          <w:sz w:val="24"/>
          <w:highlight w:val="none"/>
        </w:rPr>
      </w:pPr>
    </w:p>
    <w:p>
      <w:pPr>
        <w:spacing w:after="120" w:line="360" w:lineRule="auto"/>
        <w:ind w:right="-6"/>
        <w:rPr>
          <w:rFonts w:ascii="宋体" w:hAnsi="宋体" w:cs="宋体"/>
          <w:b/>
          <w:color w:val="auto"/>
          <w:sz w:val="24"/>
          <w:highlight w:val="none"/>
        </w:rPr>
      </w:pPr>
      <w:r>
        <w:rPr>
          <w:rFonts w:hint="eastAsia" w:ascii="宋体" w:hAnsi="宋体" w:cs="宋体"/>
          <w:b/>
          <w:color w:val="auto"/>
          <w:sz w:val="24"/>
          <w:highlight w:val="none"/>
        </w:rPr>
        <w:t xml:space="preserve">                                            采购单位（盖章）：</w:t>
      </w:r>
    </w:p>
    <w:p>
      <w:pPr>
        <w:spacing w:after="120" w:line="360" w:lineRule="auto"/>
        <w:ind w:right="960" w:firstLine="470" w:firstLineChars="196"/>
        <w:jc w:val="right"/>
        <w:rPr>
          <w:rFonts w:ascii="宋体" w:hAnsi="宋体" w:cs="宋体"/>
          <w:color w:val="auto"/>
          <w:sz w:val="24"/>
          <w:highlight w:val="none"/>
        </w:rPr>
      </w:pPr>
      <w:r>
        <w:rPr>
          <w:rFonts w:hint="eastAsia" w:ascii="宋体" w:hAnsi="宋体" w:cs="宋体"/>
          <w:color w:val="auto"/>
          <w:sz w:val="24"/>
          <w:highlight w:val="none"/>
        </w:rPr>
        <w:t>年  月  日</w:t>
      </w:r>
    </w:p>
    <w:p>
      <w:pPr>
        <w:pStyle w:val="4"/>
        <w:keepNext w:val="0"/>
        <w:keepLines w:val="0"/>
        <w:pageBreakBefore/>
        <w:rPr>
          <w:rFonts w:ascii="宋体" w:hAnsi="宋体" w:eastAsia="宋体" w:cs="宋体"/>
          <w:b/>
          <w:bCs w:val="0"/>
          <w:color w:val="auto"/>
          <w:sz w:val="24"/>
          <w:highlight w:val="none"/>
        </w:rPr>
      </w:pPr>
      <w:bookmarkStart w:id="115" w:name="_Toc28519"/>
      <w:bookmarkStart w:id="116" w:name="_Toc2489"/>
      <w:bookmarkStart w:id="117" w:name="_Toc24160"/>
      <w:r>
        <w:rPr>
          <w:rFonts w:hint="eastAsia" w:ascii="宋体" w:hAnsi="宋体" w:eastAsia="宋体" w:cs="宋体"/>
          <w:b/>
          <w:bCs w:val="0"/>
          <w:color w:val="auto"/>
          <w:sz w:val="24"/>
          <w:highlight w:val="none"/>
        </w:rPr>
        <w:t>附件</w:t>
      </w:r>
      <w:r>
        <w:rPr>
          <w:rFonts w:hint="eastAsia" w:ascii="宋体" w:hAnsi="宋体" w:eastAsia="宋体" w:cs="宋体"/>
          <w:b/>
          <w:bCs w:val="0"/>
          <w:color w:val="auto"/>
          <w:sz w:val="24"/>
          <w:highlight w:val="none"/>
          <w:lang w:val="en-US" w:eastAsia="zh-CN"/>
        </w:rPr>
        <w:t>二十一</w:t>
      </w:r>
      <w:r>
        <w:rPr>
          <w:rFonts w:hint="eastAsia" w:ascii="宋体" w:hAnsi="宋体" w:eastAsia="宋体" w:cs="宋体"/>
          <w:b/>
          <w:bCs w:val="0"/>
          <w:color w:val="auto"/>
          <w:sz w:val="24"/>
          <w:highlight w:val="none"/>
        </w:rPr>
        <w:t>：质疑函范本</w:t>
      </w:r>
      <w:bookmarkEnd w:id="115"/>
      <w:bookmarkEnd w:id="116"/>
      <w:bookmarkEnd w:id="117"/>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pPr>
        <w:adjustRightInd w:val="0"/>
        <w:snapToGrid w:val="0"/>
        <w:spacing w:beforeLines="100"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地址：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pPr>
        <w:adjustRightInd w:val="0"/>
        <w:snapToGrid w:val="0"/>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pPr>
        <w:rPr>
          <w:rFonts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ind w:firstLine="480" w:firstLineChars="200"/>
        <w:jc w:val="left"/>
        <w:rPr>
          <w:rFonts w:ascii="宋体" w:hAnsi="宋体" w:eastAsia="宋体" w:cs="宋体"/>
          <w:color w:val="auto"/>
          <w:sz w:val="24"/>
          <w:highlight w:val="none"/>
        </w:rPr>
      </w:pPr>
    </w:p>
    <w:p>
      <w:pPr>
        <w:outlineLvl w:val="9"/>
        <w:rPr>
          <w:rFonts w:ascii="宋体" w:hAnsi="宋体" w:eastAsia="宋体" w:cs="宋体"/>
          <w:color w:val="auto"/>
          <w:sz w:val="20"/>
          <w:szCs w:val="22"/>
          <w:highlight w:val="none"/>
        </w:rPr>
      </w:pPr>
    </w:p>
    <w:p>
      <w:pPr>
        <w:outlineLvl w:val="9"/>
        <w:rPr>
          <w:rFonts w:ascii="宋体" w:hAnsi="宋体" w:eastAsia="宋体" w:cs="宋体"/>
          <w:color w:val="auto"/>
          <w:sz w:val="28"/>
          <w:szCs w:val="28"/>
          <w:highlight w:val="none"/>
        </w:rPr>
      </w:pPr>
    </w:p>
    <w:p>
      <w:pPr>
        <w:outlineLvl w:val="9"/>
        <w:rPr>
          <w:rFonts w:ascii="宋体" w:hAnsi="宋体" w:eastAsia="宋体" w:cs="宋体"/>
          <w:color w:val="auto"/>
          <w:sz w:val="20"/>
          <w:szCs w:val="22"/>
          <w:highlight w:val="none"/>
        </w:rPr>
      </w:pPr>
    </w:p>
    <w:p>
      <w:pPr>
        <w:outlineLvl w:val="9"/>
        <w:rPr>
          <w:rFonts w:ascii="宋体" w:hAnsi="宋体" w:eastAsia="宋体" w:cs="宋体"/>
          <w:color w:val="auto"/>
          <w:sz w:val="28"/>
          <w:szCs w:val="28"/>
          <w:highlight w:val="none"/>
        </w:rPr>
      </w:pPr>
    </w:p>
    <w:p>
      <w:pPr>
        <w:outlineLvl w:val="9"/>
        <w:rPr>
          <w:rFonts w:ascii="宋体" w:hAnsi="宋体" w:eastAsia="宋体" w:cs="宋体"/>
          <w:color w:val="auto"/>
          <w:sz w:val="20"/>
          <w:szCs w:val="22"/>
          <w:highlight w:val="none"/>
        </w:rPr>
      </w:pPr>
    </w:p>
    <w:p>
      <w:pPr>
        <w:pStyle w:val="19"/>
        <w:ind w:firstLine="560"/>
        <w:outlineLvl w:val="9"/>
        <w:rPr>
          <w:rFonts w:ascii="宋体" w:hAnsi="宋体" w:eastAsia="宋体" w:cs="宋体"/>
          <w:color w:val="auto"/>
          <w:sz w:val="28"/>
          <w:szCs w:val="22"/>
          <w:highlight w:val="none"/>
        </w:rPr>
      </w:pPr>
    </w:p>
    <w:p>
      <w:pPr>
        <w:pStyle w:val="20"/>
        <w:outlineLvl w:val="9"/>
        <w:rPr>
          <w:rFonts w:ascii="宋体" w:hAnsi="宋体" w:eastAsia="宋体" w:cs="宋体"/>
          <w:color w:val="auto"/>
          <w:sz w:val="20"/>
          <w:szCs w:val="22"/>
          <w:highlight w:val="none"/>
        </w:rPr>
      </w:pPr>
    </w:p>
    <w:p>
      <w:pPr>
        <w:outlineLvl w:val="9"/>
        <w:rPr>
          <w:rFonts w:ascii="宋体" w:hAnsi="宋体" w:eastAsia="宋体" w:cs="宋体"/>
          <w:color w:val="auto"/>
          <w:sz w:val="20"/>
          <w:szCs w:val="22"/>
          <w:highlight w:val="none"/>
        </w:rPr>
      </w:pPr>
    </w:p>
    <w:p>
      <w:pPr>
        <w:pStyle w:val="4"/>
        <w:keepNext w:val="0"/>
        <w:keepLines w:val="0"/>
        <w:pageBreakBefore/>
        <w:rPr>
          <w:rFonts w:ascii="宋体" w:hAnsi="宋体" w:eastAsia="宋体" w:cs="宋体"/>
          <w:b w:val="0"/>
          <w:color w:val="auto"/>
          <w:sz w:val="24"/>
          <w:highlight w:val="none"/>
        </w:rPr>
      </w:pPr>
      <w:bookmarkStart w:id="118" w:name="_Toc19378"/>
      <w:bookmarkStart w:id="119" w:name="_Toc28792"/>
      <w:bookmarkStart w:id="120" w:name="_Toc32533"/>
      <w:r>
        <w:rPr>
          <w:rFonts w:hint="eastAsia" w:ascii="宋体" w:hAnsi="宋体" w:eastAsia="宋体" w:cs="宋体"/>
          <w:b w:val="0"/>
          <w:color w:val="auto"/>
          <w:sz w:val="24"/>
          <w:highlight w:val="none"/>
        </w:rPr>
        <w:t>附件二十</w:t>
      </w:r>
      <w:r>
        <w:rPr>
          <w:rFonts w:hint="eastAsia" w:ascii="宋体" w:hAnsi="宋体" w:eastAsia="宋体" w:cs="宋体"/>
          <w:b w:val="0"/>
          <w:color w:val="auto"/>
          <w:sz w:val="24"/>
          <w:highlight w:val="none"/>
          <w:lang w:val="en-US" w:eastAsia="zh-CN"/>
        </w:rPr>
        <w:t>二</w:t>
      </w:r>
      <w:r>
        <w:rPr>
          <w:rFonts w:hint="eastAsia" w:ascii="宋体" w:hAnsi="宋体" w:eastAsia="宋体" w:cs="宋体"/>
          <w:b w:val="0"/>
          <w:color w:val="auto"/>
          <w:sz w:val="24"/>
          <w:highlight w:val="none"/>
        </w:rPr>
        <w:t>：投诉书范本</w:t>
      </w:r>
      <w:bookmarkEnd w:id="118"/>
      <w:bookmarkEnd w:id="119"/>
      <w:bookmarkEnd w:id="120"/>
    </w:p>
    <w:p>
      <w:pPr>
        <w:jc w:val="center"/>
        <w:rPr>
          <w:rFonts w:ascii="宋体" w:hAnsi="宋体" w:eastAsia="宋体" w:cs="宋体"/>
          <w:b/>
          <w:color w:val="auto"/>
          <w:sz w:val="40"/>
          <w:szCs w:val="40"/>
          <w:highlight w:val="none"/>
        </w:rPr>
      </w:pPr>
      <w:r>
        <w:rPr>
          <w:rFonts w:hint="eastAsia" w:ascii="宋体" w:hAnsi="宋体" w:eastAsia="宋体" w:cs="宋体"/>
          <w:b/>
          <w:color w:val="auto"/>
          <w:sz w:val="40"/>
          <w:szCs w:val="40"/>
          <w:highlight w:val="none"/>
        </w:rPr>
        <w:t>投诉书范本</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一、投诉相关主体基本情况</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tabs>
          <w:tab w:val="left" w:pos="6510"/>
        </w:tabs>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法定代表人/主要负责人：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pPr>
        <w:tabs>
          <w:tab w:val="left" w:pos="6510"/>
        </w:tabs>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被投诉人1：</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被投诉人2</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相关供应商：</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二、投诉项目基本情况</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采购项目名称：</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采购项目编号：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代理机构名称：</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采购文件公告: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采购结果公告: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三、质疑基本情况</w:t>
      </w:r>
    </w:p>
    <w:p>
      <w:pPr>
        <w:ind w:firstLine="560" w:firstLineChars="200"/>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日,向</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提出质疑，质疑事项为：</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pPr>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采购人/代理机构</w:t>
      </w:r>
      <w:r>
        <w:rPr>
          <w:rFonts w:hint="eastAsia" w:ascii="宋体" w:hAnsi="宋体" w:eastAsia="宋体" w:cs="宋体"/>
          <w:color w:val="auto"/>
          <w:sz w:val="28"/>
          <w:szCs w:val="28"/>
          <w:highlight w:val="none"/>
        </w:rPr>
        <w:t>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日,就质疑事项作出了答复/没有在法定期限内作出答复。</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四、投诉事项具体内容</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投诉事项 1：</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投诉事项2</w:t>
      </w:r>
    </w:p>
    <w:p>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五、与投诉事项相关的投诉请求</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pPr>
        <w:widowControl/>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pPr>
        <w:widowControl/>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pPr>
        <w:widowControl/>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pPr>
        <w:widowControl/>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 xml:space="preserve"> </w:t>
      </w:r>
    </w:p>
    <w:p>
      <w:pPr>
        <w:jc w:val="left"/>
        <w:rPr>
          <w:rFonts w:ascii="宋体" w:hAnsi="宋体" w:eastAsia="宋体" w:cs="宋体"/>
          <w:b/>
          <w:color w:val="auto"/>
          <w:sz w:val="28"/>
          <w:szCs w:val="28"/>
          <w:highlight w:val="none"/>
        </w:rPr>
      </w:pPr>
    </w:p>
    <w:p>
      <w:pPr>
        <w:pStyle w:val="3"/>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pStyle w:val="3"/>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pStyle w:val="3"/>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p>
    <w:p>
      <w:pPr>
        <w:rPr>
          <w:rFonts w:hint="eastAsia" w:ascii="宋体" w:hAnsi="宋体" w:eastAsia="宋体" w:cs="宋体"/>
          <w:color w:val="auto"/>
          <w:sz w:val="24"/>
          <w:szCs w:val="24"/>
          <w:highlight w:val="none"/>
          <w:lang w:eastAsia="zh-CN"/>
        </w:rPr>
      </w:pPr>
    </w:p>
    <w:sectPr>
      <w:headerReference r:id="rId10" w:type="first"/>
      <w:footerReference r:id="rId12" w:type="first"/>
      <w:headerReference r:id="rId9" w:type="default"/>
      <w:footerReference r:id="rId11" w:type="default"/>
      <w:pgSz w:w="11906" w:h="16838"/>
      <w:pgMar w:top="851" w:right="1247" w:bottom="1021" w:left="1247" w:header="851" w:footer="907" w:gutter="0"/>
      <w:pgBorders>
        <w:top w:val="none" w:sz="0" w:space="0"/>
        <w:left w:val="none" w:sz="0" w:space="0"/>
        <w:bottom w:val="none" w:sz="0" w:space="0"/>
        <w:right w:val="none" w:sz="0" w:space="0"/>
      </w:pgBorders>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7A"/>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7A"/>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rFonts w:hint="eastAsia" w:ascii="宋体" w:hAnsi="宋体" w:eastAsia="宋体" w:cs="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vfK8BAABLAwAADgAAAGRycy9lMm9Eb2MueG1srVPNahsxEL4X8g5C&#10;91hrE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h/vfK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ascii="宋体" w:hAnsi="宋体" w:cs="宋体"/>
        <w:sz w:val="18"/>
        <w:szCs w:val="21"/>
        <w:lang w:eastAsia="zh-CN"/>
      </w:rPr>
      <w:t>东阳八婺工程项目管理有限公司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P+fa8BAABLAwAADgAAAGRycy9lMm9Eb2MueG1srVPNahsxEL4H8g5C&#10;91hrQ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lt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PP+fa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宋体" w:hAnsi="宋体" w:cs="宋体"/>
        <w:sz w:val="18"/>
        <w:szCs w:val="21"/>
        <w:lang w:eastAsia="zh-CN"/>
      </w:rPr>
      <w:t>东阳八婺工程项目管理有限公司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K/FlP6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宋体" w:hAnsi="宋体" w:cs="宋体"/>
        <w:sz w:val="18"/>
        <w:szCs w:val="21"/>
        <w:lang w:eastAsia="zh-CN"/>
      </w:rPr>
      <w:t>东阳八婺工程项目管理有限公司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仿宋" w:eastAsia="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k5U68BAABLAwAADgAAAGRycy9lMm9Eb2MueG1srVPNahsxEL4H+g5C&#10;91prU4J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PPKXHc4oj2D3/2j8/7p9/kS25PH2KNWbcB89LwzQ845tEf0ZlVDwps/qIe&#10;gnFs9O7UXDkkIvKj+Ww+rzAkMDZeEJ+9Pg8Q03fpLclGQwGnV5rKtzcxHVLHlFzN+SttTJmgce8c&#10;iJk9LHM/cMxWGlbDUdDKtzvU0+PgG+pwMykx1w77mndkNGA0VqOxCaDXHVKbFl4xfN0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3Qk5U6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宋体" w:hAnsi="宋体" w:cs="宋体"/>
        <w:sz w:val="18"/>
        <w:szCs w:val="21"/>
        <w:lang w:eastAsia="zh-CN"/>
      </w:rPr>
      <w:t>东阳八婺工程项目管理有限公司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bidi w:val="0"/>
      <w:rPr>
        <w:rFonts w:hint="eastAsia"/>
        <w:sz w:val="18"/>
        <w:szCs w:val="21"/>
        <w:lang w:eastAsia="zh-CN"/>
      </w:rPr>
    </w:pPr>
    <w:r>
      <w:rPr>
        <w:rFonts w:hint="eastAsia"/>
        <w:sz w:val="18"/>
        <w:szCs w:val="21"/>
        <w:lang w:eastAsia="zh-CN"/>
      </w:rPr>
      <w:t>六石安置区二期水系联通工程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rPr>
        <w:rFonts w:hint="eastAsia" w:eastAsia="宋体" w:cs="Arial"/>
        <w:color w:val="000000"/>
        <w:sz w:val="16"/>
        <w:szCs w:val="16"/>
        <w:lang w:eastAsia="zh-CN"/>
      </w:rPr>
    </w:pPr>
    <w:r>
      <w:rPr>
        <w:rFonts w:hint="eastAsia" w:cs="Arial"/>
        <w:color w:val="000000"/>
        <w:sz w:val="16"/>
        <w:szCs w:val="16"/>
        <w:lang w:eastAsia="zh-CN"/>
      </w:rPr>
      <w:t>六石安置区二期水系联通工程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eastAsia="宋体" w:cs="Arial"/>
        <w:color w:val="000000"/>
        <w:sz w:val="16"/>
        <w:szCs w:val="16"/>
        <w:lang w:eastAsia="zh-CN"/>
      </w:rPr>
    </w:pPr>
    <w:r>
      <w:rPr>
        <w:rFonts w:hint="eastAsia" w:cs="Arial"/>
        <w:color w:val="000000"/>
        <w:sz w:val="16"/>
        <w:szCs w:val="16"/>
        <w:lang w:eastAsia="zh-CN"/>
      </w:rPr>
      <w:t>六石安置区二期水系联通工程预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decimal"/>
      <w:lvlText w:val="%1."/>
      <w:lvlJc w:val="left"/>
      <w:pPr>
        <w:tabs>
          <w:tab w:val="left" w:pos="1224"/>
        </w:tabs>
        <w:ind w:left="1224" w:hanging="1224"/>
      </w:pPr>
      <w:rPr>
        <w:rFonts w:hint="eastAsia"/>
      </w:rPr>
    </w:lvl>
    <w:lvl w:ilvl="1" w:tentative="0">
      <w:start w:val="1"/>
      <w:numFmt w:val="decimal"/>
      <w:lvlText w:val="%1.%2"/>
      <w:lvlJc w:val="left"/>
      <w:pPr>
        <w:tabs>
          <w:tab w:val="left" w:pos="1224"/>
        </w:tabs>
        <w:ind w:left="1224" w:hanging="1224"/>
      </w:pPr>
      <w:rPr>
        <w:rFonts w:hint="eastAsia"/>
        <w:sz w:val="24"/>
        <w:szCs w:val="24"/>
      </w:rPr>
    </w:lvl>
    <w:lvl w:ilvl="2" w:tentative="0">
      <w:start w:val="1"/>
      <w:numFmt w:val="decimal"/>
      <w:pStyle w:val="76"/>
      <w:lvlText w:val="%1.%2.%3"/>
      <w:lvlJc w:val="left"/>
      <w:pPr>
        <w:tabs>
          <w:tab w:val="left" w:pos="1224"/>
        </w:tabs>
        <w:ind w:left="1224" w:hanging="1224"/>
      </w:pPr>
      <w:rPr>
        <w:rFonts w:hint="default" w:ascii="Arial" w:hAnsi="Arial" w:eastAsia="仿宋"/>
        <w:sz w:val="24"/>
        <w:szCs w:val="24"/>
      </w:rPr>
    </w:lvl>
    <w:lvl w:ilvl="3" w:tentative="0">
      <w:start w:val="1"/>
      <w:numFmt w:val="decimal"/>
      <w:lvlText w:val="%1.%2.%3.%4."/>
      <w:lvlJc w:val="left"/>
      <w:pPr>
        <w:tabs>
          <w:tab w:val="left" w:pos="1225"/>
        </w:tabs>
        <w:ind w:left="1225" w:hanging="1225"/>
      </w:pPr>
      <w:rPr>
        <w:rFonts w:hint="eastAsia"/>
        <w:sz w:val="24"/>
        <w:szCs w:val="24"/>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00000006"/>
    <w:multiLevelType w:val="multilevel"/>
    <w:tmpl w:val="0000000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pStyle w:val="128"/>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000007"/>
    <w:multiLevelType w:val="singleLevel"/>
    <w:tmpl w:val="00000007"/>
    <w:lvl w:ilvl="0" w:tentative="0">
      <w:start w:val="5"/>
      <w:numFmt w:val="chineseCounting"/>
      <w:suff w:val="space"/>
      <w:lvlText w:val="第%1章"/>
      <w:lvlJc w:val="left"/>
      <w:rPr>
        <w:rFonts w:hint="eastAsia"/>
      </w:rPr>
    </w:lvl>
  </w:abstractNum>
  <w:abstractNum w:abstractNumId="4">
    <w:nsid w:val="00000008"/>
    <w:multiLevelType w:val="multilevel"/>
    <w:tmpl w:val="00000008"/>
    <w:lvl w:ilvl="0" w:tentative="0">
      <w:start w:val="1"/>
      <w:numFmt w:val="decimal"/>
      <w:lvlText w:val="%1."/>
      <w:lvlJc w:val="left"/>
      <w:pPr>
        <w:tabs>
          <w:tab w:val="left" w:pos="1244"/>
        </w:tabs>
        <w:ind w:left="1244" w:hanging="420"/>
      </w:pPr>
      <w:rPr>
        <w:rFonts w:hint="eastAsia"/>
      </w:rPr>
    </w:lvl>
    <w:lvl w:ilvl="1" w:tentative="0">
      <w:start w:val="1"/>
      <w:numFmt w:val="lowerLetter"/>
      <w:lvlText w:val="%2)"/>
      <w:lvlJc w:val="left"/>
      <w:pPr>
        <w:tabs>
          <w:tab w:val="left" w:pos="824"/>
        </w:tabs>
        <w:ind w:left="824" w:hanging="420"/>
      </w:pPr>
    </w:lvl>
    <w:lvl w:ilvl="2" w:tentative="0">
      <w:start w:val="1"/>
      <w:numFmt w:val="lowerRoman"/>
      <w:lvlText w:val="%3."/>
      <w:lvlJc w:val="right"/>
      <w:pPr>
        <w:tabs>
          <w:tab w:val="left" w:pos="1244"/>
        </w:tabs>
        <w:ind w:left="1244" w:hanging="420"/>
      </w:pPr>
    </w:lvl>
    <w:lvl w:ilvl="3" w:tentative="0">
      <w:start w:val="1"/>
      <w:numFmt w:val="decimal"/>
      <w:lvlText w:val="%4."/>
      <w:lvlJc w:val="left"/>
      <w:pPr>
        <w:tabs>
          <w:tab w:val="left" w:pos="1664"/>
        </w:tabs>
        <w:ind w:left="1664" w:hanging="420"/>
      </w:pPr>
    </w:lvl>
    <w:lvl w:ilvl="4" w:tentative="0">
      <w:start w:val="1"/>
      <w:numFmt w:val="lowerLetter"/>
      <w:lvlText w:val="%5)"/>
      <w:lvlJc w:val="left"/>
      <w:pPr>
        <w:tabs>
          <w:tab w:val="left" w:pos="2084"/>
        </w:tabs>
        <w:ind w:left="2084" w:hanging="420"/>
      </w:pPr>
    </w:lvl>
    <w:lvl w:ilvl="5" w:tentative="0">
      <w:start w:val="1"/>
      <w:numFmt w:val="lowerRoman"/>
      <w:lvlText w:val="%6."/>
      <w:lvlJc w:val="right"/>
      <w:pPr>
        <w:tabs>
          <w:tab w:val="left" w:pos="2504"/>
        </w:tabs>
        <w:ind w:left="2504" w:hanging="420"/>
      </w:pPr>
    </w:lvl>
    <w:lvl w:ilvl="6" w:tentative="0">
      <w:start w:val="1"/>
      <w:numFmt w:val="decimal"/>
      <w:lvlText w:val="%7."/>
      <w:lvlJc w:val="left"/>
      <w:pPr>
        <w:tabs>
          <w:tab w:val="left" w:pos="2924"/>
        </w:tabs>
        <w:ind w:left="2924" w:hanging="420"/>
      </w:pPr>
    </w:lvl>
    <w:lvl w:ilvl="7" w:tentative="0">
      <w:start w:val="1"/>
      <w:numFmt w:val="lowerLetter"/>
      <w:lvlText w:val="%8)"/>
      <w:lvlJc w:val="left"/>
      <w:pPr>
        <w:tabs>
          <w:tab w:val="left" w:pos="3344"/>
        </w:tabs>
        <w:ind w:left="3344" w:hanging="420"/>
      </w:pPr>
    </w:lvl>
    <w:lvl w:ilvl="8" w:tentative="0">
      <w:start w:val="1"/>
      <w:numFmt w:val="lowerRoman"/>
      <w:lvlText w:val="%9."/>
      <w:lvlJc w:val="right"/>
      <w:pPr>
        <w:tabs>
          <w:tab w:val="left" w:pos="3764"/>
        </w:tabs>
        <w:ind w:left="3764" w:hanging="420"/>
      </w:pPr>
    </w:lvl>
  </w:abstractNum>
  <w:abstractNum w:abstractNumId="5">
    <w:nsid w:val="00000009"/>
    <w:multiLevelType w:val="multilevel"/>
    <w:tmpl w:val="00000009"/>
    <w:lvl w:ilvl="0" w:tentative="0">
      <w:start w:val="1"/>
      <w:numFmt w:val="decimal"/>
      <w:pStyle w:val="9"/>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74A7"/>
    <w:rsid w:val="026D3894"/>
    <w:rsid w:val="033F7AFD"/>
    <w:rsid w:val="037979A5"/>
    <w:rsid w:val="05A1011F"/>
    <w:rsid w:val="064529C8"/>
    <w:rsid w:val="065821AB"/>
    <w:rsid w:val="0768220B"/>
    <w:rsid w:val="07E01AEA"/>
    <w:rsid w:val="08317D4F"/>
    <w:rsid w:val="08FA74D9"/>
    <w:rsid w:val="09EA33AB"/>
    <w:rsid w:val="0AC77868"/>
    <w:rsid w:val="0C2C7CAB"/>
    <w:rsid w:val="0E1E3964"/>
    <w:rsid w:val="0E2239BB"/>
    <w:rsid w:val="0F9B0CA3"/>
    <w:rsid w:val="0FA91F74"/>
    <w:rsid w:val="10615A49"/>
    <w:rsid w:val="116A6B7F"/>
    <w:rsid w:val="11934328"/>
    <w:rsid w:val="122F2049"/>
    <w:rsid w:val="125C6E10"/>
    <w:rsid w:val="132536A6"/>
    <w:rsid w:val="139E0D62"/>
    <w:rsid w:val="14742F8D"/>
    <w:rsid w:val="158012A5"/>
    <w:rsid w:val="165D4F05"/>
    <w:rsid w:val="17A81A71"/>
    <w:rsid w:val="18EB2C9C"/>
    <w:rsid w:val="1A38289D"/>
    <w:rsid w:val="1AD03EF7"/>
    <w:rsid w:val="1BD57BB8"/>
    <w:rsid w:val="1C84143D"/>
    <w:rsid w:val="2338494B"/>
    <w:rsid w:val="2519649B"/>
    <w:rsid w:val="268B161A"/>
    <w:rsid w:val="28D93D8C"/>
    <w:rsid w:val="29D11A3A"/>
    <w:rsid w:val="29DA08EE"/>
    <w:rsid w:val="2B0D6800"/>
    <w:rsid w:val="2B25203D"/>
    <w:rsid w:val="2B5E10AB"/>
    <w:rsid w:val="2BDC7651"/>
    <w:rsid w:val="2C02237E"/>
    <w:rsid w:val="2CB27900"/>
    <w:rsid w:val="2CC15AB8"/>
    <w:rsid w:val="2CF63C91"/>
    <w:rsid w:val="2D77066C"/>
    <w:rsid w:val="2D8F379E"/>
    <w:rsid w:val="2E1F2988"/>
    <w:rsid w:val="2ED139E0"/>
    <w:rsid w:val="2FDF5331"/>
    <w:rsid w:val="300D4E4E"/>
    <w:rsid w:val="309F1F4A"/>
    <w:rsid w:val="31695F80"/>
    <w:rsid w:val="31CD0D39"/>
    <w:rsid w:val="31D77D31"/>
    <w:rsid w:val="32195D2C"/>
    <w:rsid w:val="32B83797"/>
    <w:rsid w:val="33E613B0"/>
    <w:rsid w:val="344E4F06"/>
    <w:rsid w:val="348268B5"/>
    <w:rsid w:val="34A3446D"/>
    <w:rsid w:val="359607F3"/>
    <w:rsid w:val="35A3072E"/>
    <w:rsid w:val="364A5B46"/>
    <w:rsid w:val="372A0B38"/>
    <w:rsid w:val="3764214E"/>
    <w:rsid w:val="3A7A660A"/>
    <w:rsid w:val="3AE3337B"/>
    <w:rsid w:val="3AF31810"/>
    <w:rsid w:val="3B192011"/>
    <w:rsid w:val="3C2A7D89"/>
    <w:rsid w:val="3D737138"/>
    <w:rsid w:val="3DE5513F"/>
    <w:rsid w:val="3EC04782"/>
    <w:rsid w:val="3F113727"/>
    <w:rsid w:val="3F6902F3"/>
    <w:rsid w:val="3F985A04"/>
    <w:rsid w:val="3FE27130"/>
    <w:rsid w:val="40063D93"/>
    <w:rsid w:val="42220C2D"/>
    <w:rsid w:val="42AF6CFD"/>
    <w:rsid w:val="42FE4EBE"/>
    <w:rsid w:val="47AA76FA"/>
    <w:rsid w:val="48E55A73"/>
    <w:rsid w:val="49591996"/>
    <w:rsid w:val="4A307E09"/>
    <w:rsid w:val="4ADA6548"/>
    <w:rsid w:val="4B1D6435"/>
    <w:rsid w:val="4BD0107E"/>
    <w:rsid w:val="4C4A5C10"/>
    <w:rsid w:val="4E24455A"/>
    <w:rsid w:val="4E6D1482"/>
    <w:rsid w:val="50A50BD3"/>
    <w:rsid w:val="52483D98"/>
    <w:rsid w:val="53034162"/>
    <w:rsid w:val="531269FC"/>
    <w:rsid w:val="549075A8"/>
    <w:rsid w:val="54CA52DB"/>
    <w:rsid w:val="559A4591"/>
    <w:rsid w:val="563D5862"/>
    <w:rsid w:val="56D24578"/>
    <w:rsid w:val="57283DBE"/>
    <w:rsid w:val="57A75BF2"/>
    <w:rsid w:val="57C40364"/>
    <w:rsid w:val="59647D01"/>
    <w:rsid w:val="596E1F2F"/>
    <w:rsid w:val="59E41563"/>
    <w:rsid w:val="5B2555BE"/>
    <w:rsid w:val="5C7E6BC5"/>
    <w:rsid w:val="5D1C4046"/>
    <w:rsid w:val="5DA705CF"/>
    <w:rsid w:val="5E8E450F"/>
    <w:rsid w:val="5F7563E8"/>
    <w:rsid w:val="609B1560"/>
    <w:rsid w:val="61723B26"/>
    <w:rsid w:val="62791D4B"/>
    <w:rsid w:val="63844E4C"/>
    <w:rsid w:val="66810F6F"/>
    <w:rsid w:val="68C301C4"/>
    <w:rsid w:val="69631B29"/>
    <w:rsid w:val="69951A33"/>
    <w:rsid w:val="6A486BD3"/>
    <w:rsid w:val="6A633A0D"/>
    <w:rsid w:val="6B851761"/>
    <w:rsid w:val="6B8870C7"/>
    <w:rsid w:val="6C1325D3"/>
    <w:rsid w:val="6CD54128"/>
    <w:rsid w:val="6D3636C2"/>
    <w:rsid w:val="6DC249BF"/>
    <w:rsid w:val="6E10487F"/>
    <w:rsid w:val="6EB77F94"/>
    <w:rsid w:val="6F2E3EBD"/>
    <w:rsid w:val="71940098"/>
    <w:rsid w:val="72AA7CFF"/>
    <w:rsid w:val="736C0CDA"/>
    <w:rsid w:val="7403445E"/>
    <w:rsid w:val="74B102BE"/>
    <w:rsid w:val="74CD0F71"/>
    <w:rsid w:val="75151DA7"/>
    <w:rsid w:val="754B57C9"/>
    <w:rsid w:val="754B7943"/>
    <w:rsid w:val="761C633C"/>
    <w:rsid w:val="7655496A"/>
    <w:rsid w:val="76C021E7"/>
    <w:rsid w:val="776668EA"/>
    <w:rsid w:val="77E775FD"/>
    <w:rsid w:val="78181A4E"/>
    <w:rsid w:val="789316AC"/>
    <w:rsid w:val="78C515CA"/>
    <w:rsid w:val="794B34FE"/>
    <w:rsid w:val="7A23699B"/>
    <w:rsid w:val="7AD17A6E"/>
    <w:rsid w:val="7AFA510A"/>
    <w:rsid w:val="7B42766E"/>
    <w:rsid w:val="7BC726A5"/>
    <w:rsid w:val="7D052849"/>
    <w:rsid w:val="7D1E1A15"/>
    <w:rsid w:val="7D4C126C"/>
    <w:rsid w:val="7D600C27"/>
    <w:rsid w:val="7F280929"/>
    <w:rsid w:val="7F6D2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50"/>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51"/>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2">
    <w:name w:val="heading 4"/>
    <w:basedOn w:val="1"/>
    <w:next w:val="1"/>
    <w:qFormat/>
    <w:uiPriority w:val="0"/>
    <w:pPr>
      <w:keepNext/>
      <w:keepLines/>
      <w:spacing w:before="280" w:after="290" w:line="372" w:lineRule="auto"/>
      <w:outlineLvl w:val="3"/>
    </w:pPr>
    <w:rPr>
      <w:rFonts w:ascii="Arial" w:hAnsi="Arial" w:eastAsia="黑体" w:cs="Times New Roman"/>
      <w:b/>
      <w:sz w:val="28"/>
    </w:rPr>
  </w:style>
  <w:style w:type="paragraph" w:styleId="6">
    <w:name w:val="heading 6"/>
    <w:basedOn w:val="1"/>
    <w:next w:val="1"/>
    <w:link w:val="52"/>
    <w:qFormat/>
    <w:uiPriority w:val="0"/>
    <w:pPr>
      <w:keepNext/>
      <w:keepLines/>
      <w:spacing w:before="240" w:after="64" w:line="320" w:lineRule="auto"/>
      <w:outlineLvl w:val="5"/>
    </w:pPr>
    <w:rPr>
      <w:rFonts w:ascii="Cambria" w:hAnsi="Cambria" w:eastAsia="宋体" w:cs="Times New Roman"/>
      <w:b/>
      <w:bCs/>
      <w:sz w:val="24"/>
    </w:rPr>
  </w:style>
  <w:style w:type="paragraph" w:styleId="7">
    <w:name w:val="heading 8"/>
    <w:basedOn w:val="1"/>
    <w:next w:val="1"/>
    <w:qFormat/>
    <w:uiPriority w:val="0"/>
    <w:pPr>
      <w:ind w:left="220" w:hanging="223"/>
      <w:outlineLvl w:val="7"/>
    </w:pPr>
    <w:rPr>
      <w:rFonts w:ascii="宋体" w:hAnsi="宋体" w:eastAsia="宋体" w:cs="宋体"/>
      <w:sz w:val="22"/>
      <w:szCs w:val="22"/>
      <w:lang w:val="zh-CN" w:bidi="zh-CN"/>
    </w:rPr>
  </w:style>
  <w:style w:type="paragraph" w:styleId="8">
    <w:name w:val="heading 9"/>
    <w:basedOn w:val="1"/>
    <w:next w:val="1"/>
    <w:qFormat/>
    <w:uiPriority w:val="0"/>
    <w:pPr>
      <w:ind w:left="640"/>
      <w:outlineLvl w:val="8"/>
    </w:pPr>
    <w:rPr>
      <w:rFonts w:ascii="宋体" w:hAnsi="宋体" w:eastAsia="宋体" w:cs="宋体"/>
      <w:b/>
      <w:bCs/>
      <w:szCs w:val="21"/>
      <w:lang w:val="zh-CN" w:bidi="zh-CN"/>
    </w:rPr>
  </w:style>
  <w:style w:type="character" w:default="1" w:styleId="41">
    <w:name w:val="Default Paragraph Font"/>
    <w:qFormat/>
    <w:uiPriority w:val="0"/>
    <w:rPr>
      <w:rFonts w:ascii="Times New Roman" w:hAnsi="Times New Roman" w:eastAsia="宋体" w:cs="Times New Roman"/>
    </w:rPr>
  </w:style>
  <w:style w:type="table" w:default="1" w:styleId="3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9">
    <w:name w:val="List Number"/>
    <w:basedOn w:val="1"/>
    <w:qFormat/>
    <w:uiPriority w:val="0"/>
    <w:pPr>
      <w:widowControl/>
      <w:numPr>
        <w:ilvl w:val="0"/>
        <w:numId w:val="1"/>
      </w:numPr>
      <w:tabs>
        <w:tab w:val="left" w:pos="454"/>
        <w:tab w:val="left" w:pos="720"/>
      </w:tabs>
      <w:spacing w:afterLines="50"/>
      <w:jc w:val="left"/>
    </w:pPr>
    <w:rPr>
      <w:rFonts w:ascii="Times New Roman" w:hAnsi="Times New Roman" w:eastAsia="宋体" w:cs="Times New Roman"/>
      <w:kern w:val="0"/>
      <w:sz w:val="24"/>
      <w:szCs w:val="20"/>
    </w:rPr>
  </w:style>
  <w:style w:type="paragraph" w:styleId="10">
    <w:name w:val="Normal Indent"/>
    <w:basedOn w:val="1"/>
    <w:next w:val="11"/>
    <w:link w:val="53"/>
    <w:qFormat/>
    <w:uiPriority w:val="0"/>
    <w:pPr>
      <w:ind w:firstLine="420"/>
    </w:pPr>
    <w:rPr>
      <w:rFonts w:ascii="Times New Roman" w:hAnsi="Times New Roman" w:eastAsia="宋体" w:cs="Times New Roman"/>
      <w:szCs w:val="20"/>
    </w:rPr>
  </w:style>
  <w:style w:type="paragraph" w:styleId="11">
    <w:name w:val="Body Text Indent"/>
    <w:basedOn w:val="1"/>
    <w:next w:val="12"/>
    <w:qFormat/>
    <w:uiPriority w:val="0"/>
    <w:pPr>
      <w:spacing w:after="120"/>
      <w:ind w:left="420" w:leftChars="200"/>
    </w:pPr>
    <w:rPr>
      <w:rFonts w:ascii="Times New Roman" w:hAnsi="Times New Roman" w:eastAsia="宋体" w:cs="Times New Roman"/>
    </w:rPr>
  </w:style>
  <w:style w:type="paragraph" w:styleId="12">
    <w:name w:val="Body Text First Indent 2"/>
    <w:basedOn w:val="11"/>
    <w:next w:val="13"/>
    <w:qFormat/>
    <w:uiPriority w:val="0"/>
    <w:pPr>
      <w:autoSpaceDE w:val="0"/>
      <w:autoSpaceDN w:val="0"/>
      <w:adjustRightInd w:val="0"/>
      <w:ind w:firstLine="420" w:firstLineChars="200"/>
      <w:jc w:val="left"/>
    </w:pPr>
    <w:rPr>
      <w:rFonts w:ascii="Times New Roman" w:hAnsi="Times New Roman" w:eastAsia="宋体" w:cs="Times New Roman"/>
    </w:rPr>
  </w:style>
  <w:style w:type="paragraph" w:customStyle="1" w:styleId="13">
    <w:name w:val="xl53"/>
    <w:basedOn w:val="1"/>
    <w:next w:val="1"/>
    <w:qFormat/>
    <w:uiPriority w:val="0"/>
    <w:pPr>
      <w:spacing w:before="280" w:after="280" w:line="100" w:lineRule="exact"/>
      <w:jc w:val="center"/>
    </w:pPr>
    <w:rPr>
      <w:rFonts w:ascii="Times New Roman" w:hAnsi="Times New Roman" w:eastAsia="宋体" w:cs="Times New Roman"/>
      <w:b/>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54"/>
    <w:qFormat/>
    <w:uiPriority w:val="0"/>
    <w:rPr>
      <w:rFonts w:ascii="Arial" w:hAnsi="Arial" w:eastAsia="宋体" w:cs="Times New Roman"/>
      <w:sz w:val="24"/>
    </w:rPr>
  </w:style>
  <w:style w:type="paragraph" w:styleId="16">
    <w:name w:val="annotation text"/>
    <w:basedOn w:val="1"/>
    <w:link w:val="55"/>
    <w:qFormat/>
    <w:uiPriority w:val="0"/>
    <w:pPr>
      <w:jc w:val="left"/>
    </w:pPr>
    <w:rPr>
      <w:rFonts w:ascii="Times New Roman" w:hAnsi="Times New Roman" w:eastAsia="宋体" w:cs="Times New Roman"/>
    </w:rPr>
  </w:style>
  <w:style w:type="paragraph" w:styleId="17">
    <w:name w:val="Body Text 3"/>
    <w:basedOn w:val="1"/>
    <w:link w:val="56"/>
    <w:qFormat/>
    <w:uiPriority w:val="0"/>
    <w:pPr>
      <w:spacing w:after="120"/>
    </w:pPr>
    <w:rPr>
      <w:rFonts w:ascii="Times New Roman" w:hAnsi="Times New Roman" w:eastAsia="宋体" w:cs="Times New Roman"/>
      <w:sz w:val="16"/>
      <w:szCs w:val="16"/>
    </w:rPr>
  </w:style>
  <w:style w:type="paragraph" w:styleId="18">
    <w:name w:val="Body Text"/>
    <w:basedOn w:val="1"/>
    <w:next w:val="19"/>
    <w:link w:val="57"/>
    <w:qFormat/>
    <w:uiPriority w:val="0"/>
    <w:pPr>
      <w:spacing w:after="120"/>
    </w:pPr>
    <w:rPr>
      <w:rFonts w:ascii="Times New Roman" w:hAnsi="Times New Roman" w:eastAsia="宋体" w:cs="Times New Roman"/>
    </w:rPr>
  </w:style>
  <w:style w:type="paragraph" w:styleId="19">
    <w:name w:val="Body Text First Indent"/>
    <w:basedOn w:val="18"/>
    <w:next w:val="20"/>
    <w:qFormat/>
    <w:uiPriority w:val="0"/>
    <w:pPr>
      <w:spacing w:line="360" w:lineRule="auto"/>
      <w:ind w:firstLine="200" w:firstLineChars="200"/>
    </w:pPr>
    <w:rPr>
      <w:rFonts w:ascii="仿宋" w:hAnsi="Times New Roman" w:eastAsia="仿宋" w:cs="Times New Roman"/>
      <w:bCs/>
      <w:sz w:val="30"/>
    </w:rPr>
  </w:style>
  <w:style w:type="paragraph" w:styleId="20">
    <w:name w:val="toc 6"/>
    <w:basedOn w:val="1"/>
    <w:next w:val="1"/>
    <w:qFormat/>
    <w:uiPriority w:val="0"/>
    <w:pPr>
      <w:ind w:left="2100" w:leftChars="1000"/>
    </w:pPr>
    <w:rPr>
      <w:rFonts w:ascii="Times New Roman" w:hAnsi="Times New Roman" w:eastAsia="宋体" w:cs="Times New Roman"/>
    </w:rPr>
  </w:style>
  <w:style w:type="paragraph" w:styleId="21">
    <w:name w:val="List 2"/>
    <w:basedOn w:val="1"/>
    <w:qFormat/>
    <w:uiPriority w:val="0"/>
    <w:pPr>
      <w:ind w:left="100" w:leftChars="200" w:hanging="200" w:hangingChars="200"/>
    </w:pPr>
    <w:rPr>
      <w:rFonts w:ascii="Times New Roman" w:hAnsi="Times New Roman" w:eastAsia="宋体" w:cs="Times New Roman"/>
    </w:rPr>
  </w:style>
  <w:style w:type="paragraph" w:styleId="22">
    <w:name w:val="toc 3"/>
    <w:basedOn w:val="1"/>
    <w:next w:val="1"/>
    <w:qFormat/>
    <w:uiPriority w:val="0"/>
    <w:pPr>
      <w:ind w:left="840" w:leftChars="400"/>
    </w:pPr>
    <w:rPr>
      <w:rFonts w:ascii="Times New Roman" w:hAnsi="Times New Roman" w:eastAsia="宋体" w:cs="Times New Roman"/>
    </w:rPr>
  </w:style>
  <w:style w:type="paragraph" w:styleId="23">
    <w:name w:val="Plain Text"/>
    <w:basedOn w:val="1"/>
    <w:next w:val="1"/>
    <w:link w:val="58"/>
    <w:qFormat/>
    <w:uiPriority w:val="0"/>
    <w:rPr>
      <w:rFonts w:ascii="Times New Roman" w:hAnsi="Times New Roman" w:eastAsia="宋体" w:cs="Times New Roman"/>
      <w:sz w:val="24"/>
      <w:szCs w:val="20"/>
    </w:rPr>
  </w:style>
  <w:style w:type="paragraph" w:styleId="24">
    <w:name w:val="Date"/>
    <w:basedOn w:val="1"/>
    <w:next w:val="1"/>
    <w:link w:val="59"/>
    <w:qFormat/>
    <w:uiPriority w:val="0"/>
    <w:pPr>
      <w:ind w:left="2500" w:leftChars="2500"/>
    </w:pPr>
    <w:rPr>
      <w:rFonts w:ascii="Times New Roman" w:hAnsi="Times New Roman" w:eastAsia="楷体" w:cs="Times New Roman"/>
      <w:sz w:val="32"/>
      <w:szCs w:val="20"/>
    </w:rPr>
  </w:style>
  <w:style w:type="paragraph" w:styleId="25">
    <w:name w:val="Body Text Indent 2"/>
    <w:basedOn w:val="1"/>
    <w:link w:val="60"/>
    <w:qFormat/>
    <w:uiPriority w:val="0"/>
    <w:pPr>
      <w:spacing w:after="120" w:line="480" w:lineRule="auto"/>
      <w:ind w:left="420" w:leftChars="200"/>
    </w:pPr>
    <w:rPr>
      <w:rFonts w:ascii="Times New Roman" w:hAnsi="Times New Roman" w:eastAsia="宋体" w:cs="Times New Roman"/>
    </w:rPr>
  </w:style>
  <w:style w:type="paragraph" w:styleId="26">
    <w:name w:val="endnote text"/>
    <w:basedOn w:val="1"/>
    <w:link w:val="61"/>
    <w:qFormat/>
    <w:uiPriority w:val="0"/>
    <w:pPr>
      <w:snapToGrid w:val="0"/>
      <w:jc w:val="left"/>
    </w:pPr>
    <w:rPr>
      <w:rFonts w:ascii="Times New Roman" w:hAnsi="Times New Roman" w:eastAsia="宋体" w:cs="Times New Roman"/>
    </w:rPr>
  </w:style>
  <w:style w:type="paragraph" w:styleId="27">
    <w:name w:val="Balloon Text"/>
    <w:basedOn w:val="1"/>
    <w:link w:val="62"/>
    <w:qFormat/>
    <w:uiPriority w:val="0"/>
    <w:rPr>
      <w:rFonts w:ascii="Times New Roman" w:hAnsi="Times New Roman" w:eastAsia="宋体" w:cs="Times New Roman"/>
      <w:sz w:val="18"/>
      <w:szCs w:val="18"/>
    </w:rPr>
  </w:style>
  <w:style w:type="paragraph" w:styleId="28">
    <w:name w:val="footer"/>
    <w:basedOn w:val="1"/>
    <w:next w:val="29"/>
    <w:link w:val="6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envelope return"/>
    <w:basedOn w:val="1"/>
    <w:qFormat/>
    <w:uiPriority w:val="0"/>
    <w:pPr>
      <w:snapToGrid w:val="0"/>
    </w:pPr>
    <w:rPr>
      <w:rFonts w:ascii="Arial" w:hAnsi="Arial" w:eastAsia="宋体" w:cs="Times New Roman"/>
    </w:rPr>
  </w:style>
  <w:style w:type="paragraph" w:styleId="31">
    <w:name w:val="header"/>
    <w:basedOn w:val="1"/>
    <w:link w:val="6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2">
    <w:name w:val="toc 1"/>
    <w:basedOn w:val="1"/>
    <w:next w:val="1"/>
    <w:qFormat/>
    <w:uiPriority w:val="0"/>
    <w:rPr>
      <w:rFonts w:ascii="Times New Roman" w:hAnsi="Times New Roman" w:eastAsia="宋体" w:cs="Times New Roman"/>
    </w:rPr>
  </w:style>
  <w:style w:type="paragraph" w:styleId="33">
    <w:name w:val="List"/>
    <w:basedOn w:val="1"/>
    <w:qFormat/>
    <w:uiPriority w:val="0"/>
    <w:pPr>
      <w:ind w:left="200" w:hanging="200" w:hangingChars="200"/>
    </w:pPr>
    <w:rPr>
      <w:rFonts w:ascii="Times New Roman" w:hAnsi="Times New Roman" w:eastAsia="宋体" w:cs="Times New Roman"/>
    </w:rPr>
  </w:style>
  <w:style w:type="paragraph" w:styleId="34">
    <w:name w:val="Body Text Indent 3"/>
    <w:basedOn w:val="1"/>
    <w:link w:val="65"/>
    <w:qFormat/>
    <w:uiPriority w:val="0"/>
    <w:pPr>
      <w:ind w:firstLine="435"/>
    </w:pPr>
    <w:rPr>
      <w:rFonts w:ascii="Times New Roman" w:hAnsi="Times New Roman" w:eastAsia="宋体" w:cs="Times New Roman"/>
    </w:rPr>
  </w:style>
  <w:style w:type="paragraph" w:styleId="35">
    <w:name w:val="Body Text 2"/>
    <w:basedOn w:val="1"/>
    <w:link w:val="66"/>
    <w:qFormat/>
    <w:uiPriority w:val="0"/>
    <w:pPr>
      <w:spacing w:after="120" w:line="480" w:lineRule="auto"/>
    </w:pPr>
    <w:rPr>
      <w:rFonts w:ascii="Times New Roman" w:hAnsi="Times New Roman" w:eastAsia="宋体" w:cs="Times New Roman"/>
    </w:rPr>
  </w:style>
  <w:style w:type="paragraph" w:styleId="36">
    <w:name w:val="Normal (Web)"/>
    <w:basedOn w:val="1"/>
    <w:next w:val="1"/>
    <w:qFormat/>
    <w:uiPriority w:val="0"/>
    <w:pPr>
      <w:widowControl/>
      <w:spacing w:before="240" w:after="240"/>
      <w:jc w:val="left"/>
    </w:pPr>
    <w:rPr>
      <w:rFonts w:ascii="宋体" w:hAnsi="宋体" w:eastAsia="宋体" w:cs="宋体"/>
      <w:kern w:val="0"/>
      <w:sz w:val="24"/>
    </w:rPr>
  </w:style>
  <w:style w:type="paragraph" w:styleId="37">
    <w:name w:val="Title"/>
    <w:basedOn w:val="1"/>
    <w:next w:val="1"/>
    <w:link w:val="67"/>
    <w:qFormat/>
    <w:uiPriority w:val="0"/>
    <w:pPr>
      <w:spacing w:before="240" w:after="60"/>
      <w:jc w:val="center"/>
      <w:outlineLvl w:val="0"/>
    </w:pPr>
    <w:rPr>
      <w:rFonts w:ascii="Cambria" w:hAnsi="Cambria" w:eastAsia="宋体" w:cs="Times New Roman"/>
      <w:b/>
      <w:bCs/>
      <w:sz w:val="32"/>
      <w:szCs w:val="32"/>
    </w:rPr>
  </w:style>
  <w:style w:type="paragraph" w:styleId="38">
    <w:name w:val="annotation subject"/>
    <w:basedOn w:val="16"/>
    <w:next w:val="16"/>
    <w:link w:val="68"/>
    <w:qFormat/>
    <w:uiPriority w:val="0"/>
    <w:rPr>
      <w:rFonts w:ascii="Times New Roman" w:hAnsi="Times New Roman" w:eastAsia="宋体" w:cs="Times New Roman"/>
      <w:b/>
      <w:bCs/>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rFonts w:ascii="Times New Roman" w:hAnsi="Times New Roman" w:eastAsia="宋体" w:cs="Times New Roman"/>
      <w:b/>
    </w:rPr>
  </w:style>
  <w:style w:type="character" w:styleId="43">
    <w:name w:val="endnote reference"/>
    <w:qFormat/>
    <w:uiPriority w:val="0"/>
    <w:rPr>
      <w:rFonts w:ascii="Times New Roman" w:hAnsi="Times New Roman" w:eastAsia="宋体" w:cs="Times New Roman"/>
      <w:vertAlign w:val="superscript"/>
    </w:rPr>
  </w:style>
  <w:style w:type="character" w:styleId="44">
    <w:name w:val="page number"/>
    <w:basedOn w:val="41"/>
    <w:qFormat/>
    <w:uiPriority w:val="0"/>
    <w:rPr>
      <w:rFonts w:ascii="Times New Roman" w:hAnsi="Times New Roman" w:eastAsia="宋体" w:cs="Times New Roman"/>
    </w:rPr>
  </w:style>
  <w:style w:type="character" w:styleId="45">
    <w:name w:val="FollowedHyperlink"/>
    <w:qFormat/>
    <w:uiPriority w:val="0"/>
    <w:rPr>
      <w:rFonts w:ascii="Times New Roman" w:hAnsi="Times New Roman" w:eastAsia="宋体" w:cs="Times New Roman"/>
      <w:color w:val="800080"/>
      <w:u w:val="single"/>
    </w:rPr>
  </w:style>
  <w:style w:type="character" w:styleId="46">
    <w:name w:val="Hyperlink"/>
    <w:qFormat/>
    <w:uiPriority w:val="0"/>
    <w:rPr>
      <w:rFonts w:ascii="Times New Roman" w:hAnsi="Times New Roman" w:eastAsia="宋体" w:cs="Times New Roman"/>
      <w:color w:val="0000FF"/>
      <w:u w:val="single"/>
    </w:rPr>
  </w:style>
  <w:style w:type="character" w:styleId="47">
    <w:name w:val="annotation reference"/>
    <w:qFormat/>
    <w:uiPriority w:val="0"/>
    <w:rPr>
      <w:rFonts w:ascii="Times New Roman" w:hAnsi="Times New Roman" w:eastAsia="宋体" w:cs="Times New Roman"/>
      <w:sz w:val="21"/>
      <w:szCs w:val="21"/>
    </w:rPr>
  </w:style>
  <w:style w:type="paragraph" w:customStyle="1" w:styleId="48">
    <w:name w:val="标书正文"/>
    <w:basedOn w:val="1"/>
    <w:qFormat/>
    <w:uiPriority w:val="0"/>
    <w:pPr>
      <w:suppressAutoHyphens/>
      <w:autoSpaceDE w:val="0"/>
      <w:autoSpaceDN w:val="0"/>
      <w:adjustRightInd w:val="0"/>
      <w:snapToGrid w:val="0"/>
    </w:pPr>
    <w:rPr>
      <w:rFonts w:ascii="Times New Roman" w:hAnsi="Times New Roman" w:eastAsia="仿宋" w:cs="Times New Roman"/>
      <w:sz w:val="32"/>
      <w:szCs w:val="24"/>
    </w:rPr>
  </w:style>
  <w:style w:type="character" w:customStyle="1" w:styleId="49">
    <w:name w:val="标题 1 Char"/>
    <w:link w:val="3"/>
    <w:qFormat/>
    <w:uiPriority w:val="0"/>
    <w:rPr>
      <w:rFonts w:ascii="Times New Roman" w:hAnsi="Times New Roman" w:eastAsia="宋体" w:cs="Times New Roman"/>
      <w:b/>
      <w:bCs/>
      <w:kern w:val="44"/>
      <w:sz w:val="44"/>
      <w:szCs w:val="44"/>
      <w:lang w:val="en-US" w:eastAsia="zh-CN" w:bidi="ar-SA"/>
    </w:rPr>
  </w:style>
  <w:style w:type="character" w:customStyle="1" w:styleId="50">
    <w:name w:val="标题 2 Char"/>
    <w:link w:val="4"/>
    <w:qFormat/>
    <w:uiPriority w:val="0"/>
    <w:rPr>
      <w:rFonts w:ascii="Arial" w:hAnsi="Arial" w:eastAsia="黑体" w:cs="Times New Roman"/>
      <w:b/>
      <w:bCs/>
      <w:kern w:val="2"/>
      <w:sz w:val="32"/>
      <w:szCs w:val="32"/>
    </w:rPr>
  </w:style>
  <w:style w:type="character" w:customStyle="1" w:styleId="51">
    <w:name w:val="标题 3 Char"/>
    <w:link w:val="5"/>
    <w:qFormat/>
    <w:uiPriority w:val="0"/>
    <w:rPr>
      <w:rFonts w:ascii="Times New Roman" w:hAnsi="Times New Roman" w:eastAsia="宋体" w:cs="Times New Roman"/>
      <w:b/>
      <w:bCs/>
      <w:kern w:val="2"/>
      <w:sz w:val="32"/>
      <w:szCs w:val="32"/>
    </w:rPr>
  </w:style>
  <w:style w:type="character" w:customStyle="1" w:styleId="52">
    <w:name w:val="标题 6 Char"/>
    <w:link w:val="6"/>
    <w:qFormat/>
    <w:uiPriority w:val="0"/>
    <w:rPr>
      <w:rFonts w:ascii="Cambria" w:hAnsi="Cambria" w:eastAsia="宋体" w:cs="Times New Roman"/>
      <w:b/>
      <w:bCs/>
      <w:kern w:val="2"/>
      <w:sz w:val="24"/>
      <w:szCs w:val="24"/>
    </w:rPr>
  </w:style>
  <w:style w:type="character" w:customStyle="1" w:styleId="53">
    <w:name w:val="正文缩进 Char"/>
    <w:link w:val="10"/>
    <w:qFormat/>
    <w:uiPriority w:val="0"/>
    <w:rPr>
      <w:rFonts w:ascii="Times New Roman" w:hAnsi="Times New Roman" w:eastAsia="宋体" w:cs="Times New Roman"/>
      <w:kern w:val="2"/>
      <w:sz w:val="21"/>
    </w:rPr>
  </w:style>
  <w:style w:type="character" w:customStyle="1" w:styleId="54">
    <w:name w:val="文档结构图 Char"/>
    <w:link w:val="15"/>
    <w:qFormat/>
    <w:uiPriority w:val="0"/>
    <w:rPr>
      <w:rFonts w:ascii="Arial" w:hAnsi="Arial" w:eastAsia="宋体" w:cs="Times New Roman"/>
      <w:kern w:val="2"/>
      <w:sz w:val="24"/>
      <w:szCs w:val="24"/>
    </w:rPr>
  </w:style>
  <w:style w:type="character" w:customStyle="1" w:styleId="55">
    <w:name w:val="批注文字 Char"/>
    <w:link w:val="16"/>
    <w:qFormat/>
    <w:uiPriority w:val="0"/>
    <w:rPr>
      <w:rFonts w:ascii="Times New Roman" w:hAnsi="Times New Roman" w:eastAsia="宋体" w:cs="Times New Roman"/>
      <w:kern w:val="2"/>
      <w:sz w:val="21"/>
      <w:szCs w:val="24"/>
    </w:rPr>
  </w:style>
  <w:style w:type="character" w:customStyle="1" w:styleId="56">
    <w:name w:val="正文文本 3 Char"/>
    <w:link w:val="17"/>
    <w:qFormat/>
    <w:uiPriority w:val="0"/>
    <w:rPr>
      <w:rFonts w:ascii="Times New Roman" w:hAnsi="Times New Roman" w:eastAsia="宋体" w:cs="Times New Roman"/>
      <w:kern w:val="2"/>
      <w:sz w:val="16"/>
      <w:szCs w:val="16"/>
    </w:rPr>
  </w:style>
  <w:style w:type="character" w:customStyle="1" w:styleId="57">
    <w:name w:val="正文文本 Char"/>
    <w:link w:val="18"/>
    <w:qFormat/>
    <w:uiPriority w:val="0"/>
    <w:rPr>
      <w:rFonts w:ascii="Times New Roman" w:hAnsi="Times New Roman" w:eastAsia="宋体" w:cs="Times New Roman"/>
      <w:kern w:val="2"/>
      <w:sz w:val="21"/>
      <w:szCs w:val="24"/>
    </w:rPr>
  </w:style>
  <w:style w:type="character" w:customStyle="1" w:styleId="58">
    <w:name w:val="纯文本 Char"/>
    <w:link w:val="23"/>
    <w:qFormat/>
    <w:uiPriority w:val="0"/>
    <w:rPr>
      <w:rFonts w:ascii="Times New Roman" w:hAnsi="Times New Roman" w:eastAsia="宋体" w:cs="Times New Roman"/>
      <w:kern w:val="2"/>
      <w:sz w:val="24"/>
      <w:lang w:val="en-US" w:eastAsia="zh-CN" w:bidi="ar-SA"/>
    </w:rPr>
  </w:style>
  <w:style w:type="character" w:customStyle="1" w:styleId="59">
    <w:name w:val="日期 Char"/>
    <w:link w:val="24"/>
    <w:qFormat/>
    <w:uiPriority w:val="0"/>
    <w:rPr>
      <w:rFonts w:ascii="Times New Roman" w:hAnsi="Times New Roman" w:eastAsia="楷体" w:cs="Times New Roman"/>
      <w:kern w:val="2"/>
      <w:sz w:val="32"/>
    </w:rPr>
  </w:style>
  <w:style w:type="character" w:customStyle="1" w:styleId="60">
    <w:name w:val="正文文本缩进 2 Char"/>
    <w:link w:val="25"/>
    <w:qFormat/>
    <w:uiPriority w:val="0"/>
    <w:rPr>
      <w:rFonts w:ascii="Times New Roman" w:hAnsi="Times New Roman" w:eastAsia="宋体" w:cs="Times New Roman"/>
      <w:kern w:val="2"/>
      <w:sz w:val="21"/>
      <w:szCs w:val="24"/>
    </w:rPr>
  </w:style>
  <w:style w:type="character" w:customStyle="1" w:styleId="61">
    <w:name w:val="尾注文本 Char"/>
    <w:link w:val="26"/>
    <w:qFormat/>
    <w:uiPriority w:val="0"/>
    <w:rPr>
      <w:rFonts w:ascii="Times New Roman" w:hAnsi="Times New Roman" w:eastAsia="宋体" w:cs="Times New Roman"/>
      <w:kern w:val="2"/>
      <w:sz w:val="21"/>
      <w:szCs w:val="24"/>
    </w:rPr>
  </w:style>
  <w:style w:type="character" w:customStyle="1" w:styleId="62">
    <w:name w:val="批注框文本 Char"/>
    <w:link w:val="27"/>
    <w:qFormat/>
    <w:uiPriority w:val="0"/>
    <w:rPr>
      <w:rFonts w:ascii="Times New Roman" w:hAnsi="Times New Roman" w:eastAsia="宋体" w:cs="Times New Roman"/>
      <w:kern w:val="2"/>
      <w:sz w:val="18"/>
      <w:szCs w:val="18"/>
    </w:rPr>
  </w:style>
  <w:style w:type="character" w:customStyle="1" w:styleId="63">
    <w:name w:val="页脚 Char"/>
    <w:link w:val="28"/>
    <w:qFormat/>
    <w:uiPriority w:val="0"/>
    <w:rPr>
      <w:rFonts w:ascii="Times New Roman" w:hAnsi="Times New Roman" w:eastAsia="宋体" w:cs="Times New Roman"/>
      <w:kern w:val="2"/>
      <w:sz w:val="18"/>
      <w:szCs w:val="18"/>
    </w:rPr>
  </w:style>
  <w:style w:type="character" w:customStyle="1" w:styleId="64">
    <w:name w:val="页眉 Char"/>
    <w:link w:val="31"/>
    <w:qFormat/>
    <w:uiPriority w:val="0"/>
    <w:rPr>
      <w:rFonts w:ascii="Times New Roman" w:hAnsi="Times New Roman" w:eastAsia="宋体" w:cs="Times New Roman"/>
      <w:kern w:val="2"/>
      <w:sz w:val="18"/>
      <w:szCs w:val="18"/>
    </w:rPr>
  </w:style>
  <w:style w:type="character" w:customStyle="1" w:styleId="65">
    <w:name w:val="正文文本缩进 3 Char"/>
    <w:link w:val="34"/>
    <w:qFormat/>
    <w:uiPriority w:val="0"/>
    <w:rPr>
      <w:rFonts w:ascii="Times New Roman" w:hAnsi="Times New Roman" w:eastAsia="宋体" w:cs="Times New Roman"/>
      <w:kern w:val="2"/>
      <w:sz w:val="21"/>
      <w:szCs w:val="24"/>
    </w:rPr>
  </w:style>
  <w:style w:type="character" w:customStyle="1" w:styleId="66">
    <w:name w:val="正文文本 2 Char"/>
    <w:link w:val="35"/>
    <w:qFormat/>
    <w:uiPriority w:val="0"/>
    <w:rPr>
      <w:rFonts w:ascii="Times New Roman" w:hAnsi="Times New Roman" w:eastAsia="宋体" w:cs="Times New Roman"/>
      <w:kern w:val="2"/>
      <w:sz w:val="21"/>
      <w:szCs w:val="24"/>
    </w:rPr>
  </w:style>
  <w:style w:type="character" w:customStyle="1" w:styleId="67">
    <w:name w:val="标题 Char"/>
    <w:link w:val="37"/>
    <w:qFormat/>
    <w:uiPriority w:val="0"/>
    <w:rPr>
      <w:rFonts w:ascii="Cambria" w:hAnsi="Cambria" w:eastAsia="宋体" w:cs="Times New Roman"/>
      <w:b/>
      <w:bCs/>
      <w:kern w:val="2"/>
      <w:sz w:val="32"/>
      <w:szCs w:val="32"/>
    </w:rPr>
  </w:style>
  <w:style w:type="character" w:customStyle="1" w:styleId="68">
    <w:name w:val="批注主题 Char"/>
    <w:link w:val="38"/>
    <w:qFormat/>
    <w:uiPriority w:val="0"/>
    <w:rPr>
      <w:rFonts w:ascii="Times New Roman" w:hAnsi="Times New Roman" w:eastAsia="宋体" w:cs="Times New Roman"/>
      <w:b/>
      <w:bCs/>
      <w:kern w:val="2"/>
      <w:sz w:val="21"/>
      <w:szCs w:val="24"/>
    </w:rPr>
  </w:style>
  <w:style w:type="paragraph" w:customStyle="1" w:styleId="69">
    <w:name w:val="Default"/>
    <w:next w:val="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正文11"/>
    <w:basedOn w:val="15"/>
    <w:next w:val="1"/>
    <w:qFormat/>
    <w:uiPriority w:val="0"/>
    <w:pPr>
      <w:widowControl/>
      <w:overflowPunct w:val="0"/>
      <w:autoSpaceDE w:val="0"/>
      <w:autoSpaceDN w:val="0"/>
      <w:adjustRightInd w:val="0"/>
      <w:spacing w:line="400" w:lineRule="exact"/>
      <w:textAlignment w:val="baseline"/>
    </w:pPr>
    <w:rPr>
      <w:rFonts w:ascii="Times New Roman" w:hAnsi="Times New Roman" w:eastAsia="宋体" w:cs="Times New Roman"/>
      <w:kern w:val="0"/>
      <w:szCs w:val="20"/>
    </w:rPr>
  </w:style>
  <w:style w:type="paragraph" w:customStyle="1" w:styleId="71">
    <w:name w:val="样式 表格正文 + 两端对齐"/>
    <w:basedOn w:val="1"/>
    <w:next w:val="70"/>
    <w:qFormat/>
    <w:uiPriority w:val="0"/>
    <w:pPr>
      <w:spacing w:line="300" w:lineRule="auto"/>
    </w:pPr>
    <w:rPr>
      <w:rFonts w:ascii="Times New Roman" w:hAnsi="Times New Roman" w:eastAsia="宋体" w:cs="Times New Roman"/>
    </w:rPr>
  </w:style>
  <w:style w:type="paragraph" w:customStyle="1" w:styleId="72">
    <w:name w:val="默认段落字体 Para Char Char Char Char Char Char Char Char Char1 Char Char Char Char"/>
    <w:basedOn w:val="1"/>
    <w:qFormat/>
    <w:uiPriority w:val="0"/>
    <w:rPr>
      <w:rFonts w:ascii="Tahoma" w:hAnsi="Tahoma" w:eastAsia="宋体" w:cs="Times New Roman"/>
      <w:sz w:val="24"/>
      <w:szCs w:val="20"/>
    </w:rPr>
  </w:style>
  <w:style w:type="character" w:customStyle="1" w:styleId="73">
    <w:name w:val="标题 1字符"/>
    <w:qFormat/>
    <w:uiPriority w:val="0"/>
    <w:rPr>
      <w:rFonts w:ascii="Times New Roman" w:hAnsi="Times New Roman" w:eastAsia="宋体" w:cs="Times New Roman"/>
      <w:b/>
      <w:bCs/>
      <w:kern w:val="44"/>
      <w:sz w:val="44"/>
      <w:szCs w:val="44"/>
    </w:rPr>
  </w:style>
  <w:style w:type="character" w:customStyle="1" w:styleId="74">
    <w:name w:val="Char Char"/>
    <w:qFormat/>
    <w:uiPriority w:val="0"/>
    <w:rPr>
      <w:rFonts w:ascii="宋体" w:hAnsi="Courier New" w:eastAsia="宋体" w:cs="Times New Roman"/>
      <w:kern w:val="2"/>
      <w:sz w:val="24"/>
      <w:szCs w:val="24"/>
      <w:lang w:val="en-US" w:eastAsia="zh-CN" w:bidi="ar-SA"/>
    </w:rPr>
  </w:style>
  <w:style w:type="character" w:customStyle="1" w:styleId="75">
    <w:name w:val="NormalCharacter"/>
    <w:qFormat/>
    <w:uiPriority w:val="0"/>
    <w:rPr>
      <w:rFonts w:ascii="Times New Roman" w:hAnsi="Times New Roman" w:eastAsia="宋体" w:cs="Times New Roman"/>
    </w:rPr>
  </w:style>
  <w:style w:type="paragraph" w:customStyle="1" w:styleId="76">
    <w:name w:val="标3"/>
    <w:basedOn w:val="1"/>
    <w:link w:val="77"/>
    <w:qFormat/>
    <w:uiPriority w:val="0"/>
    <w:pPr>
      <w:numPr>
        <w:ilvl w:val="2"/>
        <w:numId w:val="2"/>
      </w:numPr>
      <w:adjustRightInd w:val="0"/>
      <w:snapToGrid w:val="0"/>
      <w:spacing w:beforeLines="50"/>
      <w:outlineLvl w:val="2"/>
    </w:pPr>
    <w:rPr>
      <w:rFonts w:ascii="Arial" w:hAnsi="Arial" w:eastAsia="仿宋" w:cs="Times New Roman"/>
      <w:kern w:val="0"/>
      <w:sz w:val="32"/>
      <w:szCs w:val="32"/>
    </w:rPr>
  </w:style>
  <w:style w:type="character" w:customStyle="1" w:styleId="77">
    <w:name w:val="标3 Char"/>
    <w:link w:val="76"/>
    <w:qFormat/>
    <w:uiPriority w:val="0"/>
    <w:rPr>
      <w:rFonts w:ascii="Arial" w:hAnsi="Arial" w:eastAsia="仿宋" w:cs="Times New Roman"/>
      <w:sz w:val="32"/>
      <w:szCs w:val="32"/>
    </w:rPr>
  </w:style>
  <w:style w:type="character" w:customStyle="1" w:styleId="78">
    <w:name w:val="font21"/>
    <w:qFormat/>
    <w:uiPriority w:val="0"/>
    <w:rPr>
      <w:rFonts w:ascii="宋体" w:hAnsi="宋体" w:eastAsia="宋体" w:cs="宋体"/>
      <w:color w:val="000000"/>
      <w:sz w:val="20"/>
      <w:szCs w:val="20"/>
      <w:u w:val="none"/>
    </w:rPr>
  </w:style>
  <w:style w:type="character" w:customStyle="1" w:styleId="79">
    <w:name w:val="纯文本 Char1"/>
    <w:qFormat/>
    <w:uiPriority w:val="0"/>
    <w:rPr>
      <w:rFonts w:ascii="宋体" w:hAnsi="Courier New" w:eastAsia="宋体" w:cs="Times New Roman"/>
      <w:szCs w:val="21"/>
    </w:rPr>
  </w:style>
  <w:style w:type="character" w:customStyle="1" w:styleId="80">
    <w:name w:val="Char Char Char"/>
    <w:qFormat/>
    <w:uiPriority w:val="0"/>
    <w:rPr>
      <w:rFonts w:ascii="宋体" w:hAnsi="Courier New" w:eastAsia="宋体" w:cs="Times New Roman"/>
      <w:kern w:val="2"/>
      <w:sz w:val="24"/>
      <w:szCs w:val="24"/>
      <w:lang w:val="en-US" w:eastAsia="zh-CN" w:bidi="ar-SA"/>
    </w:rPr>
  </w:style>
  <w:style w:type="character" w:customStyle="1" w:styleId="81">
    <w:name w:val="apple-converted-space"/>
    <w:qFormat/>
    <w:uiPriority w:val="0"/>
    <w:rPr>
      <w:rFonts w:ascii="Times New Roman" w:hAnsi="Times New Roman" w:eastAsia="宋体" w:cs="Times New Roman"/>
    </w:rPr>
  </w:style>
  <w:style w:type="character" w:customStyle="1" w:styleId="82">
    <w:name w:val="font12"/>
    <w:basedOn w:val="41"/>
    <w:qFormat/>
    <w:uiPriority w:val="0"/>
    <w:rPr>
      <w:rFonts w:hint="eastAsia" w:ascii="宋体" w:hAnsi="宋体" w:eastAsia="宋体" w:cs="宋体"/>
      <w:color w:val="000000"/>
      <w:sz w:val="20"/>
      <w:szCs w:val="20"/>
      <w:u w:val="none"/>
    </w:rPr>
  </w:style>
  <w:style w:type="character" w:customStyle="1" w:styleId="83">
    <w:name w:val="font112"/>
    <w:basedOn w:val="41"/>
    <w:qFormat/>
    <w:uiPriority w:val="0"/>
    <w:rPr>
      <w:rFonts w:hint="eastAsia" w:ascii="宋体" w:hAnsi="宋体" w:eastAsia="宋体" w:cs="宋体"/>
      <w:color w:val="000000"/>
      <w:sz w:val="20"/>
      <w:szCs w:val="20"/>
      <w:u w:val="none"/>
    </w:rPr>
  </w:style>
  <w:style w:type="character" w:customStyle="1" w:styleId="84">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85">
    <w:name w:val="font41"/>
    <w:basedOn w:val="41"/>
    <w:qFormat/>
    <w:uiPriority w:val="0"/>
    <w:rPr>
      <w:rFonts w:hint="eastAsia" w:ascii="宋体" w:hAnsi="宋体" w:eastAsia="宋体" w:cs="宋体"/>
      <w:b/>
      <w:bCs/>
      <w:color w:val="000000"/>
      <w:sz w:val="22"/>
      <w:szCs w:val="22"/>
      <w:u w:val="none"/>
    </w:rPr>
  </w:style>
  <w:style w:type="character" w:customStyle="1" w:styleId="86">
    <w:name w:val="font31"/>
    <w:qFormat/>
    <w:uiPriority w:val="0"/>
    <w:rPr>
      <w:rFonts w:hint="eastAsia" w:ascii="宋体" w:hAnsi="宋体" w:eastAsia="宋体" w:cs="宋体"/>
      <w:color w:val="000000"/>
      <w:sz w:val="24"/>
      <w:szCs w:val="24"/>
      <w:u w:val="none"/>
    </w:rPr>
  </w:style>
  <w:style w:type="character" w:customStyle="1" w:styleId="87">
    <w:name w:val="font81"/>
    <w:basedOn w:val="41"/>
    <w:qFormat/>
    <w:uiPriority w:val="0"/>
    <w:rPr>
      <w:rFonts w:ascii="Calibri" w:hAnsi="Calibri" w:eastAsia="宋体" w:cs="Calibri"/>
      <w:b/>
      <w:bCs/>
      <w:color w:val="000000"/>
      <w:sz w:val="22"/>
      <w:szCs w:val="22"/>
      <w:u w:val="none"/>
    </w:rPr>
  </w:style>
  <w:style w:type="character" w:customStyle="1" w:styleId="88">
    <w:name w:val="bjh-p"/>
    <w:basedOn w:val="41"/>
    <w:qFormat/>
    <w:uiPriority w:val="0"/>
    <w:rPr>
      <w:rFonts w:ascii="Times New Roman" w:hAnsi="Times New Roman" w:eastAsia="宋体" w:cs="Times New Roman"/>
    </w:rPr>
  </w:style>
  <w:style w:type="paragraph" w:customStyle="1" w:styleId="89">
    <w:name w:val="表格文字"/>
    <w:next w:val="18"/>
    <w:link w:val="90"/>
    <w:qFormat/>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90">
    <w:name w:val="表格文字 Char Char"/>
    <w:link w:val="89"/>
    <w:qFormat/>
    <w:uiPriority w:val="0"/>
    <w:rPr>
      <w:rFonts w:ascii="Times New Roman" w:hAnsi="Times New Roman" w:eastAsia="宋体" w:cs="Times New Roman"/>
      <w:kern w:val="2"/>
      <w:sz w:val="24"/>
      <w:szCs w:val="28"/>
      <w:lang w:val="en-US" w:eastAsia="zh-CN" w:bidi="ar-SA"/>
    </w:rPr>
  </w:style>
  <w:style w:type="character" w:customStyle="1" w:styleId="91">
    <w:name w:val="font11"/>
    <w:qFormat/>
    <w:uiPriority w:val="0"/>
    <w:rPr>
      <w:rFonts w:hint="eastAsia" w:ascii="宋体" w:hAnsi="宋体" w:eastAsia="宋体" w:cs="宋体"/>
      <w:b/>
      <w:color w:val="000000"/>
      <w:sz w:val="24"/>
      <w:szCs w:val="24"/>
      <w:u w:val="none"/>
    </w:rPr>
  </w:style>
  <w:style w:type="character" w:customStyle="1" w:styleId="92">
    <w:name w:val="font01"/>
    <w:qFormat/>
    <w:uiPriority w:val="0"/>
    <w:rPr>
      <w:rFonts w:hint="default" w:ascii="Arial" w:hAnsi="Arial" w:eastAsia="宋体" w:cs="Arial"/>
      <w:color w:val="000000"/>
      <w:sz w:val="24"/>
      <w:szCs w:val="24"/>
      <w:u w:val="none"/>
    </w:rPr>
  </w:style>
  <w:style w:type="character" w:customStyle="1" w:styleId="93">
    <w:name w:val="font71"/>
    <w:basedOn w:val="41"/>
    <w:qFormat/>
    <w:uiPriority w:val="0"/>
    <w:rPr>
      <w:rFonts w:hint="eastAsia" w:ascii="宋体" w:hAnsi="宋体" w:eastAsia="宋体" w:cs="宋体"/>
      <w:b/>
      <w:bCs/>
      <w:color w:val="000000"/>
      <w:sz w:val="30"/>
      <w:szCs w:val="30"/>
      <w:u w:val="none"/>
      <w:vertAlign w:val="superscript"/>
    </w:rPr>
  </w:style>
  <w:style w:type="character" w:customStyle="1" w:styleId="94">
    <w:name w:val="无"/>
    <w:qFormat/>
    <w:uiPriority w:val="0"/>
    <w:rPr>
      <w:rFonts w:ascii="Times New Roman" w:hAnsi="Times New Roman" w:eastAsia="宋体" w:cs="Times New Roman"/>
    </w:rPr>
  </w:style>
  <w:style w:type="paragraph" w:customStyle="1" w:styleId="95">
    <w:name w:val="正文首行缩进1"/>
    <w:basedOn w:val="18"/>
    <w:qFormat/>
    <w:uiPriority w:val="0"/>
    <w:pPr>
      <w:ind w:firstLine="420" w:firstLineChars="100"/>
    </w:pPr>
    <w:rPr>
      <w:rFonts w:ascii="Calibri" w:hAnsi="Calibri" w:eastAsia="宋体" w:cs="Times New Roman"/>
      <w:szCs w:val="22"/>
    </w:rPr>
  </w:style>
  <w:style w:type="paragraph" w:customStyle="1" w:styleId="96">
    <w:name w:val="章正文"/>
    <w:basedOn w:val="1"/>
    <w:qFormat/>
    <w:uiPriority w:val="0"/>
    <w:pPr>
      <w:spacing w:beforeLines="50" w:after="120" w:line="300" w:lineRule="auto"/>
      <w:ind w:firstLine="480"/>
    </w:pPr>
    <w:rPr>
      <w:rFonts w:ascii="Arial" w:hAnsi="Arial" w:eastAsia="宋体" w:cs="Times New Roman"/>
      <w:kern w:val="0"/>
      <w:sz w:val="24"/>
    </w:rPr>
  </w:style>
  <w:style w:type="paragraph" w:customStyle="1" w:styleId="97">
    <w:name w:val="_Style 10"/>
    <w:basedOn w:val="1"/>
    <w:qFormat/>
    <w:uiPriority w:val="0"/>
    <w:rPr>
      <w:rFonts w:ascii="仿宋" w:hAnsi="Times New Roman" w:eastAsia="仿宋" w:cs="Times New Roman"/>
      <w:b/>
      <w:sz w:val="32"/>
      <w:szCs w:val="32"/>
    </w:rPr>
  </w:style>
  <w:style w:type="paragraph" w:customStyle="1" w:styleId="98">
    <w:name w:val="_Style 40"/>
    <w:basedOn w:val="1"/>
    <w:qFormat/>
    <w:uiPriority w:val="0"/>
    <w:rPr>
      <w:rFonts w:ascii="Times New Roman" w:hAnsi="Times New Roman" w:eastAsia="宋体" w:cs="Times New Roman"/>
    </w:rPr>
  </w:style>
  <w:style w:type="paragraph" w:customStyle="1" w:styleId="99">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100">
    <w:name w:val="BodyText"/>
    <w:basedOn w:val="1"/>
    <w:next w:val="99"/>
    <w:qFormat/>
    <w:uiPriority w:val="0"/>
    <w:pPr>
      <w:textAlignment w:val="baseline"/>
    </w:pPr>
    <w:rPr>
      <w:rFonts w:ascii="宋体" w:hAnsi="宋体" w:eastAsia="宋体" w:cs="Times New Roman"/>
      <w:szCs w:val="21"/>
      <w:lang w:val="zh-CN" w:bidi="zh-CN"/>
    </w:rPr>
  </w:style>
  <w:style w:type="paragraph" w:customStyle="1" w:styleId="101">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102">
    <w:name w:val="xl39"/>
    <w:basedOn w:val="1"/>
    <w:next w:val="10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eastAsia="宋体" w:cs="Times New Roman"/>
      <w:color w:val="000000"/>
      <w:kern w:val="0"/>
      <w:sz w:val="18"/>
      <w:szCs w:val="18"/>
    </w:rPr>
  </w:style>
  <w:style w:type="paragraph" w:customStyle="1" w:styleId="103">
    <w:name w:val="自动更正"/>
    <w:next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1"/>
    <w:basedOn w:val="15"/>
    <w:next w:val="103"/>
    <w:qFormat/>
    <w:uiPriority w:val="0"/>
    <w:pPr>
      <w:adjustRightInd w:val="0"/>
      <w:spacing w:line="318" w:lineRule="atLeast"/>
      <w:ind w:left="369" w:firstLine="369"/>
      <w:textAlignment w:val="baseline"/>
    </w:pPr>
    <w:rPr>
      <w:rFonts w:ascii="宋体" w:hAnsi="Times New Roman" w:eastAsia="宋体" w:cs="Times New Roman"/>
      <w:szCs w:val="20"/>
    </w:rPr>
  </w:style>
  <w:style w:type="paragraph" w:customStyle="1" w:styleId="105">
    <w:name w:val="正文样式"/>
    <w:basedOn w:val="1"/>
    <w:qFormat/>
    <w:uiPriority w:val="0"/>
    <w:pPr>
      <w:spacing w:line="360" w:lineRule="auto"/>
      <w:ind w:firstLine="480" w:firstLineChars="200"/>
    </w:pPr>
    <w:rPr>
      <w:rFonts w:ascii="Times New Roman" w:hAnsi="Calibri" w:eastAsia="宋体" w:cs="Times New Roman"/>
      <w:sz w:val="24"/>
      <w:szCs w:val="20"/>
    </w:rPr>
  </w:style>
  <w:style w:type="paragraph" w:customStyle="1" w:styleId="106">
    <w:name w:val="彩色列表2"/>
    <w:basedOn w:val="1"/>
    <w:qFormat/>
    <w:uiPriority w:val="0"/>
    <w:pPr>
      <w:ind w:firstLine="420" w:firstLineChars="200"/>
    </w:pPr>
    <w:rPr>
      <w:rFonts w:ascii="Times New Roman" w:hAnsi="Times New Roman" w:eastAsia="宋体" w:cs="Times New Roman"/>
    </w:rPr>
  </w:style>
  <w:style w:type="paragraph" w:customStyle="1" w:styleId="107">
    <w:name w:val="Char Char3"/>
    <w:basedOn w:val="1"/>
    <w:qFormat/>
    <w:uiPriority w:val="0"/>
    <w:rPr>
      <w:rFonts w:ascii="Times New Roman" w:hAnsi="Times New Roman" w:eastAsia="宋体" w:cs="Times New Roman"/>
    </w:rPr>
  </w:style>
  <w:style w:type="paragraph" w:customStyle="1" w:styleId="108">
    <w:name w:val="彩色列表1"/>
    <w:basedOn w:val="1"/>
    <w:qFormat/>
    <w:uiPriority w:val="0"/>
    <w:pPr>
      <w:ind w:firstLine="420" w:firstLineChars="200"/>
    </w:pPr>
    <w:rPr>
      <w:rFonts w:ascii="Verdana" w:hAnsi="Verdana" w:eastAsia="微软雅黑" w:cs="Times New Roman"/>
      <w:szCs w:val="22"/>
    </w:rPr>
  </w:style>
  <w:style w:type="paragraph" w:customStyle="1" w:styleId="109">
    <w:name w:val="p0"/>
    <w:basedOn w:val="1"/>
    <w:qFormat/>
    <w:uiPriority w:val="0"/>
    <w:pPr>
      <w:widowControl/>
    </w:pPr>
    <w:rPr>
      <w:rFonts w:ascii="Calibri" w:hAnsi="Calibri" w:eastAsia="宋体" w:cs="Times New Roman"/>
      <w:kern w:val="0"/>
      <w:szCs w:val="21"/>
    </w:rPr>
  </w:style>
  <w:style w:type="paragraph" w:customStyle="1" w:styleId="110">
    <w:name w:val="样式 宋体 黑色 行距: 1.5 倍行距"/>
    <w:basedOn w:val="1"/>
    <w:qFormat/>
    <w:uiPriority w:val="0"/>
    <w:pPr>
      <w:spacing w:line="360" w:lineRule="auto"/>
    </w:pPr>
    <w:rPr>
      <w:rFonts w:ascii="宋体" w:hAnsi="宋体" w:eastAsia="宋体" w:cs="宋体"/>
      <w:color w:val="000000"/>
      <w:sz w:val="24"/>
      <w:szCs w:val="20"/>
    </w:rPr>
  </w:style>
  <w:style w:type="paragraph" w:customStyle="1" w:styleId="111">
    <w:name w:val="Char Char5"/>
    <w:basedOn w:val="1"/>
    <w:qFormat/>
    <w:uiPriority w:val="0"/>
    <w:rPr>
      <w:rFonts w:ascii="Times New Roman" w:hAnsi="Times New Roman" w:eastAsia="宋体" w:cs="Times New Roman"/>
    </w:rPr>
  </w:style>
  <w:style w:type="paragraph" w:customStyle="1" w:styleId="112">
    <w:name w:val="Table Paragraph"/>
    <w:basedOn w:val="1"/>
    <w:qFormat/>
    <w:uiPriority w:val="0"/>
    <w:rPr>
      <w:rFonts w:ascii="Times New Roman" w:hAnsi="Times New Roman" w:eastAsia="宋体" w:cs="Times New Roman"/>
    </w:rPr>
  </w:style>
  <w:style w:type="paragraph" w:customStyle="1" w:styleId="113">
    <w:name w:val="xl49"/>
    <w:basedOn w:val="1"/>
    <w:qFormat/>
    <w:uiPriority w:val="0"/>
    <w:pPr>
      <w:widowControl/>
      <w:spacing w:before="100" w:beforeAutospacing="1" w:after="100" w:afterAutospacing="1"/>
      <w:jc w:val="center"/>
      <w:textAlignment w:val="center"/>
    </w:pPr>
    <w:rPr>
      <w:rFonts w:ascii="宋体" w:hAnsi="宋体" w:eastAsia="宋体" w:cs="Times New Roman"/>
      <w:kern w:val="0"/>
      <w:sz w:val="24"/>
    </w:rPr>
  </w:style>
  <w:style w:type="paragraph" w:customStyle="1" w:styleId="114">
    <w:name w:val="List Paragraph1"/>
    <w:basedOn w:val="1"/>
    <w:qFormat/>
    <w:uiPriority w:val="0"/>
    <w:pPr>
      <w:widowControl/>
      <w:spacing w:after="200" w:line="276" w:lineRule="auto"/>
      <w:ind w:left="720"/>
      <w:jc w:val="left"/>
    </w:pPr>
    <w:rPr>
      <w:rFonts w:ascii="Times New Roman" w:hAnsi="Times New Roman" w:eastAsia="宋体" w:cs="Times New Roman"/>
      <w:kern w:val="0"/>
      <w:sz w:val="22"/>
      <w:szCs w:val="22"/>
      <w:lang w:eastAsia="zh-TW"/>
    </w:rPr>
  </w:style>
  <w:style w:type="paragraph" w:customStyle="1" w:styleId="115">
    <w:name w:val="彩色列表 - 强调文字颜色 11"/>
    <w:basedOn w:val="1"/>
    <w:qFormat/>
    <w:uiPriority w:val="0"/>
    <w:pPr>
      <w:ind w:firstLine="420" w:firstLineChars="200"/>
    </w:pPr>
    <w:rPr>
      <w:rFonts w:ascii="Calibri" w:hAnsi="Calibri" w:eastAsia="宋体" w:cs="Times New Roman"/>
      <w:szCs w:val="22"/>
    </w:rPr>
  </w:style>
  <w:style w:type="paragraph" w:customStyle="1" w:styleId="116">
    <w:name w:val="_Style 23"/>
    <w:basedOn w:val="1"/>
    <w:qFormat/>
    <w:uiPriority w:val="0"/>
    <w:rPr>
      <w:rFonts w:ascii="Times New Roman" w:hAnsi="Times New Roman" w:eastAsia="宋体" w:cs="Times New Roman"/>
    </w:rPr>
  </w:style>
  <w:style w:type="paragraph" w:customStyle="1" w:styleId="117">
    <w:name w:val="TOC 标题1"/>
    <w:basedOn w:val="3"/>
    <w:next w:val="1"/>
    <w:qFormat/>
    <w:uiPriority w:val="0"/>
    <w:pPr>
      <w:keepNext w:val="0"/>
      <w:keepLines w:val="0"/>
      <w:widowControl/>
      <w:spacing w:before="480" w:after="0" w:line="276" w:lineRule="auto"/>
      <w:jc w:val="left"/>
      <w:outlineLvl w:val="9"/>
    </w:pPr>
    <w:rPr>
      <w:rFonts w:ascii="Calibri Light" w:hAnsi="Calibri Light" w:eastAsia="宋体" w:cs="Times New Roman"/>
      <w:bCs w:val="0"/>
      <w:color w:val="2E75B5"/>
      <w:kern w:val="0"/>
      <w:sz w:val="28"/>
      <w:szCs w:val="28"/>
    </w:rPr>
  </w:style>
  <w:style w:type="paragraph" w:customStyle="1" w:styleId="118">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19">
    <w:name w:val="表内文字"/>
    <w:basedOn w:val="1"/>
    <w:qFormat/>
    <w:uiPriority w:val="0"/>
    <w:pPr>
      <w:tabs>
        <w:tab w:val="left" w:pos="1418"/>
      </w:tabs>
      <w:spacing w:line="360" w:lineRule="auto"/>
      <w:jc w:val="center"/>
    </w:pPr>
    <w:rPr>
      <w:rFonts w:ascii="仿宋" w:hAnsi="Times New Roman" w:eastAsia="仿宋" w:cs="Times New Roman"/>
      <w:spacing w:val="-20"/>
      <w:kern w:val="0"/>
      <w:sz w:val="24"/>
    </w:rPr>
  </w:style>
  <w:style w:type="paragraph" w:customStyle="1" w:styleId="120">
    <w:name w:val="首行缩进"/>
    <w:basedOn w:val="1"/>
    <w:qFormat/>
    <w:uiPriority w:val="0"/>
    <w:pPr>
      <w:spacing w:line="360" w:lineRule="auto"/>
      <w:ind w:firstLine="480" w:firstLineChars="200"/>
    </w:pPr>
    <w:rPr>
      <w:rFonts w:ascii="Times New Roman" w:hAnsi="Times New Roman" w:eastAsia="宋体" w:cs="Times New Roman"/>
      <w:sz w:val="24"/>
      <w:szCs w:val="22"/>
      <w:lang w:val="zh-CN"/>
    </w:rPr>
  </w:style>
  <w:style w:type="paragraph" w:customStyle="1" w:styleId="121">
    <w:name w:val="Char Char Char Char Char Char Char"/>
    <w:basedOn w:val="1"/>
    <w:qFormat/>
    <w:uiPriority w:val="0"/>
    <w:rPr>
      <w:rFonts w:ascii="Times New Roman" w:hAnsi="Times New Roman" w:eastAsia="宋体" w:cs="Times New Roman"/>
    </w:rPr>
  </w:style>
  <w:style w:type="paragraph" w:customStyle="1" w:styleId="122">
    <w:name w:val="彩色列表11"/>
    <w:basedOn w:val="1"/>
    <w:qFormat/>
    <w:uiPriority w:val="0"/>
    <w:pPr>
      <w:ind w:firstLine="420" w:firstLineChars="200"/>
    </w:pPr>
    <w:rPr>
      <w:rFonts w:ascii="Times New Roman" w:hAnsi="Times New Roman" w:eastAsia="宋体" w:cs="Times New Roman"/>
    </w:rPr>
  </w:style>
  <w:style w:type="paragraph" w:customStyle="1" w:styleId="123">
    <w:name w:val="List Paragraph"/>
    <w:basedOn w:val="1"/>
    <w:qFormat/>
    <w:uiPriority w:val="0"/>
    <w:pPr>
      <w:ind w:firstLine="420" w:firstLineChars="200"/>
    </w:pPr>
    <w:rPr>
      <w:rFonts w:ascii="Calibri" w:hAnsi="Calibri" w:eastAsia="宋体" w:cs="Times New Roman"/>
      <w:szCs w:val="22"/>
    </w:rPr>
  </w:style>
  <w:style w:type="paragraph" w:customStyle="1" w:styleId="124">
    <w:name w:val="样式 样式1 + 首行缩进:  2 字符"/>
    <w:basedOn w:val="1"/>
    <w:qFormat/>
    <w:uiPriority w:val="0"/>
    <w:pPr>
      <w:spacing w:line="360" w:lineRule="exact"/>
      <w:ind w:firstLine="420" w:firstLineChars="200"/>
    </w:pPr>
    <w:rPr>
      <w:rFonts w:ascii="Arial" w:hAnsi="Arial" w:eastAsia="宋体" w:cs="宋体"/>
      <w:szCs w:val="20"/>
    </w:rPr>
  </w:style>
  <w:style w:type="paragraph" w:customStyle="1" w:styleId="125">
    <w:name w:val="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2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宋体" w:hAnsi="宋体" w:eastAsia="Times New Roman" w:cs="宋体"/>
      <w:color w:val="000000"/>
      <w:sz w:val="24"/>
      <w:szCs w:val="24"/>
      <w:u w:val="none" w:color="000000"/>
      <w:lang w:val="en-US" w:eastAsia="zh-CN" w:bidi="ar-SA"/>
    </w:rPr>
  </w:style>
  <w:style w:type="paragraph" w:customStyle="1" w:styleId="127">
    <w:name w:val="列出段落1"/>
    <w:basedOn w:val="1"/>
    <w:qFormat/>
    <w:uiPriority w:val="0"/>
    <w:pPr>
      <w:ind w:firstLine="420" w:firstLineChars="200"/>
    </w:pPr>
    <w:rPr>
      <w:rFonts w:ascii="Calibri" w:hAnsi="Calibri" w:eastAsia="宋体" w:cs="Times New Roman"/>
      <w:szCs w:val="22"/>
    </w:rPr>
  </w:style>
  <w:style w:type="paragraph" w:customStyle="1" w:styleId="128">
    <w:name w:val="样式1"/>
    <w:qFormat/>
    <w:uiPriority w:val="0"/>
    <w:pPr>
      <w:numPr>
        <w:ilvl w:val="2"/>
        <w:numId w:val="3"/>
      </w:numPr>
      <w:tabs>
        <w:tab w:val="left" w:pos="735"/>
      </w:tabs>
      <w:adjustRightInd w:val="0"/>
      <w:snapToGrid w:val="0"/>
      <w:spacing w:line="360" w:lineRule="auto"/>
      <w:jc w:val="both"/>
    </w:pPr>
    <w:rPr>
      <w:rFonts w:ascii="Times New Roman" w:hAnsi="Times New Roman" w:eastAsia="宋体" w:cs="Times New Roman"/>
      <w:bCs/>
      <w:kern w:val="2"/>
      <w:sz w:val="24"/>
      <w:szCs w:val="32"/>
      <w:lang w:val="en-US" w:eastAsia="zh-CN" w:bidi="ar-SA"/>
    </w:rPr>
  </w:style>
  <w:style w:type="paragraph" w:customStyle="1" w:styleId="129">
    <w:name w:val="★章标题"/>
    <w:basedOn w:val="1"/>
    <w:qFormat/>
    <w:uiPriority w:val="0"/>
    <w:pPr>
      <w:spacing w:before="120" w:after="120" w:line="360" w:lineRule="auto"/>
      <w:ind w:firstLine="200" w:firstLineChars="200"/>
      <w:jc w:val="center"/>
      <w:outlineLvl w:val="0"/>
    </w:pPr>
    <w:rPr>
      <w:rFonts w:ascii="Times New Roman" w:hAnsi="Times New Roman" w:eastAsia="黑体" w:cs="宋体"/>
      <w:b/>
      <w:bCs/>
      <w:color w:val="000000"/>
      <w:kern w:val="44"/>
      <w:sz w:val="44"/>
      <w:szCs w:val="20"/>
    </w:rPr>
  </w:style>
  <w:style w:type="paragraph" w:customStyle="1" w:styleId="130">
    <w:name w:val="BodyText1I"/>
    <w:basedOn w:val="100"/>
    <w:next w:val="1"/>
    <w:qFormat/>
    <w:uiPriority w:val="0"/>
    <w:pPr>
      <w:ind w:firstLine="420" w:firstLineChars="100"/>
    </w:pPr>
    <w:rPr>
      <w:rFonts w:ascii="Times New Roman" w:hAnsi="Times New Roman" w:eastAsia="宋体" w:cs="Times New Roman"/>
    </w:rPr>
  </w:style>
  <w:style w:type="paragraph" w:customStyle="1" w:styleId="13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_Style 1"/>
    <w:qFormat/>
    <w:uiPriority w:val="0"/>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37182</Words>
  <Characters>39555</Characters>
  <Lines>1</Lines>
  <Paragraphs>1</Paragraphs>
  <TotalTime>35</TotalTime>
  <ScaleCrop>false</ScaleCrop>
  <LinksUpToDate>false</LinksUpToDate>
  <CharactersWithSpaces>42711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2021-03-02T23:14:00Z</dcterms:created>
  <dc:creator>Administrator</dc:creator>
  <cp:lastModifiedBy>@艳@</cp:lastModifiedBy>
  <cp:lastPrinted>2026-05-09T02:12:31Z</cp:lastPrinted>
  <dcterms:modified xsi:type="dcterms:W3CDTF">2026-05-09T02:42:38Z</dcterms:modified>
  <dc:title>东阳市鑫盛工程咨询有限公司关于东阳市广福路以南、望江路以西地块-上王公寓</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4FF8BC73CE22431494DA121D7348B06B_13</vt:lpwstr>
  </property>
  <property fmtid="{D5CDD505-2E9C-101B-9397-08002B2CF9AE}" pid="4" name="KSOTemplateDocerSaveRecord">
    <vt:lpwstr>eyJoZGlkIjoiNWY4ZDFhYmU5NmUwZDM4OThkY2FlYWIxZjc3ZjExN2YiLCJ1c2VySWQiOiIyNzQxNTc2MzIifQ==</vt:lpwstr>
  </property>
</Properties>
</file>