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66DCC1">
      <w:pPr>
        <w:adjustRightInd/>
        <w:spacing w:line="360" w:lineRule="auto"/>
        <w:jc w:val="center"/>
        <w:rPr>
          <w:rFonts w:ascii="仿宋_GB2312" w:hAnsi="仿宋_GB2312" w:eastAsia="仿宋_GB2312" w:cs="仿宋_GB2312"/>
          <w:b/>
          <w:bCs/>
          <w:sz w:val="48"/>
          <w:szCs w:val="48"/>
        </w:rPr>
      </w:pPr>
    </w:p>
    <w:p w14:paraId="1D499F0B">
      <w:pPr>
        <w:adjustRightInd/>
        <w:spacing w:line="360" w:lineRule="auto"/>
        <w:jc w:val="center"/>
        <w:rPr>
          <w:rFonts w:ascii="宋体" w:hAnsi="宋体" w:cs="宋体"/>
          <w:b/>
          <w:bCs/>
          <w:sz w:val="52"/>
          <w:szCs w:val="52"/>
        </w:rPr>
      </w:pPr>
      <w:r>
        <w:rPr>
          <w:rFonts w:hint="eastAsia" w:ascii="宋体" w:hAnsi="宋体" w:cs="宋体"/>
          <w:b/>
          <w:bCs/>
          <w:sz w:val="52"/>
          <w:szCs w:val="52"/>
        </w:rPr>
        <w:t>诸暨市基层应急消防保障点提质升级设备采购项目</w:t>
      </w:r>
    </w:p>
    <w:p w14:paraId="52ABC5EB">
      <w:pPr>
        <w:adjustRightInd/>
        <w:spacing w:line="360" w:lineRule="auto"/>
        <w:jc w:val="center"/>
        <w:rPr>
          <w:rFonts w:ascii="宋体" w:hAnsi="宋体" w:cs="宋体"/>
          <w:b/>
          <w:bCs/>
          <w:sz w:val="32"/>
          <w:szCs w:val="32"/>
        </w:rPr>
      </w:pPr>
      <w:r>
        <w:rPr>
          <w:rFonts w:hint="eastAsia" w:ascii="宋体" w:hAnsi="宋体" w:cs="宋体"/>
          <w:b/>
          <w:bCs/>
          <w:sz w:val="32"/>
          <w:szCs w:val="32"/>
        </w:rPr>
        <w:t>（编号:330681261610010000007-诸正开2026-05-17）</w:t>
      </w:r>
    </w:p>
    <w:p w14:paraId="11A71ABE">
      <w:pPr>
        <w:spacing w:beforeLines="750" w:line="360" w:lineRule="auto"/>
        <w:jc w:val="center"/>
        <w:rPr>
          <w:rFonts w:ascii="宋体" w:hAnsi="宋体" w:cs="宋体"/>
          <w:b/>
          <w:bCs/>
          <w:color w:val="000000" w:themeColor="text1"/>
          <w:spacing w:val="-6"/>
          <w:sz w:val="84"/>
          <w:szCs w:val="84"/>
        </w:rPr>
      </w:pPr>
      <w:r>
        <w:rPr>
          <w:rFonts w:hint="eastAsia" w:ascii="宋体" w:hAnsi="宋体" w:cs="宋体"/>
          <w:b/>
          <w:bCs/>
          <w:color w:val="000000" w:themeColor="text1"/>
          <w:spacing w:val="-6"/>
          <w:sz w:val="84"/>
          <w:szCs w:val="84"/>
        </w:rPr>
        <w:t>招 标 文 件</w:t>
      </w:r>
    </w:p>
    <w:p w14:paraId="230D2052">
      <w:pPr>
        <w:spacing w:afterLines="600" w:line="360" w:lineRule="auto"/>
        <w:jc w:val="center"/>
        <w:rPr>
          <w:rFonts w:ascii="宋体" w:hAnsi="宋体" w:cs="宋体"/>
          <w:b/>
          <w:bCs/>
          <w:color w:val="000000" w:themeColor="text1"/>
          <w:spacing w:val="36"/>
          <w:sz w:val="36"/>
        </w:rPr>
      </w:pPr>
      <w:r>
        <w:rPr>
          <w:rFonts w:hint="eastAsia" w:ascii="宋体" w:hAnsi="宋体" w:cs="宋体"/>
          <w:b/>
          <w:bCs/>
          <w:color w:val="000000" w:themeColor="text1"/>
          <w:spacing w:val="36"/>
          <w:sz w:val="36"/>
        </w:rPr>
        <w:t>（电子招投标）</w:t>
      </w:r>
    </w:p>
    <w:p w14:paraId="0002F2EF">
      <w:pPr>
        <w:pStyle w:val="978"/>
        <w:rPr>
          <w:rFonts w:ascii="宋体" w:hAnsi="宋体"/>
        </w:rPr>
      </w:pPr>
    </w:p>
    <w:tbl>
      <w:tblPr>
        <w:tblStyle w:val="65"/>
        <w:tblW w:w="8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40"/>
      </w:tblGrid>
      <w:tr w14:paraId="02B5C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jc w:val="center"/>
        </w:trPr>
        <w:tc>
          <w:tcPr>
            <w:tcW w:w="8140" w:type="dxa"/>
            <w:vAlign w:val="center"/>
          </w:tcPr>
          <w:p w14:paraId="172D1025">
            <w:pPr>
              <w:pStyle w:val="34"/>
              <w:snapToGrid w:val="0"/>
              <w:spacing w:before="120" w:after="120" w:line="360" w:lineRule="auto"/>
              <w:rPr>
                <w:rFonts w:hAnsi="宋体" w:cs="宋体"/>
                <w:b/>
                <w:bCs/>
                <w:spacing w:val="12"/>
                <w:w w:val="95"/>
                <w:kern w:val="0"/>
                <w:sz w:val="32"/>
                <w:szCs w:val="32"/>
              </w:rPr>
            </w:pPr>
            <w:r>
              <w:rPr>
                <w:rFonts w:hint="eastAsia" w:hAnsi="宋体" w:cs="宋体"/>
                <w:b/>
                <w:bCs/>
                <w:spacing w:val="12"/>
                <w:w w:val="95"/>
                <w:kern w:val="0"/>
                <w:sz w:val="32"/>
                <w:szCs w:val="32"/>
              </w:rPr>
              <w:t>（采   购   人）：诸暨市应急管理局</w:t>
            </w:r>
          </w:p>
        </w:tc>
      </w:tr>
      <w:tr w14:paraId="67AC1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8140" w:type="dxa"/>
            <w:vAlign w:val="center"/>
          </w:tcPr>
          <w:p w14:paraId="37AF53D2">
            <w:pPr>
              <w:pStyle w:val="34"/>
              <w:snapToGrid w:val="0"/>
              <w:spacing w:before="120" w:after="120" w:line="360" w:lineRule="auto"/>
              <w:rPr>
                <w:rFonts w:hAnsi="宋体" w:cs="宋体"/>
                <w:b/>
                <w:bCs/>
                <w:spacing w:val="12"/>
                <w:w w:val="95"/>
                <w:kern w:val="0"/>
                <w:sz w:val="32"/>
                <w:szCs w:val="32"/>
              </w:rPr>
            </w:pPr>
            <w:r>
              <w:rPr>
                <w:rFonts w:hint="eastAsia" w:hAnsi="宋体" w:cs="宋体"/>
                <w:b/>
                <w:bCs/>
                <w:spacing w:val="12"/>
                <w:w w:val="95"/>
                <w:kern w:val="0"/>
                <w:sz w:val="32"/>
                <w:szCs w:val="32"/>
              </w:rPr>
              <w:t>（采购代理机构）：诸暨正开工程咨询有限公司</w:t>
            </w:r>
          </w:p>
        </w:tc>
      </w:tr>
    </w:tbl>
    <w:p w14:paraId="200628B9">
      <w:pPr>
        <w:adjustRightInd/>
        <w:spacing w:line="360" w:lineRule="auto"/>
        <w:jc w:val="center"/>
        <w:rPr>
          <w:rFonts w:ascii="宋体" w:hAnsi="宋体" w:cs="宋体"/>
          <w:b/>
          <w:bCs/>
          <w:sz w:val="32"/>
          <w:szCs w:val="32"/>
        </w:rPr>
      </w:pPr>
      <w:r>
        <w:rPr>
          <w:rFonts w:hint="eastAsia" w:ascii="宋体" w:hAnsi="宋体" w:cs="宋体"/>
          <w:b/>
          <w:bCs/>
          <w:sz w:val="32"/>
          <w:szCs w:val="32"/>
        </w:rPr>
        <w:t>二〇二六年五月</w:t>
      </w:r>
    </w:p>
    <w:p w14:paraId="50333A59">
      <w:pPr>
        <w:spacing w:line="360" w:lineRule="auto"/>
        <w:jc w:val="center"/>
        <w:rPr>
          <w:rFonts w:ascii="宋体" w:hAnsi="宋体" w:cs="宋体"/>
          <w:sz w:val="24"/>
        </w:rPr>
        <w:sectPr>
          <w:headerReference r:id="rId5" w:type="first"/>
          <w:footerReference r:id="rId8" w:type="first"/>
          <w:headerReference r:id="rId3" w:type="default"/>
          <w:footerReference r:id="rId6" w:type="default"/>
          <w:headerReference r:id="rId4" w:type="even"/>
          <w:footerReference r:id="rId7" w:type="even"/>
          <w:pgSz w:w="11906" w:h="16838"/>
          <w:pgMar w:top="873" w:right="1134" w:bottom="873" w:left="1134" w:header="624" w:footer="595" w:gutter="0"/>
          <w:pgNumType w:start="1"/>
          <w:cols w:space="720" w:num="1"/>
          <w:titlePg/>
          <w:docGrid w:linePitch="312" w:charSpace="0"/>
        </w:sectPr>
      </w:pPr>
    </w:p>
    <w:p w14:paraId="27EB0C0D">
      <w:pPr>
        <w:pStyle w:val="23"/>
        <w:rPr>
          <w:rFonts w:hAnsi="宋体" w:cs="宋体"/>
        </w:rPr>
      </w:pPr>
    </w:p>
    <w:p w14:paraId="24A7B324">
      <w:pPr>
        <w:spacing w:line="360" w:lineRule="auto"/>
        <w:jc w:val="center"/>
        <w:rPr>
          <w:rFonts w:ascii="宋体" w:hAnsi="宋体" w:cs="宋体"/>
          <w:b/>
          <w:sz w:val="48"/>
          <w:szCs w:val="48"/>
        </w:rPr>
      </w:pPr>
    </w:p>
    <w:p w14:paraId="06EB9FD7">
      <w:pPr>
        <w:spacing w:line="360" w:lineRule="auto"/>
        <w:jc w:val="center"/>
        <w:rPr>
          <w:rFonts w:ascii="宋体" w:hAnsi="宋体" w:cs="宋体"/>
          <w:b/>
          <w:sz w:val="48"/>
          <w:szCs w:val="48"/>
        </w:rPr>
      </w:pPr>
    </w:p>
    <w:p w14:paraId="55AF9C01">
      <w:pPr>
        <w:spacing w:line="360" w:lineRule="auto"/>
        <w:jc w:val="center"/>
        <w:rPr>
          <w:rFonts w:ascii="宋体" w:hAnsi="宋体" w:cs="宋体"/>
          <w:b/>
          <w:sz w:val="48"/>
          <w:szCs w:val="48"/>
        </w:rPr>
      </w:pPr>
      <w:r>
        <w:rPr>
          <w:rFonts w:hint="eastAsia" w:ascii="宋体" w:hAnsi="宋体" w:cs="宋体"/>
          <w:b/>
          <w:sz w:val="48"/>
          <w:szCs w:val="48"/>
        </w:rPr>
        <w:t>目录</w:t>
      </w:r>
    </w:p>
    <w:p w14:paraId="26558B35">
      <w:pPr>
        <w:spacing w:beforeLines="150" w:afterLines="150" w:line="300" w:lineRule="auto"/>
        <w:ind w:firstLine="2168" w:firstLineChars="600"/>
        <w:rPr>
          <w:rFonts w:ascii="宋体" w:hAnsi="宋体" w:cs="宋体"/>
          <w:b/>
          <w:bCs/>
          <w:sz w:val="36"/>
          <w:szCs w:val="36"/>
        </w:rPr>
      </w:pPr>
      <w:r>
        <w:rPr>
          <w:rFonts w:hint="eastAsia" w:ascii="宋体" w:hAnsi="宋体" w:cs="宋体"/>
          <w:b/>
          <w:bCs/>
          <w:sz w:val="36"/>
          <w:szCs w:val="36"/>
        </w:rPr>
        <w:t>第一部分      招标公告</w:t>
      </w:r>
    </w:p>
    <w:p w14:paraId="7B1C3326">
      <w:pPr>
        <w:spacing w:beforeLines="150" w:afterLines="150" w:line="300" w:lineRule="auto"/>
        <w:ind w:firstLine="2168" w:firstLineChars="600"/>
        <w:rPr>
          <w:rFonts w:ascii="宋体" w:hAnsi="宋体" w:cs="宋体"/>
          <w:b/>
          <w:bCs/>
          <w:sz w:val="36"/>
          <w:szCs w:val="36"/>
        </w:rPr>
      </w:pPr>
      <w:r>
        <w:rPr>
          <w:rFonts w:hint="eastAsia" w:ascii="宋体" w:hAnsi="宋体" w:cs="宋体"/>
          <w:b/>
          <w:bCs/>
          <w:sz w:val="36"/>
          <w:szCs w:val="36"/>
        </w:rPr>
        <w:t>第二部分      投标人须知</w:t>
      </w:r>
    </w:p>
    <w:p w14:paraId="135CD66F">
      <w:pPr>
        <w:spacing w:beforeLines="150" w:afterLines="150" w:line="300" w:lineRule="auto"/>
        <w:ind w:firstLine="2168" w:firstLineChars="600"/>
        <w:rPr>
          <w:rFonts w:ascii="宋体" w:hAnsi="宋体" w:cs="宋体"/>
          <w:b/>
          <w:bCs/>
          <w:sz w:val="36"/>
          <w:szCs w:val="36"/>
        </w:rPr>
      </w:pPr>
      <w:r>
        <w:rPr>
          <w:rFonts w:hint="eastAsia" w:ascii="宋体" w:hAnsi="宋体" w:cs="宋体"/>
          <w:b/>
          <w:bCs/>
          <w:sz w:val="36"/>
          <w:szCs w:val="36"/>
        </w:rPr>
        <w:t>第三部分      采购需求</w:t>
      </w:r>
    </w:p>
    <w:p w14:paraId="25908928">
      <w:pPr>
        <w:spacing w:beforeLines="150" w:afterLines="150" w:line="300" w:lineRule="auto"/>
        <w:ind w:firstLine="2168" w:firstLineChars="600"/>
        <w:rPr>
          <w:rFonts w:ascii="宋体" w:hAnsi="宋体" w:cs="宋体"/>
          <w:b/>
          <w:bCs/>
          <w:sz w:val="36"/>
          <w:szCs w:val="36"/>
        </w:rPr>
      </w:pPr>
      <w:r>
        <w:rPr>
          <w:rFonts w:hint="eastAsia" w:ascii="宋体" w:hAnsi="宋体" w:cs="宋体"/>
          <w:b/>
          <w:bCs/>
          <w:sz w:val="36"/>
          <w:szCs w:val="36"/>
        </w:rPr>
        <w:t>第四部分      评标办法</w:t>
      </w:r>
    </w:p>
    <w:p w14:paraId="404ABE38">
      <w:pPr>
        <w:spacing w:beforeLines="150" w:afterLines="150" w:line="300" w:lineRule="auto"/>
        <w:ind w:firstLine="2168" w:firstLineChars="600"/>
        <w:rPr>
          <w:rFonts w:ascii="宋体" w:hAnsi="宋体" w:cs="宋体"/>
          <w:b/>
          <w:bCs/>
          <w:sz w:val="36"/>
          <w:szCs w:val="36"/>
        </w:rPr>
      </w:pPr>
      <w:r>
        <w:rPr>
          <w:rFonts w:hint="eastAsia" w:ascii="宋体" w:hAnsi="宋体" w:cs="宋体"/>
          <w:b/>
          <w:bCs/>
          <w:sz w:val="36"/>
          <w:szCs w:val="36"/>
        </w:rPr>
        <w:t>第五部分      拟签订的合同文本</w:t>
      </w:r>
    </w:p>
    <w:p w14:paraId="3B46A310">
      <w:pPr>
        <w:spacing w:beforeLines="150" w:afterLines="150" w:line="300" w:lineRule="auto"/>
        <w:ind w:firstLine="2168" w:firstLineChars="600"/>
        <w:rPr>
          <w:rFonts w:ascii="宋体" w:hAnsi="宋体" w:cs="宋体"/>
          <w:b/>
          <w:bCs/>
          <w:sz w:val="36"/>
          <w:szCs w:val="36"/>
        </w:rPr>
      </w:pPr>
      <w:r>
        <w:rPr>
          <w:rFonts w:hint="eastAsia" w:ascii="宋体" w:hAnsi="宋体" w:cs="宋体"/>
          <w:b/>
          <w:bCs/>
          <w:sz w:val="36"/>
          <w:szCs w:val="36"/>
        </w:rPr>
        <w:t>第六部分      应提交的有关格式范例</w:t>
      </w:r>
    </w:p>
    <w:p w14:paraId="0D0F0FF8">
      <w:pPr>
        <w:spacing w:line="360" w:lineRule="auto"/>
        <w:ind w:firstLine="644" w:firstLineChars="229"/>
        <w:jc w:val="center"/>
        <w:rPr>
          <w:rFonts w:ascii="宋体" w:hAnsi="宋体" w:cs="宋体"/>
          <w:b/>
          <w:sz w:val="28"/>
          <w:szCs w:val="28"/>
        </w:rPr>
      </w:pPr>
      <w:bookmarkStart w:id="0" w:name="_Hlt91233176"/>
      <w:bookmarkEnd w:id="0"/>
      <w:bookmarkStart w:id="1" w:name="_Toc91899869"/>
    </w:p>
    <w:p w14:paraId="2DF7A43B">
      <w:pPr>
        <w:spacing w:line="360" w:lineRule="auto"/>
        <w:ind w:firstLine="549" w:firstLineChars="229"/>
        <w:rPr>
          <w:rFonts w:ascii="宋体" w:hAnsi="宋体" w:cs="宋体"/>
          <w:sz w:val="24"/>
        </w:rPr>
      </w:pPr>
    </w:p>
    <w:p w14:paraId="1F9A58DD">
      <w:pPr>
        <w:spacing w:line="360" w:lineRule="auto"/>
        <w:ind w:firstLine="549" w:firstLineChars="229"/>
        <w:rPr>
          <w:rFonts w:ascii="宋体" w:hAnsi="宋体" w:cs="宋体"/>
          <w:sz w:val="24"/>
        </w:rPr>
      </w:pPr>
    </w:p>
    <w:p w14:paraId="3ED0733C">
      <w:pPr>
        <w:spacing w:line="360" w:lineRule="auto"/>
        <w:ind w:firstLine="549" w:firstLineChars="229"/>
        <w:rPr>
          <w:rFonts w:ascii="宋体" w:hAnsi="宋体" w:cs="宋体"/>
          <w:sz w:val="24"/>
        </w:rPr>
      </w:pPr>
    </w:p>
    <w:p w14:paraId="4EFC774B">
      <w:pPr>
        <w:spacing w:line="360" w:lineRule="auto"/>
        <w:ind w:firstLine="549" w:firstLineChars="229"/>
        <w:rPr>
          <w:rFonts w:ascii="宋体" w:hAnsi="宋体" w:cs="宋体"/>
          <w:sz w:val="24"/>
        </w:rPr>
      </w:pPr>
    </w:p>
    <w:p w14:paraId="7FFD778D">
      <w:pPr>
        <w:spacing w:line="360" w:lineRule="auto"/>
        <w:ind w:firstLine="549" w:firstLineChars="229"/>
        <w:rPr>
          <w:rFonts w:ascii="宋体" w:hAnsi="宋体" w:cs="宋体"/>
          <w:sz w:val="24"/>
        </w:rPr>
      </w:pPr>
    </w:p>
    <w:p w14:paraId="4E67B61B">
      <w:pPr>
        <w:spacing w:line="360" w:lineRule="auto"/>
        <w:ind w:firstLine="549" w:firstLineChars="229"/>
        <w:rPr>
          <w:rFonts w:ascii="宋体" w:hAnsi="宋体" w:cs="宋体"/>
          <w:sz w:val="24"/>
        </w:rPr>
      </w:pPr>
    </w:p>
    <w:p w14:paraId="74B0C61A">
      <w:pPr>
        <w:spacing w:line="360" w:lineRule="auto"/>
        <w:ind w:firstLine="549" w:firstLineChars="229"/>
        <w:rPr>
          <w:rFonts w:ascii="宋体" w:hAnsi="宋体" w:cs="宋体"/>
          <w:sz w:val="24"/>
        </w:rPr>
      </w:pPr>
    </w:p>
    <w:p w14:paraId="513DD52F">
      <w:pPr>
        <w:spacing w:line="360" w:lineRule="auto"/>
        <w:ind w:firstLine="549" w:firstLineChars="229"/>
        <w:rPr>
          <w:rFonts w:ascii="宋体" w:hAnsi="宋体" w:cs="宋体"/>
          <w:sz w:val="24"/>
        </w:rPr>
      </w:pPr>
    </w:p>
    <w:bookmarkEnd w:id="1"/>
    <w:p w14:paraId="0705DAB9">
      <w:pPr>
        <w:adjustRightInd/>
        <w:spacing w:line="360" w:lineRule="auto"/>
        <w:jc w:val="center"/>
        <w:outlineLvl w:val="0"/>
        <w:rPr>
          <w:rFonts w:ascii="宋体" w:hAnsi="宋体" w:cs="宋体"/>
          <w:b/>
          <w:sz w:val="36"/>
          <w:szCs w:val="20"/>
        </w:rPr>
        <w:sectPr>
          <w:footerReference r:id="rId9" w:type="default"/>
          <w:pgSz w:w="11906" w:h="16838"/>
          <w:pgMar w:top="873" w:right="1236" w:bottom="873" w:left="1236" w:header="624" w:footer="737" w:gutter="0"/>
          <w:cols w:space="720" w:num="1"/>
          <w:docGrid w:linePitch="312" w:charSpace="0"/>
        </w:sectPr>
      </w:pPr>
      <w:bookmarkStart w:id="2" w:name="_Hlt74729822"/>
      <w:bookmarkEnd w:id="2"/>
      <w:bookmarkStart w:id="3" w:name="_Hlt74707423"/>
      <w:bookmarkEnd w:id="3"/>
      <w:bookmarkStart w:id="4" w:name="_Hlt74728647"/>
      <w:bookmarkEnd w:id="4"/>
      <w:bookmarkStart w:id="5" w:name="_Hlt74649545"/>
      <w:bookmarkEnd w:id="5"/>
      <w:bookmarkStart w:id="6" w:name="_Toc91899870"/>
      <w:bookmarkStart w:id="7" w:name="第二部分"/>
      <w:bookmarkStart w:id="8" w:name="_Toc91899871"/>
    </w:p>
    <w:p w14:paraId="2191BE37">
      <w:pPr>
        <w:adjustRightInd/>
        <w:spacing w:line="360" w:lineRule="auto"/>
        <w:jc w:val="center"/>
        <w:outlineLvl w:val="0"/>
        <w:rPr>
          <w:rFonts w:ascii="宋体" w:hAnsi="宋体" w:cs="宋体"/>
          <w:b/>
          <w:kern w:val="44"/>
          <w:sz w:val="36"/>
          <w:szCs w:val="36"/>
        </w:rPr>
      </w:pPr>
      <w:r>
        <w:rPr>
          <w:rFonts w:hint="eastAsia" w:ascii="宋体" w:hAnsi="宋体" w:cs="宋体"/>
          <w:b/>
          <w:kern w:val="44"/>
          <w:sz w:val="36"/>
          <w:szCs w:val="36"/>
        </w:rPr>
        <w:t>第一部分 招标公告</w:t>
      </w:r>
    </w:p>
    <w:p w14:paraId="561746DA">
      <w:pPr>
        <w:pBdr>
          <w:top w:val="single" w:color="auto" w:sz="4" w:space="1"/>
          <w:left w:val="single" w:color="auto" w:sz="4" w:space="4"/>
          <w:bottom w:val="single" w:color="auto" w:sz="4" w:space="1"/>
          <w:right w:val="single" w:color="auto" w:sz="4" w:space="4"/>
        </w:pBdr>
        <w:spacing w:line="360" w:lineRule="exact"/>
        <w:rPr>
          <w:rFonts w:ascii="宋体" w:hAnsi="宋体" w:cs="宋体"/>
          <w:b/>
          <w:bCs/>
          <w:sz w:val="24"/>
        </w:rPr>
      </w:pPr>
      <w:r>
        <w:rPr>
          <w:rFonts w:hint="eastAsia" w:ascii="宋体" w:hAnsi="宋体" w:cs="宋体"/>
          <w:b/>
          <w:bCs/>
          <w:sz w:val="24"/>
        </w:rPr>
        <w:t>项目概况</w:t>
      </w:r>
    </w:p>
    <w:p w14:paraId="2C3FC956">
      <w:pPr>
        <w:pBdr>
          <w:top w:val="single" w:color="auto" w:sz="4" w:space="1"/>
          <w:left w:val="single" w:color="auto" w:sz="4" w:space="4"/>
          <w:bottom w:val="single" w:color="auto" w:sz="4" w:space="1"/>
          <w:right w:val="single" w:color="auto" w:sz="4" w:space="4"/>
        </w:pBdr>
        <w:spacing w:line="360" w:lineRule="exact"/>
        <w:ind w:firstLine="480" w:firstLineChars="200"/>
        <w:rPr>
          <w:rFonts w:ascii="宋体" w:hAnsi="宋体" w:cs="宋体"/>
          <w:sz w:val="24"/>
          <w:u w:val="single"/>
        </w:rPr>
      </w:pPr>
      <w:r>
        <w:rPr>
          <w:rFonts w:hint="eastAsia" w:ascii="宋体" w:hAnsi="宋体" w:cs="宋体"/>
          <w:sz w:val="24"/>
          <w:u w:val="single"/>
        </w:rPr>
        <w:t>诸暨市基层应急消防保障点提质升级设备采购项目</w:t>
      </w:r>
      <w:r>
        <w:rPr>
          <w:rFonts w:hint="eastAsia" w:ascii="宋体" w:hAnsi="宋体" w:cs="宋体"/>
          <w:sz w:val="24"/>
        </w:rPr>
        <w:t>的潜在投标人应在</w:t>
      </w:r>
      <w:r>
        <w:rPr>
          <w:rFonts w:hint="eastAsia" w:ascii="宋体" w:hAnsi="宋体" w:cs="宋体"/>
          <w:sz w:val="24"/>
          <w:u w:val="single"/>
        </w:rPr>
        <w:t>政府采购云平台</w:t>
      </w:r>
      <w:r>
        <w:rPr>
          <w:rFonts w:hint="eastAsia" w:ascii="宋体" w:hAnsi="宋体" w:cs="宋体"/>
          <w:sz w:val="24"/>
        </w:rPr>
        <w:t>（https://www.zcygov.cn/）</w:t>
      </w:r>
      <w:r>
        <w:fldChar w:fldCharType="begin"/>
      </w:r>
      <w:r>
        <w:instrText xml:space="preserve"> HYPERLINK "https://www.zcygov.cn/）获取（下载）招标文件，并于2021年" </w:instrText>
      </w:r>
      <w:r>
        <w:fldChar w:fldCharType="separate"/>
      </w:r>
      <w:r>
        <w:rPr>
          <w:rFonts w:hint="eastAsia" w:ascii="宋体" w:hAnsi="宋体" w:cs="宋体"/>
          <w:sz w:val="24"/>
        </w:rPr>
        <w:t>获取（下载）招标文件，</w:t>
      </w:r>
      <w:r>
        <w:rPr>
          <w:rStyle w:val="78"/>
          <w:rFonts w:hint="eastAsia" w:ascii="宋体" w:hAnsi="宋体" w:eastAsia="宋体" w:cs="宋体"/>
          <w:snapToGrid/>
          <w:color w:val="auto"/>
          <w:kern w:val="2"/>
          <w:sz w:val="24"/>
        </w:rPr>
        <w:t>并于</w:t>
      </w:r>
      <w:r>
        <w:rPr>
          <w:rFonts w:hint="eastAsia" w:ascii="宋体" w:hAnsi="宋体" w:cs="宋体"/>
          <w:sz w:val="24"/>
          <w:u w:val="single"/>
        </w:rPr>
        <w:t>2026年6月12日9点30 分</w:t>
      </w:r>
      <w:r>
        <w:rPr>
          <w:rFonts w:hint="eastAsia" w:ascii="宋体" w:hAnsi="宋体" w:cs="宋体"/>
          <w:bCs/>
          <w:sz w:val="24"/>
          <w:u w:val="single"/>
        </w:rPr>
        <w:t>00秒</w:t>
      </w:r>
      <w:r>
        <w:rPr>
          <w:rFonts w:hint="eastAsia" w:ascii="宋体" w:hAnsi="宋体" w:cs="宋体"/>
          <w:bCs/>
          <w:sz w:val="24"/>
          <w:u w:val="single"/>
        </w:rPr>
        <w:fldChar w:fldCharType="end"/>
      </w:r>
      <w:r>
        <w:rPr>
          <w:rFonts w:hint="eastAsia" w:ascii="宋体" w:hAnsi="宋体" w:cs="宋体"/>
          <w:bCs/>
          <w:sz w:val="24"/>
        </w:rPr>
        <w:t>（北京时间）前</w:t>
      </w:r>
      <w:r>
        <w:rPr>
          <w:rFonts w:hint="eastAsia" w:ascii="宋体" w:hAnsi="宋体" w:cs="宋体"/>
          <w:sz w:val="24"/>
        </w:rPr>
        <w:t>递交（上传）投标文件。</w:t>
      </w:r>
    </w:p>
    <w:p w14:paraId="10CB88D8">
      <w:pPr>
        <w:spacing w:line="288" w:lineRule="auto"/>
        <w:rPr>
          <w:rFonts w:ascii="宋体" w:hAnsi="宋体" w:cs="宋体"/>
          <w:b/>
          <w:sz w:val="24"/>
        </w:rPr>
      </w:pPr>
      <w:r>
        <w:rPr>
          <w:rFonts w:hint="eastAsia" w:ascii="宋体" w:hAnsi="宋体" w:cs="宋体"/>
          <w:b/>
          <w:sz w:val="24"/>
        </w:rPr>
        <w:t xml:space="preserve">一、项目基本情况                                            </w:t>
      </w:r>
    </w:p>
    <w:p w14:paraId="75E0738C">
      <w:pPr>
        <w:spacing w:line="288" w:lineRule="auto"/>
        <w:ind w:firstLine="482" w:firstLineChars="200"/>
        <w:rPr>
          <w:rFonts w:ascii="宋体" w:hAnsi="宋体" w:cs="宋体"/>
          <w:bCs/>
          <w:sz w:val="24"/>
        </w:rPr>
      </w:pPr>
      <w:r>
        <w:rPr>
          <w:rFonts w:hint="eastAsia" w:ascii="宋体" w:hAnsi="宋体" w:cs="宋体"/>
          <w:b/>
          <w:sz w:val="24"/>
        </w:rPr>
        <w:t>项目编号：</w:t>
      </w:r>
      <w:r>
        <w:rPr>
          <w:rFonts w:hint="eastAsia" w:ascii="宋体" w:hAnsi="宋体" w:cs="宋体"/>
          <w:bCs/>
          <w:sz w:val="24"/>
        </w:rPr>
        <w:t>330681261610010000007-诸正开2026-05-17</w:t>
      </w:r>
    </w:p>
    <w:p w14:paraId="12CEE2E6">
      <w:pPr>
        <w:spacing w:line="288" w:lineRule="auto"/>
        <w:ind w:firstLine="482" w:firstLineChars="200"/>
        <w:rPr>
          <w:rFonts w:ascii="宋体" w:hAnsi="宋体" w:cs="宋体"/>
          <w:bCs/>
          <w:sz w:val="24"/>
        </w:rPr>
      </w:pPr>
      <w:r>
        <w:rPr>
          <w:rFonts w:hint="eastAsia" w:ascii="宋体" w:hAnsi="宋体" w:cs="宋体"/>
          <w:b/>
          <w:sz w:val="24"/>
        </w:rPr>
        <w:t>项目名称：</w:t>
      </w:r>
      <w:r>
        <w:rPr>
          <w:rFonts w:hint="eastAsia" w:ascii="宋体" w:hAnsi="宋体" w:cs="宋体"/>
          <w:bCs/>
          <w:sz w:val="24"/>
        </w:rPr>
        <w:t>诸暨市基层应急消防保障点提质升级设备采购项目</w:t>
      </w:r>
    </w:p>
    <w:p w14:paraId="24084F28">
      <w:pPr>
        <w:spacing w:line="288" w:lineRule="auto"/>
        <w:ind w:firstLine="482" w:firstLineChars="200"/>
        <w:rPr>
          <w:rFonts w:ascii="宋体" w:hAnsi="宋体" w:cs="宋体"/>
          <w:bCs/>
          <w:sz w:val="24"/>
        </w:rPr>
      </w:pPr>
      <w:r>
        <w:rPr>
          <w:rFonts w:hint="eastAsia" w:ascii="宋体" w:hAnsi="宋体" w:cs="宋体"/>
          <w:b/>
          <w:sz w:val="24"/>
        </w:rPr>
        <w:t>预算金额（元）：</w:t>
      </w:r>
      <w:r>
        <w:rPr>
          <w:rFonts w:hint="eastAsia" w:ascii="宋体" w:hAnsi="宋体" w:cs="宋体"/>
          <w:bCs/>
          <w:sz w:val="24"/>
        </w:rPr>
        <w:t>3001040.00</w:t>
      </w:r>
    </w:p>
    <w:p w14:paraId="1C1A7C8E">
      <w:pPr>
        <w:spacing w:line="288" w:lineRule="auto"/>
        <w:ind w:firstLine="482" w:firstLineChars="200"/>
        <w:rPr>
          <w:rFonts w:ascii="宋体" w:hAnsi="宋体" w:cs="宋体"/>
          <w:bCs/>
          <w:sz w:val="24"/>
        </w:rPr>
      </w:pPr>
      <w:r>
        <w:rPr>
          <w:rFonts w:hint="eastAsia" w:ascii="宋体" w:hAnsi="宋体" w:cs="宋体"/>
          <w:b/>
          <w:sz w:val="24"/>
        </w:rPr>
        <w:t>最高限价（元）：</w:t>
      </w:r>
      <w:r>
        <w:rPr>
          <w:rFonts w:hint="eastAsia" w:ascii="宋体" w:hAnsi="宋体" w:cs="宋体"/>
          <w:bCs/>
          <w:sz w:val="24"/>
        </w:rPr>
        <w:t>2921600.00</w:t>
      </w:r>
    </w:p>
    <w:p w14:paraId="19259182">
      <w:pPr>
        <w:widowControl/>
        <w:spacing w:line="288" w:lineRule="auto"/>
        <w:ind w:firstLine="482" w:firstLineChars="200"/>
        <w:jc w:val="left"/>
        <w:rPr>
          <w:rFonts w:ascii="宋体" w:hAnsi="宋体" w:cs="宋体"/>
          <w:bCs/>
          <w:sz w:val="24"/>
        </w:rPr>
      </w:pPr>
      <w:r>
        <w:rPr>
          <w:rFonts w:hint="eastAsia" w:ascii="宋体" w:hAnsi="宋体" w:cs="宋体"/>
          <w:b/>
          <w:sz w:val="24"/>
        </w:rPr>
        <w:t>采购需求：</w:t>
      </w:r>
      <w:r>
        <w:rPr>
          <w:rFonts w:hint="eastAsia" w:ascii="宋体" w:hAnsi="宋体" w:cs="宋体"/>
          <w:bCs/>
          <w:sz w:val="24"/>
        </w:rPr>
        <w:t>诸暨市基层应急消防保障点提质升级设备采购项目 ，采购预算金额为300.104万元，具体内容详见采购需求。</w:t>
      </w:r>
    </w:p>
    <w:p w14:paraId="07339E92">
      <w:pPr>
        <w:widowControl/>
        <w:spacing w:line="288" w:lineRule="auto"/>
        <w:ind w:firstLine="482" w:firstLineChars="200"/>
        <w:jc w:val="left"/>
        <w:rPr>
          <w:rFonts w:ascii="宋体" w:hAnsi="宋体" w:cs="宋体"/>
          <w:sz w:val="24"/>
        </w:rPr>
      </w:pPr>
      <w:r>
        <w:rPr>
          <w:rFonts w:hint="eastAsia" w:ascii="宋体" w:hAnsi="宋体" w:cs="宋体"/>
          <w:b/>
          <w:sz w:val="24"/>
        </w:rPr>
        <w:t>合同履约期限</w:t>
      </w:r>
      <w:r>
        <w:rPr>
          <w:rFonts w:hint="eastAsia" w:ascii="宋体" w:hAnsi="宋体" w:cs="宋体"/>
          <w:bCs/>
          <w:sz w:val="24"/>
        </w:rPr>
        <w:t>：</w:t>
      </w:r>
      <w:r>
        <w:rPr>
          <w:rFonts w:hint="eastAsia" w:ascii="宋体" w:hAnsi="宋体" w:cs="宋体"/>
          <w:sz w:val="24"/>
        </w:rPr>
        <w:t>详见采购需求。</w:t>
      </w:r>
    </w:p>
    <w:p w14:paraId="40F8D711">
      <w:pPr>
        <w:pStyle w:val="15"/>
        <w:spacing w:line="288" w:lineRule="auto"/>
        <w:ind w:firstLine="480"/>
        <w:rPr>
          <w:rFonts w:hAnsi="宋体" w:cs="宋体"/>
          <w:b/>
          <w:sz w:val="24"/>
        </w:rPr>
      </w:pPr>
      <w:r>
        <w:rPr>
          <w:rFonts w:hint="eastAsia" w:hAnsi="宋体" w:cs="宋体"/>
          <w:b/>
          <w:color w:val="auto"/>
          <w:sz w:val="24"/>
        </w:rPr>
        <w:t>本项目接受联合体投标：</w:t>
      </w:r>
      <w:r>
        <w:rPr>
          <w:rFonts w:hint="eastAsia" w:hAnsi="宋体" w:cs="宋体"/>
          <w:color w:val="auto"/>
          <w:kern w:val="0"/>
          <w:sz w:val="24"/>
          <w:szCs w:val="24"/>
        </w:rPr>
        <w:sym w:font="Wingdings" w:char="00FE"/>
      </w:r>
      <w:r>
        <w:rPr>
          <w:rFonts w:hint="eastAsia" w:hAnsi="宋体" w:cs="宋体"/>
          <w:b/>
          <w:color w:val="auto"/>
          <w:sz w:val="24"/>
        </w:rPr>
        <w:t>是，</w:t>
      </w:r>
      <w:r>
        <w:rPr>
          <w:rFonts w:hint="eastAsia" w:hAnsi="宋体" w:cs="宋体"/>
          <w:color w:val="auto"/>
          <w:kern w:val="0"/>
          <w:sz w:val="24"/>
          <w:szCs w:val="24"/>
        </w:rPr>
        <w:sym w:font="Wingdings" w:char="00A8"/>
      </w:r>
      <w:r>
        <w:rPr>
          <w:rFonts w:hint="eastAsia" w:hAnsi="宋体" w:cs="宋体"/>
          <w:b/>
          <w:color w:val="auto"/>
          <w:sz w:val="24"/>
        </w:rPr>
        <w:t>否</w:t>
      </w:r>
      <w:r>
        <w:rPr>
          <w:rFonts w:hint="eastAsia" w:hAnsi="宋体" w:cs="宋体"/>
          <w:color w:val="auto"/>
          <w:kern w:val="0"/>
          <w:sz w:val="24"/>
        </w:rPr>
        <w:t>。</w:t>
      </w:r>
    </w:p>
    <w:p w14:paraId="54E854F5">
      <w:pPr>
        <w:spacing w:line="288" w:lineRule="auto"/>
        <w:rPr>
          <w:rFonts w:ascii="宋体" w:hAnsi="宋体" w:cs="宋体"/>
          <w:b/>
          <w:sz w:val="24"/>
        </w:rPr>
      </w:pPr>
      <w:r>
        <w:rPr>
          <w:rFonts w:hint="eastAsia" w:ascii="宋体" w:hAnsi="宋体" w:cs="宋体"/>
          <w:b/>
          <w:sz w:val="24"/>
        </w:rPr>
        <w:t>二、申请人的资格要求：</w:t>
      </w:r>
    </w:p>
    <w:p w14:paraId="6B53E7DA">
      <w:pPr>
        <w:spacing w:line="288" w:lineRule="auto"/>
        <w:ind w:firstLine="480" w:firstLineChars="200"/>
        <w:rPr>
          <w:rFonts w:ascii="宋体" w:hAnsi="宋体" w:cs="宋体"/>
          <w:sz w:val="24"/>
        </w:rPr>
      </w:pPr>
      <w:r>
        <w:rPr>
          <w:rFonts w:hint="eastAsia" w:ascii="宋体" w:hAnsi="宋体" w:cs="宋体"/>
          <w:sz w:val="24"/>
        </w:rPr>
        <w:t>1、符合《中华人民共和国政府采购法》第二十二条之供应商资格规定；</w:t>
      </w:r>
    </w:p>
    <w:p w14:paraId="215DDE22">
      <w:pPr>
        <w:spacing w:line="288" w:lineRule="auto"/>
        <w:ind w:firstLine="480" w:firstLineChars="200"/>
        <w:rPr>
          <w:rFonts w:ascii="宋体" w:hAnsi="宋体" w:cs="宋体"/>
          <w:sz w:val="24"/>
        </w:rPr>
      </w:pPr>
      <w:r>
        <w:rPr>
          <w:rFonts w:hint="eastAsia" w:ascii="宋体" w:hAnsi="宋体" w:cs="宋体"/>
          <w:sz w:val="24"/>
        </w:rPr>
        <w:t>2、未被“信用中国”（www.creditchina.gov.cn）、中国政府采购网（www.ccgp.gov.cn）列入失信被执行人、重大税收违法失信主体、政府采购严重违法失信行为记录名单；</w:t>
      </w:r>
    </w:p>
    <w:p w14:paraId="0DC78D93">
      <w:pPr>
        <w:spacing w:line="288" w:lineRule="auto"/>
        <w:ind w:firstLine="480" w:firstLineChars="200"/>
        <w:rPr>
          <w:rFonts w:ascii="宋体" w:hAnsi="宋体" w:cs="宋体"/>
          <w:sz w:val="24"/>
        </w:rPr>
      </w:pPr>
      <w:r>
        <w:rPr>
          <w:rFonts w:hint="eastAsia" w:ascii="宋体" w:hAnsi="宋体" w:cs="宋体"/>
          <w:sz w:val="24"/>
        </w:rPr>
        <w:t>3、落实政府采购政策需满足的资格要求：该项目已预留份额给中小企业，预留预算总额的40%以上专门面向中小企业采购。要求供应商以联合体形式参加采购活动，合同总额的40%以上须由联合体中享受中小企业扶持政策的企业承担，提供联合协议和中小企业声明函;如果供应商自身享受中小企业扶持政策，则无需组成联合体参加本次政府采购活动，无需提供联合协议；</w:t>
      </w:r>
    </w:p>
    <w:p w14:paraId="1CD8333F">
      <w:pPr>
        <w:spacing w:line="288" w:lineRule="auto"/>
        <w:ind w:firstLine="480" w:firstLineChars="200"/>
        <w:rPr>
          <w:rFonts w:ascii="宋体" w:hAnsi="宋体" w:cs="宋体"/>
          <w:sz w:val="24"/>
        </w:rPr>
      </w:pPr>
      <w:r>
        <w:rPr>
          <w:rFonts w:hint="eastAsia" w:ascii="宋体" w:hAnsi="宋体" w:cs="宋体"/>
          <w:sz w:val="24"/>
        </w:rPr>
        <w:t>4、本项目的特定资格要求：无。</w:t>
      </w:r>
    </w:p>
    <w:p w14:paraId="66E89247">
      <w:pPr>
        <w:spacing w:line="288" w:lineRule="auto"/>
        <w:ind w:firstLine="480" w:firstLineChars="200"/>
        <w:rPr>
          <w:rFonts w:ascii="宋体" w:hAnsi="宋体" w:cs="宋体"/>
          <w:kern w:val="0"/>
          <w:sz w:val="24"/>
        </w:rPr>
      </w:pPr>
      <w:r>
        <w:rPr>
          <w:rFonts w:hint="eastAsia" w:ascii="宋体" w:hAnsi="宋体" w:cs="宋体"/>
          <w:sz w:val="24"/>
        </w:rPr>
        <w:t>5、本项目接受联合体投标。</w:t>
      </w:r>
    </w:p>
    <w:p w14:paraId="378AFFFE">
      <w:pPr>
        <w:spacing w:line="288" w:lineRule="auto"/>
        <w:rPr>
          <w:rFonts w:ascii="宋体" w:hAnsi="宋体" w:cs="宋体"/>
          <w:b/>
          <w:sz w:val="24"/>
        </w:rPr>
      </w:pPr>
      <w:r>
        <w:rPr>
          <w:rFonts w:hint="eastAsia" w:ascii="宋体" w:hAnsi="宋体" w:cs="宋体"/>
          <w:b/>
          <w:sz w:val="24"/>
        </w:rPr>
        <w:t xml:space="preserve">三、获取招标文件 </w:t>
      </w:r>
    </w:p>
    <w:p w14:paraId="73EC71DF">
      <w:pPr>
        <w:pStyle w:val="34"/>
        <w:spacing w:line="288" w:lineRule="auto"/>
        <w:ind w:firstLine="482" w:firstLineChars="200"/>
        <w:rPr>
          <w:rFonts w:hAnsi="宋体" w:cs="宋体"/>
          <w:sz w:val="24"/>
        </w:rPr>
      </w:pPr>
      <w:r>
        <w:rPr>
          <w:rFonts w:hint="eastAsia" w:hAnsi="宋体" w:cs="宋体"/>
          <w:b/>
          <w:sz w:val="24"/>
        </w:rPr>
        <w:t>时间：</w:t>
      </w:r>
      <w:r>
        <w:rPr>
          <w:rFonts w:hint="eastAsia" w:hAnsi="宋体" w:cs="宋体"/>
          <w:bCs/>
          <w:sz w:val="24"/>
          <w:u w:val="single"/>
        </w:rPr>
        <w:t xml:space="preserve"> /</w:t>
      </w:r>
      <w:r>
        <w:rPr>
          <w:rFonts w:hint="eastAsia" w:hAnsi="宋体" w:cs="宋体"/>
          <w:sz w:val="24"/>
        </w:rPr>
        <w:t>至</w:t>
      </w:r>
      <w:r>
        <w:rPr>
          <w:rFonts w:hint="eastAsia" w:hAnsi="宋体" w:cs="宋体"/>
          <w:sz w:val="24"/>
          <w:u w:val="single"/>
        </w:rPr>
        <w:t>2026年6</w:t>
      </w:r>
      <w:r>
        <w:rPr>
          <w:rFonts w:hint="eastAsia" w:hAnsi="宋体" w:cs="宋体"/>
          <w:bCs/>
          <w:sz w:val="24"/>
          <w:u w:val="single"/>
        </w:rPr>
        <w:t>月12</w:t>
      </w:r>
      <w:r>
        <w:rPr>
          <w:rFonts w:hint="eastAsia" w:hAnsi="宋体" w:cs="宋体"/>
          <w:sz w:val="24"/>
          <w:u w:val="single"/>
        </w:rPr>
        <w:t>日</w:t>
      </w:r>
      <w:r>
        <w:rPr>
          <w:rFonts w:hint="eastAsia" w:hAnsi="宋体" w:cs="宋体"/>
          <w:sz w:val="24"/>
        </w:rPr>
        <w:t>，每天上午</w:t>
      </w:r>
      <w:r>
        <w:rPr>
          <w:rFonts w:hint="eastAsia" w:hAnsi="宋体" w:cs="宋体"/>
          <w:sz w:val="24"/>
          <w:u w:val="single"/>
        </w:rPr>
        <w:t>00:00</w:t>
      </w:r>
      <w:r>
        <w:rPr>
          <w:rFonts w:hint="eastAsia" w:hAnsi="宋体" w:cs="宋体"/>
          <w:sz w:val="24"/>
        </w:rPr>
        <w:t>至</w:t>
      </w:r>
      <w:r>
        <w:rPr>
          <w:rFonts w:hint="eastAsia" w:hAnsi="宋体" w:cs="宋体"/>
          <w:sz w:val="24"/>
          <w:u w:val="single"/>
        </w:rPr>
        <w:t xml:space="preserve">12:00 </w:t>
      </w:r>
      <w:r>
        <w:rPr>
          <w:rFonts w:hint="eastAsia" w:hAnsi="宋体" w:cs="宋体"/>
          <w:sz w:val="24"/>
        </w:rPr>
        <w:t>，下午</w:t>
      </w:r>
      <w:r>
        <w:rPr>
          <w:rFonts w:hint="eastAsia" w:hAnsi="宋体" w:cs="宋体"/>
          <w:sz w:val="24"/>
          <w:u w:val="single"/>
        </w:rPr>
        <w:t>12:00</w:t>
      </w:r>
      <w:r>
        <w:rPr>
          <w:rFonts w:hint="eastAsia" w:hAnsi="宋体" w:cs="宋体"/>
          <w:sz w:val="24"/>
        </w:rPr>
        <w:t>至</w:t>
      </w:r>
      <w:r>
        <w:rPr>
          <w:rFonts w:hint="eastAsia" w:hAnsi="宋体" w:cs="宋体"/>
          <w:sz w:val="24"/>
          <w:u w:val="single"/>
        </w:rPr>
        <w:t>23:59</w:t>
      </w:r>
      <w:r>
        <w:rPr>
          <w:rFonts w:hint="eastAsia" w:hAnsi="宋体" w:cs="宋体"/>
          <w:sz w:val="24"/>
        </w:rPr>
        <w:t>（北京时间，线上获取法定节假日均可）。</w:t>
      </w:r>
    </w:p>
    <w:p w14:paraId="33533D04">
      <w:pPr>
        <w:spacing w:line="288" w:lineRule="auto"/>
        <w:ind w:firstLine="482" w:firstLineChars="200"/>
        <w:rPr>
          <w:rFonts w:ascii="宋体" w:hAnsi="宋体" w:cs="宋体"/>
          <w:snapToGrid w:val="0"/>
          <w:sz w:val="24"/>
          <w:szCs w:val="21"/>
        </w:rPr>
      </w:pPr>
      <w:r>
        <w:rPr>
          <w:rFonts w:hint="eastAsia" w:ascii="宋体" w:hAnsi="宋体" w:cs="宋体"/>
          <w:b/>
          <w:sz w:val="24"/>
        </w:rPr>
        <w:t>地点（网址）：</w:t>
      </w:r>
      <w:r>
        <w:rPr>
          <w:rFonts w:hint="eastAsia" w:ascii="宋体" w:hAnsi="宋体" w:cs="宋体"/>
          <w:snapToGrid w:val="0"/>
          <w:sz w:val="24"/>
          <w:szCs w:val="21"/>
        </w:rPr>
        <w:t>政采云平台（https://www.zcygov.cn/）</w:t>
      </w:r>
    </w:p>
    <w:p w14:paraId="5BC19A21">
      <w:pPr>
        <w:spacing w:line="288" w:lineRule="auto"/>
        <w:ind w:firstLine="482" w:firstLineChars="200"/>
        <w:rPr>
          <w:rFonts w:ascii="宋体" w:hAnsi="宋体" w:cs="宋体"/>
          <w:snapToGrid w:val="0"/>
          <w:sz w:val="24"/>
          <w:szCs w:val="21"/>
        </w:rPr>
      </w:pPr>
      <w:r>
        <w:rPr>
          <w:rFonts w:hint="eastAsia" w:ascii="宋体" w:hAnsi="宋体" w:cs="宋体"/>
          <w:b/>
          <w:sz w:val="24"/>
        </w:rPr>
        <w:t>方式：</w:t>
      </w:r>
      <w:r>
        <w:rPr>
          <w:rFonts w:hint="eastAsia" w:ascii="宋体" w:hAnsi="宋体" w:cs="宋体"/>
          <w:snapToGrid w:val="0"/>
          <w:sz w:val="24"/>
          <w:szCs w:val="21"/>
        </w:rPr>
        <w:t xml:space="preserve">供应商登录政采云平台https://www.zcygov.cn/在线申请获取采购文件（进入“项目采购”应用，在获取采购文件菜单中选择项目，申请获取采购文件）。 </w:t>
      </w:r>
    </w:p>
    <w:p w14:paraId="5D15CFAE">
      <w:pPr>
        <w:spacing w:line="288" w:lineRule="auto"/>
        <w:ind w:firstLine="482" w:firstLineChars="200"/>
        <w:rPr>
          <w:rFonts w:ascii="宋体" w:hAnsi="宋体" w:cs="宋体"/>
          <w:sz w:val="24"/>
        </w:rPr>
      </w:pPr>
      <w:r>
        <w:rPr>
          <w:rFonts w:hint="eastAsia" w:ascii="宋体" w:hAnsi="宋体" w:cs="宋体"/>
          <w:b/>
          <w:sz w:val="24"/>
        </w:rPr>
        <w:t>售价（元）：</w:t>
      </w:r>
      <w:r>
        <w:rPr>
          <w:rFonts w:hint="eastAsia" w:ascii="宋体" w:hAnsi="宋体" w:cs="宋体"/>
          <w:bCs/>
          <w:sz w:val="24"/>
        </w:rPr>
        <w:t>0</w:t>
      </w:r>
      <w:r>
        <w:rPr>
          <w:rFonts w:hint="eastAsia" w:ascii="宋体" w:hAnsi="宋体" w:cs="宋体"/>
          <w:snapToGrid w:val="0"/>
          <w:sz w:val="24"/>
          <w:szCs w:val="21"/>
        </w:rPr>
        <w:t>。</w:t>
      </w:r>
      <w:r>
        <w:rPr>
          <w:rFonts w:hint="eastAsia" w:ascii="宋体" w:hAnsi="宋体" w:cs="宋体"/>
          <w:sz w:val="24"/>
        </w:rPr>
        <w:tab/>
      </w:r>
    </w:p>
    <w:p w14:paraId="59A9D24C">
      <w:pPr>
        <w:spacing w:line="288" w:lineRule="auto"/>
        <w:rPr>
          <w:rFonts w:ascii="宋体" w:hAnsi="宋体" w:cs="宋体"/>
          <w:b/>
          <w:sz w:val="24"/>
        </w:rPr>
      </w:pPr>
      <w:r>
        <w:rPr>
          <w:rFonts w:hint="eastAsia" w:ascii="宋体" w:hAnsi="宋体" w:cs="宋体"/>
          <w:b/>
          <w:sz w:val="24"/>
        </w:rPr>
        <w:t>四、提交投标文件截止时间、开标时间和地点</w:t>
      </w:r>
    </w:p>
    <w:p w14:paraId="62F74F03">
      <w:pPr>
        <w:pStyle w:val="60"/>
        <w:adjustRightInd/>
        <w:spacing w:before="0" w:beforeAutospacing="0" w:after="0" w:afterAutospacing="0" w:line="288" w:lineRule="auto"/>
        <w:ind w:firstLine="480" w:firstLineChars="200"/>
        <w:rPr>
          <w:rFonts w:cs="宋体"/>
        </w:rPr>
      </w:pPr>
      <w:r>
        <w:rPr>
          <w:rFonts w:hint="eastAsia" w:cs="宋体"/>
        </w:rPr>
        <w:t>提交投标文件截止时间：</w:t>
      </w:r>
      <w:r>
        <w:rPr>
          <w:rFonts w:hint="eastAsia" w:cs="宋体"/>
          <w:u w:val="single"/>
        </w:rPr>
        <w:t>2026年6月12日9 点 30分</w:t>
      </w:r>
      <w:r>
        <w:rPr>
          <w:rFonts w:hint="eastAsia" w:cs="宋体"/>
        </w:rPr>
        <w:t>（北京时间）</w:t>
      </w:r>
    </w:p>
    <w:p w14:paraId="47CAFA34">
      <w:pPr>
        <w:pStyle w:val="60"/>
        <w:adjustRightInd/>
        <w:spacing w:before="0" w:beforeAutospacing="0" w:after="0" w:afterAutospacing="0" w:line="288" w:lineRule="auto"/>
        <w:ind w:firstLine="480" w:firstLineChars="200"/>
        <w:rPr>
          <w:rFonts w:cs="宋体"/>
        </w:rPr>
      </w:pPr>
      <w:r>
        <w:rPr>
          <w:rFonts w:hint="eastAsia" w:cs="宋体"/>
        </w:rPr>
        <w:t>投标地点（网址）：政府采购云平台（https://www.zcygov.cn/）</w:t>
      </w:r>
    </w:p>
    <w:p w14:paraId="1AA3959A">
      <w:pPr>
        <w:pStyle w:val="60"/>
        <w:adjustRightInd/>
        <w:spacing w:before="0" w:beforeAutospacing="0" w:after="0" w:afterAutospacing="0" w:line="288" w:lineRule="auto"/>
        <w:ind w:firstLine="480" w:firstLineChars="200"/>
        <w:rPr>
          <w:rFonts w:cs="宋体"/>
        </w:rPr>
      </w:pPr>
      <w:r>
        <w:rPr>
          <w:rFonts w:hint="eastAsia" w:cs="宋体"/>
        </w:rPr>
        <w:t>开标时间：</w:t>
      </w:r>
      <w:r>
        <w:rPr>
          <w:rFonts w:hint="eastAsia" w:cs="宋体"/>
          <w:u w:val="single"/>
        </w:rPr>
        <w:t>2026年6月12日9点 30分</w:t>
      </w:r>
      <w:r>
        <w:rPr>
          <w:rFonts w:hint="eastAsia" w:cs="宋体"/>
        </w:rPr>
        <w:t>（北京时间）</w:t>
      </w:r>
    </w:p>
    <w:p w14:paraId="6EF02586">
      <w:pPr>
        <w:pStyle w:val="60"/>
        <w:spacing w:before="0" w:beforeAutospacing="0" w:after="0" w:afterAutospacing="0" w:line="288" w:lineRule="auto"/>
        <w:ind w:firstLine="480" w:firstLineChars="200"/>
        <w:rPr>
          <w:rFonts w:cs="宋体"/>
        </w:rPr>
      </w:pPr>
      <w:r>
        <w:rPr>
          <w:rFonts w:hint="eastAsia" w:cs="宋体"/>
        </w:rPr>
        <w:t>开标地点（网址）：</w:t>
      </w:r>
      <w:r>
        <w:rPr>
          <w:rFonts w:hint="eastAsia" w:cs="宋体"/>
          <w:color w:val="000000"/>
          <w:kern w:val="2"/>
        </w:rPr>
        <w:t>政府采购云平台</w:t>
      </w:r>
      <w:r>
        <w:rPr>
          <w:rFonts w:hint="eastAsia" w:cs="宋体"/>
        </w:rPr>
        <w:t>（https://www.zcygov.cn/）所有投标人均须准时在“政府采购云平台”在线参加。</w:t>
      </w:r>
    </w:p>
    <w:p w14:paraId="4A29238B">
      <w:pPr>
        <w:spacing w:line="288" w:lineRule="auto"/>
        <w:rPr>
          <w:rFonts w:ascii="宋体" w:hAnsi="宋体" w:cs="宋体"/>
          <w:sz w:val="24"/>
        </w:rPr>
      </w:pPr>
      <w:r>
        <w:rPr>
          <w:rFonts w:hint="eastAsia" w:ascii="宋体" w:hAnsi="宋体" w:cs="宋体"/>
          <w:b/>
          <w:sz w:val="24"/>
        </w:rPr>
        <w:t xml:space="preserve">五、公告期限 </w:t>
      </w:r>
    </w:p>
    <w:p w14:paraId="663608B5">
      <w:pPr>
        <w:spacing w:line="288" w:lineRule="auto"/>
        <w:ind w:firstLine="480" w:firstLineChars="200"/>
        <w:rPr>
          <w:rFonts w:ascii="宋体" w:hAnsi="宋体" w:cs="宋体"/>
          <w:sz w:val="24"/>
        </w:rPr>
      </w:pPr>
      <w:r>
        <w:rPr>
          <w:rFonts w:hint="eastAsia" w:ascii="宋体" w:hAnsi="宋体" w:cs="宋体"/>
          <w:sz w:val="24"/>
        </w:rPr>
        <w:t>自本公告发布之日起5个工作日。</w:t>
      </w:r>
    </w:p>
    <w:p w14:paraId="0C8D0BD1">
      <w:pPr>
        <w:spacing w:line="288" w:lineRule="auto"/>
        <w:rPr>
          <w:rFonts w:ascii="宋体" w:hAnsi="宋体" w:cs="宋体"/>
          <w:b/>
          <w:sz w:val="24"/>
        </w:rPr>
      </w:pPr>
      <w:r>
        <w:rPr>
          <w:rFonts w:hint="eastAsia" w:ascii="宋体" w:hAnsi="宋体" w:cs="宋体"/>
          <w:b/>
          <w:sz w:val="24"/>
        </w:rPr>
        <w:t>六、其他补充事宜</w:t>
      </w:r>
    </w:p>
    <w:p w14:paraId="55CC80EE">
      <w:pPr>
        <w:spacing w:line="288" w:lineRule="auto"/>
        <w:ind w:firstLine="480" w:firstLineChars="200"/>
        <w:rPr>
          <w:rFonts w:ascii="宋体" w:hAnsi="宋体" w:cs="宋体"/>
          <w:sz w:val="24"/>
        </w:rPr>
      </w:pPr>
      <w:r>
        <w:rPr>
          <w:rFonts w:hint="eastAsia" w:ascii="宋体" w:hAnsi="宋体" w:cs="宋体"/>
          <w:sz w:val="24"/>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7DAD0B63">
      <w:pPr>
        <w:spacing w:line="288" w:lineRule="auto"/>
        <w:ind w:firstLine="480" w:firstLineChars="200"/>
        <w:rPr>
          <w:rFonts w:ascii="宋体" w:hAnsi="宋体" w:cs="宋体"/>
          <w:sz w:val="24"/>
        </w:rPr>
      </w:pPr>
      <w:r>
        <w:rPr>
          <w:rFonts w:hint="eastAsia" w:ascii="宋体" w:hAnsi="宋体" w:cs="宋体"/>
          <w:sz w:val="24"/>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 </w:t>
      </w:r>
    </w:p>
    <w:p w14:paraId="65564185">
      <w:pPr>
        <w:spacing w:line="288" w:lineRule="auto"/>
        <w:ind w:firstLine="480" w:firstLineChars="200"/>
        <w:rPr>
          <w:rFonts w:ascii="宋体" w:hAnsi="宋体" w:cs="宋体"/>
          <w:sz w:val="24"/>
        </w:rPr>
      </w:pPr>
      <w:r>
        <w:rPr>
          <w:rFonts w:hint="eastAsia" w:ascii="宋体" w:hAnsi="宋体" w:cs="宋体"/>
          <w:sz w:val="24"/>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34E09384">
      <w:pPr>
        <w:spacing w:line="288" w:lineRule="auto"/>
        <w:ind w:firstLine="480" w:firstLineChars="200"/>
        <w:rPr>
          <w:rFonts w:ascii="宋体" w:hAnsi="宋体" w:cs="宋体"/>
          <w:sz w:val="24"/>
        </w:rPr>
      </w:pPr>
      <w:r>
        <w:rPr>
          <w:rFonts w:hint="eastAsia" w:ascii="宋体" w:hAnsi="宋体" w:cs="宋体"/>
          <w:sz w:val="24"/>
        </w:rPr>
        <w:t>4.其他事项：</w:t>
      </w:r>
    </w:p>
    <w:p w14:paraId="57B2E93F">
      <w:pPr>
        <w:spacing w:line="288" w:lineRule="auto"/>
        <w:ind w:firstLine="480" w:firstLineChars="200"/>
        <w:rPr>
          <w:rFonts w:ascii="宋体" w:hAnsi="宋体" w:cs="宋体"/>
          <w:sz w:val="24"/>
        </w:rPr>
      </w:pPr>
      <w:r>
        <w:rPr>
          <w:rFonts w:hint="eastAsia" w:ascii="宋体" w:hAnsi="宋体" w:cs="宋体"/>
          <w:sz w:val="24"/>
        </w:rPr>
        <w:t>（1）需要落实的政府采购政策：包括节约资源、保护环境、支持创新、促进中小企业发展等，详见招标文件的第二部分投标人须知-总则。</w:t>
      </w:r>
    </w:p>
    <w:p w14:paraId="66C823AC">
      <w:pPr>
        <w:spacing w:line="288" w:lineRule="auto"/>
        <w:ind w:firstLine="480" w:firstLineChars="200"/>
        <w:rPr>
          <w:rFonts w:ascii="宋体" w:hAnsi="宋体" w:cs="宋体"/>
          <w:sz w:val="24"/>
        </w:rPr>
      </w:pPr>
      <w:r>
        <w:rPr>
          <w:rFonts w:hint="eastAsia" w:ascii="宋体" w:hAnsi="宋体" w:cs="宋体"/>
          <w:sz w:val="24"/>
        </w:rPr>
        <w:t>（2）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7C50D0BD">
      <w:pPr>
        <w:spacing w:line="288" w:lineRule="auto"/>
        <w:ind w:firstLine="480" w:firstLineChars="200"/>
        <w:rPr>
          <w:rFonts w:ascii="宋体" w:hAnsi="宋体" w:cs="宋体"/>
          <w:sz w:val="24"/>
        </w:rPr>
      </w:pPr>
      <w:r>
        <w:rPr>
          <w:rFonts w:hint="eastAsia" w:ascii="宋体" w:hAnsi="宋体" w:cs="宋体"/>
          <w:sz w:val="24"/>
        </w:rPr>
        <w:t>（3）电子招投标的说明：</w:t>
      </w:r>
    </w:p>
    <w:p w14:paraId="0CC66450">
      <w:pPr>
        <w:spacing w:line="288" w:lineRule="auto"/>
        <w:ind w:firstLine="480" w:firstLineChars="200"/>
        <w:rPr>
          <w:rFonts w:ascii="宋体" w:hAnsi="宋体" w:cs="宋体"/>
          <w:sz w:val="24"/>
        </w:rPr>
      </w:pPr>
      <w:r>
        <w:rPr>
          <w:rFonts w:hint="eastAsia" w:ascii="宋体" w:hAnsi="宋体" w:cs="宋体"/>
          <w:sz w:val="24"/>
        </w:rPr>
        <w:t xml:space="preserve">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府采购云平台；进入“项目采购”应用，在获取采购文件菜单中选择项目，获取招标文件；④对未按上述方式获取招标文件的供应商，视为未参与该项政府采购活动，不具备对该政府采购项目提出质疑的法定权利，但因供应商资格条件或报名时间设定不符合有关法律法规规定等原因使供应商权益受损的除外；⑤投标文件的制作：在“政采云电子交易客户端”中完成“填写基本信息”、“导入投标文件”、“标书关联”、“标书检查”、“电子签名”、“生成电子标书”等操作；⑥不提供招标文件纸质版；⑦投标文件的传输递交：投标人在投标截止时间前将加密的投标文件上传至政府采购云平台，还可以在投标截止时间前递交备份投标文件1份。备份投标文件的制作、递交详见招标文件第二部分第15点—“备份投标文件”； ⑧投标文件的解密：投标人按照平台提示和招标文件的规定在30分钟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没有在电子交易平台传输递交投标文件的，投标无效；⑨具体操作指南：详见政府采购云平台“服务中心-帮助文档-项目采购-操作流程-电子招投标-政府采购项目电子交易管理操作指南-供应商”。 </w:t>
      </w:r>
    </w:p>
    <w:p w14:paraId="43698486">
      <w:pPr>
        <w:spacing w:line="288" w:lineRule="auto"/>
        <w:ind w:firstLine="480" w:firstLineChars="200"/>
        <w:rPr>
          <w:rFonts w:ascii="宋体" w:hAnsi="宋体" w:cs="宋体"/>
          <w:sz w:val="24"/>
        </w:rPr>
      </w:pPr>
      <w:r>
        <w:rPr>
          <w:rFonts w:hint="eastAsia" w:ascii="宋体" w:hAnsi="宋体" w:cs="宋体"/>
          <w:sz w:val="24"/>
        </w:rPr>
        <w:t>（4）招标文件公告期限与招标公告的公告期限一致。</w:t>
      </w:r>
    </w:p>
    <w:p w14:paraId="26FF673E">
      <w:pPr>
        <w:spacing w:line="288" w:lineRule="auto"/>
        <w:ind w:firstLine="480" w:firstLineChars="200"/>
        <w:rPr>
          <w:rFonts w:ascii="宋体" w:hAnsi="宋体" w:cs="宋体"/>
        </w:rPr>
      </w:pPr>
      <w:r>
        <w:rPr>
          <w:rFonts w:hint="eastAsia" w:ascii="宋体" w:hAnsi="宋体" w:cs="宋体"/>
          <w:sz w:val="24"/>
        </w:rPr>
        <w:t>（5）为进一步优化政府采购营商环境，拓展发挥政府采购政策功能，缓解供应商资金压力，供应商中标（成交）后可在“政府采购云平台”申请“政采贷”，操作路径：登录“政府采购云平台”——金融服务中心——融资服务，可在热门申请中选择产品直接申请，也可点击云智贷匹配适合产品进行申请，或者在可申请项目中根据该项目进行申请。</w:t>
      </w:r>
    </w:p>
    <w:p w14:paraId="649086FD">
      <w:pPr>
        <w:spacing w:line="288" w:lineRule="auto"/>
        <w:rPr>
          <w:rFonts w:ascii="宋体" w:hAnsi="宋体" w:cs="宋体"/>
          <w:b/>
          <w:sz w:val="24"/>
        </w:rPr>
      </w:pPr>
      <w:r>
        <w:rPr>
          <w:rFonts w:hint="eastAsia" w:ascii="宋体" w:hAnsi="宋体" w:cs="宋体"/>
          <w:b/>
          <w:sz w:val="24"/>
        </w:rPr>
        <w:t>七、对本次采购提出询问、质疑、投诉，请按以下方式联系</w:t>
      </w:r>
    </w:p>
    <w:p w14:paraId="44FA3FB8">
      <w:pPr>
        <w:spacing w:line="288" w:lineRule="auto"/>
        <w:rPr>
          <w:rFonts w:ascii="宋体" w:hAnsi="宋体" w:cs="宋体"/>
          <w:sz w:val="24"/>
        </w:rPr>
      </w:pPr>
      <w:r>
        <w:rPr>
          <w:rFonts w:hint="eastAsia" w:ascii="宋体" w:hAnsi="宋体" w:cs="宋体"/>
          <w:sz w:val="24"/>
        </w:rPr>
        <w:t xml:space="preserve"> 1.采购人信息</w:t>
      </w:r>
    </w:p>
    <w:p w14:paraId="1EFC4B2E">
      <w:pPr>
        <w:spacing w:line="288" w:lineRule="auto"/>
        <w:ind w:firstLine="480" w:firstLineChars="200"/>
        <w:rPr>
          <w:rFonts w:ascii="宋体" w:hAnsi="宋体" w:cs="宋体"/>
          <w:sz w:val="24"/>
        </w:rPr>
      </w:pPr>
      <w:r>
        <w:rPr>
          <w:rFonts w:hint="eastAsia" w:ascii="宋体" w:hAnsi="宋体" w:cs="宋体"/>
          <w:sz w:val="24"/>
        </w:rPr>
        <w:t>名    称：诸暨市应急管理局</w:t>
      </w:r>
    </w:p>
    <w:p w14:paraId="003A77BA">
      <w:pPr>
        <w:spacing w:line="288" w:lineRule="auto"/>
        <w:ind w:firstLine="480" w:firstLineChars="200"/>
        <w:rPr>
          <w:rFonts w:ascii="宋体" w:hAnsi="宋体" w:cs="宋体"/>
          <w:sz w:val="24"/>
        </w:rPr>
      </w:pPr>
      <w:r>
        <w:rPr>
          <w:rFonts w:hint="eastAsia" w:ascii="宋体" w:hAnsi="宋体" w:cs="宋体"/>
          <w:sz w:val="24"/>
        </w:rPr>
        <w:t>地    址：</w:t>
      </w:r>
      <w:r>
        <w:rPr>
          <w:rFonts w:hint="eastAsia" w:ascii="宋体" w:hAnsi="宋体" w:cs="宋体"/>
          <w:sz w:val="24"/>
        </w:rPr>
        <w:fldChar w:fldCharType="begin"/>
      </w:r>
      <w:r>
        <w:rPr>
          <w:rFonts w:hint="eastAsia" w:ascii="宋体" w:hAnsi="宋体" w:cs="宋体"/>
          <w:sz w:val="24"/>
        </w:rPr>
        <w:instrText xml:space="preserve"> HYPERLINK "http://www.baidu.com/link?url=hPWfuMA8OGWm2Ze1xU6JZM-rdhei49OoA_3Yn750V6wCW-n5mTPtu9qdR861IiJGUC4VZpmTGi6gYA0dif4raVKtBvaPYkbMVpREk0mWkpoY5X3Ql5f4h7WWrm6CUYIAWNSwl2lJlED3QTF1lp7v50pb_tBAegz3lwR7_dmub_4Vq7zZ9GU_QVGHv0MaN1t17nbxONalqC6NCy0XHpJ7B9BNSr3V0yP62ycnxwjQl0c7k-FZAsk37e1YHlbRl9SZ" \t "https://www.baidu.com/_blank"</w:instrText>
      </w:r>
      <w:r>
        <w:rPr>
          <w:rFonts w:hint="eastAsia" w:ascii="宋体" w:hAnsi="宋体" w:cs="宋体"/>
          <w:sz w:val="24"/>
        </w:rPr>
        <w:fldChar w:fldCharType="separate"/>
      </w:r>
      <w:r>
        <w:rPr>
          <w:rFonts w:hint="eastAsia" w:ascii="宋体" w:hAnsi="宋体" w:cs="宋体"/>
          <w:sz w:val="24"/>
        </w:rPr>
        <w:t>诸暨市东一路26号</w:t>
      </w:r>
    </w:p>
    <w:p w14:paraId="710ACB69">
      <w:pPr>
        <w:spacing w:line="288" w:lineRule="auto"/>
        <w:ind w:firstLine="480" w:firstLineChars="200"/>
        <w:rPr>
          <w:rFonts w:ascii="宋体" w:hAnsi="宋体" w:cs="宋体"/>
          <w:sz w:val="24"/>
        </w:rPr>
      </w:pPr>
      <w:r>
        <w:rPr>
          <w:rFonts w:hint="eastAsia" w:ascii="宋体" w:hAnsi="宋体" w:cs="宋体"/>
          <w:sz w:val="24"/>
        </w:rPr>
        <w:fldChar w:fldCharType="end"/>
      </w:r>
      <w:r>
        <w:rPr>
          <w:rFonts w:hint="eastAsia" w:ascii="宋体" w:hAnsi="宋体" w:cs="宋体"/>
          <w:sz w:val="24"/>
        </w:rPr>
        <w:t xml:space="preserve">项目联系人（询问）：应成龙     </w:t>
      </w:r>
    </w:p>
    <w:p w14:paraId="23407C7B">
      <w:pPr>
        <w:spacing w:line="288" w:lineRule="auto"/>
        <w:ind w:firstLine="480" w:firstLineChars="200"/>
        <w:rPr>
          <w:rFonts w:ascii="宋体" w:hAnsi="宋体" w:cs="宋体"/>
          <w:sz w:val="24"/>
        </w:rPr>
      </w:pPr>
      <w:r>
        <w:rPr>
          <w:rFonts w:hint="eastAsia" w:ascii="宋体" w:hAnsi="宋体" w:cs="宋体"/>
          <w:sz w:val="24"/>
        </w:rPr>
        <w:t xml:space="preserve">项目联系人工作电话（询问）：13777328723  </w:t>
      </w:r>
    </w:p>
    <w:p w14:paraId="52AE087D">
      <w:pPr>
        <w:spacing w:line="288" w:lineRule="auto"/>
        <w:ind w:firstLine="480" w:firstLineChars="200"/>
        <w:rPr>
          <w:rFonts w:ascii="宋体" w:hAnsi="宋体" w:cs="宋体"/>
          <w:sz w:val="24"/>
        </w:rPr>
      </w:pPr>
      <w:r>
        <w:rPr>
          <w:rFonts w:hint="eastAsia" w:ascii="宋体" w:hAnsi="宋体" w:cs="宋体"/>
          <w:sz w:val="24"/>
        </w:rPr>
        <w:t>质疑联系人：赵博涵</w:t>
      </w:r>
    </w:p>
    <w:p w14:paraId="15926D85">
      <w:pPr>
        <w:spacing w:line="288" w:lineRule="auto"/>
        <w:ind w:firstLine="480" w:firstLineChars="200"/>
        <w:rPr>
          <w:rFonts w:ascii="宋体" w:hAnsi="宋体" w:cs="宋体"/>
          <w:sz w:val="24"/>
          <w:highlight w:val="yellow"/>
        </w:rPr>
      </w:pPr>
      <w:r>
        <w:rPr>
          <w:rFonts w:hint="eastAsia" w:ascii="宋体" w:hAnsi="宋体" w:cs="宋体"/>
          <w:sz w:val="24"/>
        </w:rPr>
        <w:t>质疑联系人工作电话：17757566559</w:t>
      </w:r>
    </w:p>
    <w:p w14:paraId="1CCC6960">
      <w:pPr>
        <w:spacing w:line="288" w:lineRule="auto"/>
        <w:ind w:firstLine="480" w:firstLineChars="200"/>
        <w:rPr>
          <w:rFonts w:ascii="宋体" w:hAnsi="宋体" w:cs="宋体"/>
          <w:sz w:val="24"/>
        </w:rPr>
      </w:pPr>
      <w:r>
        <w:rPr>
          <w:rFonts w:hint="eastAsia" w:ascii="宋体" w:hAnsi="宋体" w:cs="宋体"/>
          <w:sz w:val="24"/>
        </w:rPr>
        <w:t xml:space="preserve">2.采购代理机构信息   </w:t>
      </w:r>
    </w:p>
    <w:p w14:paraId="32327F96">
      <w:pPr>
        <w:spacing w:line="288" w:lineRule="auto"/>
        <w:ind w:firstLine="480" w:firstLineChars="200"/>
        <w:rPr>
          <w:rFonts w:ascii="宋体" w:hAnsi="宋体" w:cs="宋体"/>
          <w:sz w:val="24"/>
        </w:rPr>
      </w:pPr>
      <w:r>
        <w:rPr>
          <w:rFonts w:hint="eastAsia" w:ascii="宋体" w:hAnsi="宋体" w:cs="宋体"/>
          <w:sz w:val="24"/>
        </w:rPr>
        <w:t>名    称：诸暨正开工程咨询有限公司</w:t>
      </w:r>
    </w:p>
    <w:p w14:paraId="1469A5F9">
      <w:pPr>
        <w:spacing w:line="288" w:lineRule="auto"/>
        <w:ind w:firstLine="480" w:firstLineChars="200"/>
        <w:rPr>
          <w:rFonts w:ascii="宋体" w:hAnsi="宋体" w:cs="宋体"/>
          <w:sz w:val="24"/>
        </w:rPr>
      </w:pPr>
      <w:r>
        <w:rPr>
          <w:rFonts w:hint="eastAsia" w:ascii="宋体" w:hAnsi="宋体" w:cs="宋体"/>
          <w:sz w:val="24"/>
        </w:rPr>
        <w:t>地    址：诸暨市东一路88号朗臻大厦19楼1902号</w:t>
      </w:r>
    </w:p>
    <w:p w14:paraId="712182EC">
      <w:pPr>
        <w:spacing w:line="288" w:lineRule="auto"/>
        <w:ind w:left="480" w:hanging="480" w:hangingChars="200"/>
        <w:rPr>
          <w:rFonts w:ascii="宋体" w:hAnsi="宋体" w:cs="宋体"/>
          <w:sz w:val="24"/>
        </w:rPr>
      </w:pPr>
      <w:r>
        <w:rPr>
          <w:rFonts w:hint="eastAsia" w:ascii="宋体" w:hAnsi="宋体" w:cs="宋体"/>
          <w:sz w:val="24"/>
        </w:rPr>
        <w:t xml:space="preserve">    项目联系人（询问）：方工</w:t>
      </w:r>
    </w:p>
    <w:p w14:paraId="382BC831">
      <w:pPr>
        <w:spacing w:line="288" w:lineRule="auto"/>
        <w:ind w:firstLine="482"/>
        <w:rPr>
          <w:rFonts w:ascii="宋体" w:hAnsi="宋体" w:cs="宋体"/>
          <w:sz w:val="24"/>
        </w:rPr>
      </w:pPr>
      <w:r>
        <w:rPr>
          <w:rFonts w:hint="eastAsia" w:ascii="宋体" w:hAnsi="宋体" w:cs="宋体"/>
          <w:sz w:val="24"/>
        </w:rPr>
        <w:t>项目联系人工作电话（询问）：18248604053</w:t>
      </w:r>
    </w:p>
    <w:p w14:paraId="3FE04123">
      <w:pPr>
        <w:spacing w:line="288" w:lineRule="auto"/>
        <w:ind w:firstLine="480"/>
        <w:rPr>
          <w:rFonts w:ascii="宋体" w:hAnsi="宋体" w:cs="宋体"/>
          <w:sz w:val="24"/>
        </w:rPr>
      </w:pPr>
      <w:r>
        <w:rPr>
          <w:rFonts w:hint="eastAsia" w:ascii="宋体" w:hAnsi="宋体" w:cs="宋体"/>
          <w:sz w:val="24"/>
        </w:rPr>
        <w:t>质疑联系人：顾兰兰</w:t>
      </w:r>
    </w:p>
    <w:p w14:paraId="719725C5">
      <w:pPr>
        <w:spacing w:line="288" w:lineRule="auto"/>
        <w:ind w:firstLine="482"/>
        <w:rPr>
          <w:rFonts w:ascii="宋体" w:hAnsi="宋体" w:cs="宋体"/>
          <w:sz w:val="24"/>
        </w:rPr>
      </w:pPr>
      <w:r>
        <w:rPr>
          <w:rFonts w:hint="eastAsia" w:ascii="宋体" w:hAnsi="宋体" w:cs="宋体"/>
          <w:sz w:val="24"/>
        </w:rPr>
        <w:t>质疑联系人工作电话：13777306032</w:t>
      </w:r>
    </w:p>
    <w:p w14:paraId="6897E931">
      <w:pPr>
        <w:spacing w:line="288" w:lineRule="auto"/>
        <w:rPr>
          <w:rFonts w:ascii="宋体" w:hAnsi="宋体" w:cs="宋体"/>
          <w:sz w:val="24"/>
        </w:rPr>
      </w:pPr>
      <w:r>
        <w:rPr>
          <w:rFonts w:hint="eastAsia" w:ascii="宋体" w:hAnsi="宋体" w:cs="宋体"/>
          <w:sz w:val="24"/>
        </w:rPr>
        <w:t xml:space="preserve">    3.同级政府采购监督管理部门            </w:t>
      </w:r>
    </w:p>
    <w:p w14:paraId="0D2697F2">
      <w:pPr>
        <w:spacing w:line="288" w:lineRule="auto"/>
        <w:ind w:firstLine="480" w:firstLineChars="200"/>
        <w:rPr>
          <w:rFonts w:ascii="宋体" w:hAnsi="宋体" w:cs="宋体"/>
          <w:sz w:val="24"/>
        </w:rPr>
      </w:pPr>
      <w:r>
        <w:rPr>
          <w:rFonts w:hint="eastAsia" w:ascii="宋体" w:hAnsi="宋体" w:cs="宋体"/>
          <w:sz w:val="24"/>
        </w:rPr>
        <w:t>名    称： 诸暨市财政局政府采购监管科</w:t>
      </w:r>
    </w:p>
    <w:p w14:paraId="632912B0">
      <w:pPr>
        <w:spacing w:line="288" w:lineRule="auto"/>
        <w:ind w:firstLine="480" w:firstLineChars="200"/>
        <w:rPr>
          <w:rFonts w:ascii="宋体" w:hAnsi="宋体" w:cs="宋体"/>
          <w:sz w:val="24"/>
        </w:rPr>
      </w:pPr>
      <w:r>
        <w:rPr>
          <w:rFonts w:hint="eastAsia" w:ascii="宋体" w:hAnsi="宋体" w:cs="宋体"/>
          <w:sz w:val="24"/>
        </w:rPr>
        <w:t xml:space="preserve">地    址：诸暨市人民中路356号 </w:t>
      </w:r>
    </w:p>
    <w:p w14:paraId="6BAD6E58">
      <w:pPr>
        <w:spacing w:line="288" w:lineRule="auto"/>
        <w:ind w:left="480" w:hanging="480" w:hangingChars="200"/>
        <w:rPr>
          <w:rFonts w:ascii="宋体" w:hAnsi="宋体" w:cs="宋体"/>
          <w:sz w:val="24"/>
        </w:rPr>
      </w:pPr>
      <w:r>
        <w:rPr>
          <w:rFonts w:hint="eastAsia" w:ascii="宋体" w:hAnsi="宋体" w:cs="宋体"/>
          <w:sz w:val="24"/>
        </w:rPr>
        <w:t xml:space="preserve">    传    真： 0575-87023633</w:t>
      </w:r>
    </w:p>
    <w:p w14:paraId="6529A593">
      <w:pPr>
        <w:spacing w:line="288" w:lineRule="auto"/>
        <w:ind w:firstLine="480" w:firstLineChars="200"/>
        <w:rPr>
          <w:rFonts w:ascii="宋体" w:hAnsi="宋体" w:cs="宋体"/>
          <w:sz w:val="24"/>
        </w:rPr>
      </w:pPr>
      <w:r>
        <w:rPr>
          <w:rFonts w:hint="eastAsia" w:ascii="宋体" w:hAnsi="宋体" w:cs="宋体"/>
          <w:sz w:val="24"/>
        </w:rPr>
        <w:t>联系人：吕雅玲</w:t>
      </w:r>
    </w:p>
    <w:p w14:paraId="1AE1E2FA">
      <w:pPr>
        <w:spacing w:line="288" w:lineRule="auto"/>
        <w:ind w:firstLine="480" w:firstLineChars="200"/>
        <w:rPr>
          <w:rFonts w:ascii="宋体" w:hAnsi="宋体" w:cs="宋体"/>
          <w:sz w:val="24"/>
        </w:rPr>
      </w:pPr>
      <w:r>
        <w:rPr>
          <w:rFonts w:hint="eastAsia" w:ascii="宋体" w:hAnsi="宋体" w:cs="宋体"/>
          <w:sz w:val="24"/>
        </w:rPr>
        <w:t>监督投诉电话： 0575-87113461</w:t>
      </w:r>
    </w:p>
    <w:p w14:paraId="1EEFBEC8">
      <w:pPr>
        <w:spacing w:beforeLines="50" w:after="120" w:line="288" w:lineRule="auto"/>
        <w:ind w:firstLine="480" w:firstLineChars="200"/>
        <w:rPr>
          <w:rFonts w:ascii="宋体" w:hAnsi="宋体" w:cs="宋体"/>
          <w:sz w:val="24"/>
        </w:rPr>
      </w:pPr>
      <w:r>
        <w:rPr>
          <w:rFonts w:hint="eastAsia" w:ascii="宋体" w:hAnsi="宋体" w:cs="宋体"/>
          <w:sz w:val="24"/>
        </w:rPr>
        <w:t>若对项目采购电子交易系统操作有疑问，可登录政府采购云平台（https://www.zcygov.cn/），点击右侧咨询小采，获取采小蜜智能服务管家帮助，或拨打服务热线95763获取热线服务帮助。CA问题联系电话（人工）：汇信CA 400-888-4636；天谷CA 400-087-8198。</w:t>
      </w:r>
    </w:p>
    <w:bookmarkEnd w:id="6"/>
    <w:bookmarkEnd w:id="7"/>
    <w:p w14:paraId="47DB0332">
      <w:pPr>
        <w:spacing w:beforeLines="50" w:after="120" w:line="420" w:lineRule="exact"/>
        <w:ind w:firstLine="723" w:firstLineChars="200"/>
        <w:jc w:val="center"/>
        <w:rPr>
          <w:rFonts w:ascii="宋体" w:hAnsi="宋体" w:cs="宋体"/>
          <w:b/>
          <w:kern w:val="44"/>
          <w:sz w:val="36"/>
          <w:szCs w:val="36"/>
        </w:rPr>
      </w:pPr>
    </w:p>
    <w:p w14:paraId="64637264">
      <w:pPr>
        <w:spacing w:beforeLines="50" w:after="120" w:line="420" w:lineRule="exact"/>
        <w:ind w:firstLine="723" w:firstLineChars="200"/>
        <w:jc w:val="center"/>
        <w:rPr>
          <w:rFonts w:ascii="宋体" w:hAnsi="宋体" w:cs="宋体"/>
          <w:b/>
          <w:kern w:val="44"/>
          <w:sz w:val="36"/>
          <w:szCs w:val="36"/>
        </w:rPr>
      </w:pPr>
    </w:p>
    <w:p w14:paraId="53791331">
      <w:pPr>
        <w:spacing w:beforeLines="50" w:after="120" w:line="420" w:lineRule="exact"/>
        <w:ind w:firstLine="723" w:firstLineChars="200"/>
        <w:jc w:val="center"/>
        <w:rPr>
          <w:rFonts w:ascii="宋体" w:hAnsi="宋体" w:cs="宋体"/>
          <w:b/>
          <w:kern w:val="44"/>
          <w:sz w:val="36"/>
          <w:szCs w:val="36"/>
        </w:rPr>
      </w:pPr>
    </w:p>
    <w:p w14:paraId="34DBB8F0">
      <w:pPr>
        <w:spacing w:beforeLines="50" w:after="120" w:line="420" w:lineRule="exact"/>
        <w:ind w:firstLine="723" w:firstLineChars="200"/>
        <w:jc w:val="center"/>
        <w:rPr>
          <w:rFonts w:ascii="宋体" w:hAnsi="宋体" w:cs="宋体"/>
          <w:b/>
          <w:kern w:val="44"/>
          <w:sz w:val="36"/>
          <w:szCs w:val="36"/>
        </w:rPr>
      </w:pPr>
    </w:p>
    <w:p w14:paraId="1B7C64FC">
      <w:pPr>
        <w:spacing w:beforeLines="50" w:after="120" w:line="420" w:lineRule="exact"/>
        <w:ind w:firstLine="723" w:firstLineChars="200"/>
        <w:jc w:val="center"/>
        <w:rPr>
          <w:rFonts w:ascii="宋体" w:hAnsi="宋体" w:cs="宋体"/>
          <w:b/>
          <w:sz w:val="36"/>
          <w:szCs w:val="20"/>
        </w:rPr>
      </w:pPr>
      <w:r>
        <w:rPr>
          <w:rFonts w:hint="eastAsia" w:ascii="宋体" w:hAnsi="宋体" w:cs="宋体"/>
          <w:b/>
          <w:kern w:val="44"/>
          <w:sz w:val="36"/>
          <w:szCs w:val="36"/>
        </w:rPr>
        <w:t>第二部分 投标人须知</w:t>
      </w:r>
    </w:p>
    <w:p w14:paraId="2A4FE41D">
      <w:pPr>
        <w:adjustRightInd/>
        <w:spacing w:line="300" w:lineRule="auto"/>
        <w:jc w:val="center"/>
        <w:outlineLvl w:val="0"/>
        <w:rPr>
          <w:rFonts w:ascii="宋体" w:hAnsi="宋体" w:cs="宋体"/>
          <w:b/>
          <w:kern w:val="44"/>
          <w:sz w:val="36"/>
          <w:szCs w:val="36"/>
        </w:rPr>
      </w:pPr>
      <w:r>
        <w:rPr>
          <w:rFonts w:hint="eastAsia" w:ascii="宋体" w:hAnsi="宋体" w:cs="宋体"/>
          <w:b/>
          <w:kern w:val="44"/>
          <w:sz w:val="36"/>
          <w:szCs w:val="36"/>
        </w:rPr>
        <w:t>前附表</w:t>
      </w:r>
    </w:p>
    <w:tbl>
      <w:tblPr>
        <w:tblStyle w:val="64"/>
        <w:tblW w:w="958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45"/>
        <w:gridCol w:w="1591"/>
        <w:gridCol w:w="7347"/>
      </w:tblGrid>
      <w:tr w14:paraId="328409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8" w:hRule="atLeast"/>
          <w:tblHeader/>
          <w:jc w:val="center"/>
        </w:trPr>
        <w:tc>
          <w:tcPr>
            <w:tcW w:w="645" w:type="dxa"/>
            <w:tcBorders>
              <w:top w:val="single" w:color="auto" w:sz="4" w:space="0"/>
              <w:bottom w:val="single" w:color="auto" w:sz="4" w:space="0"/>
              <w:right w:val="single" w:color="auto" w:sz="4" w:space="0"/>
            </w:tcBorders>
            <w:vAlign w:val="center"/>
          </w:tcPr>
          <w:p w14:paraId="15C5AD0F">
            <w:pPr>
              <w:snapToGrid w:val="0"/>
              <w:spacing w:line="300" w:lineRule="exact"/>
              <w:jc w:val="center"/>
              <w:rPr>
                <w:rFonts w:ascii="宋体" w:hAnsi="宋体" w:cs="宋体"/>
                <w:b/>
                <w:sz w:val="24"/>
              </w:rPr>
            </w:pPr>
            <w:r>
              <w:rPr>
                <w:rFonts w:hint="eastAsia" w:ascii="宋体" w:hAnsi="宋体" w:cs="宋体"/>
                <w:b/>
                <w:sz w:val="24"/>
              </w:rPr>
              <w:t>序号</w:t>
            </w:r>
          </w:p>
        </w:tc>
        <w:tc>
          <w:tcPr>
            <w:tcW w:w="1591" w:type="dxa"/>
            <w:tcBorders>
              <w:top w:val="single" w:color="000000" w:sz="8" w:space="0"/>
              <w:left w:val="single" w:color="auto" w:sz="4" w:space="0"/>
              <w:bottom w:val="single" w:color="000000" w:sz="8" w:space="0"/>
              <w:right w:val="single" w:color="000000" w:sz="8" w:space="0"/>
            </w:tcBorders>
            <w:vAlign w:val="center"/>
          </w:tcPr>
          <w:p w14:paraId="0D34F6B3">
            <w:pPr>
              <w:snapToGrid w:val="0"/>
              <w:spacing w:line="300" w:lineRule="exact"/>
              <w:jc w:val="center"/>
              <w:rPr>
                <w:rFonts w:ascii="宋体" w:hAnsi="宋体" w:cs="宋体"/>
                <w:b/>
                <w:sz w:val="24"/>
              </w:rPr>
            </w:pPr>
            <w:r>
              <w:rPr>
                <w:rFonts w:hint="eastAsia" w:ascii="宋体" w:hAnsi="宋体" w:cs="宋体"/>
                <w:b/>
                <w:sz w:val="24"/>
              </w:rPr>
              <w:t>事项</w:t>
            </w:r>
          </w:p>
        </w:tc>
        <w:tc>
          <w:tcPr>
            <w:tcW w:w="7347" w:type="dxa"/>
            <w:tcBorders>
              <w:top w:val="single" w:color="000000" w:sz="8" w:space="0"/>
              <w:left w:val="single" w:color="000000" w:sz="2" w:space="0"/>
              <w:bottom w:val="single" w:color="000000" w:sz="8" w:space="0"/>
              <w:right w:val="single" w:color="000000" w:sz="8" w:space="0"/>
            </w:tcBorders>
            <w:vAlign w:val="center"/>
          </w:tcPr>
          <w:p w14:paraId="28E5548E">
            <w:pPr>
              <w:snapToGrid w:val="0"/>
              <w:spacing w:line="300" w:lineRule="exact"/>
              <w:jc w:val="center"/>
              <w:rPr>
                <w:rFonts w:ascii="宋体" w:hAnsi="宋体" w:cs="宋体"/>
                <w:b/>
                <w:sz w:val="24"/>
              </w:rPr>
            </w:pPr>
            <w:r>
              <w:rPr>
                <w:rFonts w:hint="eastAsia" w:ascii="宋体" w:hAnsi="宋体" w:cs="宋体"/>
                <w:b/>
                <w:sz w:val="24"/>
              </w:rPr>
              <w:t>本项目的特别规定</w:t>
            </w:r>
          </w:p>
        </w:tc>
      </w:tr>
      <w:tr w14:paraId="26B470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20" w:hRule="atLeast"/>
          <w:tblHeader/>
          <w:jc w:val="center"/>
        </w:trPr>
        <w:tc>
          <w:tcPr>
            <w:tcW w:w="645" w:type="dxa"/>
            <w:tcBorders>
              <w:top w:val="single" w:color="auto" w:sz="4" w:space="0"/>
              <w:bottom w:val="single" w:color="auto" w:sz="4" w:space="0"/>
              <w:right w:val="single" w:color="auto" w:sz="4" w:space="0"/>
            </w:tcBorders>
            <w:vAlign w:val="center"/>
          </w:tcPr>
          <w:p w14:paraId="1D70799B">
            <w:pPr>
              <w:snapToGrid w:val="0"/>
              <w:spacing w:line="300" w:lineRule="exact"/>
              <w:jc w:val="center"/>
              <w:rPr>
                <w:rFonts w:ascii="宋体" w:hAnsi="宋体" w:cs="宋体"/>
                <w:b/>
                <w:sz w:val="24"/>
              </w:rPr>
            </w:pPr>
            <w:r>
              <w:rPr>
                <w:rFonts w:hint="eastAsia" w:ascii="宋体" w:hAnsi="宋体" w:cs="宋体"/>
                <w:b/>
                <w:sz w:val="24"/>
              </w:rPr>
              <w:t>1</w:t>
            </w:r>
          </w:p>
        </w:tc>
        <w:tc>
          <w:tcPr>
            <w:tcW w:w="1591" w:type="dxa"/>
            <w:tcBorders>
              <w:top w:val="single" w:color="000000" w:sz="8" w:space="0"/>
              <w:left w:val="single" w:color="auto" w:sz="4" w:space="0"/>
              <w:bottom w:val="single" w:color="000000" w:sz="8" w:space="0"/>
              <w:right w:val="single" w:color="000000" w:sz="8" w:space="0"/>
            </w:tcBorders>
            <w:vAlign w:val="center"/>
          </w:tcPr>
          <w:p w14:paraId="0DF0A34F">
            <w:pPr>
              <w:snapToGrid w:val="0"/>
              <w:spacing w:line="300" w:lineRule="exact"/>
              <w:jc w:val="center"/>
              <w:rPr>
                <w:rFonts w:ascii="宋体" w:hAnsi="宋体" w:cs="宋体"/>
                <w:b/>
                <w:sz w:val="24"/>
              </w:rPr>
            </w:pPr>
            <w:r>
              <w:rPr>
                <w:rFonts w:hint="eastAsia" w:ascii="宋体" w:hAnsi="宋体" w:cs="宋体"/>
                <w:b/>
                <w:sz w:val="24"/>
              </w:rPr>
              <w:t>评标办法</w:t>
            </w:r>
          </w:p>
        </w:tc>
        <w:tc>
          <w:tcPr>
            <w:tcW w:w="7347" w:type="dxa"/>
            <w:tcBorders>
              <w:top w:val="single" w:color="000000" w:sz="8" w:space="0"/>
              <w:left w:val="single" w:color="000000" w:sz="2" w:space="0"/>
              <w:bottom w:val="single" w:color="000000" w:sz="8" w:space="0"/>
              <w:right w:val="single" w:color="000000" w:sz="8" w:space="0"/>
            </w:tcBorders>
            <w:vAlign w:val="center"/>
          </w:tcPr>
          <w:p w14:paraId="1C2ED523">
            <w:pPr>
              <w:snapToGrid w:val="0"/>
              <w:rPr>
                <w:rFonts w:ascii="宋体" w:hAnsi="宋体" w:cs="宋体"/>
                <w:b/>
                <w:sz w:val="24"/>
              </w:rPr>
            </w:pPr>
            <w:r>
              <w:rPr>
                <w:rFonts w:hint="eastAsia" w:ascii="宋体" w:hAnsi="宋体" w:cs="宋体"/>
                <w:kern w:val="0"/>
                <w:sz w:val="24"/>
                <w:lang w:val="zh-CN"/>
              </w:rPr>
              <w:t>本项目采用</w:t>
            </w:r>
            <w:r>
              <w:rPr>
                <w:rFonts w:hint="eastAsia" w:ascii="宋体" w:hAnsi="宋体" w:cs="宋体"/>
                <w:kern w:val="0"/>
                <w:sz w:val="24"/>
                <w:u w:val="single"/>
                <w:lang w:val="zh-CN"/>
              </w:rPr>
              <w:t>综合评分法</w:t>
            </w:r>
          </w:p>
        </w:tc>
      </w:tr>
      <w:tr w14:paraId="7C71E8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039" w:hRule="atLeast"/>
          <w:tblHeader/>
          <w:jc w:val="center"/>
        </w:trPr>
        <w:tc>
          <w:tcPr>
            <w:tcW w:w="645" w:type="dxa"/>
            <w:tcBorders>
              <w:top w:val="single" w:color="auto" w:sz="4" w:space="0"/>
              <w:bottom w:val="single" w:color="auto" w:sz="4" w:space="0"/>
              <w:right w:val="single" w:color="auto" w:sz="4" w:space="0"/>
            </w:tcBorders>
            <w:vAlign w:val="center"/>
          </w:tcPr>
          <w:p w14:paraId="7E547CE9">
            <w:pPr>
              <w:snapToGrid w:val="0"/>
              <w:spacing w:line="300" w:lineRule="exact"/>
              <w:jc w:val="center"/>
              <w:rPr>
                <w:rFonts w:ascii="宋体" w:hAnsi="宋体" w:cs="宋体"/>
                <w:sz w:val="24"/>
              </w:rPr>
            </w:pPr>
            <w:r>
              <w:rPr>
                <w:rFonts w:hint="eastAsia" w:ascii="宋体" w:hAnsi="宋体" w:cs="宋体"/>
                <w:sz w:val="24"/>
              </w:rPr>
              <w:t>2</w:t>
            </w:r>
          </w:p>
        </w:tc>
        <w:tc>
          <w:tcPr>
            <w:tcW w:w="1591" w:type="dxa"/>
            <w:tcBorders>
              <w:top w:val="single" w:color="000000" w:sz="8" w:space="0"/>
              <w:left w:val="single" w:color="auto" w:sz="4" w:space="0"/>
              <w:bottom w:val="single" w:color="000000" w:sz="8" w:space="0"/>
              <w:right w:val="single" w:color="000000" w:sz="8" w:space="0"/>
            </w:tcBorders>
            <w:vAlign w:val="center"/>
          </w:tcPr>
          <w:p w14:paraId="68F1E00A">
            <w:pPr>
              <w:snapToGrid w:val="0"/>
              <w:spacing w:line="300" w:lineRule="exact"/>
              <w:jc w:val="center"/>
              <w:rPr>
                <w:rFonts w:ascii="宋体" w:hAnsi="宋体" w:cs="宋体"/>
                <w:b/>
                <w:sz w:val="24"/>
              </w:rPr>
            </w:pPr>
            <w:r>
              <w:rPr>
                <w:rFonts w:hint="eastAsia" w:ascii="宋体" w:hAnsi="宋体" w:cs="宋体"/>
                <w:b/>
                <w:sz w:val="24"/>
              </w:rPr>
              <w:t>报价要求</w:t>
            </w:r>
          </w:p>
        </w:tc>
        <w:tc>
          <w:tcPr>
            <w:tcW w:w="7347" w:type="dxa"/>
            <w:tcBorders>
              <w:top w:val="single" w:color="000000" w:sz="8" w:space="0"/>
              <w:left w:val="single" w:color="000000" w:sz="2" w:space="0"/>
              <w:bottom w:val="single" w:color="000000" w:sz="8" w:space="0"/>
              <w:right w:val="single" w:color="000000" w:sz="8" w:space="0"/>
            </w:tcBorders>
            <w:vAlign w:val="center"/>
          </w:tcPr>
          <w:p w14:paraId="4D837953">
            <w:pPr>
              <w:snapToGrid w:val="0"/>
              <w:jc w:val="left"/>
              <w:rPr>
                <w:rFonts w:ascii="宋体" w:hAnsi="宋体" w:cs="宋体"/>
                <w:kern w:val="0"/>
                <w:sz w:val="24"/>
                <w:lang w:val="zh-CN"/>
              </w:rPr>
            </w:pPr>
            <w:r>
              <w:rPr>
                <w:rFonts w:hint="eastAsia" w:ascii="宋体" w:hAnsi="宋体" w:cs="宋体"/>
                <w:kern w:val="0"/>
                <w:sz w:val="24"/>
                <w:lang w:val="zh-CN"/>
              </w:rPr>
              <w:t>有关本项目实施所需的所有费用（含税费）均计入报价。</w:t>
            </w:r>
          </w:p>
          <w:p w14:paraId="3404F3D1">
            <w:pPr>
              <w:snapToGrid w:val="0"/>
              <w:jc w:val="left"/>
              <w:rPr>
                <w:rFonts w:ascii="宋体" w:hAnsi="宋体" w:cs="宋体"/>
                <w:kern w:val="0"/>
                <w:sz w:val="24"/>
                <w:lang w:val="zh-CN"/>
              </w:rPr>
            </w:pPr>
            <w:r>
              <w:rPr>
                <w:rFonts w:hint="eastAsia" w:ascii="宋体" w:hAnsi="宋体" w:cs="宋体"/>
                <w:sz w:val="24"/>
              </w:rPr>
              <w:t>开标一览表（报价表）是报价的唯一载体</w:t>
            </w:r>
            <w:r>
              <w:rPr>
                <w:rFonts w:hint="eastAsia" w:ascii="宋体" w:hAnsi="宋体" w:cs="宋体"/>
                <w:kern w:val="0"/>
                <w:sz w:val="24"/>
                <w:lang w:val="zh-CN"/>
              </w:rPr>
              <w:t>。投标文件中价格全部采用人民币报价。</w:t>
            </w:r>
          </w:p>
          <w:p w14:paraId="410B3C64">
            <w:pPr>
              <w:snapToGrid w:val="0"/>
              <w:jc w:val="left"/>
              <w:rPr>
                <w:rFonts w:ascii="宋体" w:hAnsi="宋体" w:cs="宋体"/>
                <w:kern w:val="0"/>
                <w:sz w:val="24"/>
                <w:lang w:val="zh-CN"/>
              </w:rPr>
            </w:pPr>
            <w:r>
              <w:rPr>
                <w:rFonts w:hint="eastAsia" w:ascii="宋体" w:hAnsi="宋体" w:cs="宋体"/>
                <w:kern w:val="0"/>
                <w:sz w:val="24"/>
                <w:lang w:val="zh-CN"/>
              </w:rPr>
              <w:t>招标文件未列明，而投标人认为必需的费用也需列入报价。</w:t>
            </w:r>
          </w:p>
          <w:p w14:paraId="1660625E">
            <w:pPr>
              <w:snapToGrid w:val="0"/>
              <w:jc w:val="left"/>
              <w:rPr>
                <w:rFonts w:ascii="宋体" w:hAnsi="宋体" w:cs="宋体"/>
                <w:b/>
                <w:kern w:val="0"/>
                <w:sz w:val="24"/>
                <w:lang w:val="zh-CN"/>
              </w:rPr>
            </w:pPr>
            <w:r>
              <w:rPr>
                <w:rFonts w:hint="eastAsia" w:ascii="宋体" w:hAnsi="宋体" w:cs="宋体"/>
                <w:b/>
                <w:kern w:val="0"/>
                <w:sz w:val="24"/>
                <w:lang w:val="zh-CN"/>
              </w:rPr>
              <w:t>投标报价出现下列情形的，投标无效：</w:t>
            </w:r>
          </w:p>
          <w:p w14:paraId="23204498">
            <w:pPr>
              <w:pStyle w:val="287"/>
              <w:numPr>
                <w:ilvl w:val="0"/>
                <w:numId w:val="1"/>
              </w:numPr>
              <w:snapToGrid w:val="0"/>
              <w:spacing w:line="240" w:lineRule="auto"/>
              <w:ind w:left="0" w:firstLineChars="0"/>
              <w:jc w:val="left"/>
              <w:rPr>
                <w:rFonts w:ascii="宋体" w:hAnsi="宋体" w:eastAsia="宋体" w:cs="宋体"/>
                <w:bCs/>
                <w:kern w:val="0"/>
                <w:lang w:val="zh-CN"/>
              </w:rPr>
            </w:pPr>
            <w:r>
              <w:rPr>
                <w:rFonts w:hint="eastAsia" w:ascii="宋体" w:hAnsi="宋体" w:eastAsia="宋体" w:cs="宋体"/>
                <w:bCs/>
                <w:kern w:val="0"/>
                <w:lang w:val="zh-CN"/>
              </w:rPr>
              <w:t>①投标文件出现不是唯一的、有选择性投标报价的；</w:t>
            </w:r>
          </w:p>
          <w:p w14:paraId="04DD6248">
            <w:pPr>
              <w:pStyle w:val="287"/>
              <w:numPr>
                <w:ilvl w:val="0"/>
                <w:numId w:val="1"/>
              </w:numPr>
              <w:snapToGrid w:val="0"/>
              <w:spacing w:line="240" w:lineRule="auto"/>
              <w:ind w:left="0" w:firstLineChars="0"/>
              <w:jc w:val="left"/>
              <w:rPr>
                <w:rFonts w:ascii="宋体" w:hAnsi="宋体" w:eastAsia="宋体" w:cs="宋体"/>
                <w:bCs/>
                <w:kern w:val="0"/>
                <w:lang w:val="zh-CN"/>
              </w:rPr>
            </w:pPr>
            <w:r>
              <w:rPr>
                <w:rFonts w:hint="eastAsia" w:ascii="宋体" w:hAnsi="宋体" w:eastAsia="宋体" w:cs="宋体"/>
                <w:bCs/>
                <w:kern w:val="0"/>
                <w:lang w:val="zh-CN"/>
              </w:rPr>
              <w:t>②投标报价超过招标文件中规定的预算金额或者最高限价的;</w:t>
            </w:r>
          </w:p>
          <w:p w14:paraId="78039F60">
            <w:pPr>
              <w:pStyle w:val="287"/>
              <w:numPr>
                <w:ilvl w:val="0"/>
                <w:numId w:val="1"/>
              </w:numPr>
              <w:spacing w:line="240" w:lineRule="auto"/>
              <w:ind w:left="0" w:firstLineChars="0"/>
              <w:rPr>
                <w:rFonts w:ascii="宋体" w:hAnsi="宋体" w:eastAsia="宋体" w:cs="宋体"/>
                <w:bCs/>
                <w:kern w:val="0"/>
                <w:lang w:val="zh-CN"/>
              </w:rPr>
            </w:pPr>
            <w:r>
              <w:rPr>
                <w:rFonts w:hint="eastAsia" w:ascii="宋体" w:hAnsi="宋体" w:eastAsia="宋体" w:cs="宋体"/>
                <w:bCs/>
                <w:kern w:val="0"/>
                <w:lang w:val="zh-CN"/>
              </w:rPr>
              <w:t>③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99E7D67">
            <w:pPr>
              <w:pStyle w:val="287"/>
              <w:numPr>
                <w:ilvl w:val="0"/>
                <w:numId w:val="1"/>
              </w:numPr>
              <w:spacing w:line="240" w:lineRule="auto"/>
              <w:ind w:left="0" w:firstLineChars="0"/>
              <w:rPr>
                <w:rFonts w:ascii="宋体" w:hAnsi="宋体" w:eastAsia="宋体" w:cs="宋体"/>
                <w:bCs/>
                <w:kern w:val="0"/>
                <w:lang w:val="zh-CN"/>
              </w:rPr>
            </w:pPr>
            <w:r>
              <w:rPr>
                <w:rFonts w:hint="eastAsia" w:ascii="宋体" w:hAnsi="宋体" w:eastAsia="宋体" w:cs="宋体"/>
                <w:bCs/>
                <w:kern w:val="0"/>
              </w:rPr>
              <w:t>④投标人对根据修正原则修正后的报价不确认的</w:t>
            </w:r>
            <w:r>
              <w:rPr>
                <w:rFonts w:hint="eastAsia" w:ascii="宋体" w:hAnsi="宋体" w:eastAsia="宋体" w:cs="宋体"/>
                <w:bCs/>
              </w:rPr>
              <w:t>。</w:t>
            </w:r>
          </w:p>
        </w:tc>
      </w:tr>
      <w:tr w14:paraId="0FC751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3" w:hRule="atLeast"/>
          <w:tblHeader/>
          <w:jc w:val="center"/>
        </w:trPr>
        <w:tc>
          <w:tcPr>
            <w:tcW w:w="645" w:type="dxa"/>
            <w:tcBorders>
              <w:top w:val="single" w:color="auto" w:sz="4" w:space="0"/>
              <w:bottom w:val="single" w:color="auto" w:sz="4" w:space="0"/>
              <w:right w:val="single" w:color="auto" w:sz="4" w:space="0"/>
            </w:tcBorders>
            <w:vAlign w:val="center"/>
          </w:tcPr>
          <w:p w14:paraId="466F9467">
            <w:pPr>
              <w:snapToGrid w:val="0"/>
              <w:spacing w:line="300" w:lineRule="exact"/>
              <w:jc w:val="center"/>
              <w:rPr>
                <w:rFonts w:ascii="宋体" w:hAnsi="宋体" w:cs="宋体"/>
                <w:sz w:val="24"/>
              </w:rPr>
            </w:pPr>
            <w:r>
              <w:rPr>
                <w:rFonts w:hint="eastAsia" w:ascii="宋体" w:hAnsi="宋体" w:cs="宋体"/>
                <w:sz w:val="24"/>
              </w:rPr>
              <w:t>3</w:t>
            </w:r>
          </w:p>
        </w:tc>
        <w:tc>
          <w:tcPr>
            <w:tcW w:w="1591" w:type="dxa"/>
            <w:tcBorders>
              <w:top w:val="single" w:color="000000" w:sz="8" w:space="0"/>
              <w:left w:val="single" w:color="auto" w:sz="4" w:space="0"/>
              <w:bottom w:val="single" w:color="000000" w:sz="8" w:space="0"/>
              <w:right w:val="single" w:color="000000" w:sz="8" w:space="0"/>
            </w:tcBorders>
            <w:vAlign w:val="center"/>
          </w:tcPr>
          <w:p w14:paraId="29AC86FC">
            <w:pPr>
              <w:snapToGrid w:val="0"/>
              <w:spacing w:line="300" w:lineRule="exact"/>
              <w:ind w:firstLine="482" w:firstLineChars="200"/>
              <w:rPr>
                <w:rFonts w:ascii="宋体" w:hAnsi="宋体" w:cs="宋体"/>
                <w:b/>
                <w:sz w:val="24"/>
              </w:rPr>
            </w:pPr>
            <w:r>
              <w:rPr>
                <w:rFonts w:hint="eastAsia" w:ascii="宋体" w:hAnsi="宋体" w:cs="宋体"/>
                <w:b/>
                <w:sz w:val="24"/>
              </w:rPr>
              <w:t>分包</w:t>
            </w:r>
          </w:p>
        </w:tc>
        <w:tc>
          <w:tcPr>
            <w:tcW w:w="7347" w:type="dxa"/>
            <w:tcBorders>
              <w:top w:val="single" w:color="000000" w:sz="8" w:space="0"/>
              <w:left w:val="single" w:color="000000" w:sz="2" w:space="0"/>
              <w:bottom w:val="single" w:color="000000" w:sz="8" w:space="0"/>
              <w:right w:val="single" w:color="000000" w:sz="8" w:space="0"/>
            </w:tcBorders>
            <w:vAlign w:val="center"/>
          </w:tcPr>
          <w:p w14:paraId="45751B85">
            <w:pPr>
              <w:rPr>
                <w:rFonts w:ascii="宋体" w:hAnsi="宋体" w:cs="宋体"/>
                <w:kern w:val="0"/>
                <w:sz w:val="24"/>
              </w:rPr>
            </w:pPr>
            <w:r>
              <w:rPr>
                <w:rFonts w:hint="eastAsia" w:ascii="宋体" w:hAnsi="宋体" w:cs="宋体"/>
                <w:kern w:val="0"/>
                <w:sz w:val="24"/>
              </w:rPr>
              <w:sym w:font="Wingdings" w:char="00A8"/>
            </w:r>
            <w:r>
              <w:rPr>
                <w:rFonts w:hint="eastAsia" w:ascii="宋体" w:hAnsi="宋体" w:cs="宋体"/>
                <w:kern w:val="0"/>
                <w:sz w:val="24"/>
              </w:rPr>
              <w:t>A同意将非主体、非关键性的分包。</w:t>
            </w:r>
          </w:p>
          <w:p w14:paraId="23AE0C8A">
            <w:pPr>
              <w:rPr>
                <w:rFonts w:ascii="宋体" w:hAnsi="宋体" w:cs="宋体"/>
                <w:sz w:val="24"/>
              </w:rPr>
            </w:pPr>
            <w:r>
              <w:rPr>
                <w:rFonts w:hint="eastAsia" w:ascii="宋体" w:hAnsi="宋体" w:cs="宋体"/>
                <w:kern w:val="0"/>
                <w:sz w:val="24"/>
              </w:rPr>
              <w:sym w:font="Wingdings" w:char="00FE"/>
            </w:r>
            <w:r>
              <w:rPr>
                <w:rFonts w:hint="eastAsia" w:ascii="宋体" w:hAnsi="宋体" w:cs="宋体"/>
                <w:kern w:val="0"/>
                <w:sz w:val="24"/>
              </w:rPr>
              <w:t xml:space="preserve"> B</w:t>
            </w:r>
            <w:r>
              <w:rPr>
                <w:rFonts w:hint="eastAsia" w:ascii="宋体" w:hAnsi="宋体" w:cs="宋体"/>
                <w:sz w:val="24"/>
              </w:rPr>
              <w:t>不同意分包。</w:t>
            </w:r>
          </w:p>
        </w:tc>
      </w:tr>
      <w:tr w14:paraId="166C16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643" w:hRule="atLeast"/>
          <w:tblHeader/>
          <w:jc w:val="center"/>
        </w:trPr>
        <w:tc>
          <w:tcPr>
            <w:tcW w:w="645" w:type="dxa"/>
            <w:tcBorders>
              <w:top w:val="single" w:color="auto" w:sz="4" w:space="0"/>
              <w:right w:val="single" w:color="auto" w:sz="4" w:space="0"/>
            </w:tcBorders>
            <w:vAlign w:val="center"/>
          </w:tcPr>
          <w:p w14:paraId="5A02FCD6">
            <w:pPr>
              <w:snapToGrid w:val="0"/>
              <w:spacing w:line="300" w:lineRule="exact"/>
              <w:jc w:val="center"/>
              <w:rPr>
                <w:rFonts w:ascii="宋体" w:hAnsi="宋体" w:cs="宋体"/>
                <w:sz w:val="24"/>
              </w:rPr>
            </w:pPr>
            <w:r>
              <w:rPr>
                <w:rFonts w:hint="eastAsia" w:ascii="宋体" w:hAnsi="宋体" w:cs="宋体"/>
                <w:sz w:val="24"/>
              </w:rPr>
              <w:t>4</w:t>
            </w:r>
          </w:p>
        </w:tc>
        <w:tc>
          <w:tcPr>
            <w:tcW w:w="1591" w:type="dxa"/>
            <w:tcBorders>
              <w:top w:val="single" w:color="000000" w:sz="8" w:space="0"/>
              <w:left w:val="single" w:color="auto" w:sz="4" w:space="0"/>
              <w:right w:val="single" w:color="000000" w:sz="8" w:space="0"/>
            </w:tcBorders>
            <w:vAlign w:val="center"/>
          </w:tcPr>
          <w:p w14:paraId="3146137E">
            <w:pPr>
              <w:snapToGrid w:val="0"/>
              <w:spacing w:line="300" w:lineRule="exact"/>
              <w:jc w:val="center"/>
              <w:rPr>
                <w:rFonts w:ascii="宋体" w:hAnsi="宋体" w:cs="宋体"/>
                <w:b/>
                <w:sz w:val="24"/>
              </w:rPr>
            </w:pPr>
            <w:r>
              <w:rPr>
                <w:rFonts w:hint="eastAsia" w:ascii="宋体" w:hAnsi="宋体" w:cs="宋体"/>
                <w:b/>
                <w:sz w:val="24"/>
              </w:rPr>
              <w:t>投标人应当提供的资格文件</w:t>
            </w:r>
          </w:p>
        </w:tc>
        <w:tc>
          <w:tcPr>
            <w:tcW w:w="7347" w:type="dxa"/>
            <w:tcBorders>
              <w:top w:val="single" w:color="000000" w:sz="8" w:space="0"/>
              <w:left w:val="single" w:color="000000" w:sz="2" w:space="0"/>
              <w:right w:val="single" w:color="000000" w:sz="8" w:space="0"/>
            </w:tcBorders>
            <w:vAlign w:val="center"/>
          </w:tcPr>
          <w:p w14:paraId="67F6EE47">
            <w:pPr>
              <w:pStyle w:val="287"/>
              <w:numPr>
                <w:ilvl w:val="0"/>
                <w:numId w:val="1"/>
              </w:numPr>
              <w:snapToGrid w:val="0"/>
              <w:spacing w:line="240" w:lineRule="auto"/>
              <w:ind w:left="0" w:firstLineChars="0"/>
              <w:jc w:val="left"/>
              <w:rPr>
                <w:rFonts w:ascii="宋体" w:hAnsi="宋体" w:eastAsia="宋体" w:cs="宋体"/>
                <w:bCs/>
                <w:kern w:val="0"/>
                <w:lang w:val="zh-CN"/>
              </w:rPr>
            </w:pPr>
            <w:r>
              <w:rPr>
                <w:rFonts w:hint="eastAsia" w:ascii="宋体" w:hAnsi="宋体" w:eastAsia="宋体" w:cs="宋体"/>
              </w:rPr>
              <w:t>①</w:t>
            </w:r>
            <w:r>
              <w:rPr>
                <w:rFonts w:hint="eastAsia" w:ascii="宋体" w:hAnsi="宋体" w:eastAsia="宋体" w:cs="宋体"/>
                <w:bCs/>
                <w:kern w:val="0"/>
                <w:lang w:val="zh-CN"/>
              </w:rPr>
              <w:t>营业执照</w:t>
            </w:r>
            <w:r>
              <w:rPr>
                <w:rFonts w:hint="eastAsia" w:ascii="宋体" w:hAnsi="宋体" w:eastAsia="宋体" w:cs="宋体"/>
                <w:bCs/>
                <w:kern w:val="0"/>
              </w:rPr>
              <w:t>或</w:t>
            </w:r>
            <w:r>
              <w:rPr>
                <w:rFonts w:hint="eastAsia" w:ascii="宋体" w:hAnsi="宋体" w:eastAsia="宋体" w:cs="宋体"/>
                <w:bCs/>
                <w:kern w:val="0"/>
                <w:lang w:val="zh-CN"/>
              </w:rPr>
              <w:t>事业法人证书复印件（加盖单位公章）；</w:t>
            </w:r>
          </w:p>
          <w:p w14:paraId="22FA65BB">
            <w:pPr>
              <w:pStyle w:val="287"/>
              <w:numPr>
                <w:ilvl w:val="0"/>
                <w:numId w:val="1"/>
              </w:numPr>
              <w:snapToGrid w:val="0"/>
              <w:spacing w:line="240" w:lineRule="auto"/>
              <w:ind w:left="0" w:firstLineChars="0"/>
              <w:jc w:val="left"/>
              <w:rPr>
                <w:rFonts w:ascii="宋体" w:hAnsi="宋体" w:eastAsia="宋体" w:cs="宋体"/>
                <w:bCs/>
                <w:kern w:val="0"/>
                <w:lang w:val="zh-CN"/>
              </w:rPr>
            </w:pPr>
            <w:r>
              <w:rPr>
                <w:rFonts w:hint="eastAsia" w:ascii="宋体" w:hAnsi="宋体" w:eastAsia="宋体" w:cs="宋体"/>
                <w:bCs/>
                <w:kern w:val="0"/>
                <w:lang w:val="zh-CN"/>
              </w:rPr>
              <w:t>②符合参加政府采购活动应当具备的一般条件的承诺函（格式见第六</w:t>
            </w:r>
            <w:r>
              <w:rPr>
                <w:rFonts w:hint="eastAsia" w:ascii="宋体" w:hAnsi="宋体" w:eastAsia="宋体" w:cs="宋体"/>
                <w:bCs/>
                <w:kern w:val="0"/>
              </w:rPr>
              <w:t>部分</w:t>
            </w:r>
            <w:r>
              <w:rPr>
                <w:rFonts w:hint="eastAsia" w:ascii="宋体" w:hAnsi="宋体" w:eastAsia="宋体" w:cs="宋体"/>
                <w:bCs/>
                <w:kern w:val="0"/>
                <w:lang w:val="zh-CN"/>
              </w:rPr>
              <w:t>）；</w:t>
            </w:r>
          </w:p>
          <w:p w14:paraId="4E71AA89">
            <w:pPr>
              <w:pStyle w:val="287"/>
              <w:numPr>
                <w:ilvl w:val="0"/>
                <w:numId w:val="1"/>
              </w:numPr>
              <w:snapToGrid w:val="0"/>
              <w:spacing w:line="240" w:lineRule="auto"/>
              <w:ind w:left="0" w:firstLineChars="0"/>
              <w:jc w:val="left"/>
              <w:rPr>
                <w:rFonts w:ascii="宋体" w:hAnsi="宋体" w:eastAsia="宋体" w:cs="宋体"/>
                <w:bCs/>
                <w:kern w:val="0"/>
              </w:rPr>
            </w:pPr>
            <w:r>
              <w:rPr>
                <w:rFonts w:hint="eastAsia" w:ascii="宋体" w:hAnsi="宋体" w:eastAsia="宋体" w:cs="宋体"/>
                <w:bCs/>
                <w:kern w:val="0"/>
                <w:lang w:val="zh-CN"/>
              </w:rPr>
              <w:t>③落实政府采购政策需满足的资格要求</w:t>
            </w:r>
            <w:r>
              <w:rPr>
                <w:rFonts w:hint="eastAsia" w:ascii="宋体" w:hAnsi="宋体" w:eastAsia="宋体" w:cs="宋体"/>
                <w:bCs/>
                <w:kern w:val="0"/>
              </w:rPr>
              <w:t>：</w:t>
            </w:r>
            <w:r>
              <w:rPr>
                <w:rFonts w:hint="eastAsia" w:ascii="宋体" w:hAnsi="宋体" w:eastAsia="宋体" w:cs="宋体"/>
                <w:bCs/>
                <w:kern w:val="0"/>
                <w:lang w:val="zh-CN"/>
              </w:rPr>
              <w:t>该项目已预留份额给中小企业，预留预算总额的40%以上专门面向中小企业采购。要求供应商以联合体形式参加采购活动，合同总额的40%以上须由联合体中享受中小企业扶持政策的企业承担，提供联合协议和中小企业声明函（格式见第六</w:t>
            </w:r>
            <w:r>
              <w:rPr>
                <w:rFonts w:hint="eastAsia" w:ascii="宋体" w:hAnsi="宋体" w:eastAsia="宋体" w:cs="宋体"/>
                <w:bCs/>
                <w:kern w:val="0"/>
              </w:rPr>
              <w:t>部分</w:t>
            </w:r>
            <w:r>
              <w:rPr>
                <w:rFonts w:hint="eastAsia" w:ascii="宋体" w:hAnsi="宋体" w:eastAsia="宋体" w:cs="宋体"/>
                <w:bCs/>
                <w:kern w:val="0"/>
                <w:lang w:val="zh-CN"/>
              </w:rPr>
              <w:t>）;如果供应商自身享受中小企业扶持政策，则无需组成联合体参加本次政府采购活动，无需提供联合协议；</w:t>
            </w:r>
          </w:p>
          <w:p w14:paraId="39904169">
            <w:pPr>
              <w:pStyle w:val="287"/>
              <w:numPr>
                <w:ilvl w:val="0"/>
                <w:numId w:val="1"/>
              </w:numPr>
              <w:snapToGrid w:val="0"/>
              <w:spacing w:line="240" w:lineRule="auto"/>
              <w:ind w:left="0" w:firstLineChars="0"/>
              <w:jc w:val="left"/>
              <w:rPr>
                <w:rFonts w:ascii="宋体" w:hAnsi="宋体" w:eastAsia="宋体" w:cs="宋体"/>
                <w:bCs/>
                <w:kern w:val="0"/>
              </w:rPr>
            </w:pPr>
            <w:r>
              <w:rPr>
                <w:rFonts w:hint="eastAsia" w:ascii="宋体" w:hAnsi="宋体" w:eastAsia="宋体" w:cs="宋体"/>
                <w:bCs/>
                <w:kern w:val="0"/>
              </w:rPr>
              <w:t>④提供未被“</w:t>
            </w:r>
            <w:r>
              <w:rPr>
                <w:rFonts w:hint="eastAsia" w:ascii="宋体" w:hAnsi="宋体" w:eastAsia="宋体" w:cs="宋体"/>
                <w:bCs/>
                <w:kern w:val="0"/>
                <w:lang w:val="zh-CN"/>
              </w:rPr>
              <w:t>信用中国</w:t>
            </w:r>
            <w:r>
              <w:rPr>
                <w:rFonts w:hint="eastAsia" w:ascii="宋体" w:hAnsi="宋体" w:eastAsia="宋体" w:cs="宋体"/>
                <w:bCs/>
                <w:kern w:val="0"/>
              </w:rPr>
              <w:t>”（www.creditchina.gov.cn）</w:t>
            </w:r>
            <w:r>
              <w:rPr>
                <w:rFonts w:hint="eastAsia" w:ascii="宋体" w:hAnsi="宋体" w:eastAsia="宋体" w:cs="宋体"/>
                <w:bCs/>
                <w:kern w:val="0"/>
                <w:lang w:val="zh-CN"/>
              </w:rPr>
              <w:t>、中国政府采购网</w:t>
            </w:r>
            <w:r>
              <w:rPr>
                <w:rFonts w:hint="eastAsia" w:ascii="宋体" w:hAnsi="宋体" w:eastAsia="宋体" w:cs="宋体"/>
                <w:bCs/>
                <w:kern w:val="0"/>
              </w:rPr>
              <w:t>（www.ccgp.gov.cn）</w:t>
            </w:r>
            <w:r>
              <w:rPr>
                <w:rFonts w:hint="eastAsia" w:ascii="宋体" w:hAnsi="宋体" w:eastAsia="宋体" w:cs="宋体"/>
                <w:bCs/>
                <w:kern w:val="0"/>
                <w:lang w:val="zh-CN"/>
              </w:rPr>
              <w:t>列入失信被执行人、</w:t>
            </w:r>
            <w:r>
              <w:rPr>
                <w:rFonts w:hint="eastAsia" w:ascii="宋体" w:hAnsi="宋体" w:eastAsia="宋体" w:cs="宋体"/>
              </w:rPr>
              <w:t>重大税收违法失信主体</w:t>
            </w:r>
            <w:r>
              <w:rPr>
                <w:rFonts w:hint="eastAsia" w:ascii="宋体" w:hAnsi="宋体" w:eastAsia="宋体" w:cs="宋体"/>
                <w:bCs/>
                <w:kern w:val="0"/>
                <w:lang w:val="zh-CN"/>
              </w:rPr>
              <w:t>、政府采购严重违法失信行为记录名单</w:t>
            </w:r>
            <w:r>
              <w:rPr>
                <w:rFonts w:hint="eastAsia" w:ascii="宋体" w:hAnsi="宋体" w:eastAsia="宋体" w:cs="宋体"/>
                <w:bCs/>
                <w:kern w:val="0"/>
              </w:rPr>
              <w:t>（</w:t>
            </w:r>
            <w:r>
              <w:rPr>
                <w:rFonts w:hint="eastAsia" w:ascii="宋体" w:hAnsi="宋体" w:eastAsia="宋体" w:cs="宋体"/>
                <w:bCs/>
                <w:kern w:val="0"/>
                <w:lang w:val="zh-CN"/>
              </w:rPr>
              <w:t>提供官网截图</w:t>
            </w:r>
            <w:r>
              <w:rPr>
                <w:rFonts w:hint="eastAsia" w:ascii="宋体" w:hAnsi="宋体" w:eastAsia="宋体" w:cs="宋体"/>
                <w:bCs/>
                <w:kern w:val="0"/>
              </w:rPr>
              <w:t>）</w:t>
            </w:r>
          </w:p>
          <w:p w14:paraId="5DD056BE">
            <w:pPr>
              <w:pStyle w:val="287"/>
              <w:numPr>
                <w:ilvl w:val="0"/>
                <w:numId w:val="1"/>
              </w:numPr>
              <w:snapToGrid w:val="0"/>
              <w:spacing w:line="240" w:lineRule="auto"/>
              <w:ind w:left="0" w:firstLineChars="0"/>
              <w:jc w:val="left"/>
              <w:rPr>
                <w:rFonts w:ascii="宋体" w:hAnsi="宋体" w:eastAsia="宋体" w:cs="宋体"/>
                <w:bCs/>
                <w:kern w:val="0"/>
              </w:rPr>
            </w:pPr>
            <w:r>
              <w:rPr>
                <w:rFonts w:hint="eastAsia" w:ascii="宋体" w:hAnsi="宋体" w:eastAsia="宋体" w:cs="宋体"/>
                <w:bCs/>
                <w:kern w:val="0"/>
                <w:lang w:val="zh-CN"/>
              </w:rPr>
              <w:t>⑤本项目的特定资格要求：</w:t>
            </w:r>
            <w:r>
              <w:rPr>
                <w:rFonts w:hint="eastAsia" w:ascii="宋体" w:hAnsi="宋体" w:eastAsia="宋体" w:cs="宋体"/>
                <w:bCs/>
                <w:kern w:val="0"/>
              </w:rPr>
              <w:t>无</w:t>
            </w:r>
            <w:r>
              <w:rPr>
                <w:rFonts w:hint="eastAsia" w:ascii="宋体" w:hAnsi="宋体" w:eastAsia="宋体" w:cs="宋体"/>
                <w:bCs/>
                <w:kern w:val="0"/>
                <w:lang w:val="zh-CN"/>
              </w:rPr>
              <w:t>。</w:t>
            </w:r>
          </w:p>
          <w:p w14:paraId="630D3C1D">
            <w:pPr>
              <w:rPr>
                <w:rFonts w:ascii="宋体" w:hAnsi="宋体" w:cs="宋体"/>
                <w:b/>
                <w:snapToGrid w:val="0"/>
                <w:kern w:val="0"/>
                <w:szCs w:val="21"/>
              </w:rPr>
            </w:pPr>
            <w:r>
              <w:rPr>
                <w:rFonts w:hint="eastAsia" w:ascii="宋体" w:hAnsi="宋体" w:cs="宋体"/>
                <w:b/>
                <w:kern w:val="0"/>
                <w:sz w:val="24"/>
                <w:lang w:val="zh-CN"/>
              </w:rPr>
              <w:t>投标人未提供有效的资格证明文件的，视为投标人不具备招标文件中规定的资格要求，其投标无效。</w:t>
            </w:r>
          </w:p>
        </w:tc>
      </w:tr>
      <w:tr w14:paraId="1FBCD3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jc w:val="center"/>
        </w:trPr>
        <w:tc>
          <w:tcPr>
            <w:tcW w:w="645" w:type="dxa"/>
            <w:tcBorders>
              <w:top w:val="single" w:color="auto" w:sz="4" w:space="0"/>
              <w:right w:val="single" w:color="auto" w:sz="4" w:space="0"/>
            </w:tcBorders>
            <w:vAlign w:val="center"/>
          </w:tcPr>
          <w:p w14:paraId="0041808F">
            <w:pPr>
              <w:snapToGrid w:val="0"/>
              <w:spacing w:line="300" w:lineRule="exact"/>
              <w:jc w:val="center"/>
              <w:rPr>
                <w:rFonts w:ascii="宋体" w:hAnsi="宋体" w:cs="宋体"/>
                <w:sz w:val="24"/>
              </w:rPr>
            </w:pPr>
            <w:r>
              <w:rPr>
                <w:rFonts w:hint="eastAsia" w:ascii="宋体" w:hAnsi="宋体" w:cs="宋体"/>
                <w:sz w:val="24"/>
              </w:rPr>
              <w:t>5</w:t>
            </w:r>
          </w:p>
        </w:tc>
        <w:tc>
          <w:tcPr>
            <w:tcW w:w="1591" w:type="dxa"/>
            <w:tcBorders>
              <w:top w:val="single" w:color="000000" w:sz="8" w:space="0"/>
              <w:left w:val="single" w:color="auto" w:sz="4" w:space="0"/>
              <w:right w:val="single" w:color="000000" w:sz="8" w:space="0"/>
            </w:tcBorders>
            <w:vAlign w:val="center"/>
          </w:tcPr>
          <w:p w14:paraId="638F7424">
            <w:pPr>
              <w:snapToGrid w:val="0"/>
              <w:spacing w:line="300" w:lineRule="exact"/>
              <w:jc w:val="center"/>
              <w:rPr>
                <w:rFonts w:ascii="宋体" w:hAnsi="宋体" w:cs="宋体"/>
                <w:b/>
                <w:sz w:val="24"/>
              </w:rPr>
            </w:pPr>
            <w:r>
              <w:rPr>
                <w:rFonts w:hint="eastAsia" w:ascii="宋体" w:hAnsi="宋体" w:cs="宋体"/>
                <w:b/>
                <w:sz w:val="24"/>
              </w:rPr>
              <w:t>投标人应当提供的商务技术文件</w:t>
            </w:r>
          </w:p>
        </w:tc>
        <w:tc>
          <w:tcPr>
            <w:tcW w:w="7347" w:type="dxa"/>
            <w:tcBorders>
              <w:top w:val="single" w:color="000000" w:sz="8" w:space="0"/>
              <w:left w:val="single" w:color="000000" w:sz="2" w:space="0"/>
              <w:right w:val="single" w:color="000000" w:sz="8" w:space="0"/>
            </w:tcBorders>
            <w:vAlign w:val="center"/>
          </w:tcPr>
          <w:p w14:paraId="079F18CB">
            <w:pPr>
              <w:pStyle w:val="287"/>
              <w:numPr>
                <w:ilvl w:val="0"/>
                <w:numId w:val="2"/>
              </w:numPr>
              <w:snapToGrid w:val="0"/>
              <w:spacing w:line="240" w:lineRule="auto"/>
              <w:ind w:left="0" w:firstLineChars="0"/>
              <w:rPr>
                <w:rFonts w:ascii="宋体" w:hAnsi="宋体" w:eastAsia="宋体" w:cs="宋体"/>
                <w:lang w:val="zh-CN"/>
              </w:rPr>
            </w:pPr>
            <w:r>
              <w:rPr>
                <w:rFonts w:hint="eastAsia" w:ascii="宋体" w:hAnsi="宋体" w:eastAsia="宋体" w:cs="宋体"/>
              </w:rPr>
              <w:t>①投标函；</w:t>
            </w:r>
          </w:p>
          <w:p w14:paraId="4EDC9971">
            <w:pPr>
              <w:pStyle w:val="287"/>
              <w:numPr>
                <w:ilvl w:val="0"/>
                <w:numId w:val="2"/>
              </w:numPr>
              <w:snapToGrid w:val="0"/>
              <w:spacing w:line="240" w:lineRule="auto"/>
              <w:ind w:left="0" w:firstLineChars="0"/>
              <w:rPr>
                <w:rFonts w:ascii="宋体" w:hAnsi="宋体" w:eastAsia="宋体" w:cs="宋体"/>
                <w:lang w:val="zh-CN"/>
              </w:rPr>
            </w:pPr>
            <w:r>
              <w:rPr>
                <w:rFonts w:hint="eastAsia" w:ascii="宋体" w:hAnsi="宋体" w:eastAsia="宋体" w:cs="宋体"/>
              </w:rPr>
              <w:t>②授权委托书或法定代表人（单位负责人、自然人本人）身份证明；</w:t>
            </w:r>
          </w:p>
          <w:p w14:paraId="45D68B7A">
            <w:pPr>
              <w:pStyle w:val="287"/>
              <w:numPr>
                <w:ilvl w:val="0"/>
                <w:numId w:val="2"/>
              </w:numPr>
              <w:snapToGrid w:val="0"/>
              <w:spacing w:line="240" w:lineRule="auto"/>
              <w:ind w:left="0" w:firstLineChars="0"/>
              <w:rPr>
                <w:rFonts w:ascii="宋体" w:hAnsi="宋体" w:eastAsia="宋体" w:cs="宋体"/>
                <w:lang w:val="zh-CN"/>
              </w:rPr>
            </w:pPr>
            <w:r>
              <w:rPr>
                <w:rFonts w:hint="eastAsia" w:ascii="宋体" w:hAnsi="宋体" w:eastAsia="宋体" w:cs="宋体"/>
              </w:rPr>
              <w:t>③联合协议（如需）；</w:t>
            </w:r>
          </w:p>
          <w:p w14:paraId="34BE6D24">
            <w:pPr>
              <w:pStyle w:val="287"/>
              <w:numPr>
                <w:ilvl w:val="0"/>
                <w:numId w:val="2"/>
              </w:numPr>
              <w:snapToGrid w:val="0"/>
              <w:spacing w:line="240" w:lineRule="auto"/>
              <w:ind w:left="0" w:firstLineChars="0"/>
              <w:rPr>
                <w:rFonts w:ascii="宋体" w:hAnsi="宋体" w:eastAsia="宋体" w:cs="宋体"/>
                <w:lang w:val="zh-CN"/>
              </w:rPr>
            </w:pPr>
            <w:r>
              <w:rPr>
                <w:rFonts w:hint="eastAsia" w:ascii="宋体" w:hAnsi="宋体" w:eastAsia="宋体" w:cs="宋体"/>
              </w:rPr>
              <w:t>④分包意向协议（如需）；</w:t>
            </w:r>
          </w:p>
          <w:p w14:paraId="372BA16E">
            <w:pPr>
              <w:pStyle w:val="287"/>
              <w:numPr>
                <w:ilvl w:val="0"/>
                <w:numId w:val="2"/>
              </w:numPr>
              <w:snapToGrid w:val="0"/>
              <w:spacing w:line="240" w:lineRule="auto"/>
              <w:ind w:left="0" w:firstLineChars="0"/>
              <w:rPr>
                <w:rFonts w:ascii="宋体" w:hAnsi="宋体" w:eastAsia="宋体" w:cs="宋体"/>
                <w:lang w:val="zh-CN"/>
              </w:rPr>
            </w:pPr>
            <w:r>
              <w:rPr>
                <w:rFonts w:hint="eastAsia" w:ascii="宋体" w:hAnsi="宋体" w:eastAsia="宋体" w:cs="宋体"/>
              </w:rPr>
              <w:t>⑤符合性审查资料；</w:t>
            </w:r>
          </w:p>
          <w:p w14:paraId="0FA41BC1">
            <w:pPr>
              <w:pStyle w:val="287"/>
              <w:numPr>
                <w:ilvl w:val="0"/>
                <w:numId w:val="2"/>
              </w:numPr>
              <w:snapToGrid w:val="0"/>
              <w:spacing w:line="240" w:lineRule="auto"/>
              <w:ind w:left="0" w:firstLineChars="0"/>
              <w:rPr>
                <w:rFonts w:ascii="宋体" w:hAnsi="宋体" w:eastAsia="宋体" w:cs="宋体"/>
                <w:lang w:val="zh-CN"/>
              </w:rPr>
            </w:pPr>
            <w:r>
              <w:rPr>
                <w:rFonts w:hint="eastAsia" w:ascii="宋体" w:hAnsi="宋体" w:eastAsia="宋体" w:cs="宋体"/>
              </w:rPr>
              <w:t>⑥评标标准相应的商务技术资料（如需）；</w:t>
            </w:r>
          </w:p>
          <w:p w14:paraId="568F06F1">
            <w:pPr>
              <w:pStyle w:val="287"/>
              <w:numPr>
                <w:ilvl w:val="0"/>
                <w:numId w:val="2"/>
              </w:numPr>
              <w:snapToGrid w:val="0"/>
              <w:spacing w:line="240" w:lineRule="auto"/>
              <w:ind w:left="0" w:firstLineChars="0"/>
              <w:rPr>
                <w:rFonts w:ascii="宋体" w:hAnsi="宋体" w:eastAsia="宋体" w:cs="宋体"/>
                <w:lang w:val="zh-CN"/>
              </w:rPr>
            </w:pPr>
            <w:r>
              <w:rPr>
                <w:rFonts w:hint="eastAsia" w:ascii="宋体" w:hAnsi="宋体" w:eastAsia="宋体" w:cs="宋体"/>
              </w:rPr>
              <w:t>⑦商务技术偏离表；</w:t>
            </w:r>
          </w:p>
          <w:p w14:paraId="1725677C">
            <w:pPr>
              <w:pStyle w:val="287"/>
              <w:numPr>
                <w:ilvl w:val="0"/>
                <w:numId w:val="2"/>
              </w:numPr>
              <w:snapToGrid w:val="0"/>
              <w:spacing w:line="240" w:lineRule="auto"/>
              <w:ind w:left="0" w:firstLineChars="0"/>
              <w:rPr>
                <w:rFonts w:ascii="宋体" w:hAnsi="宋体" w:eastAsia="宋体" w:cs="宋体"/>
                <w:lang w:val="zh-CN"/>
              </w:rPr>
            </w:pPr>
            <w:r>
              <w:rPr>
                <w:rFonts w:hint="eastAsia" w:ascii="宋体" w:hAnsi="宋体" w:eastAsia="宋体" w:cs="宋体"/>
                <w:lang w:val="zh-CN"/>
              </w:rPr>
              <w:t>⑧政府采购供应商廉洁自律承诺书。</w:t>
            </w:r>
          </w:p>
          <w:p w14:paraId="29CF7C34">
            <w:pPr>
              <w:rPr>
                <w:rFonts w:ascii="宋体" w:hAnsi="宋体" w:cs="宋体"/>
                <w:lang w:val="zh-CN"/>
              </w:rPr>
            </w:pPr>
            <w:r>
              <w:rPr>
                <w:rFonts w:hint="eastAsia" w:ascii="宋体" w:hAnsi="宋体" w:cs="宋体"/>
                <w:b/>
                <w:kern w:val="0"/>
                <w:sz w:val="24"/>
                <w:lang w:val="zh-CN"/>
              </w:rPr>
              <w:t>投标文件项目不齐全或内容虚假的，将视为无效投标。</w:t>
            </w:r>
          </w:p>
        </w:tc>
      </w:tr>
      <w:tr w14:paraId="1B6635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22" w:hRule="atLeast"/>
          <w:tblHeader/>
          <w:jc w:val="center"/>
        </w:trPr>
        <w:tc>
          <w:tcPr>
            <w:tcW w:w="645" w:type="dxa"/>
            <w:tcBorders>
              <w:top w:val="single" w:color="auto" w:sz="4" w:space="0"/>
              <w:right w:val="single" w:color="auto" w:sz="4" w:space="0"/>
            </w:tcBorders>
            <w:vAlign w:val="center"/>
          </w:tcPr>
          <w:p w14:paraId="1002E7F9">
            <w:pPr>
              <w:snapToGrid w:val="0"/>
              <w:spacing w:line="300" w:lineRule="exact"/>
              <w:jc w:val="center"/>
              <w:rPr>
                <w:rFonts w:ascii="宋体" w:hAnsi="宋体" w:cs="宋体"/>
                <w:sz w:val="24"/>
              </w:rPr>
            </w:pPr>
            <w:r>
              <w:rPr>
                <w:rFonts w:hint="eastAsia" w:ascii="宋体" w:hAnsi="宋体" w:cs="宋体"/>
                <w:sz w:val="24"/>
              </w:rPr>
              <w:t>6</w:t>
            </w:r>
          </w:p>
        </w:tc>
        <w:tc>
          <w:tcPr>
            <w:tcW w:w="1591" w:type="dxa"/>
            <w:tcBorders>
              <w:top w:val="single" w:color="000000" w:sz="8" w:space="0"/>
              <w:left w:val="single" w:color="auto" w:sz="4" w:space="0"/>
              <w:right w:val="single" w:color="000000" w:sz="8" w:space="0"/>
            </w:tcBorders>
            <w:vAlign w:val="center"/>
          </w:tcPr>
          <w:p w14:paraId="7A175D9D">
            <w:pPr>
              <w:snapToGrid w:val="0"/>
              <w:spacing w:line="300" w:lineRule="exact"/>
              <w:jc w:val="center"/>
              <w:rPr>
                <w:rFonts w:ascii="宋体" w:hAnsi="宋体" w:cs="宋体"/>
                <w:b/>
                <w:sz w:val="24"/>
              </w:rPr>
            </w:pPr>
            <w:r>
              <w:rPr>
                <w:rFonts w:hint="eastAsia" w:ascii="宋体" w:hAnsi="宋体" w:cs="宋体"/>
                <w:b/>
                <w:sz w:val="24"/>
              </w:rPr>
              <w:t>投标人应当提供的报价文件</w:t>
            </w:r>
          </w:p>
        </w:tc>
        <w:tc>
          <w:tcPr>
            <w:tcW w:w="7347" w:type="dxa"/>
            <w:tcBorders>
              <w:top w:val="single" w:color="000000" w:sz="8" w:space="0"/>
              <w:left w:val="single" w:color="000000" w:sz="2" w:space="0"/>
              <w:right w:val="single" w:color="000000" w:sz="8" w:space="0"/>
            </w:tcBorders>
            <w:vAlign w:val="center"/>
          </w:tcPr>
          <w:p w14:paraId="7B751298">
            <w:pPr>
              <w:pStyle w:val="287"/>
              <w:numPr>
                <w:ilvl w:val="0"/>
                <w:numId w:val="3"/>
              </w:numPr>
              <w:spacing w:line="364" w:lineRule="exact"/>
              <w:ind w:left="0" w:firstLineChars="0"/>
              <w:rPr>
                <w:rFonts w:ascii="宋体" w:hAnsi="宋体" w:eastAsia="宋体" w:cs="宋体"/>
              </w:rPr>
            </w:pPr>
            <w:r>
              <w:rPr>
                <w:rFonts w:hint="eastAsia" w:ascii="宋体" w:hAnsi="宋体" w:eastAsia="宋体" w:cs="宋体"/>
              </w:rPr>
              <w:t>①开标一览表（报价表）；</w:t>
            </w:r>
          </w:p>
          <w:p w14:paraId="35E4142E">
            <w:pPr>
              <w:pStyle w:val="287"/>
              <w:numPr>
                <w:ilvl w:val="0"/>
                <w:numId w:val="3"/>
              </w:numPr>
              <w:spacing w:line="364" w:lineRule="exact"/>
              <w:ind w:left="0" w:firstLineChars="0"/>
              <w:rPr>
                <w:rFonts w:ascii="宋体" w:hAnsi="宋体" w:eastAsia="宋体" w:cs="宋体"/>
              </w:rPr>
            </w:pPr>
            <w:r>
              <w:rPr>
                <w:rFonts w:hint="eastAsia" w:ascii="宋体" w:hAnsi="宋体" w:eastAsia="宋体" w:cs="宋体"/>
              </w:rPr>
              <w:t>②中小企业声明函（如需）；</w:t>
            </w:r>
          </w:p>
          <w:p w14:paraId="0EAD949C">
            <w:pPr>
              <w:pStyle w:val="287"/>
              <w:numPr>
                <w:ilvl w:val="0"/>
                <w:numId w:val="3"/>
              </w:numPr>
              <w:spacing w:line="364" w:lineRule="exact"/>
              <w:ind w:left="0" w:firstLineChars="0"/>
              <w:rPr>
                <w:rFonts w:ascii="宋体" w:hAnsi="宋体" w:eastAsia="宋体" w:cs="宋体"/>
              </w:rPr>
            </w:pPr>
            <w:r>
              <w:rPr>
                <w:rFonts w:hint="eastAsia" w:ascii="宋体" w:hAnsi="宋体" w:eastAsia="宋体" w:cs="宋体"/>
              </w:rPr>
              <w:t>③《关于符合本国产品标准的声明函》（如需）；</w:t>
            </w:r>
          </w:p>
          <w:p w14:paraId="78D1B3A0">
            <w:pPr>
              <w:pStyle w:val="287"/>
              <w:numPr>
                <w:ilvl w:val="0"/>
                <w:numId w:val="3"/>
              </w:numPr>
              <w:spacing w:line="364" w:lineRule="exact"/>
              <w:ind w:left="0" w:firstLineChars="0"/>
              <w:rPr>
                <w:rFonts w:ascii="宋体" w:hAnsi="宋体" w:eastAsia="宋体" w:cs="宋体"/>
              </w:rPr>
            </w:pPr>
            <w:r>
              <w:rPr>
                <w:rFonts w:hint="eastAsia" w:ascii="宋体" w:hAnsi="宋体" w:eastAsia="宋体" w:cs="宋体"/>
              </w:rPr>
              <w:t>④《关于符合本国产品标准的成本占比的承诺函》（如需）。</w:t>
            </w:r>
          </w:p>
          <w:p w14:paraId="60F69978">
            <w:pPr>
              <w:pStyle w:val="287"/>
              <w:numPr>
                <w:ilvl w:val="0"/>
                <w:numId w:val="1"/>
              </w:numPr>
              <w:snapToGrid w:val="0"/>
              <w:spacing w:line="240" w:lineRule="auto"/>
              <w:ind w:left="0" w:firstLineChars="0"/>
              <w:jc w:val="left"/>
              <w:rPr>
                <w:rFonts w:ascii="宋体" w:hAnsi="宋体" w:eastAsia="宋体" w:cs="宋体"/>
                <w:b/>
              </w:rPr>
            </w:pPr>
            <w:r>
              <w:rPr>
                <w:rFonts w:hint="eastAsia" w:ascii="宋体" w:hAnsi="宋体" w:eastAsia="宋体" w:cs="宋体"/>
                <w:b/>
              </w:rPr>
              <w:t>投标文件含有采购人不能接受的附加条件的，</w:t>
            </w:r>
            <w:r>
              <w:rPr>
                <w:rFonts w:hint="eastAsia" w:ascii="宋体" w:hAnsi="宋体" w:eastAsia="宋体" w:cs="宋体"/>
                <w:b/>
                <w:kern w:val="0"/>
                <w:lang w:val="zh-CN"/>
              </w:rPr>
              <w:t>将视为无效投标。</w:t>
            </w:r>
          </w:p>
        </w:tc>
      </w:tr>
      <w:tr w14:paraId="41F1D0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34" w:hRule="atLeast"/>
          <w:tblHeader/>
          <w:jc w:val="center"/>
        </w:trPr>
        <w:tc>
          <w:tcPr>
            <w:tcW w:w="645" w:type="dxa"/>
            <w:tcBorders>
              <w:top w:val="single" w:color="auto" w:sz="4" w:space="0"/>
              <w:bottom w:val="single" w:color="auto" w:sz="4" w:space="0"/>
              <w:right w:val="single" w:color="auto" w:sz="4" w:space="0"/>
            </w:tcBorders>
            <w:vAlign w:val="center"/>
          </w:tcPr>
          <w:p w14:paraId="10958F8E">
            <w:pPr>
              <w:snapToGrid w:val="0"/>
              <w:spacing w:line="300" w:lineRule="exact"/>
              <w:jc w:val="center"/>
              <w:rPr>
                <w:rFonts w:ascii="宋体" w:hAnsi="宋体" w:cs="宋体"/>
                <w:sz w:val="24"/>
              </w:rPr>
            </w:pPr>
            <w:r>
              <w:rPr>
                <w:rFonts w:hint="eastAsia" w:ascii="宋体" w:hAnsi="宋体" w:cs="宋体"/>
                <w:sz w:val="24"/>
              </w:rPr>
              <w:t>7</w:t>
            </w:r>
          </w:p>
        </w:tc>
        <w:tc>
          <w:tcPr>
            <w:tcW w:w="1591" w:type="dxa"/>
            <w:tcBorders>
              <w:top w:val="single" w:color="000000" w:sz="8" w:space="0"/>
              <w:left w:val="single" w:color="auto" w:sz="4" w:space="0"/>
              <w:bottom w:val="single" w:color="000000" w:sz="8" w:space="0"/>
              <w:right w:val="single" w:color="000000" w:sz="8" w:space="0"/>
            </w:tcBorders>
            <w:vAlign w:val="center"/>
          </w:tcPr>
          <w:p w14:paraId="75DC18A6">
            <w:pPr>
              <w:snapToGrid w:val="0"/>
              <w:spacing w:line="300" w:lineRule="exact"/>
              <w:jc w:val="center"/>
              <w:rPr>
                <w:rFonts w:ascii="宋体" w:hAnsi="宋体" w:cs="宋体"/>
                <w:b/>
                <w:sz w:val="24"/>
              </w:rPr>
            </w:pPr>
            <w:r>
              <w:rPr>
                <w:rFonts w:hint="eastAsia" w:ascii="宋体" w:hAnsi="宋体" w:cs="宋体"/>
                <w:b/>
                <w:sz w:val="24"/>
              </w:rPr>
              <w:t>开标前答疑会或现场考察</w:t>
            </w:r>
          </w:p>
        </w:tc>
        <w:tc>
          <w:tcPr>
            <w:tcW w:w="7347" w:type="dxa"/>
            <w:tcBorders>
              <w:top w:val="single" w:color="000000" w:sz="8" w:space="0"/>
              <w:left w:val="single" w:color="000000" w:sz="2" w:space="0"/>
              <w:bottom w:val="single" w:color="000000" w:sz="8" w:space="0"/>
              <w:right w:val="single" w:color="000000" w:sz="8" w:space="0"/>
            </w:tcBorders>
            <w:vAlign w:val="center"/>
          </w:tcPr>
          <w:p w14:paraId="63A63989">
            <w:pPr>
              <w:spacing w:line="288" w:lineRule="auto"/>
              <w:rPr>
                <w:rFonts w:ascii="宋体" w:hAnsi="宋体" w:cs="宋体"/>
                <w:sz w:val="24"/>
                <w:szCs w:val="20"/>
              </w:rPr>
            </w:pPr>
            <w:r>
              <w:rPr>
                <w:rFonts w:hint="eastAsia" w:ascii="宋体" w:hAnsi="宋体" w:cs="宋体"/>
                <w:kern w:val="0"/>
                <w:sz w:val="24"/>
              </w:rPr>
              <w:sym w:font="Wingdings" w:char="F0FE"/>
            </w:r>
            <w:r>
              <w:rPr>
                <w:rFonts w:hint="eastAsia" w:ascii="宋体" w:hAnsi="宋体" w:cs="宋体"/>
                <w:kern w:val="0"/>
                <w:sz w:val="24"/>
              </w:rPr>
              <w:t>A</w:t>
            </w:r>
            <w:r>
              <w:rPr>
                <w:rFonts w:hint="eastAsia" w:ascii="宋体" w:hAnsi="宋体" w:cs="宋体"/>
                <w:sz w:val="24"/>
              </w:rPr>
              <w:t>不组织。</w:t>
            </w:r>
          </w:p>
        </w:tc>
      </w:tr>
      <w:tr w14:paraId="5FF59C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jc w:val="center"/>
        </w:trPr>
        <w:tc>
          <w:tcPr>
            <w:tcW w:w="645" w:type="dxa"/>
            <w:tcBorders>
              <w:top w:val="single" w:color="auto" w:sz="4" w:space="0"/>
              <w:bottom w:val="single" w:color="auto" w:sz="4" w:space="0"/>
              <w:right w:val="single" w:color="auto" w:sz="4" w:space="0"/>
            </w:tcBorders>
            <w:vAlign w:val="center"/>
          </w:tcPr>
          <w:p w14:paraId="7582E6A6">
            <w:pPr>
              <w:snapToGrid w:val="0"/>
              <w:spacing w:line="300" w:lineRule="exact"/>
              <w:jc w:val="center"/>
              <w:rPr>
                <w:rFonts w:ascii="宋体" w:hAnsi="宋体" w:cs="宋体"/>
                <w:sz w:val="24"/>
              </w:rPr>
            </w:pPr>
            <w:r>
              <w:rPr>
                <w:rFonts w:hint="eastAsia" w:ascii="宋体" w:hAnsi="宋体" w:cs="宋体"/>
                <w:sz w:val="24"/>
              </w:rPr>
              <w:t>8</w:t>
            </w:r>
          </w:p>
        </w:tc>
        <w:tc>
          <w:tcPr>
            <w:tcW w:w="1591" w:type="dxa"/>
            <w:tcBorders>
              <w:top w:val="single" w:color="000000" w:sz="8" w:space="0"/>
              <w:left w:val="single" w:color="auto" w:sz="4" w:space="0"/>
              <w:bottom w:val="single" w:color="000000" w:sz="8" w:space="0"/>
              <w:right w:val="single" w:color="000000" w:sz="8" w:space="0"/>
            </w:tcBorders>
            <w:vAlign w:val="center"/>
          </w:tcPr>
          <w:p w14:paraId="1F4A30D9">
            <w:pPr>
              <w:snapToGrid w:val="0"/>
              <w:spacing w:line="300" w:lineRule="exact"/>
              <w:jc w:val="center"/>
              <w:rPr>
                <w:rFonts w:ascii="宋体" w:hAnsi="宋体" w:cs="宋体"/>
                <w:b/>
                <w:sz w:val="24"/>
              </w:rPr>
            </w:pPr>
            <w:r>
              <w:rPr>
                <w:rFonts w:hint="eastAsia" w:ascii="宋体" w:hAnsi="宋体" w:cs="宋体"/>
                <w:b/>
                <w:sz w:val="24"/>
              </w:rPr>
              <w:t>样品提供</w:t>
            </w:r>
          </w:p>
        </w:tc>
        <w:tc>
          <w:tcPr>
            <w:tcW w:w="7347" w:type="dxa"/>
            <w:tcBorders>
              <w:top w:val="single" w:color="000000" w:sz="8" w:space="0"/>
              <w:left w:val="single" w:color="000000" w:sz="2" w:space="0"/>
              <w:bottom w:val="single" w:color="000000" w:sz="8" w:space="0"/>
              <w:right w:val="single" w:color="000000" w:sz="8" w:space="0"/>
            </w:tcBorders>
            <w:vAlign w:val="center"/>
          </w:tcPr>
          <w:p w14:paraId="66619A9D">
            <w:pPr>
              <w:spacing w:line="288" w:lineRule="auto"/>
              <w:rPr>
                <w:rFonts w:ascii="宋体" w:hAnsi="宋体" w:cs="宋体"/>
                <w:b/>
                <w:sz w:val="24"/>
              </w:rPr>
            </w:pPr>
            <w:r>
              <w:rPr>
                <w:rFonts w:hint="eastAsia" w:ascii="宋体" w:hAnsi="宋体" w:cs="宋体"/>
                <w:kern w:val="0"/>
                <w:sz w:val="24"/>
              </w:rPr>
              <w:sym w:font="Wingdings" w:char="00FE"/>
            </w:r>
            <w:r>
              <w:rPr>
                <w:rFonts w:hint="eastAsia" w:ascii="宋体" w:hAnsi="宋体" w:cs="宋体"/>
                <w:kern w:val="0"/>
                <w:sz w:val="24"/>
              </w:rPr>
              <w:t xml:space="preserve"> A不要求提供</w:t>
            </w:r>
            <w:r>
              <w:rPr>
                <w:rFonts w:hint="eastAsia" w:ascii="宋体" w:hAnsi="宋体" w:cs="宋体"/>
                <w:sz w:val="24"/>
              </w:rPr>
              <w:t>。</w:t>
            </w:r>
          </w:p>
        </w:tc>
      </w:tr>
      <w:tr w14:paraId="62EC80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43" w:hRule="atLeast"/>
          <w:tblHeader/>
          <w:jc w:val="center"/>
        </w:trPr>
        <w:tc>
          <w:tcPr>
            <w:tcW w:w="645" w:type="dxa"/>
            <w:tcBorders>
              <w:top w:val="single" w:color="auto" w:sz="4" w:space="0"/>
              <w:left w:val="single" w:color="000000" w:sz="8" w:space="0"/>
              <w:bottom w:val="single" w:color="auto" w:sz="4" w:space="0"/>
              <w:right w:val="single" w:color="000000" w:sz="2" w:space="0"/>
            </w:tcBorders>
            <w:vAlign w:val="center"/>
          </w:tcPr>
          <w:p w14:paraId="25D4F971">
            <w:pPr>
              <w:snapToGrid w:val="0"/>
              <w:spacing w:line="300" w:lineRule="exact"/>
              <w:jc w:val="center"/>
              <w:rPr>
                <w:rFonts w:ascii="宋体" w:hAnsi="宋体" w:cs="宋体"/>
                <w:sz w:val="24"/>
              </w:rPr>
            </w:pPr>
            <w:r>
              <w:rPr>
                <w:rFonts w:hint="eastAsia" w:ascii="宋体" w:hAnsi="宋体" w:cs="宋体"/>
                <w:sz w:val="24"/>
              </w:rPr>
              <w:t>9</w:t>
            </w:r>
          </w:p>
        </w:tc>
        <w:tc>
          <w:tcPr>
            <w:tcW w:w="1591" w:type="dxa"/>
            <w:tcBorders>
              <w:top w:val="single" w:color="000000" w:sz="8" w:space="0"/>
              <w:left w:val="single" w:color="000000" w:sz="2" w:space="0"/>
              <w:bottom w:val="single" w:color="000000" w:sz="8" w:space="0"/>
              <w:right w:val="single" w:color="000000" w:sz="8" w:space="0"/>
            </w:tcBorders>
            <w:vAlign w:val="center"/>
          </w:tcPr>
          <w:p w14:paraId="44F1F2BD">
            <w:pPr>
              <w:snapToGrid w:val="0"/>
              <w:spacing w:line="300" w:lineRule="exact"/>
              <w:jc w:val="center"/>
              <w:rPr>
                <w:rFonts w:ascii="宋体" w:hAnsi="宋体" w:cs="宋体"/>
                <w:bCs/>
                <w:sz w:val="24"/>
              </w:rPr>
            </w:pPr>
            <w:r>
              <w:rPr>
                <w:rFonts w:hint="eastAsia" w:ascii="宋体" w:hAnsi="宋体" w:cs="宋体"/>
                <w:b/>
                <w:sz w:val="24"/>
              </w:rPr>
              <w:t>方案讲解演示</w:t>
            </w:r>
          </w:p>
        </w:tc>
        <w:tc>
          <w:tcPr>
            <w:tcW w:w="7347" w:type="dxa"/>
            <w:tcBorders>
              <w:top w:val="single" w:color="000000" w:sz="8" w:space="0"/>
              <w:left w:val="single" w:color="000000" w:sz="2" w:space="0"/>
              <w:bottom w:val="single" w:color="000000" w:sz="8" w:space="0"/>
              <w:right w:val="single" w:color="000000" w:sz="8" w:space="0"/>
            </w:tcBorders>
            <w:vAlign w:val="center"/>
          </w:tcPr>
          <w:p w14:paraId="45E104B7">
            <w:pPr>
              <w:snapToGrid w:val="0"/>
              <w:spacing w:line="288" w:lineRule="auto"/>
              <w:rPr>
                <w:rFonts w:ascii="宋体" w:hAnsi="宋体" w:cs="宋体"/>
                <w:kern w:val="0"/>
                <w:sz w:val="24"/>
                <w:lang w:val="zh-CN"/>
              </w:rPr>
            </w:pPr>
            <w:r>
              <w:rPr>
                <w:rFonts w:hint="eastAsia" w:ascii="宋体" w:hAnsi="宋体" w:cs="宋体"/>
                <w:kern w:val="0"/>
                <w:sz w:val="24"/>
              </w:rPr>
              <w:sym w:font="Wingdings" w:char="00FE"/>
            </w:r>
            <w:r>
              <w:rPr>
                <w:rFonts w:hint="eastAsia" w:ascii="宋体" w:hAnsi="宋体" w:cs="宋体"/>
                <w:kern w:val="0"/>
                <w:sz w:val="24"/>
              </w:rPr>
              <w:t>A不组织</w:t>
            </w:r>
          </w:p>
        </w:tc>
      </w:tr>
      <w:tr w14:paraId="026E2C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12" w:hRule="atLeast"/>
          <w:tblHeader/>
          <w:jc w:val="center"/>
        </w:trPr>
        <w:tc>
          <w:tcPr>
            <w:tcW w:w="645" w:type="dxa"/>
            <w:tcBorders>
              <w:top w:val="single" w:color="auto" w:sz="4" w:space="0"/>
              <w:left w:val="single" w:color="000000" w:sz="8" w:space="0"/>
              <w:bottom w:val="single" w:color="auto" w:sz="4" w:space="0"/>
              <w:right w:val="single" w:color="000000" w:sz="2" w:space="0"/>
            </w:tcBorders>
            <w:vAlign w:val="center"/>
          </w:tcPr>
          <w:p w14:paraId="7CDAFE06">
            <w:pPr>
              <w:snapToGrid w:val="0"/>
              <w:spacing w:line="300" w:lineRule="exact"/>
              <w:jc w:val="center"/>
              <w:rPr>
                <w:rFonts w:ascii="宋体" w:hAnsi="宋体" w:cs="宋体"/>
                <w:color w:val="FF0000"/>
                <w:sz w:val="24"/>
              </w:rPr>
            </w:pPr>
            <w:r>
              <w:rPr>
                <w:rFonts w:hint="eastAsia" w:ascii="宋体" w:hAnsi="宋体" w:cs="宋体"/>
                <w:sz w:val="24"/>
              </w:rPr>
              <w:t>10</w:t>
            </w:r>
          </w:p>
        </w:tc>
        <w:tc>
          <w:tcPr>
            <w:tcW w:w="1591" w:type="dxa"/>
            <w:tcBorders>
              <w:top w:val="single" w:color="000000" w:sz="8" w:space="0"/>
              <w:left w:val="single" w:color="000000" w:sz="2" w:space="0"/>
              <w:bottom w:val="single" w:color="000000" w:sz="8" w:space="0"/>
              <w:right w:val="single" w:color="000000" w:sz="8" w:space="0"/>
            </w:tcBorders>
            <w:vAlign w:val="center"/>
          </w:tcPr>
          <w:p w14:paraId="7D41D5F7">
            <w:pPr>
              <w:snapToGrid w:val="0"/>
              <w:spacing w:line="300" w:lineRule="exact"/>
              <w:jc w:val="center"/>
              <w:rPr>
                <w:rFonts w:ascii="宋体" w:hAnsi="宋体" w:cs="宋体"/>
                <w:b/>
                <w:sz w:val="24"/>
              </w:rPr>
            </w:pPr>
            <w:r>
              <w:rPr>
                <w:rFonts w:hint="eastAsia" w:ascii="宋体" w:hAnsi="宋体" w:cs="宋体"/>
                <w:b/>
                <w:sz w:val="24"/>
              </w:rPr>
              <w:t>保证金收取</w:t>
            </w:r>
          </w:p>
        </w:tc>
        <w:tc>
          <w:tcPr>
            <w:tcW w:w="7347" w:type="dxa"/>
            <w:tcBorders>
              <w:top w:val="single" w:color="000000" w:sz="8" w:space="0"/>
              <w:left w:val="single" w:color="000000" w:sz="2" w:space="0"/>
              <w:bottom w:val="single" w:color="000000" w:sz="8" w:space="0"/>
              <w:right w:val="single" w:color="000000" w:sz="8" w:space="0"/>
            </w:tcBorders>
            <w:vAlign w:val="center"/>
          </w:tcPr>
          <w:p w14:paraId="4D6F26D7">
            <w:pPr>
              <w:spacing w:line="288" w:lineRule="auto"/>
              <w:rPr>
                <w:rFonts w:ascii="宋体" w:hAnsi="宋体" w:cs="宋体"/>
                <w:kern w:val="0"/>
                <w:sz w:val="24"/>
              </w:rPr>
            </w:pPr>
            <w:r>
              <w:rPr>
                <w:rFonts w:hint="eastAsia" w:ascii="宋体" w:hAnsi="宋体" w:cs="宋体"/>
                <w:kern w:val="0"/>
                <w:sz w:val="24"/>
              </w:rPr>
              <w:t>本项目不收取投标保证金。</w:t>
            </w:r>
          </w:p>
        </w:tc>
      </w:tr>
      <w:tr w14:paraId="6D19F7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jc w:val="center"/>
        </w:trPr>
        <w:tc>
          <w:tcPr>
            <w:tcW w:w="645" w:type="dxa"/>
            <w:tcBorders>
              <w:top w:val="single" w:color="auto" w:sz="4" w:space="0"/>
              <w:left w:val="single" w:color="000000" w:sz="8" w:space="0"/>
              <w:bottom w:val="single" w:color="auto" w:sz="4" w:space="0"/>
              <w:right w:val="single" w:color="000000" w:sz="2" w:space="0"/>
            </w:tcBorders>
            <w:vAlign w:val="center"/>
          </w:tcPr>
          <w:p w14:paraId="048CE58C">
            <w:pPr>
              <w:snapToGrid w:val="0"/>
              <w:spacing w:line="300" w:lineRule="exact"/>
              <w:jc w:val="center"/>
              <w:rPr>
                <w:rFonts w:ascii="宋体" w:hAnsi="宋体" w:cs="宋体"/>
                <w:sz w:val="24"/>
              </w:rPr>
            </w:pPr>
            <w:r>
              <w:rPr>
                <w:rFonts w:hint="eastAsia" w:ascii="宋体" w:hAnsi="宋体" w:cs="宋体"/>
                <w:sz w:val="24"/>
              </w:rPr>
              <w:t>11</w:t>
            </w:r>
          </w:p>
        </w:tc>
        <w:tc>
          <w:tcPr>
            <w:tcW w:w="1591" w:type="dxa"/>
            <w:tcBorders>
              <w:top w:val="single" w:color="000000" w:sz="8" w:space="0"/>
              <w:left w:val="single" w:color="000000" w:sz="2" w:space="0"/>
              <w:bottom w:val="single" w:color="000000" w:sz="8" w:space="0"/>
              <w:right w:val="single" w:color="000000" w:sz="8" w:space="0"/>
            </w:tcBorders>
            <w:vAlign w:val="center"/>
          </w:tcPr>
          <w:p w14:paraId="6302E633">
            <w:pPr>
              <w:snapToGrid w:val="0"/>
              <w:spacing w:line="300" w:lineRule="exact"/>
              <w:jc w:val="center"/>
              <w:rPr>
                <w:rFonts w:ascii="宋体" w:hAnsi="宋体" w:cs="宋体"/>
                <w:b/>
                <w:sz w:val="24"/>
              </w:rPr>
            </w:pPr>
            <w:r>
              <w:rPr>
                <w:rFonts w:hint="eastAsia" w:ascii="宋体" w:hAnsi="宋体" w:cs="宋体"/>
                <w:b/>
                <w:sz w:val="24"/>
              </w:rPr>
              <w:t>采购进口产品</w:t>
            </w:r>
          </w:p>
        </w:tc>
        <w:tc>
          <w:tcPr>
            <w:tcW w:w="7347" w:type="dxa"/>
            <w:tcBorders>
              <w:top w:val="single" w:color="000000" w:sz="8" w:space="0"/>
              <w:left w:val="single" w:color="000000" w:sz="2" w:space="0"/>
              <w:bottom w:val="single" w:color="000000" w:sz="8" w:space="0"/>
              <w:right w:val="single" w:color="000000" w:sz="8" w:space="0"/>
            </w:tcBorders>
            <w:vAlign w:val="center"/>
          </w:tcPr>
          <w:p w14:paraId="5ED7F5F0">
            <w:pPr>
              <w:rPr>
                <w:rFonts w:ascii="宋体" w:hAnsi="宋体" w:cs="宋体"/>
              </w:rPr>
            </w:pPr>
            <w:r>
              <w:rPr>
                <w:rFonts w:hint="eastAsia" w:ascii="宋体" w:hAnsi="宋体" w:cs="宋体"/>
                <w:kern w:val="0"/>
                <w:sz w:val="24"/>
              </w:rPr>
              <w:t>如果招标文件允许采购进口产品（详见采购需求），优先采购向我国企业转让技术、与我国企业签订消化吸收再创新方案的供应商的进口产品；但如果因信息不对称等原因，仍有满足需求的国内产品要求参与采购竞争的，采购人及其委托的采购代理机构不对其加以限制，将按照公平竞争原则实施采购。</w:t>
            </w:r>
          </w:p>
        </w:tc>
      </w:tr>
      <w:tr w14:paraId="3B51CC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jc w:val="center"/>
        </w:trPr>
        <w:tc>
          <w:tcPr>
            <w:tcW w:w="645" w:type="dxa"/>
            <w:tcBorders>
              <w:top w:val="single" w:color="auto" w:sz="4" w:space="0"/>
              <w:left w:val="single" w:color="000000" w:sz="8" w:space="0"/>
              <w:bottom w:val="single" w:color="auto" w:sz="4" w:space="0"/>
              <w:right w:val="single" w:color="000000" w:sz="2" w:space="0"/>
            </w:tcBorders>
            <w:vAlign w:val="center"/>
          </w:tcPr>
          <w:p w14:paraId="4695D242">
            <w:pPr>
              <w:snapToGrid w:val="0"/>
              <w:spacing w:line="300" w:lineRule="exact"/>
              <w:jc w:val="center"/>
              <w:rPr>
                <w:rFonts w:ascii="宋体" w:hAnsi="宋体" w:cs="宋体"/>
                <w:sz w:val="24"/>
              </w:rPr>
            </w:pPr>
            <w:r>
              <w:rPr>
                <w:rFonts w:hint="eastAsia" w:ascii="宋体" w:hAnsi="宋体" w:cs="宋体"/>
                <w:sz w:val="24"/>
              </w:rPr>
              <w:t>12</w:t>
            </w:r>
          </w:p>
        </w:tc>
        <w:tc>
          <w:tcPr>
            <w:tcW w:w="1591" w:type="dxa"/>
            <w:tcBorders>
              <w:top w:val="single" w:color="000000" w:sz="8" w:space="0"/>
              <w:left w:val="single" w:color="000000" w:sz="2" w:space="0"/>
              <w:bottom w:val="single" w:color="000000" w:sz="8" w:space="0"/>
              <w:right w:val="single" w:color="000000" w:sz="8" w:space="0"/>
            </w:tcBorders>
            <w:vAlign w:val="center"/>
          </w:tcPr>
          <w:p w14:paraId="55F4F187">
            <w:pPr>
              <w:spacing w:line="360" w:lineRule="exact"/>
              <w:jc w:val="center"/>
              <w:rPr>
                <w:rFonts w:ascii="宋体" w:hAnsi="宋体" w:cs="宋体"/>
                <w:b/>
                <w:sz w:val="24"/>
              </w:rPr>
            </w:pPr>
            <w:r>
              <w:rPr>
                <w:rFonts w:hint="eastAsia" w:ascii="宋体" w:hAnsi="宋体" w:cs="宋体"/>
                <w:b/>
                <w:sz w:val="24"/>
              </w:rPr>
              <w:t>本国产品优惠</w:t>
            </w:r>
          </w:p>
          <w:p w14:paraId="1B79583E">
            <w:pPr>
              <w:spacing w:line="360" w:lineRule="exact"/>
              <w:jc w:val="center"/>
              <w:rPr>
                <w:rFonts w:ascii="宋体" w:hAnsi="宋体" w:cs="宋体"/>
                <w:b/>
                <w:sz w:val="24"/>
              </w:rPr>
            </w:pPr>
            <w:r>
              <w:rPr>
                <w:rFonts w:hint="eastAsia" w:ascii="宋体" w:hAnsi="宋体" w:cs="宋体"/>
                <w:b/>
                <w:sz w:val="24"/>
              </w:rPr>
              <w:t>措施</w:t>
            </w:r>
          </w:p>
        </w:tc>
        <w:tc>
          <w:tcPr>
            <w:tcW w:w="7347" w:type="dxa"/>
            <w:tcBorders>
              <w:top w:val="single" w:color="000000" w:sz="8" w:space="0"/>
              <w:left w:val="single" w:color="000000" w:sz="2" w:space="0"/>
              <w:bottom w:val="single" w:color="000000" w:sz="8" w:space="0"/>
              <w:right w:val="single" w:color="000000" w:sz="8" w:space="0"/>
            </w:tcBorders>
            <w:vAlign w:val="center"/>
          </w:tcPr>
          <w:p w14:paraId="4B85F5CA">
            <w:pPr>
              <w:spacing w:line="364" w:lineRule="exact"/>
              <w:rPr>
                <w:rFonts w:ascii="宋体" w:hAnsi="宋体" w:cs="宋体"/>
                <w:snapToGrid w:val="0"/>
                <w:kern w:val="28"/>
                <w:sz w:val="24"/>
              </w:rPr>
            </w:pPr>
            <w:r>
              <w:rPr>
                <w:rFonts w:hint="eastAsia" w:ascii="宋体" w:hAnsi="宋体" w:cs="宋体"/>
                <w:snapToGrid w:val="0"/>
                <w:kern w:val="28"/>
                <w:sz w:val="24"/>
              </w:rPr>
              <w:t>1.政府采购货物项目和服务项目中涉及货物的，采购产品是否包含不适用本国产品标准的货物：否，不适用本国标准的货物：无。</w:t>
            </w:r>
          </w:p>
          <w:p w14:paraId="168BB743">
            <w:pPr>
              <w:spacing w:line="364" w:lineRule="exact"/>
              <w:rPr>
                <w:rFonts w:ascii="宋体" w:hAnsi="宋体" w:cs="宋体"/>
                <w:snapToGrid w:val="0"/>
                <w:kern w:val="28"/>
                <w:sz w:val="24"/>
              </w:rPr>
            </w:pPr>
            <w:r>
              <w:rPr>
                <w:rFonts w:hint="eastAsia" w:ascii="宋体" w:hAnsi="宋体" w:cs="宋体"/>
                <w:snapToGrid w:val="0"/>
                <w:kern w:val="28"/>
                <w:sz w:val="24"/>
              </w:rPr>
              <w:t>2.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655B78E">
            <w:pPr>
              <w:spacing w:line="364" w:lineRule="exact"/>
              <w:rPr>
                <w:rFonts w:ascii="宋体" w:hAnsi="宋体" w:cs="宋体"/>
                <w:snapToGrid w:val="0"/>
                <w:kern w:val="28"/>
                <w:sz w:val="24"/>
              </w:rPr>
            </w:pPr>
            <w:r>
              <w:rPr>
                <w:rFonts w:hint="eastAsia" w:ascii="宋体" w:hAnsi="宋体" w:cs="宋体"/>
                <w:snapToGrid w:val="0"/>
                <w:kern w:val="28"/>
                <w:sz w:val="24"/>
              </w:rPr>
              <w:t>3.根据《国务院办公厅关于在政府采购中实施本国产品标准及相关政策的通知》（国办发〔2025〕34号）文件，如是本国产品，供应商应当对提供的产品出具《关于符合本国产品标准的声明函》（格式见附件）或财政部会同有关部门规定的有关证明文件，若未出具声明函或财政部会同有关部门规定的有关证明文件的，则不视为本国产品，不适用本国产品标准的货物类产品除外。</w:t>
            </w:r>
          </w:p>
          <w:p w14:paraId="6E169FBE">
            <w:pPr>
              <w:spacing w:line="364" w:lineRule="exact"/>
              <w:rPr>
                <w:rFonts w:ascii="宋体" w:hAnsi="宋体" w:cs="宋体"/>
                <w:kern w:val="0"/>
                <w:sz w:val="24"/>
              </w:rPr>
            </w:pPr>
            <w:r>
              <w:rPr>
                <w:rFonts w:hint="eastAsia" w:ascii="宋体" w:hAnsi="宋体" w:cs="宋体"/>
                <w:snapToGrid w:val="0"/>
                <w:kern w:val="28"/>
                <w:sz w:val="24"/>
              </w:rPr>
              <w:t>4.既有本国产品又有非本国产品参与竞争的，依法对本国产品给予价格评审优惠（须提供《关于符合本国产品标准的声明函》或财政部会同有关部门规定的有关证明文件），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另须提供关于符合本国产品标准的成本占比的承诺函，格式见附件），依法对该供应商提供的全部产品给予价格评审优惠，即对该供应商提供的全部产品的总报价给予20%的价格扣除，用扣除后的价格参与评审。</w:t>
            </w:r>
          </w:p>
        </w:tc>
      </w:tr>
      <w:tr w14:paraId="78CBBF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5" w:hRule="atLeast"/>
          <w:tblHeader/>
          <w:jc w:val="center"/>
        </w:trPr>
        <w:tc>
          <w:tcPr>
            <w:tcW w:w="645" w:type="dxa"/>
            <w:tcBorders>
              <w:top w:val="single" w:color="auto" w:sz="4" w:space="0"/>
              <w:left w:val="single" w:color="000000" w:sz="8" w:space="0"/>
              <w:bottom w:val="single" w:color="auto" w:sz="4" w:space="0"/>
              <w:right w:val="single" w:color="000000" w:sz="2" w:space="0"/>
            </w:tcBorders>
            <w:vAlign w:val="center"/>
          </w:tcPr>
          <w:p w14:paraId="0D85CFEC">
            <w:pPr>
              <w:snapToGrid w:val="0"/>
              <w:spacing w:line="300" w:lineRule="exact"/>
              <w:jc w:val="center"/>
              <w:rPr>
                <w:rFonts w:ascii="宋体" w:hAnsi="宋体" w:cs="宋体"/>
                <w:sz w:val="24"/>
              </w:rPr>
            </w:pPr>
            <w:r>
              <w:rPr>
                <w:rFonts w:hint="eastAsia" w:ascii="宋体" w:hAnsi="宋体" w:cs="宋体"/>
                <w:sz w:val="24"/>
              </w:rPr>
              <w:t>13</w:t>
            </w:r>
          </w:p>
        </w:tc>
        <w:tc>
          <w:tcPr>
            <w:tcW w:w="1591" w:type="dxa"/>
            <w:tcBorders>
              <w:top w:val="single" w:color="000000" w:sz="8" w:space="0"/>
              <w:left w:val="single" w:color="000000" w:sz="2" w:space="0"/>
              <w:bottom w:val="single" w:color="000000" w:sz="8" w:space="0"/>
              <w:right w:val="single" w:color="000000" w:sz="8" w:space="0"/>
            </w:tcBorders>
            <w:vAlign w:val="center"/>
          </w:tcPr>
          <w:p w14:paraId="324A79BD">
            <w:pPr>
              <w:snapToGrid w:val="0"/>
              <w:spacing w:line="300" w:lineRule="exact"/>
              <w:jc w:val="center"/>
              <w:rPr>
                <w:rFonts w:ascii="宋体" w:hAnsi="宋体" w:cs="宋体"/>
                <w:b/>
                <w:sz w:val="24"/>
              </w:rPr>
            </w:pPr>
            <w:r>
              <w:rPr>
                <w:rFonts w:hint="eastAsia" w:ascii="宋体" w:hAnsi="宋体" w:cs="宋体"/>
                <w:b/>
                <w:sz w:val="24"/>
              </w:rPr>
              <w:t>项目属性与核心产品</w:t>
            </w:r>
          </w:p>
        </w:tc>
        <w:tc>
          <w:tcPr>
            <w:tcW w:w="7347" w:type="dxa"/>
            <w:tcBorders>
              <w:top w:val="single" w:color="000000" w:sz="8" w:space="0"/>
              <w:left w:val="single" w:color="000000" w:sz="2" w:space="0"/>
              <w:bottom w:val="single" w:color="000000" w:sz="8" w:space="0"/>
              <w:right w:val="single" w:color="000000" w:sz="8" w:space="0"/>
            </w:tcBorders>
            <w:vAlign w:val="center"/>
          </w:tcPr>
          <w:p w14:paraId="61C127A8">
            <w:pPr>
              <w:spacing w:line="288" w:lineRule="auto"/>
              <w:rPr>
                <w:rFonts w:ascii="宋体" w:hAnsi="宋体" w:cs="宋体"/>
                <w:bCs/>
                <w:sz w:val="24"/>
                <w:u w:val="single"/>
              </w:rPr>
            </w:pPr>
            <w:r>
              <w:rPr>
                <w:rFonts w:hint="eastAsia" w:ascii="宋体" w:hAnsi="宋体" w:cs="宋体"/>
                <w:kern w:val="0"/>
                <w:sz w:val="24"/>
              </w:rPr>
              <w:sym w:font="Wingdings" w:char="00FE"/>
            </w:r>
            <w:r>
              <w:rPr>
                <w:rFonts w:hint="eastAsia" w:ascii="宋体" w:hAnsi="宋体" w:cs="宋体"/>
                <w:kern w:val="0"/>
                <w:sz w:val="24"/>
              </w:rPr>
              <w:t>A</w:t>
            </w:r>
            <w:r>
              <w:rPr>
                <w:rFonts w:hint="eastAsia" w:ascii="宋体" w:hAnsi="宋体" w:cs="宋体"/>
                <w:sz w:val="24"/>
              </w:rPr>
              <w:t>货物类，单一产品或核心产品为：</w:t>
            </w:r>
            <w:r>
              <w:rPr>
                <w:rFonts w:hint="eastAsia" w:ascii="宋体" w:hAnsi="宋体" w:cs="宋体"/>
                <w:sz w:val="24"/>
                <w:u w:val="single"/>
              </w:rPr>
              <w:t>移动视频终端设备、无人机</w:t>
            </w:r>
          </w:p>
          <w:p w14:paraId="7735567A">
            <w:pPr>
              <w:spacing w:line="288" w:lineRule="auto"/>
              <w:rPr>
                <w:rFonts w:ascii="宋体" w:hAnsi="宋体" w:cs="宋体"/>
              </w:rPr>
            </w:pPr>
            <w:r>
              <w:rPr>
                <w:rFonts w:hint="eastAsia" w:ascii="宋体" w:hAnsi="宋体" w:cs="宋体"/>
                <w:kern w:val="0"/>
                <w:sz w:val="24"/>
              </w:rPr>
              <w:sym w:font="Wingdings" w:char="00A8"/>
            </w:r>
            <w:r>
              <w:rPr>
                <w:rFonts w:hint="eastAsia" w:ascii="宋体" w:hAnsi="宋体" w:cs="宋体"/>
                <w:kern w:val="0"/>
                <w:sz w:val="24"/>
              </w:rPr>
              <w:t>B</w:t>
            </w:r>
            <w:r>
              <w:rPr>
                <w:rFonts w:hint="eastAsia" w:ascii="宋体" w:hAnsi="宋体" w:cs="宋体"/>
                <w:sz w:val="24"/>
              </w:rPr>
              <w:t>服务类。</w:t>
            </w:r>
          </w:p>
        </w:tc>
      </w:tr>
      <w:tr w14:paraId="0533CC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35" w:hRule="atLeast"/>
          <w:tblHeader/>
          <w:jc w:val="center"/>
        </w:trPr>
        <w:tc>
          <w:tcPr>
            <w:tcW w:w="645" w:type="dxa"/>
            <w:tcBorders>
              <w:top w:val="single" w:color="auto" w:sz="4" w:space="0"/>
              <w:left w:val="single" w:color="000000" w:sz="8" w:space="0"/>
              <w:bottom w:val="single" w:color="auto" w:sz="4" w:space="0"/>
              <w:right w:val="single" w:color="000000" w:sz="2" w:space="0"/>
            </w:tcBorders>
            <w:vAlign w:val="center"/>
          </w:tcPr>
          <w:p w14:paraId="33DE9CD2">
            <w:pPr>
              <w:snapToGrid w:val="0"/>
              <w:spacing w:line="300" w:lineRule="exact"/>
              <w:jc w:val="center"/>
              <w:rPr>
                <w:rFonts w:ascii="宋体" w:hAnsi="宋体" w:cs="宋体"/>
                <w:sz w:val="24"/>
              </w:rPr>
            </w:pPr>
            <w:r>
              <w:rPr>
                <w:rFonts w:hint="eastAsia" w:ascii="宋体" w:hAnsi="宋体" w:cs="宋体"/>
                <w:sz w:val="24"/>
              </w:rPr>
              <w:t>14</w:t>
            </w:r>
          </w:p>
        </w:tc>
        <w:tc>
          <w:tcPr>
            <w:tcW w:w="1591" w:type="dxa"/>
            <w:tcBorders>
              <w:top w:val="single" w:color="000000" w:sz="8" w:space="0"/>
              <w:left w:val="single" w:color="000000" w:sz="2" w:space="0"/>
              <w:bottom w:val="single" w:color="000000" w:sz="8" w:space="0"/>
              <w:right w:val="single" w:color="000000" w:sz="8" w:space="0"/>
            </w:tcBorders>
            <w:vAlign w:val="center"/>
          </w:tcPr>
          <w:p w14:paraId="63BE93DC">
            <w:pPr>
              <w:snapToGrid w:val="0"/>
              <w:spacing w:line="300" w:lineRule="exact"/>
              <w:jc w:val="center"/>
              <w:rPr>
                <w:rFonts w:ascii="宋体" w:hAnsi="宋体" w:cs="宋体"/>
                <w:b/>
                <w:sz w:val="24"/>
              </w:rPr>
            </w:pPr>
            <w:r>
              <w:rPr>
                <w:rFonts w:hint="eastAsia" w:ascii="宋体" w:hAnsi="宋体" w:cs="宋体"/>
                <w:b/>
                <w:sz w:val="24"/>
              </w:rPr>
              <w:t>中小企业划分标准所属行业</w:t>
            </w:r>
          </w:p>
        </w:tc>
        <w:tc>
          <w:tcPr>
            <w:tcW w:w="7347" w:type="dxa"/>
            <w:tcBorders>
              <w:top w:val="single" w:color="000000" w:sz="8" w:space="0"/>
              <w:left w:val="single" w:color="000000" w:sz="2" w:space="0"/>
              <w:bottom w:val="single" w:color="000000" w:sz="8" w:space="0"/>
              <w:right w:val="single" w:color="000000" w:sz="8" w:space="0"/>
            </w:tcBorders>
            <w:vAlign w:val="center"/>
          </w:tcPr>
          <w:p w14:paraId="794C03A4">
            <w:pPr>
              <w:spacing w:line="360" w:lineRule="exact"/>
              <w:rPr>
                <w:rFonts w:ascii="宋体" w:hAnsi="宋体" w:cs="宋体"/>
                <w:bCs/>
                <w:sz w:val="24"/>
                <w:u w:val="single"/>
              </w:rPr>
            </w:pPr>
            <w:r>
              <w:rPr>
                <w:rFonts w:hint="eastAsia" w:ascii="宋体" w:hAnsi="宋体" w:cs="宋体"/>
                <w:kern w:val="0"/>
                <w:sz w:val="24"/>
              </w:rPr>
              <w:t>采购标的：</w:t>
            </w:r>
            <w:r>
              <w:rPr>
                <w:rFonts w:hint="eastAsia" w:ascii="宋体" w:hAnsi="宋体" w:cs="宋体"/>
                <w:bCs/>
                <w:sz w:val="24"/>
                <w:u w:val="single"/>
              </w:rPr>
              <w:t>详见第三部分采购需求：一、采购清单及主要技术性能要求</w:t>
            </w:r>
          </w:p>
          <w:p w14:paraId="117D82B9">
            <w:pPr>
              <w:spacing w:line="360" w:lineRule="exact"/>
              <w:rPr>
                <w:rFonts w:ascii="宋体" w:hAnsi="宋体" w:cs="宋体"/>
                <w:kern w:val="0"/>
                <w:sz w:val="24"/>
              </w:rPr>
            </w:pPr>
            <w:r>
              <w:rPr>
                <w:rFonts w:hint="eastAsia" w:ascii="宋体" w:hAnsi="宋体" w:cs="宋体"/>
                <w:kern w:val="0"/>
                <w:sz w:val="24"/>
              </w:rPr>
              <w:t>采购标的对应的中小企业划分标准所属行业：</w:t>
            </w:r>
            <w:r>
              <w:rPr>
                <w:rFonts w:hint="eastAsia" w:ascii="宋体" w:hAnsi="宋体" w:cs="宋体"/>
                <w:kern w:val="0"/>
                <w:sz w:val="24"/>
                <w:u w:val="single"/>
              </w:rPr>
              <w:t>工业 行业</w:t>
            </w:r>
            <w:r>
              <w:rPr>
                <w:rFonts w:hint="eastAsia" w:ascii="宋体" w:hAnsi="宋体" w:cs="宋体"/>
                <w:kern w:val="0"/>
                <w:sz w:val="24"/>
              </w:rPr>
              <w:t>。</w:t>
            </w:r>
          </w:p>
          <w:p w14:paraId="2056AED0">
            <w:pPr>
              <w:snapToGrid w:val="0"/>
              <w:spacing w:line="288" w:lineRule="auto"/>
              <w:rPr>
                <w:rFonts w:ascii="宋体" w:hAnsi="宋体" w:cs="宋体"/>
              </w:rPr>
            </w:pPr>
            <w:r>
              <w:rPr>
                <w:rFonts w:hint="eastAsia" w:ascii="宋体" w:hAnsi="宋体" w:cs="宋体"/>
                <w:b/>
                <w:bCs/>
                <w:kern w:val="0"/>
                <w:sz w:val="24"/>
              </w:rPr>
              <w:t>注：供应商在出具《中小企业声明函》前，可通过工业和信息化部官网公共服务平台“中小企业规模类型自测小程序”自测企业规模类型。自测时企业所属行业请选择</w:t>
            </w:r>
            <w:r>
              <w:rPr>
                <w:rFonts w:hint="eastAsia" w:ascii="宋体" w:hAnsi="宋体" w:cs="宋体"/>
                <w:kern w:val="0"/>
                <w:sz w:val="24"/>
                <w:u w:val="single"/>
              </w:rPr>
              <w:t>工业 行业</w:t>
            </w:r>
            <w:r>
              <w:rPr>
                <w:rFonts w:hint="eastAsia" w:ascii="宋体" w:hAnsi="宋体" w:cs="宋体"/>
                <w:kern w:val="0"/>
                <w:sz w:val="24"/>
              </w:rPr>
              <w:t>。</w:t>
            </w:r>
          </w:p>
        </w:tc>
      </w:tr>
      <w:tr w14:paraId="75C957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69" w:hRule="atLeast"/>
          <w:tblHeader/>
          <w:jc w:val="center"/>
        </w:trPr>
        <w:tc>
          <w:tcPr>
            <w:tcW w:w="645" w:type="dxa"/>
            <w:tcBorders>
              <w:top w:val="single" w:color="auto" w:sz="4" w:space="0"/>
              <w:left w:val="single" w:color="000000" w:sz="8" w:space="0"/>
              <w:right w:val="single" w:color="000000" w:sz="2" w:space="0"/>
            </w:tcBorders>
            <w:vAlign w:val="center"/>
          </w:tcPr>
          <w:p w14:paraId="75877F12">
            <w:pPr>
              <w:snapToGrid w:val="0"/>
              <w:spacing w:line="300" w:lineRule="exact"/>
              <w:jc w:val="center"/>
              <w:rPr>
                <w:rFonts w:ascii="宋体" w:hAnsi="宋体" w:cs="宋体"/>
                <w:sz w:val="24"/>
              </w:rPr>
            </w:pPr>
            <w:r>
              <w:rPr>
                <w:rFonts w:hint="eastAsia" w:ascii="宋体" w:hAnsi="宋体" w:cs="宋体"/>
                <w:sz w:val="24"/>
              </w:rPr>
              <w:t>15</w:t>
            </w:r>
          </w:p>
        </w:tc>
        <w:tc>
          <w:tcPr>
            <w:tcW w:w="1591" w:type="dxa"/>
            <w:tcBorders>
              <w:top w:val="single" w:color="000000" w:sz="8" w:space="0"/>
              <w:left w:val="single" w:color="000000" w:sz="2" w:space="0"/>
              <w:right w:val="single" w:color="000000" w:sz="8" w:space="0"/>
            </w:tcBorders>
            <w:vAlign w:val="center"/>
          </w:tcPr>
          <w:p w14:paraId="6C927092">
            <w:pPr>
              <w:snapToGrid w:val="0"/>
              <w:spacing w:line="300" w:lineRule="exact"/>
              <w:jc w:val="center"/>
              <w:rPr>
                <w:rFonts w:ascii="宋体" w:hAnsi="宋体" w:cs="宋体"/>
                <w:b/>
                <w:sz w:val="24"/>
              </w:rPr>
            </w:pPr>
            <w:r>
              <w:rPr>
                <w:rFonts w:hint="eastAsia" w:ascii="宋体" w:hAnsi="宋体" w:cs="宋体"/>
                <w:b/>
                <w:sz w:val="24"/>
              </w:rPr>
              <w:t>中小企业信用融资</w:t>
            </w:r>
          </w:p>
        </w:tc>
        <w:tc>
          <w:tcPr>
            <w:tcW w:w="7347" w:type="dxa"/>
            <w:tcBorders>
              <w:top w:val="single" w:color="000000" w:sz="8" w:space="0"/>
              <w:left w:val="single" w:color="000000" w:sz="2" w:space="0"/>
              <w:right w:val="single" w:color="000000" w:sz="8" w:space="0"/>
            </w:tcBorders>
            <w:vAlign w:val="center"/>
          </w:tcPr>
          <w:p w14:paraId="3879B0B7">
            <w:pPr>
              <w:rPr>
                <w:rFonts w:ascii="宋体" w:hAnsi="宋体" w:cs="宋体"/>
                <w:sz w:val="24"/>
              </w:rPr>
            </w:pPr>
            <w:r>
              <w:rPr>
                <w:rFonts w:hint="eastAsia" w:ascii="宋体" w:hAnsi="宋体" w:cs="宋体"/>
                <w:snapToGrid w:val="0"/>
                <w:kern w:val="28"/>
                <w:sz w:val="24"/>
              </w:rPr>
              <w:t>供应商中标后可在政府采购云平台申请政采贷：操作路径：登录政府采购云平台 - 金融服务中心 -【融资服务】，可在热门申请中选择产品直接申请，也可点击云智贷匹配适合产品进行申请，或者在可申请项目中根据该项目进行申请。</w:t>
            </w:r>
          </w:p>
        </w:tc>
      </w:tr>
      <w:tr w14:paraId="7047FC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9" w:hRule="atLeast"/>
          <w:tblHeader/>
          <w:jc w:val="center"/>
        </w:trPr>
        <w:tc>
          <w:tcPr>
            <w:tcW w:w="645" w:type="dxa"/>
            <w:tcBorders>
              <w:top w:val="single" w:color="auto" w:sz="4" w:space="0"/>
              <w:left w:val="single" w:color="000000" w:sz="8" w:space="0"/>
              <w:bottom w:val="single" w:color="auto" w:sz="4" w:space="0"/>
              <w:right w:val="single" w:color="000000" w:sz="2" w:space="0"/>
            </w:tcBorders>
            <w:vAlign w:val="center"/>
          </w:tcPr>
          <w:p w14:paraId="53BA0370">
            <w:pPr>
              <w:snapToGrid w:val="0"/>
              <w:spacing w:line="300" w:lineRule="exact"/>
              <w:jc w:val="center"/>
              <w:rPr>
                <w:rFonts w:ascii="宋体" w:hAnsi="宋体" w:cs="宋体"/>
                <w:sz w:val="24"/>
              </w:rPr>
            </w:pPr>
            <w:r>
              <w:rPr>
                <w:rFonts w:hint="eastAsia" w:ascii="宋体" w:hAnsi="宋体" w:cs="宋体"/>
                <w:sz w:val="24"/>
              </w:rPr>
              <w:t>16</w:t>
            </w:r>
          </w:p>
        </w:tc>
        <w:tc>
          <w:tcPr>
            <w:tcW w:w="1591" w:type="dxa"/>
            <w:tcBorders>
              <w:top w:val="single" w:color="000000" w:sz="8" w:space="0"/>
              <w:left w:val="single" w:color="000000" w:sz="2" w:space="0"/>
              <w:bottom w:val="single" w:color="000000" w:sz="8" w:space="0"/>
              <w:right w:val="single" w:color="000000" w:sz="8" w:space="0"/>
            </w:tcBorders>
            <w:vAlign w:val="center"/>
          </w:tcPr>
          <w:p w14:paraId="3BB9ECE6">
            <w:pPr>
              <w:snapToGrid w:val="0"/>
              <w:spacing w:line="300" w:lineRule="exact"/>
              <w:jc w:val="center"/>
              <w:rPr>
                <w:rFonts w:ascii="宋体" w:hAnsi="宋体" w:cs="宋体"/>
                <w:b/>
                <w:sz w:val="24"/>
              </w:rPr>
            </w:pPr>
            <w:r>
              <w:rPr>
                <w:rFonts w:hint="eastAsia" w:ascii="宋体" w:hAnsi="宋体" w:cs="宋体"/>
                <w:b/>
                <w:sz w:val="24"/>
              </w:rPr>
              <w:t xml:space="preserve">备份投标文件送达地点 </w:t>
            </w:r>
          </w:p>
        </w:tc>
        <w:tc>
          <w:tcPr>
            <w:tcW w:w="7347" w:type="dxa"/>
            <w:tcBorders>
              <w:top w:val="single" w:color="000000" w:sz="8" w:space="0"/>
              <w:left w:val="single" w:color="000000" w:sz="2" w:space="0"/>
              <w:bottom w:val="single" w:color="000000" w:sz="8" w:space="0"/>
              <w:right w:val="single" w:color="000000" w:sz="8" w:space="0"/>
            </w:tcBorders>
            <w:vAlign w:val="center"/>
          </w:tcPr>
          <w:p w14:paraId="6E80CB3D">
            <w:pPr>
              <w:pStyle w:val="34"/>
              <w:spacing w:line="300" w:lineRule="exact"/>
              <w:rPr>
                <w:rFonts w:hAnsi="宋体" w:cs="宋体"/>
                <w:kern w:val="28"/>
                <w:sz w:val="24"/>
              </w:rPr>
            </w:pPr>
            <w:r>
              <w:rPr>
                <w:rFonts w:hint="eastAsia" w:hAnsi="宋体" w:cs="宋体"/>
                <w:bCs/>
                <w:sz w:val="24"/>
                <w:szCs w:val="24"/>
              </w:rPr>
              <w:t>诸暨正开工程咨询有限公司邮箱（</w:t>
            </w:r>
            <w:r>
              <w:fldChar w:fldCharType="begin"/>
            </w:r>
            <w:r>
              <w:instrText xml:space="preserve"> HYPERLINK "mailto:zjztb001@aliyun.com" </w:instrText>
            </w:r>
            <w:r>
              <w:fldChar w:fldCharType="separate"/>
            </w:r>
            <w:r>
              <w:rPr>
                <w:rStyle w:val="78"/>
                <w:rFonts w:hint="eastAsia" w:ascii="宋体" w:hAnsi="宋体" w:eastAsia="宋体" w:cs="宋体"/>
                <w:bCs/>
                <w:snapToGrid/>
                <w:kern w:val="2"/>
                <w:sz w:val="24"/>
                <w:szCs w:val="24"/>
              </w:rPr>
              <w:t>1024831278@qq.com</w:t>
            </w:r>
            <w:r>
              <w:rPr>
                <w:rStyle w:val="78"/>
                <w:rFonts w:hint="eastAsia" w:ascii="宋体" w:hAnsi="宋体" w:eastAsia="宋体" w:cs="宋体"/>
                <w:bCs/>
                <w:snapToGrid/>
                <w:kern w:val="2"/>
                <w:sz w:val="24"/>
                <w:szCs w:val="24"/>
              </w:rPr>
              <w:fldChar w:fldCharType="end"/>
            </w:r>
            <w:r>
              <w:rPr>
                <w:rFonts w:hint="eastAsia" w:hAnsi="宋体" w:cs="宋体"/>
                <w:bCs/>
                <w:sz w:val="24"/>
                <w:szCs w:val="24"/>
              </w:rPr>
              <w:t>）</w:t>
            </w:r>
          </w:p>
        </w:tc>
      </w:tr>
      <w:tr w14:paraId="2E1BB9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49" w:hRule="atLeast"/>
          <w:tblHeader/>
          <w:jc w:val="center"/>
        </w:trPr>
        <w:tc>
          <w:tcPr>
            <w:tcW w:w="645" w:type="dxa"/>
            <w:tcBorders>
              <w:top w:val="single" w:color="auto" w:sz="4" w:space="0"/>
              <w:left w:val="single" w:color="000000" w:sz="8" w:space="0"/>
              <w:bottom w:val="single" w:color="auto" w:sz="4" w:space="0"/>
              <w:right w:val="single" w:color="000000" w:sz="2" w:space="0"/>
            </w:tcBorders>
            <w:vAlign w:val="center"/>
          </w:tcPr>
          <w:p w14:paraId="0716A20F">
            <w:pPr>
              <w:snapToGrid w:val="0"/>
              <w:spacing w:line="360" w:lineRule="exact"/>
              <w:jc w:val="center"/>
              <w:rPr>
                <w:rFonts w:ascii="宋体" w:hAnsi="宋体" w:cs="宋体"/>
                <w:sz w:val="24"/>
              </w:rPr>
            </w:pPr>
            <w:r>
              <w:rPr>
                <w:rFonts w:hint="eastAsia" w:ascii="宋体" w:hAnsi="宋体" w:cs="宋体"/>
                <w:sz w:val="24"/>
              </w:rPr>
              <w:t>17</w:t>
            </w:r>
          </w:p>
        </w:tc>
        <w:tc>
          <w:tcPr>
            <w:tcW w:w="1591" w:type="dxa"/>
            <w:tcBorders>
              <w:top w:val="single" w:color="000000" w:sz="8" w:space="0"/>
              <w:left w:val="single" w:color="000000" w:sz="2" w:space="0"/>
              <w:bottom w:val="single" w:color="000000" w:sz="8" w:space="0"/>
              <w:right w:val="single" w:color="000000" w:sz="8" w:space="0"/>
            </w:tcBorders>
            <w:vAlign w:val="center"/>
          </w:tcPr>
          <w:p w14:paraId="6444AABD">
            <w:pPr>
              <w:pStyle w:val="34"/>
              <w:spacing w:line="360" w:lineRule="exact"/>
              <w:jc w:val="center"/>
              <w:rPr>
                <w:rFonts w:hAnsi="宋体" w:cs="宋体"/>
                <w:snapToGrid w:val="0"/>
                <w:kern w:val="28"/>
                <w:sz w:val="24"/>
                <w:szCs w:val="24"/>
              </w:rPr>
            </w:pPr>
            <w:r>
              <w:rPr>
                <w:rFonts w:hint="eastAsia" w:hAnsi="宋体" w:cs="宋体"/>
                <w:b/>
                <w:bCs/>
                <w:snapToGrid w:val="0"/>
                <w:kern w:val="28"/>
                <w:sz w:val="24"/>
                <w:szCs w:val="24"/>
              </w:rPr>
              <w:t>其他</w:t>
            </w:r>
          </w:p>
        </w:tc>
        <w:tc>
          <w:tcPr>
            <w:tcW w:w="7347" w:type="dxa"/>
            <w:tcBorders>
              <w:top w:val="single" w:color="000000" w:sz="8" w:space="0"/>
              <w:left w:val="single" w:color="000000" w:sz="2" w:space="0"/>
              <w:bottom w:val="single" w:color="000000" w:sz="8" w:space="0"/>
              <w:right w:val="single" w:color="000000" w:sz="8" w:space="0"/>
            </w:tcBorders>
            <w:vAlign w:val="center"/>
          </w:tcPr>
          <w:p w14:paraId="3B204887">
            <w:pPr>
              <w:spacing w:line="288" w:lineRule="auto"/>
              <w:rPr>
                <w:rStyle w:val="72"/>
                <w:rFonts w:ascii="宋体" w:hAnsi="宋体" w:cs="宋体"/>
                <w:b w:val="0"/>
                <w:sz w:val="24"/>
                <w:shd w:val="clear" w:color="auto" w:fill="FFFFFF"/>
              </w:rPr>
            </w:pPr>
            <w:r>
              <w:rPr>
                <w:rStyle w:val="72"/>
                <w:rFonts w:hint="eastAsia" w:ascii="宋体" w:hAnsi="宋体" w:cs="宋体"/>
                <w:bCs/>
                <w:sz w:val="24"/>
                <w:shd w:val="clear" w:color="auto" w:fill="FFFFFF"/>
              </w:rPr>
              <w:t>1、招标代理服务费</w:t>
            </w:r>
            <w:r>
              <w:rPr>
                <w:rStyle w:val="72"/>
                <w:rFonts w:hint="eastAsia" w:ascii="宋体" w:hAnsi="宋体" w:cs="宋体"/>
                <w:b w:val="0"/>
                <w:sz w:val="24"/>
                <w:shd w:val="clear" w:color="auto" w:fill="FFFFFF"/>
              </w:rPr>
              <w:t>：本项目招标代理服务费由项目中标单位支付,收费基数为合同总金额，采用差额定率累进法进行计算，具体费率标准如下：</w:t>
            </w:r>
          </w:p>
          <w:p w14:paraId="66AEE4D7">
            <w:pPr>
              <w:pStyle w:val="287"/>
              <w:numPr>
                <w:ilvl w:val="0"/>
                <w:numId w:val="2"/>
              </w:numPr>
              <w:snapToGrid w:val="0"/>
              <w:spacing w:line="240" w:lineRule="auto"/>
              <w:ind w:left="0" w:firstLineChars="0"/>
              <w:rPr>
                <w:rFonts w:ascii="宋体" w:hAnsi="宋体" w:eastAsia="宋体" w:cs="宋体"/>
              </w:rPr>
            </w:pPr>
            <w:r>
              <w:rPr>
                <w:rFonts w:hint="eastAsia" w:ascii="宋体" w:hAnsi="宋体" w:eastAsia="宋体" w:cs="宋体"/>
              </w:rPr>
              <w:t xml:space="preserve">   成交金额100万元以下的部分，货物类采购费率1.50%，服务类采购费率1.50%；</w:t>
            </w:r>
          </w:p>
          <w:p w14:paraId="670C5E46">
            <w:pPr>
              <w:pStyle w:val="287"/>
              <w:numPr>
                <w:ilvl w:val="0"/>
                <w:numId w:val="2"/>
              </w:numPr>
              <w:snapToGrid w:val="0"/>
              <w:spacing w:line="240" w:lineRule="auto"/>
              <w:ind w:left="0" w:firstLineChars="0"/>
              <w:rPr>
                <w:rFonts w:ascii="宋体" w:hAnsi="宋体" w:eastAsia="宋体" w:cs="宋体"/>
              </w:rPr>
            </w:pPr>
            <w:r>
              <w:rPr>
                <w:rFonts w:hint="eastAsia" w:ascii="宋体" w:hAnsi="宋体" w:eastAsia="宋体" w:cs="宋体"/>
              </w:rPr>
              <w:t xml:space="preserve">   成交金额100万元至500万元的部分，货物类采购费率1.10%，服务类采购费率0.80%；</w:t>
            </w:r>
          </w:p>
          <w:p w14:paraId="03DC71EA">
            <w:pPr>
              <w:pStyle w:val="287"/>
              <w:numPr>
                <w:ilvl w:val="0"/>
                <w:numId w:val="2"/>
              </w:numPr>
              <w:snapToGrid w:val="0"/>
              <w:spacing w:line="240" w:lineRule="auto"/>
              <w:ind w:left="0" w:firstLineChars="0"/>
              <w:rPr>
                <w:rFonts w:ascii="宋体" w:hAnsi="宋体" w:eastAsia="宋体" w:cs="宋体"/>
              </w:rPr>
            </w:pPr>
            <w:r>
              <w:rPr>
                <w:rFonts w:hint="eastAsia" w:ascii="宋体" w:hAnsi="宋体" w:eastAsia="宋体" w:cs="宋体"/>
              </w:rPr>
              <w:t xml:space="preserve">   成交金额500万元至1000万元的部分，货物类采购费率0.80%，服务类采购费率0.45%；</w:t>
            </w:r>
          </w:p>
          <w:p w14:paraId="4D0AB9B5">
            <w:pPr>
              <w:pStyle w:val="287"/>
              <w:numPr>
                <w:ilvl w:val="0"/>
                <w:numId w:val="2"/>
              </w:numPr>
              <w:snapToGrid w:val="0"/>
              <w:spacing w:line="240" w:lineRule="auto"/>
              <w:ind w:left="0" w:firstLineChars="0"/>
              <w:rPr>
                <w:rFonts w:ascii="宋体" w:hAnsi="宋体" w:eastAsia="宋体" w:cs="宋体"/>
              </w:rPr>
            </w:pPr>
            <w:r>
              <w:rPr>
                <w:rFonts w:hint="eastAsia" w:ascii="宋体" w:hAnsi="宋体" w:eastAsia="宋体" w:cs="宋体"/>
              </w:rPr>
              <w:t xml:space="preserve">   成交金额1000万元至5000万元的部分，货物类采购费率0.50%，服务类采购费率0.25%；</w:t>
            </w:r>
          </w:p>
          <w:p w14:paraId="667BA12A">
            <w:pPr>
              <w:pStyle w:val="287"/>
              <w:numPr>
                <w:ilvl w:val="0"/>
                <w:numId w:val="2"/>
              </w:numPr>
              <w:snapToGrid w:val="0"/>
              <w:spacing w:line="240" w:lineRule="auto"/>
              <w:ind w:left="0" w:firstLineChars="0"/>
              <w:rPr>
                <w:rFonts w:ascii="宋体" w:hAnsi="宋体" w:eastAsia="宋体" w:cs="宋体"/>
              </w:rPr>
            </w:pPr>
            <w:r>
              <w:rPr>
                <w:rFonts w:hint="eastAsia" w:ascii="宋体" w:hAnsi="宋体" w:eastAsia="宋体" w:cs="宋体"/>
              </w:rPr>
              <w:t xml:space="preserve">   不足3000元按3000元收费。</w:t>
            </w:r>
          </w:p>
          <w:p w14:paraId="4D2EDBC2">
            <w:pPr>
              <w:spacing w:line="276" w:lineRule="auto"/>
              <w:rPr>
                <w:rFonts w:ascii="宋体" w:hAnsi="宋体" w:cs="宋体"/>
                <w:snapToGrid w:val="0"/>
                <w:kern w:val="28"/>
                <w:sz w:val="24"/>
              </w:rPr>
            </w:pPr>
            <w:r>
              <w:rPr>
                <w:rFonts w:hint="eastAsia" w:ascii="宋体" w:hAnsi="宋体" w:cs="宋体"/>
                <w:b/>
                <w:bCs/>
                <w:sz w:val="24"/>
              </w:rPr>
              <w:t>2、收取方式</w:t>
            </w:r>
            <w:r>
              <w:rPr>
                <w:rFonts w:hint="eastAsia" w:ascii="宋体" w:hAnsi="宋体" w:cs="宋体"/>
                <w:sz w:val="24"/>
              </w:rPr>
              <w:t>：本项目的招标代理服务费由中标人支付，在领取中标通知书时，一次性向采购代理机构付清。</w:t>
            </w:r>
          </w:p>
        </w:tc>
      </w:tr>
      <w:bookmarkEnd w:id="8"/>
    </w:tbl>
    <w:p w14:paraId="45ECA045">
      <w:pPr>
        <w:adjustRightInd/>
        <w:spacing w:line="420" w:lineRule="exact"/>
        <w:jc w:val="center"/>
        <w:outlineLvl w:val="0"/>
        <w:rPr>
          <w:rFonts w:ascii="宋体" w:hAnsi="宋体" w:cs="宋体"/>
          <w:b/>
          <w:sz w:val="28"/>
          <w:szCs w:val="18"/>
        </w:rPr>
      </w:pPr>
      <w:bookmarkStart w:id="9" w:name="第三部分"/>
      <w:bookmarkStart w:id="10" w:name="_Toc164416483"/>
    </w:p>
    <w:p w14:paraId="60709EAE">
      <w:pPr>
        <w:adjustRightInd/>
        <w:spacing w:line="420" w:lineRule="exact"/>
        <w:jc w:val="center"/>
        <w:outlineLvl w:val="0"/>
        <w:rPr>
          <w:rFonts w:ascii="宋体" w:hAnsi="宋体" w:cs="宋体"/>
          <w:b/>
          <w:sz w:val="28"/>
          <w:szCs w:val="18"/>
        </w:rPr>
      </w:pPr>
    </w:p>
    <w:p w14:paraId="2BBFF06A">
      <w:pPr>
        <w:pStyle w:val="3"/>
        <w:rPr>
          <w:rFonts w:ascii="宋体" w:hAnsi="宋体" w:eastAsia="宋体" w:cs="宋体"/>
          <w:sz w:val="28"/>
          <w:szCs w:val="18"/>
        </w:rPr>
      </w:pPr>
    </w:p>
    <w:p w14:paraId="0DD3C833">
      <w:pPr>
        <w:rPr>
          <w:rFonts w:ascii="宋体" w:hAnsi="宋体" w:cs="宋体"/>
          <w:b/>
          <w:sz w:val="28"/>
          <w:szCs w:val="18"/>
        </w:rPr>
      </w:pPr>
    </w:p>
    <w:p w14:paraId="3BCD6F80">
      <w:pPr>
        <w:pStyle w:val="3"/>
      </w:pPr>
    </w:p>
    <w:p w14:paraId="093E3DF6"/>
    <w:p w14:paraId="2BB91683">
      <w:pPr>
        <w:pStyle w:val="86"/>
        <w:ind w:firstLine="460"/>
      </w:pPr>
    </w:p>
    <w:p w14:paraId="52E70DC6">
      <w:pPr>
        <w:pStyle w:val="23"/>
      </w:pPr>
    </w:p>
    <w:p w14:paraId="6B5FCBD2">
      <w:pPr>
        <w:pStyle w:val="24"/>
      </w:pPr>
    </w:p>
    <w:p w14:paraId="05784C4C">
      <w:pPr>
        <w:pStyle w:val="25"/>
      </w:pPr>
    </w:p>
    <w:p w14:paraId="2EC87AAC"/>
    <w:p w14:paraId="65C6F911">
      <w:pPr>
        <w:pStyle w:val="86"/>
        <w:ind w:firstLine="460"/>
      </w:pPr>
    </w:p>
    <w:p w14:paraId="12E97999">
      <w:pPr>
        <w:pStyle w:val="23"/>
      </w:pPr>
    </w:p>
    <w:p w14:paraId="24C8B872">
      <w:pPr>
        <w:pStyle w:val="24"/>
      </w:pPr>
    </w:p>
    <w:p w14:paraId="1687AD0A">
      <w:pPr>
        <w:pStyle w:val="25"/>
      </w:pPr>
    </w:p>
    <w:p w14:paraId="2535DCC5"/>
    <w:p w14:paraId="40EB5164">
      <w:pPr>
        <w:adjustRightInd/>
        <w:spacing w:line="420" w:lineRule="exact"/>
        <w:jc w:val="center"/>
        <w:outlineLvl w:val="0"/>
        <w:rPr>
          <w:rFonts w:ascii="宋体" w:hAnsi="宋体" w:cs="宋体"/>
          <w:b/>
          <w:sz w:val="28"/>
          <w:szCs w:val="18"/>
        </w:rPr>
      </w:pPr>
      <w:r>
        <w:rPr>
          <w:rFonts w:hint="eastAsia" w:ascii="宋体" w:hAnsi="宋体" w:cs="宋体"/>
          <w:b/>
          <w:sz w:val="28"/>
          <w:szCs w:val="18"/>
        </w:rPr>
        <w:t>一、总则</w:t>
      </w:r>
    </w:p>
    <w:p w14:paraId="2FB84624">
      <w:pPr>
        <w:snapToGrid w:val="0"/>
        <w:spacing w:line="420" w:lineRule="exact"/>
        <w:jc w:val="left"/>
        <w:outlineLvl w:val="1"/>
        <w:rPr>
          <w:rFonts w:ascii="宋体" w:hAnsi="宋体" w:cs="宋体"/>
          <w:b/>
          <w:sz w:val="24"/>
        </w:rPr>
      </w:pPr>
      <w:r>
        <w:rPr>
          <w:rFonts w:hint="eastAsia" w:ascii="宋体" w:hAnsi="宋体" w:cs="宋体"/>
          <w:b/>
          <w:sz w:val="24"/>
        </w:rPr>
        <w:t>1. 适用范围</w:t>
      </w:r>
    </w:p>
    <w:p w14:paraId="2CEBBED5">
      <w:pPr>
        <w:snapToGrid w:val="0"/>
        <w:spacing w:line="420" w:lineRule="exact"/>
        <w:ind w:firstLine="480" w:firstLineChars="200"/>
        <w:jc w:val="left"/>
        <w:rPr>
          <w:rFonts w:ascii="宋体" w:hAnsi="宋体" w:cs="宋体"/>
          <w:sz w:val="24"/>
        </w:rPr>
      </w:pPr>
      <w:r>
        <w:rPr>
          <w:rFonts w:hint="eastAsia" w:ascii="宋体" w:hAnsi="宋体" w:cs="宋体"/>
          <w:sz w:val="24"/>
        </w:rPr>
        <w:t>本招标文件适用于该项目的招标、投标、开标、资格审查及信用信息查询、评标、定标、合同、验收等行为（法律、法规另有规定的，从其规定）。</w:t>
      </w:r>
    </w:p>
    <w:p w14:paraId="1B70BEDD">
      <w:pPr>
        <w:adjustRightInd/>
        <w:spacing w:line="420" w:lineRule="exact"/>
        <w:outlineLvl w:val="0"/>
        <w:rPr>
          <w:rFonts w:ascii="宋体" w:hAnsi="宋体" w:cs="宋体"/>
          <w:b/>
          <w:sz w:val="24"/>
        </w:rPr>
      </w:pPr>
      <w:r>
        <w:rPr>
          <w:rFonts w:hint="eastAsia" w:ascii="宋体" w:hAnsi="宋体" w:cs="宋体"/>
          <w:b/>
          <w:sz w:val="24"/>
        </w:rPr>
        <w:t>2.定义</w:t>
      </w:r>
    </w:p>
    <w:p w14:paraId="3A7C88E7">
      <w:pPr>
        <w:spacing w:line="420" w:lineRule="exact"/>
        <w:ind w:firstLine="480" w:firstLineChars="200"/>
        <w:rPr>
          <w:rFonts w:ascii="宋体" w:hAnsi="宋体" w:cs="宋体"/>
          <w:sz w:val="24"/>
        </w:rPr>
      </w:pPr>
      <w:r>
        <w:rPr>
          <w:rFonts w:hint="eastAsia" w:ascii="宋体" w:hAnsi="宋体" w:cs="宋体"/>
          <w:sz w:val="24"/>
        </w:rPr>
        <w:t>2.1 “采购人”系指招标公告中载明的本项目的采购人。</w:t>
      </w:r>
    </w:p>
    <w:p w14:paraId="6C625A16">
      <w:pPr>
        <w:spacing w:line="420" w:lineRule="exact"/>
        <w:ind w:firstLine="480" w:firstLineChars="200"/>
        <w:rPr>
          <w:rFonts w:ascii="宋体" w:hAnsi="宋体" w:cs="宋体"/>
          <w:sz w:val="24"/>
        </w:rPr>
      </w:pPr>
      <w:r>
        <w:rPr>
          <w:rFonts w:hint="eastAsia" w:ascii="宋体" w:hAnsi="宋体" w:cs="宋体"/>
          <w:sz w:val="24"/>
        </w:rPr>
        <w:t>2.2 “采购代理机构”系指招标公告中载明的本项目的采购代理机构。</w:t>
      </w:r>
    </w:p>
    <w:p w14:paraId="739A784A">
      <w:pPr>
        <w:spacing w:line="420" w:lineRule="exact"/>
        <w:ind w:firstLine="480" w:firstLineChars="200"/>
        <w:rPr>
          <w:rFonts w:ascii="宋体" w:hAnsi="宋体" w:cs="宋体"/>
          <w:sz w:val="24"/>
        </w:rPr>
      </w:pPr>
      <w:r>
        <w:rPr>
          <w:rFonts w:hint="eastAsia" w:ascii="宋体" w:hAnsi="宋体" w:cs="宋体"/>
          <w:sz w:val="24"/>
        </w:rPr>
        <w:t>2.3 “投标人”系指是指响应招标、参加投标竞争的法人、其他组织或者自然人。</w:t>
      </w:r>
    </w:p>
    <w:p w14:paraId="25922BB0">
      <w:pPr>
        <w:spacing w:line="420" w:lineRule="exact"/>
        <w:ind w:firstLine="480" w:firstLineChars="200"/>
        <w:rPr>
          <w:rFonts w:ascii="宋体" w:hAnsi="宋体" w:cs="宋体"/>
          <w:sz w:val="24"/>
        </w:rPr>
      </w:pPr>
      <w:r>
        <w:rPr>
          <w:rFonts w:hint="eastAsia" w:ascii="宋体" w:hAnsi="宋体" w:cs="宋体"/>
          <w:sz w:val="24"/>
        </w:rPr>
        <w:t>2.4 “负责人”系指法人企业的法定负责人，或其他组织为法律、行政法规规定代表单位行使职权的主要负责人，或自然人本人。</w:t>
      </w:r>
    </w:p>
    <w:p w14:paraId="42488B73">
      <w:pPr>
        <w:spacing w:line="420" w:lineRule="exact"/>
        <w:ind w:firstLine="480" w:firstLineChars="200"/>
        <w:rPr>
          <w:rFonts w:ascii="宋体" w:hAnsi="宋体" w:cs="宋体"/>
          <w:sz w:val="24"/>
        </w:rPr>
      </w:pPr>
      <w:r>
        <w:rPr>
          <w:rFonts w:hint="eastAsia" w:ascii="宋体" w:hAnsi="宋体" w:cs="宋体"/>
          <w:sz w:val="24"/>
        </w:rPr>
        <w:t>2.5“电子签名”系指数据电文中以电子形式所含、所附用于识别签名人身份并表明签名人认可其中内容的数据；“公章”系指单位法定名称章。</w:t>
      </w:r>
    </w:p>
    <w:p w14:paraId="5990B426">
      <w:pPr>
        <w:spacing w:line="420" w:lineRule="exact"/>
        <w:ind w:firstLine="480" w:firstLineChars="200"/>
        <w:rPr>
          <w:rFonts w:ascii="宋体" w:hAnsi="宋体" w:cs="宋体"/>
          <w:sz w:val="24"/>
        </w:rPr>
      </w:pPr>
      <w:r>
        <w:rPr>
          <w:rFonts w:hint="eastAsia" w:ascii="宋体" w:hAnsi="宋体" w:cs="宋体"/>
          <w:sz w:val="24"/>
        </w:rPr>
        <w:t>2.6“电子交易平台”是指本项目政府采购活动所依托的政府采购云平台（https://www.zcygov.cn/）。</w:t>
      </w:r>
    </w:p>
    <w:p w14:paraId="383164C7">
      <w:pPr>
        <w:spacing w:line="420" w:lineRule="exact"/>
        <w:ind w:firstLine="480" w:firstLineChars="200"/>
        <w:rPr>
          <w:rFonts w:ascii="宋体" w:hAnsi="宋体" w:cs="宋体"/>
          <w:sz w:val="24"/>
        </w:rPr>
      </w:pPr>
      <w:r>
        <w:rPr>
          <w:rFonts w:hint="eastAsia" w:ascii="宋体" w:hAnsi="宋体" w:cs="宋体"/>
          <w:sz w:val="24"/>
        </w:rPr>
        <w:t>2.7 “★”系指实质性指标要求条款，“▲” 系指主要性能指标要求条款。如任意一条打“★”的指标出现负偏离视为实质性不响应招标文件要求，作无效投标处理；如任意一条打“▲”的指标出现负偏离按评分标准作扣分处理。“☑”系指适用本项目的要求，“☐”系指不适用本项目的要求。</w:t>
      </w:r>
    </w:p>
    <w:p w14:paraId="398813D6">
      <w:pPr>
        <w:spacing w:line="420" w:lineRule="exact"/>
        <w:rPr>
          <w:rFonts w:ascii="宋体" w:hAnsi="宋体" w:cs="宋体"/>
          <w:sz w:val="24"/>
        </w:rPr>
      </w:pPr>
      <w:r>
        <w:rPr>
          <w:rFonts w:hint="eastAsia" w:ascii="宋体" w:hAnsi="宋体" w:cs="宋体"/>
          <w:b/>
          <w:sz w:val="24"/>
        </w:rPr>
        <w:t>3.采购项目需要落实的政府采购政策</w:t>
      </w:r>
    </w:p>
    <w:p w14:paraId="4FD2D044">
      <w:pPr>
        <w:spacing w:line="420" w:lineRule="exact"/>
        <w:ind w:firstLine="480" w:firstLineChars="200"/>
        <w:rPr>
          <w:rFonts w:ascii="宋体" w:hAnsi="宋体" w:cs="宋体"/>
          <w:sz w:val="24"/>
        </w:rPr>
      </w:pPr>
      <w:r>
        <w:rPr>
          <w:rFonts w:hint="eastAsia" w:ascii="宋体" w:hAnsi="宋体" w:cs="宋体"/>
          <w:sz w:val="24"/>
        </w:rPr>
        <w:t>3.1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优先采购向我国企业转让技术、与我国企业签订消化吸收再创新方案的供应商的进口产品。</w:t>
      </w:r>
    </w:p>
    <w:p w14:paraId="275CF215">
      <w:pPr>
        <w:spacing w:line="420" w:lineRule="exact"/>
        <w:ind w:firstLine="480" w:firstLineChars="200"/>
        <w:rPr>
          <w:rFonts w:ascii="宋体" w:hAnsi="宋体" w:cs="宋体"/>
          <w:sz w:val="24"/>
        </w:rPr>
      </w:pPr>
      <w:r>
        <w:rPr>
          <w:rFonts w:hint="eastAsia" w:ascii="宋体" w:hAnsi="宋体" w:cs="宋体"/>
          <w:sz w:val="24"/>
        </w:rPr>
        <w:t>3.2支持本国产品</w:t>
      </w:r>
    </w:p>
    <w:p w14:paraId="35F8B590">
      <w:pPr>
        <w:spacing w:line="420" w:lineRule="exact"/>
        <w:ind w:firstLine="480" w:firstLineChars="200"/>
        <w:rPr>
          <w:rFonts w:ascii="宋体" w:hAnsi="宋体" w:cs="宋体"/>
          <w:sz w:val="24"/>
        </w:rPr>
      </w:pPr>
      <w:r>
        <w:rPr>
          <w:rFonts w:hint="eastAsia" w:ascii="宋体" w:hAnsi="宋体" w:cs="宋体"/>
          <w:sz w:val="24"/>
        </w:rPr>
        <w:t>3.2.1本国产品标准根据《国务院办公厅关于在政府采购中实施本国产品标准及相关政策的通知》（国办发〔2025〕34号）文件要求认定。</w:t>
      </w:r>
    </w:p>
    <w:p w14:paraId="0FB9499A">
      <w:pPr>
        <w:spacing w:line="420" w:lineRule="exact"/>
        <w:ind w:firstLine="480" w:firstLineChars="200"/>
        <w:rPr>
          <w:rFonts w:ascii="宋体" w:hAnsi="宋体" w:cs="宋体"/>
          <w:sz w:val="24"/>
        </w:rPr>
      </w:pPr>
      <w:r>
        <w:rPr>
          <w:rFonts w:hint="eastAsia" w:ascii="宋体" w:hAnsi="宋体" w:cs="宋体"/>
          <w:sz w:val="24"/>
        </w:rPr>
        <w:t>3.2.2既有本国产品又有非本国产品参与竞争的，依法对本国产品给予价格评审优惠（须提供《关于符合本国产品标准的声明函》（格式见附件5）或财政部会同有关部门规定的有关证明文件），对本国产品的报价给予20%的价格扣除，用扣除后的价格参与评审。</w:t>
      </w:r>
    </w:p>
    <w:p w14:paraId="7383B85B">
      <w:pPr>
        <w:spacing w:line="420" w:lineRule="exact"/>
        <w:ind w:firstLine="480" w:firstLineChars="200"/>
        <w:rPr>
          <w:rFonts w:ascii="宋体" w:hAnsi="宋体" w:cs="宋体"/>
          <w:sz w:val="24"/>
        </w:rPr>
      </w:pPr>
      <w:r>
        <w:rPr>
          <w:rFonts w:hint="eastAsia" w:ascii="宋体" w:hAnsi="宋体" w:cs="宋体"/>
          <w:sz w:val="24"/>
        </w:rPr>
        <w:t>3.2.3当采购项目或者采购包中含有多种产品，供应商为该采购项目或者采购包提供的符合本国产品标准的产品成本之和占该供应商提供的全部产品成本之和的比例达到80%以上时（须提供《关于符合本国产品标准的声明函》和《关于符合本国产品标准的成本占比的承诺函》，格式见附件5、附件6），依法对该供应商提供的全部产品给予价格评审优惠，即对该供应商提供的全部产品的总报价给予20%的价格扣除，用扣除后的价格参与评审。</w:t>
      </w:r>
    </w:p>
    <w:p w14:paraId="4C0162CD">
      <w:pPr>
        <w:spacing w:line="420" w:lineRule="exact"/>
        <w:ind w:firstLine="480" w:firstLineChars="200"/>
        <w:rPr>
          <w:rFonts w:ascii="宋体" w:hAnsi="宋体" w:cs="宋体"/>
          <w:sz w:val="24"/>
        </w:rPr>
      </w:pPr>
      <w:r>
        <w:rPr>
          <w:rFonts w:hint="eastAsia" w:ascii="宋体" w:hAnsi="宋体" w:cs="宋体"/>
          <w:sz w:val="24"/>
        </w:rPr>
        <w:t>3.2.4未出具符合要求的《关于符合本国产品标准的声明函》《关于符合本国产品标准的成本占比的承诺函》或有关证明文件的，不享受本国产品支持政策。</w:t>
      </w:r>
    </w:p>
    <w:p w14:paraId="0ADFC505">
      <w:pPr>
        <w:spacing w:line="420" w:lineRule="exact"/>
        <w:ind w:firstLine="480" w:firstLineChars="200"/>
        <w:rPr>
          <w:rFonts w:ascii="宋体" w:hAnsi="宋体" w:cs="宋体"/>
          <w:sz w:val="24"/>
        </w:rPr>
      </w:pPr>
      <w:r>
        <w:rPr>
          <w:rFonts w:hint="eastAsia" w:ascii="宋体" w:hAnsi="宋体" w:cs="宋体"/>
          <w:sz w:val="24"/>
        </w:rPr>
        <w:t>3.3支持绿色发展</w:t>
      </w:r>
    </w:p>
    <w:p w14:paraId="764C0104">
      <w:pPr>
        <w:spacing w:line="420" w:lineRule="exact"/>
        <w:ind w:firstLine="480" w:firstLineChars="200"/>
        <w:rPr>
          <w:rFonts w:ascii="宋体" w:hAnsi="宋体" w:cs="宋体"/>
          <w:b/>
          <w:sz w:val="24"/>
        </w:rPr>
      </w:pPr>
      <w:r>
        <w:rPr>
          <w:rFonts w:hint="eastAsia" w:ascii="宋体" w:hAnsi="宋体" w:cs="宋体"/>
          <w:sz w:val="24"/>
        </w:rPr>
        <w:t>3.3.1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sz w:val="24"/>
        </w:rPr>
        <w:t>★采购人拟采购的产品属于政府强制采购的节能产品品目清单范围的，投标人未按招标文件要求提供国家确定的认证机构出具的、处于有效期之内的节能产品认证证书的，投标无效。</w:t>
      </w:r>
    </w:p>
    <w:p w14:paraId="472848D3">
      <w:pPr>
        <w:spacing w:line="420" w:lineRule="exact"/>
        <w:ind w:firstLine="480" w:firstLineChars="200"/>
        <w:rPr>
          <w:rFonts w:ascii="宋体" w:hAnsi="宋体" w:cs="宋体"/>
          <w:sz w:val="24"/>
        </w:rPr>
      </w:pPr>
      <w:r>
        <w:rPr>
          <w:rFonts w:hint="eastAsia" w:ascii="宋体" w:hAnsi="宋体" w:cs="宋体"/>
          <w:sz w:val="24"/>
        </w:rPr>
        <w:t>3.3.2修缮、装修类项目采购建材的，采购人应将绿色建筑和绿色建材性能、指标等作为实质性条件纳入招标文件和合同。</w:t>
      </w:r>
    </w:p>
    <w:p w14:paraId="48C36517">
      <w:pPr>
        <w:spacing w:line="420" w:lineRule="exact"/>
        <w:ind w:firstLine="480" w:firstLineChars="200"/>
        <w:rPr>
          <w:rFonts w:ascii="宋体" w:hAnsi="宋体" w:cs="宋体"/>
          <w:sz w:val="24"/>
        </w:rPr>
      </w:pPr>
      <w:r>
        <w:rPr>
          <w:rFonts w:hint="eastAsia" w:ascii="宋体" w:hAnsi="宋体" w:cs="宋体"/>
          <w:sz w:val="24"/>
        </w:rPr>
        <w:t>3.3.3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34F7B5B4">
      <w:pPr>
        <w:spacing w:line="420" w:lineRule="exact"/>
        <w:ind w:firstLine="480" w:firstLineChars="200"/>
        <w:rPr>
          <w:rFonts w:ascii="宋体" w:hAnsi="宋体" w:cs="宋体"/>
          <w:sz w:val="24"/>
        </w:rPr>
      </w:pPr>
      <w:r>
        <w:rPr>
          <w:rFonts w:hint="eastAsia" w:ascii="宋体" w:hAnsi="宋体" w:cs="宋体"/>
          <w:sz w:val="24"/>
        </w:rPr>
        <w:t>3.3.4鼓励供应商在参加政府采购过程中开展绿色设计、选择绿色材料、打造绿色制造工艺、开展绿色运输、做好废弃产品回收处理，实现产品全周期的绿色环保。鼓励采购单位对其提高预付款比例、免收履约保证金。</w:t>
      </w:r>
    </w:p>
    <w:p w14:paraId="4145CB0C">
      <w:pPr>
        <w:spacing w:line="420" w:lineRule="exact"/>
        <w:ind w:firstLine="480" w:firstLineChars="200"/>
        <w:rPr>
          <w:rFonts w:ascii="宋体" w:hAnsi="宋体" w:cs="宋体"/>
          <w:sz w:val="24"/>
        </w:rPr>
      </w:pPr>
      <w:r>
        <w:rPr>
          <w:rFonts w:hint="eastAsia" w:ascii="宋体" w:hAnsi="宋体" w:cs="宋体"/>
          <w:sz w:val="24"/>
        </w:rPr>
        <w:t>3.3.5根据《绍兴市柴油动力移动源排气污染防治办法》第九条、第十三条的规定，使用的柴油动力移动源（柴油货车、非道路移动机械）必须符合低排放要求并已向生态环境部门申领绿色编码，在进入作业现场前须如实向采购人登记报备绿色编码，未申领绿色编码的柴油动力移动源不得进入作业现场施工。</w:t>
      </w:r>
    </w:p>
    <w:p w14:paraId="57A8EE29">
      <w:pPr>
        <w:spacing w:line="420" w:lineRule="exact"/>
        <w:ind w:firstLine="480" w:firstLineChars="200"/>
        <w:rPr>
          <w:rFonts w:ascii="宋体" w:hAnsi="宋体" w:cs="宋体"/>
          <w:sz w:val="24"/>
        </w:rPr>
      </w:pPr>
      <w:r>
        <w:rPr>
          <w:rFonts w:hint="eastAsia" w:ascii="宋体" w:hAnsi="宋体" w:cs="宋体"/>
          <w:sz w:val="24"/>
        </w:rPr>
        <w:t>3.4支持中小企业发展</w:t>
      </w:r>
    </w:p>
    <w:p w14:paraId="1E3B96DD">
      <w:pPr>
        <w:spacing w:line="420" w:lineRule="exact"/>
        <w:ind w:firstLine="480" w:firstLineChars="200"/>
        <w:rPr>
          <w:rFonts w:ascii="宋体" w:hAnsi="宋体" w:cs="宋体"/>
          <w:sz w:val="24"/>
        </w:rPr>
      </w:pPr>
      <w:r>
        <w:rPr>
          <w:rFonts w:hint="eastAsia" w:ascii="宋体" w:hAnsi="宋体" w:cs="宋体"/>
          <w:sz w:val="24"/>
        </w:rPr>
        <w:t>3.4.1中小企业，是指在中华人民共和国境内依法设立，依据国务院批准的中小企业划分标准确定的中型企业、小型企业和微型企业，但与大企业的负责人为同一人，或者与大企业存在直接控股、管理关系的除外。</w:t>
      </w:r>
    </w:p>
    <w:p w14:paraId="0C48F9ED">
      <w:pPr>
        <w:spacing w:line="420" w:lineRule="exact"/>
        <w:ind w:firstLine="480" w:firstLineChars="200"/>
        <w:rPr>
          <w:rFonts w:ascii="宋体" w:hAnsi="宋体" w:cs="宋体"/>
          <w:sz w:val="24"/>
        </w:rPr>
      </w:pPr>
      <w:r>
        <w:rPr>
          <w:rFonts w:hint="eastAsia" w:ascii="宋体" w:hAnsi="宋体" w:cs="宋体"/>
          <w:sz w:val="24"/>
        </w:rPr>
        <w:t>符合中小企业划分标准的个体工商户，在政府采购活动中视同中小企业。</w:t>
      </w:r>
    </w:p>
    <w:p w14:paraId="7D756A47">
      <w:pPr>
        <w:spacing w:line="420" w:lineRule="exact"/>
        <w:ind w:firstLine="480" w:firstLineChars="200"/>
        <w:jc w:val="left"/>
        <w:rPr>
          <w:rFonts w:ascii="宋体" w:hAnsi="宋体" w:cs="宋体"/>
          <w:kern w:val="0"/>
          <w:sz w:val="24"/>
        </w:rPr>
      </w:pPr>
      <w:r>
        <w:rPr>
          <w:rFonts w:hint="eastAsia" w:ascii="宋体" w:hAnsi="宋体" w:cs="宋体"/>
          <w:bCs/>
          <w:sz w:val="24"/>
        </w:rPr>
        <w:t>3.4.2</w:t>
      </w:r>
      <w:r>
        <w:rPr>
          <w:rFonts w:hint="eastAsia" w:ascii="宋体" w:hAnsi="宋体" w:cs="宋体"/>
          <w:kern w:val="0"/>
          <w:sz w:val="24"/>
        </w:rPr>
        <w:t>在政府采购活动中，投标人提供的货物、工程或者服务符合下列情形的，享受中小企业扶持政策：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民法典》订立劳动合同的从业人员。在货物采购项目中，投标人提供的货物既有中小企业制造货物，也有大型企业制造货物的，不享受中小企业扶持政策。</w:t>
      </w:r>
    </w:p>
    <w:p w14:paraId="19868680">
      <w:pPr>
        <w:widowControl/>
        <w:spacing w:line="420" w:lineRule="exact"/>
        <w:ind w:firstLine="480" w:firstLineChars="200"/>
        <w:jc w:val="left"/>
        <w:rPr>
          <w:rFonts w:ascii="宋体" w:hAnsi="宋体" w:cs="宋体"/>
          <w:kern w:val="0"/>
          <w:sz w:val="24"/>
        </w:rPr>
      </w:pPr>
      <w:r>
        <w:rPr>
          <w:rFonts w:hint="eastAsia" w:ascii="宋体" w:hAnsi="宋体" w:cs="宋体"/>
          <w:kern w:val="0"/>
          <w:sz w:val="24"/>
        </w:rPr>
        <w:t>以联合体形式参加政府采购活动，联合体各方均为中小企业的，联合体视同中小企业。其中，联合体各方均为小微企业的，联合体视同小微企业。</w:t>
      </w:r>
    </w:p>
    <w:p w14:paraId="28BCCF41">
      <w:pPr>
        <w:spacing w:line="420" w:lineRule="exact"/>
        <w:ind w:firstLine="480" w:firstLineChars="200"/>
        <w:rPr>
          <w:rFonts w:ascii="宋体" w:hAnsi="宋体" w:cs="宋体"/>
          <w:sz w:val="24"/>
        </w:rPr>
      </w:pPr>
      <w:r>
        <w:rPr>
          <w:rFonts w:hint="eastAsia" w:ascii="宋体" w:hAnsi="宋体" w:cs="宋体"/>
          <w:sz w:val="24"/>
        </w:rPr>
        <w:t>3.4.3对于未预留份额专门面向中小企业的政府采购货物或服务项目，以及预留份额政府采购货物或服务项目中的非预留部分标项，对小型和微型企业的投标报价给予20%的扣除，用扣除后的价格参与评审。接受大中型企业与小微企业组成联合体或者允许大中型企业向一家或者多家小微企业分包的政府采购货物或服务项目，对于联合协议或者分包意向协议约定小微企业的合同份额占到合同总金额30%以上的，对联合体或者大中型企业的报价给予6%的扣除，用扣除后的价格参加评审。组成联合体或者接受分包的小微企业与联合体内其他企业、分包企业之间存在直接控股、管理关系的，不享受价格扣除优惠政策。</w:t>
      </w:r>
    </w:p>
    <w:p w14:paraId="04D193F3">
      <w:pPr>
        <w:spacing w:line="420" w:lineRule="exact"/>
        <w:ind w:firstLine="480" w:firstLineChars="200"/>
        <w:rPr>
          <w:rFonts w:ascii="宋体" w:hAnsi="宋体" w:cs="宋体"/>
          <w:sz w:val="24"/>
        </w:rPr>
      </w:pPr>
      <w:r>
        <w:rPr>
          <w:rFonts w:hint="eastAsia" w:ascii="宋体" w:hAnsi="宋体" w:cs="宋体"/>
          <w:sz w:val="24"/>
        </w:rPr>
        <w:t>3.4.4符合《关于促进残疾人就业政府采购政策的通知》（财库〔2017〕141号）规定的条件并提供《残疾人福利性单位声明函》（附件1）的残疾人福利性单位视同小型、微型企业；</w:t>
      </w:r>
    </w:p>
    <w:p w14:paraId="744C4891">
      <w:pPr>
        <w:spacing w:line="420" w:lineRule="exact"/>
        <w:ind w:firstLine="480" w:firstLineChars="200"/>
        <w:rPr>
          <w:rFonts w:ascii="宋体" w:hAnsi="宋体" w:cs="宋体"/>
          <w:sz w:val="24"/>
        </w:rPr>
      </w:pPr>
      <w:r>
        <w:rPr>
          <w:rFonts w:hint="eastAsia" w:ascii="宋体" w:hAnsi="宋体" w:cs="宋体"/>
          <w:sz w:val="24"/>
        </w:rPr>
        <w:t>3.4.5符合《关于政府采购支持监狱企业发展有关问题的通知》（财库〔2014〕68号）规定的监狱企业并提供由省级以上监狱管理局、戒毒管理局（含新疆生产建设兵团）出具的属于监狱企业证明文件的，视同为小型、微型企业。</w:t>
      </w:r>
    </w:p>
    <w:p w14:paraId="5796073D">
      <w:pPr>
        <w:spacing w:line="420" w:lineRule="exact"/>
        <w:ind w:firstLine="480" w:firstLineChars="200"/>
        <w:rPr>
          <w:rFonts w:ascii="宋体" w:hAnsi="宋体" w:cs="宋体"/>
          <w:sz w:val="24"/>
        </w:rPr>
      </w:pPr>
      <w:r>
        <w:rPr>
          <w:rFonts w:hint="eastAsia" w:ascii="宋体" w:hAnsi="宋体" w:cs="宋体"/>
          <w:sz w:val="24"/>
        </w:rPr>
        <w:t>3.4.6可享受中小企业扶持政策的投标人应按照招标文件格式要求提供《中小企业声明函》，投标人提供的《中小企业声明函》与实际情况不符或未按照要求提供的，不享受中小企业扶持政策。声明内容不实的，属于提供虚假材料谋取中标、成交的，依法承担法律责任。</w:t>
      </w:r>
    </w:p>
    <w:p w14:paraId="1EA20C94">
      <w:pPr>
        <w:spacing w:line="420" w:lineRule="exact"/>
        <w:ind w:firstLine="480" w:firstLineChars="200"/>
        <w:rPr>
          <w:rFonts w:ascii="宋体" w:hAnsi="宋体" w:cs="宋体"/>
          <w:sz w:val="24"/>
        </w:rPr>
      </w:pPr>
      <w:r>
        <w:rPr>
          <w:rFonts w:hint="eastAsia" w:ascii="宋体" w:hAnsi="宋体" w:cs="宋体"/>
          <w:sz w:val="24"/>
        </w:rPr>
        <w:t>3.4.7中小企业享受扶持政策获得政府采购合同的，小微企业不得将合同分包给大中型企业，中型企业不得将合同分包给大型企业。</w:t>
      </w:r>
    </w:p>
    <w:p w14:paraId="7E7EDAB4">
      <w:pPr>
        <w:spacing w:line="420" w:lineRule="exact"/>
        <w:ind w:firstLine="480" w:firstLineChars="200"/>
        <w:rPr>
          <w:rFonts w:ascii="宋体" w:hAnsi="宋体" w:cs="宋体"/>
          <w:sz w:val="24"/>
        </w:rPr>
      </w:pPr>
      <w:r>
        <w:rPr>
          <w:rFonts w:hint="eastAsia" w:ascii="宋体" w:hAnsi="宋体" w:cs="宋体"/>
          <w:sz w:val="24"/>
        </w:rPr>
        <w:t>3.5</w:t>
      </w:r>
      <w:r>
        <w:rPr>
          <w:rFonts w:hint="eastAsia" w:ascii="宋体" w:hAnsi="宋体" w:cs="宋体"/>
          <w:bCs/>
          <w:sz w:val="24"/>
        </w:rPr>
        <w:t>支持创新发展</w:t>
      </w:r>
    </w:p>
    <w:p w14:paraId="588485DB">
      <w:pPr>
        <w:spacing w:line="420" w:lineRule="exact"/>
        <w:ind w:firstLine="480" w:firstLineChars="200"/>
        <w:rPr>
          <w:rFonts w:ascii="宋体" w:hAnsi="宋体" w:cs="宋体"/>
          <w:sz w:val="24"/>
        </w:rPr>
      </w:pPr>
      <w:r>
        <w:rPr>
          <w:rFonts w:hint="eastAsia" w:ascii="宋体" w:hAnsi="宋体" w:cs="宋体"/>
          <w:sz w:val="24"/>
        </w:rPr>
        <w:t>3.5.1首台套、“制造精品”、“专精特新”等创新产品按规定享受政府采购支持政策。其中对省级以上主管部门认定的首台套产品，自纳入《省推广应用指导目录》起三年内参加政府采购活动，视同已具备相应销售业绩，业绩分为满分。</w:t>
      </w:r>
    </w:p>
    <w:p w14:paraId="720DA804">
      <w:pPr>
        <w:spacing w:line="420" w:lineRule="exact"/>
        <w:ind w:firstLine="480" w:firstLineChars="200"/>
        <w:rPr>
          <w:rFonts w:ascii="宋体" w:hAnsi="宋体" w:cs="宋体"/>
          <w:sz w:val="24"/>
        </w:rPr>
      </w:pPr>
      <w:r>
        <w:rPr>
          <w:rFonts w:hint="eastAsia" w:ascii="宋体" w:hAnsi="宋体" w:cs="宋体"/>
          <w:sz w:val="24"/>
        </w:rPr>
        <w:t>3.5.2采购人应当贯彻落实知识产权保护相关法律法规，应当采购使用正版软件。</w:t>
      </w:r>
    </w:p>
    <w:p w14:paraId="0A444E9B">
      <w:pPr>
        <w:spacing w:line="420" w:lineRule="exact"/>
        <w:ind w:firstLine="480" w:firstLineChars="200"/>
        <w:rPr>
          <w:rFonts w:ascii="宋体" w:hAnsi="宋体" w:cs="宋体"/>
          <w:sz w:val="24"/>
        </w:rPr>
      </w:pPr>
      <w:r>
        <w:rPr>
          <w:rFonts w:hint="eastAsia" w:ascii="宋体" w:hAnsi="宋体" w:cs="宋体"/>
          <w:sz w:val="24"/>
        </w:rPr>
        <w:t>3.6平等对待内外资企业和符合条件的破产重整企业</w:t>
      </w:r>
    </w:p>
    <w:p w14:paraId="6541692C">
      <w:pPr>
        <w:spacing w:line="420" w:lineRule="exact"/>
        <w:ind w:firstLine="480" w:firstLineChars="200"/>
        <w:rPr>
          <w:rFonts w:ascii="宋体" w:hAnsi="宋体" w:cs="宋体"/>
          <w:sz w:val="24"/>
        </w:rPr>
      </w:pPr>
      <w:r>
        <w:rPr>
          <w:rFonts w:hint="eastAsia" w:ascii="宋体" w:hAnsi="宋体" w:cs="宋体"/>
          <w:sz w:val="24"/>
        </w:rPr>
        <w:t>3.6.1平等对待内外资企业和符合条件的破产重整企业，切实保障企业公平竞争，平等维护企业的合法利益。</w:t>
      </w:r>
    </w:p>
    <w:p w14:paraId="3183C824">
      <w:pPr>
        <w:spacing w:line="420" w:lineRule="exact"/>
        <w:rPr>
          <w:rFonts w:ascii="宋体" w:hAnsi="宋体" w:cs="宋体"/>
          <w:sz w:val="24"/>
        </w:rPr>
      </w:pPr>
      <w:r>
        <w:rPr>
          <w:rFonts w:hint="eastAsia" w:ascii="宋体" w:hAnsi="宋体" w:cs="宋体"/>
          <w:b/>
          <w:sz w:val="24"/>
        </w:rPr>
        <w:t>4. 询问、质疑、投诉</w:t>
      </w:r>
    </w:p>
    <w:p w14:paraId="55197571">
      <w:pPr>
        <w:spacing w:line="420" w:lineRule="exact"/>
        <w:ind w:firstLine="480" w:firstLineChars="200"/>
        <w:rPr>
          <w:rFonts w:ascii="宋体" w:hAnsi="宋体" w:cs="宋体"/>
          <w:b/>
          <w:sz w:val="24"/>
        </w:rPr>
      </w:pPr>
      <w:r>
        <w:rPr>
          <w:rFonts w:hint="eastAsia" w:ascii="宋体" w:hAnsi="宋体" w:cs="宋体"/>
          <w:kern w:val="0"/>
          <w:sz w:val="24"/>
          <w:lang w:val="zh-CN"/>
        </w:rPr>
        <w:t>4.1供应商询问</w:t>
      </w:r>
    </w:p>
    <w:p w14:paraId="646E834E">
      <w:pPr>
        <w:autoSpaceDE w:val="0"/>
        <w:autoSpaceDN w:val="0"/>
        <w:spacing w:line="420" w:lineRule="exact"/>
        <w:ind w:firstLine="480" w:firstLineChars="200"/>
        <w:jc w:val="left"/>
        <w:rPr>
          <w:rFonts w:ascii="宋体" w:hAnsi="宋体" w:cs="宋体"/>
          <w:kern w:val="0"/>
          <w:sz w:val="24"/>
          <w:lang w:val="zh-CN"/>
        </w:rPr>
      </w:pPr>
      <w:r>
        <w:rPr>
          <w:rFonts w:hint="eastAsia" w:ascii="宋体" w:hAnsi="宋体" w:cs="宋体"/>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4DA4E68E">
      <w:pPr>
        <w:autoSpaceDE w:val="0"/>
        <w:autoSpaceDN w:val="0"/>
        <w:spacing w:line="420" w:lineRule="exact"/>
        <w:ind w:firstLine="480" w:firstLineChars="200"/>
        <w:jc w:val="left"/>
        <w:rPr>
          <w:rFonts w:ascii="宋体" w:hAnsi="宋体" w:cs="宋体"/>
          <w:kern w:val="0"/>
          <w:sz w:val="24"/>
          <w:lang w:val="zh-CN"/>
        </w:rPr>
      </w:pPr>
      <w:r>
        <w:rPr>
          <w:rFonts w:hint="eastAsia" w:ascii="宋体" w:hAnsi="宋体" w:cs="宋体"/>
          <w:kern w:val="0"/>
          <w:sz w:val="24"/>
          <w:lang w:val="zh-CN"/>
        </w:rPr>
        <w:t>4.2供应商质疑</w:t>
      </w:r>
    </w:p>
    <w:p w14:paraId="5BD194C8">
      <w:pPr>
        <w:pStyle w:val="34"/>
        <w:spacing w:line="420" w:lineRule="exact"/>
        <w:ind w:firstLine="480" w:firstLineChars="200"/>
        <w:rPr>
          <w:rFonts w:hAnsi="宋体" w:cs="宋体"/>
          <w:sz w:val="24"/>
        </w:rPr>
      </w:pPr>
      <w:r>
        <w:rPr>
          <w:rFonts w:hint="eastAsia" w:hAnsi="宋体" w:cs="宋体"/>
          <w:kern w:val="0"/>
          <w:sz w:val="24"/>
          <w:lang w:val="zh-CN"/>
        </w:rPr>
        <w:t>4.2</w:t>
      </w:r>
      <w:r>
        <w:rPr>
          <w:rFonts w:hint="eastAsia" w:hAnsi="宋体" w:cs="宋体"/>
          <w:sz w:val="24"/>
        </w:rPr>
        <w:t>.1提出质疑的供应商应当是参与所质疑项目采购活动的供应商。潜在供应商已依法获取其可质疑的招标文件的，可以对该文件提出质疑。</w:t>
      </w:r>
    </w:p>
    <w:p w14:paraId="0615381B">
      <w:pPr>
        <w:pStyle w:val="34"/>
        <w:spacing w:line="420" w:lineRule="exact"/>
        <w:ind w:firstLine="480" w:firstLineChars="200"/>
        <w:rPr>
          <w:rFonts w:hAnsi="宋体" w:cs="宋体"/>
          <w:sz w:val="24"/>
        </w:rPr>
      </w:pPr>
      <w:r>
        <w:rPr>
          <w:rFonts w:hint="eastAsia" w:hAnsi="宋体" w:cs="宋体"/>
          <w:kern w:val="0"/>
          <w:sz w:val="24"/>
          <w:lang w:val="zh-CN"/>
        </w:rPr>
        <w:t>4.2</w:t>
      </w:r>
      <w:r>
        <w:rPr>
          <w:rFonts w:hint="eastAsia" w:hAnsi="宋体" w:cs="宋体"/>
          <w:sz w:val="24"/>
        </w:rPr>
        <w:t>.2供应商认为招标文件、采购过程和中标结果使自己的权益受到损害的，可以在知道或者应知其权益受到损害之日起7个工作日内，以书面形式向采购人或者采购代理机构提出质疑，否则，采购人或者采购代理机构不予受理：</w:t>
      </w:r>
    </w:p>
    <w:p w14:paraId="5976B2DA">
      <w:pPr>
        <w:pStyle w:val="15"/>
        <w:spacing w:line="420" w:lineRule="exact"/>
        <w:ind w:firstLine="480" w:firstLineChars="200"/>
        <w:rPr>
          <w:rFonts w:hAnsi="宋体" w:cs="宋体"/>
          <w:color w:val="auto"/>
          <w:kern w:val="2"/>
          <w:sz w:val="24"/>
        </w:rPr>
      </w:pPr>
      <w:r>
        <w:rPr>
          <w:rFonts w:hint="eastAsia" w:hAnsi="宋体" w:cs="宋体"/>
          <w:color w:val="auto"/>
          <w:kern w:val="2"/>
          <w:sz w:val="24"/>
        </w:rPr>
        <w:t>4.2.2.1对招标文件提出质疑的，质疑期限为供应商获得招标文件之日或者招标文件公告期限届满之日起计算。</w:t>
      </w:r>
    </w:p>
    <w:p w14:paraId="3F795463">
      <w:pPr>
        <w:pStyle w:val="34"/>
        <w:spacing w:line="420" w:lineRule="exact"/>
        <w:ind w:firstLine="480" w:firstLineChars="200"/>
        <w:rPr>
          <w:rFonts w:hAnsi="宋体" w:cs="宋体"/>
          <w:sz w:val="24"/>
        </w:rPr>
      </w:pPr>
      <w:r>
        <w:rPr>
          <w:rFonts w:hint="eastAsia" w:hAnsi="宋体" w:cs="宋体"/>
          <w:sz w:val="24"/>
        </w:rPr>
        <w:t>4.2.2.2对采购过程提出质疑的，质疑期限为各采购程序环节结束之日起计算。对同一采购程序环节的质疑，供应商须一次性提出。</w:t>
      </w:r>
    </w:p>
    <w:p w14:paraId="3CE99D3D">
      <w:pPr>
        <w:pStyle w:val="34"/>
        <w:spacing w:line="420" w:lineRule="exact"/>
        <w:ind w:firstLine="480" w:firstLineChars="200"/>
        <w:rPr>
          <w:rFonts w:hAnsi="宋体" w:cs="宋体"/>
          <w:sz w:val="24"/>
        </w:rPr>
      </w:pPr>
      <w:r>
        <w:rPr>
          <w:rFonts w:hint="eastAsia" w:hAnsi="宋体" w:cs="宋体"/>
          <w:sz w:val="24"/>
        </w:rPr>
        <w:t>4.2.2.3对采购结果提出质疑的，质疑期限自采购结果公告期限届满之日起计算。</w:t>
      </w:r>
    </w:p>
    <w:p w14:paraId="794C3DDB">
      <w:pPr>
        <w:pStyle w:val="34"/>
        <w:spacing w:line="420" w:lineRule="exact"/>
        <w:ind w:firstLine="482" w:firstLineChars="200"/>
        <w:rPr>
          <w:rFonts w:hAnsi="宋体" w:cs="宋体"/>
          <w:b/>
          <w:sz w:val="24"/>
        </w:rPr>
      </w:pPr>
      <w:r>
        <w:rPr>
          <w:rFonts w:hint="eastAsia" w:hAnsi="宋体" w:cs="宋体"/>
          <w:b/>
          <w:sz w:val="24"/>
        </w:rPr>
        <w:t>4.2.2.4针对采购文件中特定资格条件、采购需求、评分办法提出的质疑，应向采购人提出；对采购文件中其他内容、采购过程、采购结果提出的质疑，应向采购代理机构提出。</w:t>
      </w:r>
    </w:p>
    <w:p w14:paraId="520F9873">
      <w:pPr>
        <w:pStyle w:val="34"/>
        <w:spacing w:line="420" w:lineRule="exact"/>
        <w:ind w:firstLine="480" w:firstLineChars="200"/>
        <w:rPr>
          <w:rFonts w:hAnsi="宋体" w:cs="宋体"/>
          <w:kern w:val="0"/>
          <w:sz w:val="24"/>
          <w:lang w:val="zh-CN"/>
        </w:rPr>
      </w:pPr>
      <w:r>
        <w:rPr>
          <w:rFonts w:hint="eastAsia" w:hAnsi="宋体" w:cs="宋体"/>
          <w:kern w:val="0"/>
          <w:sz w:val="24"/>
          <w:lang w:val="zh-CN"/>
        </w:rPr>
        <w:t>4.2.3</w:t>
      </w:r>
      <w:r>
        <w:rPr>
          <w:rFonts w:hint="eastAsia" w:hAnsi="宋体" w:cs="宋体"/>
          <w:sz w:val="24"/>
        </w:rPr>
        <w:t>供应商提出质疑应当提交质疑函和必要的证明材料。质疑函应当包括下列内容：</w:t>
      </w:r>
    </w:p>
    <w:p w14:paraId="74D91A75">
      <w:pPr>
        <w:pStyle w:val="34"/>
        <w:spacing w:line="420" w:lineRule="exact"/>
        <w:ind w:firstLine="480" w:firstLineChars="200"/>
        <w:rPr>
          <w:rFonts w:hAnsi="宋体" w:cs="宋体"/>
          <w:kern w:val="0"/>
          <w:sz w:val="24"/>
          <w:lang w:val="zh-CN"/>
        </w:rPr>
      </w:pPr>
      <w:r>
        <w:rPr>
          <w:rFonts w:hint="eastAsia" w:hAnsi="宋体" w:cs="宋体"/>
          <w:kern w:val="0"/>
          <w:sz w:val="24"/>
          <w:lang w:val="zh-CN"/>
        </w:rPr>
        <w:t>4.2.3.1供应商的姓名或者名称、地址、邮编、联系人及联系电话；</w:t>
      </w:r>
    </w:p>
    <w:p w14:paraId="3F759503">
      <w:pPr>
        <w:pStyle w:val="34"/>
        <w:spacing w:line="420" w:lineRule="exact"/>
        <w:ind w:firstLine="480" w:firstLineChars="200"/>
        <w:rPr>
          <w:rFonts w:hAnsi="宋体" w:cs="宋体"/>
          <w:kern w:val="0"/>
          <w:sz w:val="24"/>
          <w:lang w:val="zh-CN"/>
        </w:rPr>
      </w:pPr>
      <w:r>
        <w:rPr>
          <w:rFonts w:hint="eastAsia" w:hAnsi="宋体" w:cs="宋体"/>
          <w:kern w:val="0"/>
          <w:sz w:val="24"/>
          <w:lang w:val="zh-CN"/>
        </w:rPr>
        <w:t>4.2.3.2质疑项目的名称、编号；</w:t>
      </w:r>
    </w:p>
    <w:p w14:paraId="5F8C8AE2">
      <w:pPr>
        <w:pStyle w:val="34"/>
        <w:spacing w:line="420" w:lineRule="exact"/>
        <w:ind w:firstLine="480" w:firstLineChars="200"/>
        <w:rPr>
          <w:rFonts w:hAnsi="宋体" w:cs="宋体"/>
          <w:kern w:val="0"/>
          <w:sz w:val="24"/>
          <w:lang w:val="zh-CN"/>
        </w:rPr>
      </w:pPr>
      <w:r>
        <w:rPr>
          <w:rFonts w:hint="eastAsia" w:hAnsi="宋体" w:cs="宋体"/>
          <w:kern w:val="0"/>
          <w:sz w:val="24"/>
          <w:lang w:val="zh-CN"/>
        </w:rPr>
        <w:t>4.2.3.3具体、明确的质疑事项和与质疑事项相关的请求；</w:t>
      </w:r>
    </w:p>
    <w:p w14:paraId="21A57CA9">
      <w:pPr>
        <w:pStyle w:val="34"/>
        <w:spacing w:line="420" w:lineRule="exact"/>
        <w:ind w:firstLine="480" w:firstLineChars="200"/>
        <w:rPr>
          <w:rFonts w:hAnsi="宋体" w:cs="宋体"/>
          <w:kern w:val="0"/>
          <w:sz w:val="24"/>
          <w:lang w:val="zh-CN"/>
        </w:rPr>
      </w:pPr>
      <w:r>
        <w:rPr>
          <w:rFonts w:hint="eastAsia" w:hAnsi="宋体" w:cs="宋体"/>
          <w:kern w:val="0"/>
          <w:sz w:val="24"/>
          <w:lang w:val="zh-CN"/>
        </w:rPr>
        <w:t>4.2.3.4事实依据；</w:t>
      </w:r>
    </w:p>
    <w:p w14:paraId="0EF213DD">
      <w:pPr>
        <w:pStyle w:val="34"/>
        <w:spacing w:line="420" w:lineRule="exact"/>
        <w:ind w:firstLine="480" w:firstLineChars="200"/>
        <w:rPr>
          <w:rFonts w:hAnsi="宋体" w:cs="宋体"/>
          <w:kern w:val="0"/>
          <w:sz w:val="24"/>
          <w:lang w:val="zh-CN"/>
        </w:rPr>
      </w:pPr>
      <w:r>
        <w:rPr>
          <w:rFonts w:hint="eastAsia" w:hAnsi="宋体" w:cs="宋体"/>
          <w:kern w:val="0"/>
          <w:sz w:val="24"/>
          <w:lang w:val="zh-CN"/>
        </w:rPr>
        <w:t>4.2.3.5必要的法律依据；</w:t>
      </w:r>
    </w:p>
    <w:p w14:paraId="5B654B5B">
      <w:pPr>
        <w:pStyle w:val="34"/>
        <w:spacing w:line="420" w:lineRule="exact"/>
        <w:ind w:firstLine="480" w:firstLineChars="200"/>
        <w:rPr>
          <w:rFonts w:hAnsi="宋体" w:cs="宋体"/>
          <w:sz w:val="24"/>
        </w:rPr>
      </w:pPr>
      <w:r>
        <w:rPr>
          <w:rFonts w:hint="eastAsia" w:hAnsi="宋体" w:cs="宋体"/>
          <w:kern w:val="0"/>
          <w:sz w:val="24"/>
          <w:lang w:val="zh-CN"/>
        </w:rPr>
        <w:t>4.2.</w:t>
      </w:r>
      <w:r>
        <w:rPr>
          <w:rFonts w:hint="eastAsia" w:hAnsi="宋体" w:cs="宋体"/>
          <w:sz w:val="24"/>
        </w:rPr>
        <w:t>3.6提出质疑的日期。</w:t>
      </w:r>
    </w:p>
    <w:p w14:paraId="6B61AEA3">
      <w:pPr>
        <w:pStyle w:val="34"/>
        <w:spacing w:line="420" w:lineRule="exact"/>
        <w:ind w:firstLine="480" w:firstLineChars="200"/>
        <w:rPr>
          <w:rFonts w:hAnsi="宋体" w:cs="宋体"/>
          <w:sz w:val="24"/>
        </w:rPr>
      </w:pPr>
      <w:r>
        <w:rPr>
          <w:rFonts w:hint="eastAsia" w:hAnsi="宋体" w:cs="宋体"/>
          <w:sz w:val="24"/>
        </w:rPr>
        <w:t>供应商提交的质疑函需一式三份。供应商为自然人的，应当由本人签字；供应商为法人或者其他组织的，应当由法定代表人、主要负责人，或者其授权代表签字或者盖章，并加盖公章。质疑函范本及制作说明详见《质疑函范本》（附件2）。</w:t>
      </w:r>
    </w:p>
    <w:p w14:paraId="6AF01E65">
      <w:pPr>
        <w:pStyle w:val="34"/>
        <w:spacing w:line="420" w:lineRule="exact"/>
        <w:ind w:firstLine="480" w:firstLineChars="200"/>
        <w:rPr>
          <w:rFonts w:hAnsi="宋体" w:cs="宋体"/>
          <w:sz w:val="24"/>
        </w:rPr>
      </w:pPr>
      <w:r>
        <w:rPr>
          <w:rFonts w:hint="eastAsia" w:hAnsi="宋体" w:cs="宋体"/>
          <w:sz w:val="24"/>
        </w:rPr>
        <w:t>4.2.4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在质疑回复后5个工作日内，在浙江政府采购网的“其他公告”栏目公开质疑答复，答复内容应当完整。质疑函作为附件上传。</w:t>
      </w:r>
    </w:p>
    <w:p w14:paraId="1B6DC3B1">
      <w:pPr>
        <w:pStyle w:val="34"/>
        <w:spacing w:line="420" w:lineRule="exact"/>
        <w:ind w:firstLine="480" w:firstLineChars="200"/>
        <w:rPr>
          <w:rFonts w:hAnsi="宋体" w:cs="宋体"/>
          <w:sz w:val="24"/>
        </w:rPr>
      </w:pPr>
      <w:r>
        <w:rPr>
          <w:rFonts w:hint="eastAsia" w:hAnsi="宋体" w:cs="宋体"/>
          <w:sz w:val="24"/>
        </w:rPr>
        <w:t>4.2.5询问或者质疑事项可能影响采购结果的，采购人应当暂停签订合同，已经签订合同的，应当中止履行合同。</w:t>
      </w:r>
    </w:p>
    <w:p w14:paraId="5438C0CC">
      <w:pPr>
        <w:pStyle w:val="34"/>
        <w:spacing w:line="420" w:lineRule="exact"/>
        <w:ind w:firstLine="480" w:firstLineChars="200"/>
        <w:rPr>
          <w:rFonts w:hAnsi="宋体" w:cs="宋体"/>
          <w:sz w:val="24"/>
        </w:rPr>
      </w:pPr>
      <w:r>
        <w:rPr>
          <w:rFonts w:hint="eastAsia" w:hAnsi="宋体" w:cs="宋体"/>
          <w:sz w:val="24"/>
        </w:rPr>
        <w:t>4.3质疑供应商投诉</w:t>
      </w:r>
    </w:p>
    <w:p w14:paraId="72EB1FA4">
      <w:pPr>
        <w:pStyle w:val="34"/>
        <w:spacing w:line="420" w:lineRule="exact"/>
        <w:ind w:firstLine="480" w:firstLineChars="200"/>
        <w:rPr>
          <w:rFonts w:hAnsi="宋体" w:cs="宋体"/>
          <w:sz w:val="24"/>
        </w:rPr>
      </w:pPr>
      <w:r>
        <w:rPr>
          <w:rFonts w:hint="eastAsia" w:hAnsi="宋体" w:cs="宋体"/>
          <w:sz w:val="24"/>
        </w:rPr>
        <w:t>4.3.1质疑供应商对采购人、采购代理机构的答复不满意或者采购人、采购代理机构未在规定的时间内作出答复的，可以在答复期满后十五个工作日内向同级政府采购监督管理部门提出投诉。</w:t>
      </w:r>
    </w:p>
    <w:p w14:paraId="05171C89">
      <w:pPr>
        <w:pStyle w:val="34"/>
        <w:spacing w:line="420" w:lineRule="exact"/>
        <w:ind w:firstLine="480" w:firstLineChars="200"/>
        <w:rPr>
          <w:rFonts w:hAnsi="宋体" w:cs="宋体"/>
          <w:sz w:val="24"/>
        </w:rPr>
      </w:pPr>
      <w:r>
        <w:rPr>
          <w:rFonts w:hint="eastAsia" w:hAnsi="宋体" w:cs="宋体"/>
          <w:sz w:val="24"/>
        </w:rPr>
        <w:t>4.3.2供应商投诉的事项不得超出已质疑事项的范围，基于质疑答复内容提出的投诉事项除外。</w:t>
      </w:r>
    </w:p>
    <w:p w14:paraId="36DAC4A7">
      <w:pPr>
        <w:pStyle w:val="34"/>
        <w:spacing w:line="420" w:lineRule="exact"/>
        <w:ind w:firstLine="480" w:firstLineChars="200"/>
        <w:rPr>
          <w:rFonts w:hAnsi="宋体" w:cs="宋体"/>
          <w:sz w:val="24"/>
        </w:rPr>
      </w:pPr>
      <w:r>
        <w:rPr>
          <w:rFonts w:hint="eastAsia" w:hAnsi="宋体" w:cs="宋体"/>
          <w:sz w:val="24"/>
        </w:rPr>
        <w:t>4.3.3供应商投诉应当有明确的请求和必要的证明材料。</w:t>
      </w:r>
    </w:p>
    <w:p w14:paraId="02EA289D">
      <w:pPr>
        <w:pStyle w:val="34"/>
        <w:spacing w:line="420" w:lineRule="exact"/>
        <w:ind w:firstLine="480" w:firstLineChars="200"/>
        <w:rPr>
          <w:rFonts w:hAnsi="宋体" w:cs="宋体"/>
          <w:sz w:val="24"/>
        </w:rPr>
      </w:pPr>
      <w:r>
        <w:rPr>
          <w:rFonts w:hint="eastAsia" w:hAnsi="宋体" w:cs="宋体"/>
          <w:sz w:val="24"/>
        </w:rPr>
        <w:t>4.3.5 以联合体形式参加政府采购活动的，其投诉应当由组成联合体的所有供应商共同提出。投诉书范本及制作说明详见附件3。</w:t>
      </w:r>
    </w:p>
    <w:p w14:paraId="7D7F5873">
      <w:pPr>
        <w:pStyle w:val="34"/>
        <w:spacing w:line="420" w:lineRule="exact"/>
        <w:ind w:firstLine="480" w:firstLineChars="200"/>
        <w:rPr>
          <w:rFonts w:hAnsi="宋体" w:cs="宋体"/>
          <w:sz w:val="24"/>
        </w:rPr>
      </w:pPr>
      <w:r>
        <w:rPr>
          <w:rFonts w:hint="eastAsia" w:hAnsi="宋体" w:cs="宋体"/>
          <w:sz w:val="24"/>
        </w:rPr>
        <w:t>4.4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1E2B48F7">
      <w:pPr>
        <w:adjustRightInd/>
        <w:spacing w:line="420" w:lineRule="exact"/>
        <w:jc w:val="center"/>
        <w:outlineLvl w:val="0"/>
        <w:rPr>
          <w:rFonts w:ascii="宋体" w:hAnsi="宋体" w:cs="宋体"/>
          <w:b/>
          <w:sz w:val="28"/>
          <w:szCs w:val="18"/>
        </w:rPr>
      </w:pPr>
      <w:r>
        <w:rPr>
          <w:rFonts w:hint="eastAsia" w:ascii="宋体" w:hAnsi="宋体" w:cs="宋体"/>
          <w:b/>
          <w:sz w:val="28"/>
          <w:szCs w:val="18"/>
        </w:rPr>
        <w:t>二、招标文件的构成、澄清、补充、修改</w:t>
      </w:r>
    </w:p>
    <w:p w14:paraId="0BFCDC86">
      <w:pPr>
        <w:pStyle w:val="34"/>
        <w:spacing w:line="420" w:lineRule="exact"/>
        <w:rPr>
          <w:rFonts w:hAnsi="宋体" w:cs="宋体"/>
          <w:b/>
          <w:sz w:val="24"/>
          <w:szCs w:val="24"/>
        </w:rPr>
      </w:pPr>
      <w:r>
        <w:rPr>
          <w:rFonts w:hint="eastAsia" w:hAnsi="宋体" w:cs="宋体"/>
          <w:b/>
          <w:sz w:val="24"/>
          <w:szCs w:val="24"/>
        </w:rPr>
        <w:t>5．招标文件的构成</w:t>
      </w:r>
    </w:p>
    <w:p w14:paraId="25A326FB">
      <w:pPr>
        <w:pStyle w:val="34"/>
        <w:spacing w:line="420" w:lineRule="exact"/>
        <w:ind w:firstLine="480" w:firstLineChars="200"/>
        <w:rPr>
          <w:rFonts w:hAnsi="宋体" w:cs="宋体"/>
          <w:sz w:val="24"/>
          <w:szCs w:val="24"/>
        </w:rPr>
      </w:pPr>
      <w:r>
        <w:rPr>
          <w:rFonts w:hint="eastAsia" w:hAnsi="宋体" w:cs="宋体"/>
          <w:sz w:val="24"/>
          <w:szCs w:val="24"/>
        </w:rPr>
        <w:t>5.1 招标文件包括下列文件及附件：</w:t>
      </w:r>
    </w:p>
    <w:p w14:paraId="109A6483">
      <w:pPr>
        <w:pStyle w:val="34"/>
        <w:tabs>
          <w:tab w:val="left" w:pos="840"/>
        </w:tabs>
        <w:spacing w:line="420" w:lineRule="exact"/>
        <w:ind w:firstLine="480" w:firstLineChars="200"/>
        <w:rPr>
          <w:rFonts w:hAnsi="宋体" w:cs="宋体"/>
          <w:sz w:val="24"/>
          <w:szCs w:val="24"/>
        </w:rPr>
      </w:pPr>
      <w:r>
        <w:rPr>
          <w:rFonts w:hint="eastAsia" w:hAnsi="宋体" w:cs="宋体"/>
          <w:sz w:val="24"/>
          <w:szCs w:val="24"/>
        </w:rPr>
        <w:t>5.1.1招标公告；</w:t>
      </w:r>
    </w:p>
    <w:p w14:paraId="3E16014F">
      <w:pPr>
        <w:pStyle w:val="34"/>
        <w:tabs>
          <w:tab w:val="left" w:pos="840"/>
        </w:tabs>
        <w:spacing w:line="420" w:lineRule="exact"/>
        <w:ind w:firstLine="480" w:firstLineChars="200"/>
        <w:rPr>
          <w:rFonts w:hAnsi="宋体" w:cs="宋体"/>
          <w:sz w:val="24"/>
          <w:szCs w:val="24"/>
        </w:rPr>
      </w:pPr>
      <w:r>
        <w:rPr>
          <w:rFonts w:hint="eastAsia" w:hAnsi="宋体" w:cs="宋体"/>
          <w:sz w:val="24"/>
          <w:szCs w:val="24"/>
        </w:rPr>
        <w:t>5.1.2投标人须知；</w:t>
      </w:r>
    </w:p>
    <w:p w14:paraId="0318D744">
      <w:pPr>
        <w:pStyle w:val="34"/>
        <w:tabs>
          <w:tab w:val="left" w:pos="840"/>
        </w:tabs>
        <w:spacing w:line="420" w:lineRule="exact"/>
        <w:ind w:firstLine="480" w:firstLineChars="200"/>
        <w:rPr>
          <w:rFonts w:hAnsi="宋体" w:cs="宋体"/>
          <w:sz w:val="24"/>
          <w:szCs w:val="24"/>
        </w:rPr>
      </w:pPr>
      <w:r>
        <w:rPr>
          <w:rFonts w:hint="eastAsia" w:hAnsi="宋体" w:cs="宋体"/>
          <w:sz w:val="24"/>
          <w:szCs w:val="24"/>
        </w:rPr>
        <w:t>5.1.3采购需求；</w:t>
      </w:r>
    </w:p>
    <w:p w14:paraId="62DA55FA">
      <w:pPr>
        <w:pStyle w:val="34"/>
        <w:tabs>
          <w:tab w:val="left" w:pos="840"/>
        </w:tabs>
        <w:spacing w:line="420" w:lineRule="exact"/>
        <w:ind w:firstLine="480" w:firstLineChars="200"/>
        <w:rPr>
          <w:rFonts w:hAnsi="宋体" w:cs="宋体"/>
          <w:sz w:val="24"/>
          <w:szCs w:val="24"/>
        </w:rPr>
      </w:pPr>
      <w:r>
        <w:rPr>
          <w:rFonts w:hint="eastAsia" w:hAnsi="宋体" w:cs="宋体"/>
          <w:sz w:val="24"/>
          <w:szCs w:val="24"/>
        </w:rPr>
        <w:t>5.1.4评标办法；</w:t>
      </w:r>
    </w:p>
    <w:p w14:paraId="4A18E753">
      <w:pPr>
        <w:pStyle w:val="34"/>
        <w:tabs>
          <w:tab w:val="left" w:pos="840"/>
        </w:tabs>
        <w:spacing w:line="420" w:lineRule="exact"/>
        <w:ind w:firstLine="480" w:firstLineChars="200"/>
        <w:rPr>
          <w:rFonts w:hAnsi="宋体" w:cs="宋体"/>
          <w:sz w:val="24"/>
          <w:szCs w:val="24"/>
        </w:rPr>
      </w:pPr>
      <w:r>
        <w:rPr>
          <w:rFonts w:hint="eastAsia" w:hAnsi="宋体" w:cs="宋体"/>
          <w:sz w:val="24"/>
          <w:szCs w:val="24"/>
        </w:rPr>
        <w:t>5.1.5拟签订的合同文本；</w:t>
      </w:r>
    </w:p>
    <w:p w14:paraId="27BC1BB8">
      <w:pPr>
        <w:pStyle w:val="34"/>
        <w:tabs>
          <w:tab w:val="left" w:pos="840"/>
        </w:tabs>
        <w:spacing w:line="420" w:lineRule="exact"/>
        <w:ind w:firstLine="480" w:firstLineChars="200"/>
        <w:rPr>
          <w:rFonts w:hAnsi="宋体" w:cs="宋体"/>
          <w:sz w:val="24"/>
          <w:szCs w:val="24"/>
        </w:rPr>
      </w:pPr>
      <w:r>
        <w:rPr>
          <w:rFonts w:hint="eastAsia" w:hAnsi="宋体" w:cs="宋体"/>
          <w:sz w:val="24"/>
        </w:rPr>
        <w:t>5.1.6</w:t>
      </w:r>
      <w:r>
        <w:rPr>
          <w:rFonts w:hint="eastAsia" w:hAnsi="宋体" w:cs="宋体"/>
          <w:sz w:val="24"/>
          <w:szCs w:val="24"/>
        </w:rPr>
        <w:t>应提交的有关格式范例。</w:t>
      </w:r>
    </w:p>
    <w:p w14:paraId="011885BA">
      <w:pPr>
        <w:spacing w:line="420" w:lineRule="exact"/>
        <w:ind w:firstLine="480" w:firstLineChars="200"/>
        <w:rPr>
          <w:rFonts w:ascii="宋体" w:hAnsi="宋体" w:cs="宋体"/>
          <w:sz w:val="24"/>
        </w:rPr>
      </w:pPr>
      <w:r>
        <w:rPr>
          <w:rFonts w:hint="eastAsia" w:ascii="宋体" w:hAnsi="宋体" w:cs="宋体"/>
          <w:sz w:val="24"/>
        </w:rPr>
        <w:t>5.2与本项目有关的</w:t>
      </w:r>
      <w:r>
        <w:rPr>
          <w:rFonts w:hint="eastAsia" w:ascii="宋体" w:hAnsi="宋体" w:cs="宋体"/>
          <w:bCs/>
          <w:sz w:val="24"/>
        </w:rPr>
        <w:t>澄清、补充、修改的内容为招标文件的组成部分</w:t>
      </w:r>
      <w:r>
        <w:rPr>
          <w:rFonts w:hint="eastAsia" w:ascii="宋体" w:hAnsi="宋体" w:cs="宋体"/>
          <w:sz w:val="24"/>
        </w:rPr>
        <w:t>。</w:t>
      </w:r>
    </w:p>
    <w:p w14:paraId="29F6B8C3">
      <w:pPr>
        <w:pStyle w:val="34"/>
        <w:spacing w:line="420" w:lineRule="exact"/>
        <w:rPr>
          <w:rFonts w:hAnsi="宋体" w:cs="宋体"/>
          <w:b/>
          <w:sz w:val="24"/>
          <w:szCs w:val="24"/>
        </w:rPr>
      </w:pPr>
      <w:r>
        <w:rPr>
          <w:rFonts w:hint="eastAsia" w:hAnsi="宋体" w:cs="宋体"/>
          <w:b/>
          <w:sz w:val="24"/>
          <w:szCs w:val="24"/>
        </w:rPr>
        <w:t>6. 招标文件的澄清、补充、修改</w:t>
      </w:r>
    </w:p>
    <w:p w14:paraId="2F97EDAD">
      <w:pPr>
        <w:pStyle w:val="167"/>
        <w:snapToGrid w:val="0"/>
        <w:spacing w:before="0" w:line="420" w:lineRule="exact"/>
        <w:ind w:firstLine="480"/>
        <w:rPr>
          <w:rFonts w:ascii="宋体" w:hAnsi="宋体" w:cs="宋体"/>
        </w:rPr>
      </w:pPr>
      <w:r>
        <w:rPr>
          <w:rFonts w:hint="eastAsia" w:ascii="宋体" w:hAnsi="宋体" w:cs="宋体"/>
        </w:rPr>
        <w:t>6.1已获取招标文件的潜在投标人，若有问题需要澄清，应于投标截止时间前，以书面形式向采购代理机构提出。</w:t>
      </w:r>
    </w:p>
    <w:p w14:paraId="69CD45AE">
      <w:pPr>
        <w:pStyle w:val="167"/>
        <w:snapToGrid w:val="0"/>
        <w:spacing w:before="0" w:line="420" w:lineRule="exact"/>
        <w:ind w:firstLine="480"/>
        <w:rPr>
          <w:rFonts w:ascii="宋体" w:hAnsi="宋体" w:cs="宋体"/>
        </w:rPr>
      </w:pPr>
      <w:r>
        <w:rPr>
          <w:rFonts w:hint="eastAsia" w:ascii="宋体" w:hAnsi="宋体" w:cs="宋体"/>
        </w:rPr>
        <w:t>6.2 采购代理机构对招标文件进行澄清、补充、修改的，将以网上发布补充（更正）公告的形式通知所有潜在投标人，同时视情况延长投标截止时间和开标时间。该澄清、补充、修改的内容为招标文件的组成部分。</w:t>
      </w:r>
    </w:p>
    <w:p w14:paraId="5F218BB1">
      <w:pPr>
        <w:pStyle w:val="167"/>
        <w:snapToGrid w:val="0"/>
        <w:spacing w:before="0" w:line="420" w:lineRule="exact"/>
        <w:ind w:firstLine="480"/>
        <w:rPr>
          <w:rFonts w:ascii="宋体" w:hAnsi="宋体" w:cs="宋体"/>
        </w:rPr>
      </w:pPr>
      <w:r>
        <w:rPr>
          <w:rFonts w:hint="eastAsia" w:ascii="宋体" w:hAnsi="宋体" w:cs="宋体"/>
        </w:rPr>
        <w:t>6.3当招标文件与澄清、补充、修改就同一内容表述不一致的以最后发出的文件或公告为准。</w:t>
      </w:r>
    </w:p>
    <w:p w14:paraId="7475F30C">
      <w:pPr>
        <w:adjustRightInd/>
        <w:spacing w:line="420" w:lineRule="exact"/>
        <w:jc w:val="center"/>
        <w:outlineLvl w:val="0"/>
        <w:rPr>
          <w:rFonts w:ascii="宋体" w:hAnsi="宋体" w:cs="宋体"/>
          <w:b/>
          <w:sz w:val="28"/>
          <w:szCs w:val="18"/>
        </w:rPr>
      </w:pPr>
      <w:r>
        <w:rPr>
          <w:rFonts w:hint="eastAsia" w:ascii="宋体" w:hAnsi="宋体" w:cs="宋体"/>
          <w:b/>
          <w:sz w:val="28"/>
          <w:szCs w:val="18"/>
        </w:rPr>
        <w:t>三、投标</w:t>
      </w:r>
    </w:p>
    <w:p w14:paraId="089C2912">
      <w:pPr>
        <w:pStyle w:val="34"/>
        <w:spacing w:line="420" w:lineRule="exact"/>
        <w:rPr>
          <w:rFonts w:hAnsi="宋体" w:cs="宋体"/>
          <w:b/>
          <w:sz w:val="24"/>
          <w:szCs w:val="24"/>
        </w:rPr>
      </w:pPr>
      <w:r>
        <w:rPr>
          <w:rFonts w:hint="eastAsia" w:hAnsi="宋体" w:cs="宋体"/>
          <w:b/>
          <w:sz w:val="24"/>
          <w:szCs w:val="24"/>
        </w:rPr>
        <w:t>7. 招标文件的获取</w:t>
      </w:r>
    </w:p>
    <w:p w14:paraId="0A1B157A">
      <w:pPr>
        <w:spacing w:line="420" w:lineRule="exact"/>
        <w:ind w:firstLine="480" w:firstLineChars="200"/>
        <w:rPr>
          <w:rFonts w:ascii="宋体" w:hAnsi="宋体" w:cs="宋体"/>
          <w:snapToGrid w:val="0"/>
          <w:kern w:val="28"/>
          <w:sz w:val="24"/>
        </w:rPr>
      </w:pPr>
      <w:r>
        <w:rPr>
          <w:rFonts w:hint="eastAsia" w:ascii="宋体" w:hAnsi="宋体" w:cs="宋体"/>
          <w:snapToGrid w:val="0"/>
          <w:kern w:val="28"/>
          <w:sz w:val="24"/>
        </w:rPr>
        <w:t>详见招标公告中获取招标文件的时间期限、地点、方式及招标文件售价。</w:t>
      </w:r>
    </w:p>
    <w:p w14:paraId="1E37969A">
      <w:pPr>
        <w:pStyle w:val="34"/>
        <w:spacing w:line="420" w:lineRule="exact"/>
        <w:rPr>
          <w:rFonts w:hAnsi="宋体" w:cs="宋体"/>
          <w:b/>
          <w:sz w:val="24"/>
          <w:szCs w:val="24"/>
        </w:rPr>
      </w:pPr>
      <w:r>
        <w:rPr>
          <w:rFonts w:hint="eastAsia" w:hAnsi="宋体" w:cs="宋体"/>
          <w:b/>
          <w:sz w:val="24"/>
          <w:szCs w:val="24"/>
        </w:rPr>
        <w:t>8.开标前答疑会或现场考察</w:t>
      </w:r>
    </w:p>
    <w:p w14:paraId="6C4D4C96">
      <w:pPr>
        <w:pStyle w:val="34"/>
        <w:spacing w:line="420" w:lineRule="exact"/>
        <w:ind w:firstLine="480" w:firstLineChars="200"/>
        <w:rPr>
          <w:rFonts w:hAnsi="宋体" w:cs="宋体"/>
          <w:sz w:val="24"/>
          <w:szCs w:val="24"/>
        </w:rPr>
      </w:pPr>
      <w:r>
        <w:rPr>
          <w:rFonts w:hint="eastAsia" w:hAnsi="宋体" w:cs="宋体"/>
          <w:sz w:val="24"/>
          <w:szCs w:val="24"/>
        </w:rPr>
        <w:t>采购人组织潜在投标人现场考察或者召开开标前答疑会的，潜在投标人按第二部分投标人须知前附表的规定参加现场考察或者开标前答疑会。</w:t>
      </w:r>
    </w:p>
    <w:p w14:paraId="5A1BFBD6">
      <w:pPr>
        <w:pStyle w:val="34"/>
        <w:spacing w:line="420" w:lineRule="exact"/>
        <w:rPr>
          <w:rFonts w:hAnsi="宋体" w:cs="宋体"/>
          <w:b/>
          <w:szCs w:val="24"/>
        </w:rPr>
      </w:pPr>
      <w:r>
        <w:rPr>
          <w:rFonts w:hint="eastAsia" w:hAnsi="宋体" w:cs="宋体"/>
          <w:b/>
          <w:kern w:val="28"/>
          <w:sz w:val="24"/>
          <w:szCs w:val="24"/>
        </w:rPr>
        <w:t>9.投标保证金</w:t>
      </w:r>
    </w:p>
    <w:p w14:paraId="07BB8523">
      <w:pPr>
        <w:pStyle w:val="15"/>
        <w:spacing w:line="420" w:lineRule="exact"/>
        <w:ind w:firstLine="470" w:firstLineChars="196"/>
        <w:rPr>
          <w:rFonts w:hAnsi="宋体" w:cs="宋体"/>
          <w:color w:val="auto"/>
          <w:sz w:val="24"/>
        </w:rPr>
      </w:pPr>
      <w:r>
        <w:rPr>
          <w:rFonts w:hint="eastAsia" w:hAnsi="宋体" w:cs="宋体"/>
          <w:color w:val="auto"/>
          <w:sz w:val="24"/>
        </w:rPr>
        <w:t>本项目不需缴纳投标保证金。</w:t>
      </w:r>
    </w:p>
    <w:p w14:paraId="6C08F6C2">
      <w:pPr>
        <w:pStyle w:val="34"/>
        <w:spacing w:line="420" w:lineRule="exact"/>
        <w:rPr>
          <w:rFonts w:hAnsi="宋体" w:cs="宋体"/>
          <w:b/>
          <w:sz w:val="24"/>
          <w:szCs w:val="24"/>
        </w:rPr>
      </w:pPr>
      <w:r>
        <w:rPr>
          <w:rFonts w:hint="eastAsia" w:hAnsi="宋体" w:cs="宋体"/>
          <w:b/>
          <w:sz w:val="24"/>
          <w:szCs w:val="24"/>
        </w:rPr>
        <w:t>10. 投标文件的语言</w:t>
      </w:r>
    </w:p>
    <w:p w14:paraId="79D38117">
      <w:pPr>
        <w:autoSpaceDE w:val="0"/>
        <w:autoSpaceDN w:val="0"/>
        <w:spacing w:line="420" w:lineRule="exact"/>
        <w:ind w:firstLine="480" w:firstLineChars="200"/>
        <w:rPr>
          <w:rFonts w:ascii="宋体" w:hAnsi="宋体" w:cs="宋体"/>
          <w:sz w:val="24"/>
          <w:lang w:val="zh-CN"/>
        </w:rPr>
      </w:pPr>
      <w:r>
        <w:rPr>
          <w:rFonts w:hint="eastAsia" w:ascii="宋体" w:hAnsi="宋体" w:cs="宋体"/>
          <w:sz w:val="24"/>
        </w:rPr>
        <w:t>投标文件及投标人与采购有关的来往通知、函件和文件均应使用中文。</w:t>
      </w:r>
    </w:p>
    <w:p w14:paraId="263C2763">
      <w:pPr>
        <w:pStyle w:val="34"/>
        <w:spacing w:line="420" w:lineRule="exact"/>
        <w:rPr>
          <w:rFonts w:hAnsi="宋体" w:cs="宋体"/>
          <w:b/>
          <w:sz w:val="24"/>
          <w:szCs w:val="24"/>
        </w:rPr>
      </w:pPr>
      <w:r>
        <w:rPr>
          <w:rFonts w:hint="eastAsia" w:hAnsi="宋体" w:cs="宋体"/>
          <w:b/>
          <w:sz w:val="24"/>
          <w:szCs w:val="24"/>
        </w:rPr>
        <w:t>11. 投标文件的组成</w:t>
      </w:r>
    </w:p>
    <w:p w14:paraId="3758FAD7">
      <w:pPr>
        <w:snapToGrid w:val="0"/>
        <w:spacing w:line="420" w:lineRule="exact"/>
        <w:ind w:firstLine="482" w:firstLineChars="200"/>
        <w:rPr>
          <w:rFonts w:ascii="宋体" w:hAnsi="宋体" w:cs="宋体"/>
          <w:b/>
          <w:bCs/>
          <w:sz w:val="24"/>
        </w:rPr>
      </w:pPr>
      <w:r>
        <w:rPr>
          <w:rFonts w:hint="eastAsia" w:ascii="宋体" w:hAnsi="宋体" w:cs="宋体"/>
          <w:b/>
          <w:bCs/>
          <w:sz w:val="24"/>
        </w:rPr>
        <w:t>11.1资格文件：</w:t>
      </w:r>
    </w:p>
    <w:p w14:paraId="35ABC356">
      <w:pPr>
        <w:snapToGrid w:val="0"/>
        <w:spacing w:line="420" w:lineRule="exact"/>
        <w:ind w:firstLine="480" w:firstLineChars="200"/>
        <w:rPr>
          <w:rFonts w:ascii="宋体" w:hAnsi="宋体" w:cs="宋体"/>
          <w:sz w:val="24"/>
        </w:rPr>
      </w:pPr>
      <w:r>
        <w:rPr>
          <w:rFonts w:hint="eastAsia" w:ascii="宋体" w:hAnsi="宋体" w:cs="宋体"/>
          <w:sz w:val="24"/>
        </w:rPr>
        <w:t>11.1.1符合参加政府采购活动应当具备的一般条件的承诺函；</w:t>
      </w:r>
    </w:p>
    <w:p w14:paraId="31E9B666">
      <w:pPr>
        <w:snapToGrid w:val="0"/>
        <w:spacing w:line="420" w:lineRule="exact"/>
        <w:ind w:firstLine="480" w:firstLineChars="200"/>
        <w:rPr>
          <w:rFonts w:ascii="宋体" w:hAnsi="宋体" w:cs="宋体"/>
          <w:sz w:val="24"/>
        </w:rPr>
      </w:pPr>
      <w:r>
        <w:rPr>
          <w:rFonts w:hint="eastAsia" w:ascii="宋体" w:hAnsi="宋体" w:cs="宋体"/>
          <w:sz w:val="24"/>
        </w:rPr>
        <w:t>11.1.2落实政府采购政策需满足的资格要求（如需）；</w:t>
      </w:r>
    </w:p>
    <w:p w14:paraId="3538A318">
      <w:pPr>
        <w:snapToGrid w:val="0"/>
        <w:spacing w:line="420" w:lineRule="exact"/>
        <w:ind w:firstLine="480" w:firstLineChars="200"/>
        <w:rPr>
          <w:rFonts w:ascii="宋体" w:hAnsi="宋体" w:cs="宋体"/>
          <w:sz w:val="24"/>
        </w:rPr>
      </w:pPr>
      <w:r>
        <w:rPr>
          <w:rFonts w:hint="eastAsia" w:ascii="宋体" w:hAnsi="宋体" w:cs="宋体"/>
          <w:sz w:val="24"/>
        </w:rPr>
        <w:t>11.1.3本项目的特定资格要求（如需）。</w:t>
      </w:r>
    </w:p>
    <w:p w14:paraId="09A09296">
      <w:pPr>
        <w:snapToGrid w:val="0"/>
        <w:spacing w:line="420" w:lineRule="exact"/>
        <w:ind w:firstLine="482" w:firstLineChars="200"/>
        <w:rPr>
          <w:rFonts w:ascii="宋体" w:hAnsi="宋体" w:cs="宋体"/>
          <w:b/>
          <w:bCs/>
          <w:sz w:val="24"/>
          <w:lang w:val="zh-CN"/>
        </w:rPr>
      </w:pPr>
      <w:r>
        <w:rPr>
          <w:rFonts w:hint="eastAsia" w:ascii="宋体" w:hAnsi="宋体" w:cs="宋体"/>
          <w:b/>
          <w:bCs/>
          <w:sz w:val="24"/>
          <w:lang w:val="zh-CN"/>
        </w:rPr>
        <w:t>11.</w:t>
      </w:r>
      <w:r>
        <w:rPr>
          <w:rFonts w:hint="eastAsia" w:ascii="宋体" w:hAnsi="宋体" w:cs="宋体"/>
          <w:b/>
          <w:bCs/>
          <w:sz w:val="24"/>
        </w:rPr>
        <w:t>2商务技术</w:t>
      </w:r>
      <w:r>
        <w:rPr>
          <w:rFonts w:hint="eastAsia" w:ascii="宋体" w:hAnsi="宋体" w:cs="宋体"/>
          <w:b/>
          <w:bCs/>
          <w:sz w:val="24"/>
          <w:lang w:val="zh-CN"/>
        </w:rPr>
        <w:t>文件：</w:t>
      </w:r>
    </w:p>
    <w:p w14:paraId="5E4CA30A">
      <w:pPr>
        <w:snapToGrid w:val="0"/>
        <w:spacing w:line="420" w:lineRule="exact"/>
        <w:ind w:firstLine="480" w:firstLineChars="200"/>
        <w:rPr>
          <w:rFonts w:ascii="宋体" w:hAnsi="宋体" w:cs="宋体"/>
          <w:sz w:val="24"/>
        </w:rPr>
      </w:pPr>
      <w:r>
        <w:rPr>
          <w:rFonts w:hint="eastAsia" w:ascii="宋体" w:hAnsi="宋体" w:cs="宋体"/>
          <w:sz w:val="24"/>
        </w:rPr>
        <w:t>11.2.1投标函；</w:t>
      </w:r>
    </w:p>
    <w:p w14:paraId="4B77482E">
      <w:pPr>
        <w:snapToGrid w:val="0"/>
        <w:spacing w:line="420" w:lineRule="exact"/>
        <w:ind w:firstLine="480" w:firstLineChars="200"/>
        <w:rPr>
          <w:rFonts w:ascii="宋体" w:hAnsi="宋体" w:cs="宋体"/>
          <w:sz w:val="24"/>
        </w:rPr>
      </w:pPr>
      <w:r>
        <w:rPr>
          <w:rFonts w:hint="eastAsia" w:ascii="宋体" w:hAnsi="宋体" w:cs="宋体"/>
          <w:sz w:val="24"/>
        </w:rPr>
        <w:t>11.2.2授权委托书或法定代表人（单位负责人、自然人本人）身份证明；</w:t>
      </w:r>
    </w:p>
    <w:p w14:paraId="5390C36D">
      <w:pPr>
        <w:snapToGrid w:val="0"/>
        <w:spacing w:line="420" w:lineRule="exact"/>
        <w:ind w:firstLine="480" w:firstLineChars="200"/>
        <w:rPr>
          <w:rFonts w:ascii="宋体" w:hAnsi="宋体" w:cs="宋体"/>
          <w:sz w:val="24"/>
        </w:rPr>
      </w:pPr>
      <w:r>
        <w:rPr>
          <w:rFonts w:hint="eastAsia" w:ascii="宋体" w:hAnsi="宋体" w:cs="宋体"/>
          <w:sz w:val="24"/>
        </w:rPr>
        <w:t>11.2.3联合协议（如需）；</w:t>
      </w:r>
    </w:p>
    <w:p w14:paraId="66C9403B">
      <w:pPr>
        <w:snapToGrid w:val="0"/>
        <w:spacing w:line="420" w:lineRule="exact"/>
        <w:ind w:firstLine="480" w:firstLineChars="200"/>
        <w:rPr>
          <w:rFonts w:ascii="宋体" w:hAnsi="宋体" w:cs="宋体"/>
          <w:sz w:val="24"/>
        </w:rPr>
      </w:pPr>
      <w:r>
        <w:rPr>
          <w:rFonts w:hint="eastAsia" w:ascii="宋体" w:hAnsi="宋体" w:cs="宋体"/>
          <w:sz w:val="24"/>
        </w:rPr>
        <w:t>11.2.4分包意向协议（如需）；</w:t>
      </w:r>
    </w:p>
    <w:p w14:paraId="4237A100">
      <w:pPr>
        <w:snapToGrid w:val="0"/>
        <w:spacing w:line="420" w:lineRule="exact"/>
        <w:ind w:firstLine="480" w:firstLineChars="200"/>
        <w:rPr>
          <w:rFonts w:ascii="宋体" w:hAnsi="宋体" w:cs="宋体"/>
          <w:sz w:val="24"/>
        </w:rPr>
      </w:pPr>
      <w:r>
        <w:rPr>
          <w:rFonts w:hint="eastAsia" w:ascii="宋体" w:hAnsi="宋体" w:cs="宋体"/>
          <w:sz w:val="24"/>
        </w:rPr>
        <w:t>11.2.5符合性审查资料；</w:t>
      </w:r>
    </w:p>
    <w:p w14:paraId="2EE8E907">
      <w:pPr>
        <w:snapToGrid w:val="0"/>
        <w:spacing w:line="420" w:lineRule="exact"/>
        <w:ind w:firstLine="480" w:firstLineChars="200"/>
        <w:rPr>
          <w:rFonts w:ascii="宋体" w:hAnsi="宋体" w:cs="宋体"/>
          <w:sz w:val="24"/>
        </w:rPr>
      </w:pPr>
      <w:r>
        <w:rPr>
          <w:rFonts w:hint="eastAsia" w:ascii="宋体" w:hAnsi="宋体" w:cs="宋体"/>
          <w:sz w:val="24"/>
        </w:rPr>
        <w:t>11.2.6评标标准相应的商务技术资料（如需）；</w:t>
      </w:r>
    </w:p>
    <w:p w14:paraId="1007F590">
      <w:pPr>
        <w:snapToGrid w:val="0"/>
        <w:spacing w:line="420" w:lineRule="exact"/>
        <w:ind w:firstLine="480" w:firstLineChars="200"/>
        <w:rPr>
          <w:rFonts w:ascii="宋体" w:hAnsi="宋体" w:cs="宋体"/>
          <w:sz w:val="24"/>
        </w:rPr>
      </w:pPr>
      <w:r>
        <w:rPr>
          <w:rFonts w:hint="eastAsia" w:ascii="宋体" w:hAnsi="宋体" w:cs="宋体"/>
          <w:sz w:val="24"/>
        </w:rPr>
        <w:t>11.2.7商务技术偏离表；</w:t>
      </w:r>
    </w:p>
    <w:p w14:paraId="36EADC32">
      <w:pPr>
        <w:snapToGrid w:val="0"/>
        <w:spacing w:line="420" w:lineRule="exact"/>
        <w:ind w:firstLine="480" w:firstLineChars="200"/>
        <w:rPr>
          <w:rFonts w:ascii="宋体" w:hAnsi="宋体" w:cs="宋体"/>
          <w:sz w:val="24"/>
          <w:lang w:val="zh-CN"/>
        </w:rPr>
      </w:pPr>
      <w:r>
        <w:rPr>
          <w:rFonts w:hint="eastAsia" w:ascii="宋体" w:hAnsi="宋体" w:cs="宋体"/>
          <w:sz w:val="24"/>
          <w:lang w:val="zh-CN"/>
        </w:rPr>
        <w:t>11.</w:t>
      </w: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8</w:t>
      </w:r>
      <w:r>
        <w:rPr>
          <w:rFonts w:hint="eastAsia" w:ascii="宋体" w:hAnsi="宋体" w:cs="宋体"/>
          <w:sz w:val="24"/>
          <w:lang w:val="zh-CN"/>
        </w:rPr>
        <w:t>政府采购供应商廉洁自律承诺书；</w:t>
      </w:r>
    </w:p>
    <w:p w14:paraId="1B906034">
      <w:pPr>
        <w:snapToGrid w:val="0"/>
        <w:spacing w:line="420" w:lineRule="exact"/>
        <w:ind w:firstLine="482" w:firstLineChars="200"/>
        <w:rPr>
          <w:rFonts w:ascii="宋体" w:hAnsi="宋体" w:cs="宋体"/>
          <w:b/>
          <w:bCs/>
          <w:sz w:val="24"/>
          <w:u w:val="single"/>
          <w:lang w:val="zh-CN"/>
        </w:rPr>
      </w:pPr>
      <w:r>
        <w:rPr>
          <w:rFonts w:hint="eastAsia" w:ascii="宋体" w:hAnsi="宋体" w:cs="宋体"/>
          <w:b/>
          <w:bCs/>
          <w:kern w:val="0"/>
          <w:sz w:val="24"/>
          <w:lang w:val="zh-CN"/>
        </w:rPr>
        <w:t>11.</w:t>
      </w:r>
      <w:r>
        <w:rPr>
          <w:rFonts w:hint="eastAsia" w:ascii="宋体" w:hAnsi="宋体" w:cs="宋体"/>
          <w:b/>
          <w:bCs/>
          <w:kern w:val="0"/>
          <w:sz w:val="24"/>
        </w:rPr>
        <w:t>3</w:t>
      </w:r>
      <w:r>
        <w:rPr>
          <w:rFonts w:hint="eastAsia" w:ascii="宋体" w:hAnsi="宋体" w:cs="宋体"/>
          <w:b/>
          <w:bCs/>
          <w:sz w:val="24"/>
        </w:rPr>
        <w:t xml:space="preserve">报价文件： </w:t>
      </w:r>
    </w:p>
    <w:p w14:paraId="0CCEB135">
      <w:pPr>
        <w:snapToGrid w:val="0"/>
        <w:spacing w:line="420" w:lineRule="exact"/>
        <w:ind w:firstLine="480" w:firstLineChars="200"/>
        <w:rPr>
          <w:rFonts w:ascii="宋体" w:hAnsi="宋体" w:cs="宋体"/>
          <w:sz w:val="24"/>
        </w:rPr>
      </w:pPr>
      <w:r>
        <w:rPr>
          <w:rFonts w:hint="eastAsia" w:ascii="宋体" w:hAnsi="宋体" w:cs="宋体"/>
          <w:sz w:val="24"/>
        </w:rPr>
        <w:t>11.3.1开标一览表（报价表）；</w:t>
      </w:r>
    </w:p>
    <w:p w14:paraId="39094D83">
      <w:pPr>
        <w:snapToGrid w:val="0"/>
        <w:spacing w:line="420" w:lineRule="exact"/>
        <w:ind w:firstLine="480" w:firstLineChars="200"/>
        <w:rPr>
          <w:rFonts w:ascii="宋体" w:hAnsi="宋体" w:cs="宋体"/>
          <w:sz w:val="24"/>
        </w:rPr>
      </w:pPr>
      <w:r>
        <w:rPr>
          <w:rFonts w:hint="eastAsia" w:ascii="宋体" w:hAnsi="宋体" w:cs="宋体"/>
          <w:sz w:val="24"/>
        </w:rPr>
        <w:t>11.3.2中小企业声明函（如需）。</w:t>
      </w:r>
    </w:p>
    <w:p w14:paraId="3757516F">
      <w:pPr>
        <w:spacing w:line="420" w:lineRule="exact"/>
        <w:ind w:firstLine="482" w:firstLineChars="200"/>
        <w:rPr>
          <w:rFonts w:ascii="宋体" w:hAnsi="宋体" w:cs="宋体"/>
          <w:b/>
          <w:sz w:val="24"/>
        </w:rPr>
      </w:pPr>
      <w:r>
        <w:rPr>
          <w:rFonts w:hint="eastAsia" w:ascii="宋体" w:hAnsi="宋体" w:cs="宋体"/>
          <w:b/>
          <w:sz w:val="24"/>
        </w:rPr>
        <w:t>11.4投标文件含有采购人不能接受的附加条件的，投标无效；投标人提供虚假材料投标的，投标无效。</w:t>
      </w:r>
    </w:p>
    <w:p w14:paraId="473915B9">
      <w:pPr>
        <w:pStyle w:val="167"/>
        <w:snapToGrid w:val="0"/>
        <w:spacing w:before="0" w:line="420" w:lineRule="exact"/>
        <w:ind w:firstLine="0" w:firstLineChars="0"/>
        <w:outlineLvl w:val="0"/>
        <w:rPr>
          <w:rFonts w:ascii="宋体" w:hAnsi="宋体" w:cs="宋体"/>
          <w:b/>
          <w:szCs w:val="24"/>
        </w:rPr>
      </w:pPr>
      <w:r>
        <w:rPr>
          <w:rFonts w:hint="eastAsia" w:ascii="宋体" w:hAnsi="宋体" w:cs="宋体"/>
          <w:b/>
          <w:szCs w:val="24"/>
        </w:rPr>
        <w:t>12</w:t>
      </w:r>
      <w:r>
        <w:rPr>
          <w:rFonts w:hint="eastAsia" w:ascii="宋体" w:hAnsi="宋体" w:cs="宋体"/>
          <w:b/>
          <w:kern w:val="0"/>
          <w:szCs w:val="24"/>
          <w:lang w:val="zh-CN"/>
        </w:rPr>
        <w:t xml:space="preserve">. </w:t>
      </w:r>
      <w:r>
        <w:rPr>
          <w:rFonts w:hint="eastAsia" w:ascii="宋体" w:hAnsi="宋体" w:cs="宋体"/>
          <w:b/>
          <w:szCs w:val="24"/>
        </w:rPr>
        <w:t>投标文件的编制</w:t>
      </w:r>
    </w:p>
    <w:p w14:paraId="6B96C797">
      <w:pPr>
        <w:spacing w:line="420" w:lineRule="exact"/>
        <w:ind w:firstLine="480" w:firstLineChars="200"/>
        <w:rPr>
          <w:rFonts w:ascii="宋体" w:hAnsi="宋体" w:cs="宋体"/>
          <w:b/>
          <w:sz w:val="24"/>
        </w:rPr>
      </w:pPr>
      <w:r>
        <w:rPr>
          <w:rFonts w:hint="eastAsia" w:ascii="宋体" w:hAnsi="宋体" w:cs="宋体"/>
          <w:kern w:val="0"/>
          <w:sz w:val="24"/>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18872093">
      <w:pPr>
        <w:spacing w:line="420" w:lineRule="exact"/>
        <w:ind w:firstLine="480" w:firstLineChars="200"/>
        <w:rPr>
          <w:rFonts w:ascii="宋体" w:hAnsi="宋体" w:cs="宋体"/>
          <w:kern w:val="0"/>
          <w:sz w:val="24"/>
          <w:lang w:val="zh-CN"/>
        </w:rPr>
      </w:pPr>
      <w:r>
        <w:rPr>
          <w:rFonts w:hint="eastAsia" w:ascii="宋体" w:hAnsi="宋体" w:cs="宋体"/>
          <w:kern w:val="0"/>
          <w:sz w:val="24"/>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1FAA484E">
      <w:pPr>
        <w:spacing w:line="420" w:lineRule="exact"/>
        <w:ind w:firstLine="480" w:firstLineChars="200"/>
        <w:rPr>
          <w:rFonts w:ascii="宋体" w:hAnsi="宋体" w:cs="宋体"/>
          <w:kern w:val="0"/>
          <w:sz w:val="24"/>
          <w:lang w:val="zh-CN"/>
        </w:rPr>
      </w:pPr>
      <w:r>
        <w:rPr>
          <w:rFonts w:hint="eastAsia" w:ascii="宋体" w:hAnsi="宋体" w:cs="宋体"/>
          <w:kern w:val="0"/>
          <w:sz w:val="24"/>
          <w:lang w:val="zh-CN"/>
        </w:rPr>
        <w:t>12.3使用“政采云电子交易客户端”需要提前申领CA数字证书，申领流程请自行前往“浙江政府采购网-下载专区-电子交易客户端-CA驱动和申领流程”进行查阅。</w:t>
      </w:r>
    </w:p>
    <w:p w14:paraId="4BC62724">
      <w:pPr>
        <w:spacing w:line="420" w:lineRule="exact"/>
        <w:ind w:firstLine="480" w:firstLineChars="200"/>
        <w:rPr>
          <w:rFonts w:ascii="宋体" w:hAnsi="宋体" w:cs="宋体"/>
          <w:kern w:val="0"/>
          <w:sz w:val="24"/>
          <w:lang w:val="zh-CN"/>
        </w:rPr>
      </w:pPr>
      <w:r>
        <w:rPr>
          <w:rFonts w:hint="eastAsia" w:ascii="宋体" w:hAnsi="宋体" w:cs="宋体"/>
          <w:kern w:val="0"/>
          <w:sz w:val="24"/>
          <w:lang w:val="zh-CN"/>
        </w:rPr>
        <w:t>12.4投标人应充分考虑完成平台注册、申领CA证书等所需时间，如未在“政府采购云平台”系统内完成相关流程，而引起的投标或响应无效的责任自负。</w:t>
      </w:r>
    </w:p>
    <w:p w14:paraId="7CD13EF0">
      <w:pPr>
        <w:snapToGrid w:val="0"/>
        <w:spacing w:line="420" w:lineRule="exact"/>
        <w:rPr>
          <w:rFonts w:ascii="宋体" w:hAnsi="宋体" w:cs="宋体"/>
          <w:b/>
          <w:sz w:val="24"/>
        </w:rPr>
      </w:pPr>
      <w:r>
        <w:rPr>
          <w:rFonts w:hint="eastAsia" w:ascii="宋体" w:hAnsi="宋体" w:cs="宋体"/>
          <w:b/>
          <w:sz w:val="24"/>
        </w:rPr>
        <w:t>13.投标文件的签署、盖章</w:t>
      </w:r>
    </w:p>
    <w:p w14:paraId="47E49231">
      <w:pPr>
        <w:pStyle w:val="167"/>
        <w:snapToGrid w:val="0"/>
        <w:spacing w:before="0" w:line="420" w:lineRule="exact"/>
        <w:ind w:firstLine="480"/>
        <w:rPr>
          <w:rFonts w:ascii="宋体" w:hAnsi="宋体" w:cs="宋体"/>
          <w:b/>
        </w:rPr>
      </w:pPr>
      <w:r>
        <w:rPr>
          <w:rFonts w:hint="eastAsia" w:ascii="宋体" w:hAnsi="宋体" w:cs="宋体"/>
          <w:szCs w:val="24"/>
        </w:rPr>
        <w:t>13.1投标文件按照招标文件第六部分格式要</w:t>
      </w:r>
      <w:r>
        <w:rPr>
          <w:rFonts w:hint="eastAsia" w:ascii="宋体" w:hAnsi="宋体" w:cs="宋体"/>
        </w:rPr>
        <w:t>求进行签署、盖章。</w:t>
      </w:r>
      <w:r>
        <w:rPr>
          <w:rFonts w:hint="eastAsia" w:ascii="宋体" w:hAnsi="宋体" w:cs="宋体"/>
          <w:b/>
        </w:rPr>
        <w:t>★投标人的投标文件未按照招标文件要求签署、盖章的，其投标无效</w:t>
      </w:r>
      <w:r>
        <w:rPr>
          <w:rFonts w:hint="eastAsia" w:ascii="宋体" w:hAnsi="宋体" w:cs="宋体"/>
          <w:szCs w:val="24"/>
        </w:rPr>
        <w:t>。</w:t>
      </w:r>
    </w:p>
    <w:p w14:paraId="0B8D35CF">
      <w:pPr>
        <w:pStyle w:val="167"/>
        <w:snapToGrid w:val="0"/>
        <w:spacing w:before="0" w:line="420" w:lineRule="exact"/>
        <w:ind w:firstLine="480"/>
        <w:rPr>
          <w:rFonts w:ascii="宋体" w:hAnsi="宋体" w:cs="宋体"/>
        </w:rPr>
      </w:pPr>
      <w:r>
        <w:rPr>
          <w:rFonts w:hint="eastAsia" w:ascii="宋体" w:hAnsi="宋体" w:cs="宋体"/>
        </w:rPr>
        <w:t>13.2为确保网上操作合法、有效和安全，投标人应当在投标截止时间前完成在“政府采购云平台”的身份认证，确保在电子投标过程中能够对相关数据电文进行加密和使用电子签名。</w:t>
      </w:r>
    </w:p>
    <w:p w14:paraId="7785B62E">
      <w:pPr>
        <w:pStyle w:val="167"/>
        <w:snapToGrid w:val="0"/>
        <w:spacing w:before="0" w:line="420" w:lineRule="exact"/>
        <w:ind w:firstLine="480"/>
        <w:rPr>
          <w:rFonts w:ascii="宋体" w:hAnsi="宋体" w:cs="宋体"/>
          <w:szCs w:val="24"/>
        </w:rPr>
      </w:pPr>
      <w:r>
        <w:rPr>
          <w:rFonts w:hint="eastAsia" w:ascii="宋体" w:hAnsi="宋体" w:cs="宋体"/>
        </w:rPr>
        <w:t>13.3招标文件对投标文件签署、盖章的要求适用于电子签名。</w:t>
      </w:r>
    </w:p>
    <w:p w14:paraId="585B56A0">
      <w:pPr>
        <w:pStyle w:val="167"/>
        <w:spacing w:before="0" w:line="420" w:lineRule="exact"/>
        <w:ind w:firstLine="0" w:firstLineChars="0"/>
        <w:rPr>
          <w:rFonts w:ascii="宋体" w:hAnsi="宋体" w:cs="宋体"/>
          <w:b/>
          <w:szCs w:val="24"/>
        </w:rPr>
      </w:pPr>
      <w:r>
        <w:rPr>
          <w:rFonts w:hint="eastAsia" w:ascii="宋体" w:hAnsi="宋体" w:cs="宋体"/>
          <w:b/>
          <w:szCs w:val="24"/>
        </w:rPr>
        <w:t>14. 投标文件的提交、补充、修改、撤回</w:t>
      </w:r>
    </w:p>
    <w:p w14:paraId="663B4AF5">
      <w:pPr>
        <w:pStyle w:val="167"/>
        <w:spacing w:before="0" w:line="420" w:lineRule="exact"/>
        <w:ind w:firstLine="480"/>
        <w:rPr>
          <w:rFonts w:ascii="宋体" w:hAnsi="宋体" w:cs="宋体"/>
          <w:szCs w:val="24"/>
        </w:rPr>
      </w:pPr>
      <w:r>
        <w:rPr>
          <w:rFonts w:hint="eastAsia" w:ascii="宋体" w:hAnsi="宋体" w:cs="宋体"/>
          <w:szCs w:val="24"/>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1E89BFFE">
      <w:pPr>
        <w:pStyle w:val="167"/>
        <w:spacing w:before="0" w:line="420" w:lineRule="exact"/>
        <w:ind w:firstLine="480"/>
        <w:rPr>
          <w:rFonts w:ascii="宋体" w:hAnsi="宋体" w:cs="宋体"/>
          <w:szCs w:val="24"/>
        </w:rPr>
      </w:pPr>
      <w:r>
        <w:rPr>
          <w:rFonts w:hint="eastAsia" w:ascii="宋体" w:hAnsi="宋体" w:cs="宋体"/>
          <w:szCs w:val="24"/>
        </w:rPr>
        <w:t>14.2电子交易平台收到投标文件，将妥善保存并即时向供应商发出确认回执通知。在投标截止时间前，除供应商补充、修改或者撤回投标文件外，任何单位和个人不得解密或提取投标文件。</w:t>
      </w:r>
    </w:p>
    <w:p w14:paraId="4388EF14">
      <w:pPr>
        <w:pStyle w:val="167"/>
        <w:spacing w:before="0" w:line="420" w:lineRule="exact"/>
        <w:ind w:firstLine="480"/>
        <w:rPr>
          <w:rFonts w:ascii="宋体" w:hAnsi="宋体" w:cs="宋体"/>
          <w:color w:val="FF0000"/>
          <w:szCs w:val="24"/>
          <w:u w:val="single"/>
        </w:rPr>
      </w:pPr>
      <w:r>
        <w:rPr>
          <w:rFonts w:hint="eastAsia" w:ascii="宋体" w:hAnsi="宋体" w:cs="宋体"/>
          <w:szCs w:val="24"/>
        </w:rPr>
        <w:t>14.3采购人、采购代理机构可以视情况延长投标文件提交的截止时间。在上述情况下，采购代理机构与投标人以前在投标截止期方面的全部权利、责任和义务，将适用于延长至新的投标截止期。</w:t>
      </w:r>
    </w:p>
    <w:p w14:paraId="6FB46F82">
      <w:pPr>
        <w:pStyle w:val="34"/>
        <w:spacing w:line="420" w:lineRule="exact"/>
        <w:rPr>
          <w:rFonts w:hAnsi="宋体" w:cs="宋体"/>
          <w:b/>
          <w:sz w:val="24"/>
          <w:szCs w:val="24"/>
        </w:rPr>
      </w:pPr>
      <w:r>
        <w:rPr>
          <w:rFonts w:hint="eastAsia" w:hAnsi="宋体" w:cs="宋体"/>
          <w:b/>
          <w:sz w:val="24"/>
          <w:szCs w:val="24"/>
        </w:rPr>
        <w:t>15.备份投标文件</w:t>
      </w:r>
    </w:p>
    <w:p w14:paraId="73D6D3C0">
      <w:pPr>
        <w:pStyle w:val="34"/>
        <w:spacing w:line="420" w:lineRule="exact"/>
        <w:ind w:firstLine="360" w:firstLineChars="150"/>
        <w:rPr>
          <w:rFonts w:hAnsi="宋体" w:cs="宋体"/>
          <w:b/>
          <w:sz w:val="24"/>
          <w:szCs w:val="24"/>
        </w:rPr>
      </w:pPr>
      <w:r>
        <w:rPr>
          <w:rFonts w:hint="eastAsia" w:hAnsi="宋体" w:cs="宋体"/>
          <w:sz w:val="24"/>
          <w:szCs w:val="24"/>
        </w:rPr>
        <w:t xml:space="preserve"> 15.1投标人在电子交易平台传输递交投标文件后，还可以在投标截止时间前向</w:t>
      </w:r>
      <w:r>
        <w:rPr>
          <w:rFonts w:hint="eastAsia" w:hAnsi="宋体" w:cs="宋体"/>
          <w:bCs/>
          <w:sz w:val="24"/>
          <w:szCs w:val="24"/>
        </w:rPr>
        <w:t>诸暨正开工程咨询有限公司邮箱（</w:t>
      </w:r>
      <w:r>
        <w:rPr>
          <w:rFonts w:hint="eastAsia" w:hAnsi="宋体" w:cs="宋体"/>
          <w:sz w:val="24"/>
          <w:szCs w:val="24"/>
        </w:rPr>
        <w:t>1024831278@qq.com）递交备份投标文件1份，</w:t>
      </w:r>
      <w:r>
        <w:rPr>
          <w:rFonts w:hint="eastAsia" w:hAnsi="宋体" w:cs="宋体"/>
          <w:b/>
          <w:sz w:val="24"/>
          <w:szCs w:val="24"/>
        </w:rPr>
        <w:t>但采购人、采购代理机构不强制或变相强制投标人提交备份投标文件。</w:t>
      </w:r>
    </w:p>
    <w:p w14:paraId="6319ED26">
      <w:pPr>
        <w:pStyle w:val="34"/>
        <w:spacing w:line="420" w:lineRule="exact"/>
        <w:ind w:firstLine="480" w:firstLineChars="200"/>
        <w:rPr>
          <w:rFonts w:hAnsi="宋体" w:cs="宋体"/>
          <w:b/>
          <w:sz w:val="24"/>
          <w:szCs w:val="24"/>
        </w:rPr>
      </w:pPr>
      <w:r>
        <w:rPr>
          <w:rFonts w:hint="eastAsia" w:hAnsi="宋体" w:cs="宋体"/>
          <w:sz w:val="24"/>
          <w:szCs w:val="24"/>
        </w:rPr>
        <w:t>15.2备份投标文件须在“政采云投标客户端”制作生成。</w:t>
      </w:r>
    </w:p>
    <w:p w14:paraId="701D0B50">
      <w:pPr>
        <w:pStyle w:val="34"/>
        <w:spacing w:line="420" w:lineRule="exact"/>
        <w:ind w:firstLine="480" w:firstLineChars="200"/>
        <w:rPr>
          <w:rFonts w:hAnsi="宋体" w:cs="宋体"/>
          <w:sz w:val="24"/>
          <w:szCs w:val="24"/>
        </w:rPr>
      </w:pPr>
      <w:r>
        <w:rPr>
          <w:rFonts w:hint="eastAsia" w:hAnsi="宋体" w:cs="宋体"/>
          <w:sz w:val="24"/>
          <w:szCs w:val="24"/>
        </w:rPr>
        <w:t>15.3采购代理机构将拒绝接受逾期送达的备份投标文件。</w:t>
      </w:r>
    </w:p>
    <w:p w14:paraId="4D8885A1">
      <w:pPr>
        <w:pStyle w:val="34"/>
        <w:spacing w:line="420" w:lineRule="exact"/>
        <w:ind w:firstLine="479" w:firstLineChars="199"/>
        <w:rPr>
          <w:rFonts w:hAnsi="宋体" w:cs="宋体"/>
          <w:b/>
          <w:sz w:val="24"/>
          <w:szCs w:val="24"/>
        </w:rPr>
      </w:pPr>
      <w:r>
        <w:rPr>
          <w:rFonts w:hint="eastAsia" w:hAnsi="宋体" w:cs="宋体"/>
          <w:b/>
          <w:sz w:val="24"/>
          <w:szCs w:val="24"/>
        </w:rPr>
        <w:t>15.4投标人仅提交备份投标文件，没有在电子交易平台传输递交投标文件的，投标无效。</w:t>
      </w:r>
    </w:p>
    <w:p w14:paraId="65E1B3C6">
      <w:pPr>
        <w:pStyle w:val="34"/>
        <w:spacing w:line="420" w:lineRule="exact"/>
        <w:ind w:firstLine="477" w:firstLineChars="199"/>
        <w:rPr>
          <w:rFonts w:hAnsi="宋体" w:cs="宋体"/>
          <w:sz w:val="24"/>
          <w:szCs w:val="24"/>
        </w:rPr>
      </w:pPr>
      <w:r>
        <w:rPr>
          <w:rFonts w:hint="eastAsia" w:hAnsi="宋体" w:cs="宋体"/>
          <w:sz w:val="24"/>
          <w:szCs w:val="24"/>
        </w:rPr>
        <w:t>15.5投标文件如有补充、修改，备份投标文件应同步调整并再次提交，采购代理机构以最新备份投标文件为准。</w:t>
      </w:r>
    </w:p>
    <w:p w14:paraId="3135A6FF">
      <w:pPr>
        <w:pStyle w:val="167"/>
        <w:spacing w:before="0" w:line="420" w:lineRule="exact"/>
        <w:ind w:firstLine="0" w:firstLineChars="0"/>
        <w:rPr>
          <w:rFonts w:ascii="宋体" w:hAnsi="宋体" w:cs="宋体"/>
          <w:b/>
          <w:szCs w:val="24"/>
        </w:rPr>
      </w:pPr>
      <w:r>
        <w:rPr>
          <w:rFonts w:hint="eastAsia" w:ascii="宋体" w:hAnsi="宋体" w:cs="宋体"/>
          <w:b/>
          <w:szCs w:val="24"/>
        </w:rPr>
        <w:t>16.投标文件的无效处理</w:t>
      </w:r>
    </w:p>
    <w:p w14:paraId="540386EB">
      <w:pPr>
        <w:pStyle w:val="26"/>
        <w:spacing w:line="420" w:lineRule="exact"/>
        <w:ind w:firstLine="360" w:firstLineChars="150"/>
        <w:rPr>
          <w:rFonts w:cs="宋体"/>
          <w:szCs w:val="21"/>
        </w:rPr>
      </w:pPr>
      <w:r>
        <w:rPr>
          <w:rFonts w:hint="eastAsia" w:cs="宋体"/>
          <w:szCs w:val="21"/>
        </w:rPr>
        <w:t>有招标文件第四部分</w:t>
      </w:r>
      <w:r>
        <w:rPr>
          <w:rFonts w:hint="eastAsia" w:cs="宋体"/>
        </w:rPr>
        <w:t>第4.2项规定</w:t>
      </w:r>
      <w:r>
        <w:rPr>
          <w:rFonts w:hint="eastAsia" w:cs="宋体"/>
          <w:szCs w:val="21"/>
        </w:rPr>
        <w:t>的情形之一的，投标无效。</w:t>
      </w:r>
    </w:p>
    <w:p w14:paraId="6B563221">
      <w:pPr>
        <w:pStyle w:val="167"/>
        <w:spacing w:before="0" w:line="420" w:lineRule="exact"/>
        <w:ind w:firstLine="0" w:firstLineChars="0"/>
        <w:rPr>
          <w:rFonts w:ascii="宋体" w:hAnsi="宋体" w:cs="宋体"/>
          <w:b/>
          <w:szCs w:val="24"/>
        </w:rPr>
      </w:pPr>
      <w:r>
        <w:rPr>
          <w:rFonts w:hint="eastAsia" w:ascii="宋体" w:hAnsi="宋体" w:cs="宋体"/>
          <w:b/>
          <w:szCs w:val="24"/>
        </w:rPr>
        <w:t>17.投标有效期</w:t>
      </w:r>
    </w:p>
    <w:p w14:paraId="692CD9BB">
      <w:pPr>
        <w:spacing w:line="420" w:lineRule="exact"/>
        <w:ind w:firstLine="480" w:firstLineChars="200"/>
        <w:rPr>
          <w:rFonts w:ascii="宋体" w:hAnsi="宋体" w:cs="宋体"/>
          <w:b/>
          <w:sz w:val="24"/>
          <w:szCs w:val="21"/>
        </w:rPr>
      </w:pPr>
      <w:r>
        <w:rPr>
          <w:rFonts w:hint="eastAsia" w:ascii="宋体" w:hAnsi="宋体" w:cs="宋体"/>
          <w:sz w:val="24"/>
          <w:szCs w:val="20"/>
        </w:rPr>
        <w:t>17.1投标有效期为从提交投标文件的截止之日起</w:t>
      </w:r>
      <w:r>
        <w:rPr>
          <w:rFonts w:hint="eastAsia" w:ascii="宋体" w:hAnsi="宋体" w:cs="宋体"/>
          <w:sz w:val="24"/>
          <w:szCs w:val="20"/>
          <w:u w:val="single"/>
        </w:rPr>
        <w:t>90</w:t>
      </w:r>
      <w:r>
        <w:rPr>
          <w:rFonts w:hint="eastAsia" w:ascii="宋体" w:hAnsi="宋体" w:cs="宋体"/>
          <w:sz w:val="24"/>
          <w:szCs w:val="20"/>
        </w:rPr>
        <w:t>天。</w:t>
      </w:r>
      <w:r>
        <w:rPr>
          <w:rFonts w:hint="eastAsia" w:ascii="宋体" w:hAnsi="宋体" w:cs="宋体"/>
          <w:b/>
          <w:sz w:val="24"/>
        </w:rPr>
        <w:t>★</w:t>
      </w:r>
      <w:r>
        <w:rPr>
          <w:rFonts w:hint="eastAsia" w:ascii="宋体" w:hAnsi="宋体" w:cs="宋体"/>
          <w:b/>
          <w:sz w:val="24"/>
          <w:szCs w:val="20"/>
        </w:rPr>
        <w:t>投标人的投标文件中承</w:t>
      </w:r>
      <w:r>
        <w:rPr>
          <w:rFonts w:hint="eastAsia" w:ascii="宋体" w:hAnsi="宋体" w:cs="宋体"/>
          <w:b/>
          <w:sz w:val="24"/>
          <w:szCs w:val="21"/>
        </w:rPr>
        <w:t>诺的投标有效期少于招标文件中载明的投标有效期的，投标无效。</w:t>
      </w:r>
    </w:p>
    <w:p w14:paraId="156DB2B1">
      <w:pPr>
        <w:pStyle w:val="167"/>
        <w:spacing w:before="0" w:line="420" w:lineRule="exact"/>
        <w:ind w:firstLine="480"/>
        <w:rPr>
          <w:rFonts w:ascii="宋体" w:hAnsi="宋体" w:cs="宋体"/>
        </w:rPr>
      </w:pPr>
      <w:r>
        <w:rPr>
          <w:rFonts w:hint="eastAsia" w:ascii="宋体" w:hAnsi="宋体" w:cs="宋体"/>
        </w:rPr>
        <w:t>17.2投标文件合格投递后，自投标截止日期起，在投标有效期内有效。</w:t>
      </w:r>
    </w:p>
    <w:p w14:paraId="1A0A0701">
      <w:pPr>
        <w:pStyle w:val="167"/>
        <w:spacing w:before="0" w:line="420" w:lineRule="exact"/>
        <w:ind w:firstLine="480"/>
        <w:rPr>
          <w:rFonts w:ascii="宋体" w:hAnsi="宋体" w:cs="宋体"/>
        </w:rPr>
      </w:pPr>
      <w:r>
        <w:rPr>
          <w:rFonts w:hint="eastAsia" w:ascii="宋体" w:hAnsi="宋体" w:cs="宋体"/>
        </w:rPr>
        <w:t>17.3在原定投标有效期满之前，如果出现特殊情况，采购代理机构可以以书面形式通知投标人延长投标有效期。投标人同意延长的，不得要求或被允许修改其投标文件，投标人拒绝延长的，其投标无效。</w:t>
      </w:r>
    </w:p>
    <w:p w14:paraId="2CDE304D">
      <w:pPr>
        <w:pStyle w:val="167"/>
        <w:spacing w:before="0" w:line="420" w:lineRule="exact"/>
        <w:ind w:firstLine="562"/>
        <w:jc w:val="center"/>
        <w:rPr>
          <w:rFonts w:ascii="宋体" w:hAnsi="宋体" w:cs="宋体"/>
          <w:b/>
          <w:sz w:val="28"/>
          <w:szCs w:val="18"/>
        </w:rPr>
      </w:pPr>
      <w:r>
        <w:rPr>
          <w:rFonts w:hint="eastAsia" w:ascii="宋体" w:hAnsi="宋体" w:cs="宋体"/>
          <w:b/>
          <w:sz w:val="28"/>
          <w:szCs w:val="18"/>
        </w:rPr>
        <w:t>四、开标、资格审查与信用信息查询</w:t>
      </w:r>
    </w:p>
    <w:p w14:paraId="5384F805">
      <w:pPr>
        <w:pStyle w:val="569"/>
        <w:spacing w:before="0" w:line="420" w:lineRule="exact"/>
        <w:ind w:left="0" w:firstLine="0"/>
        <w:contextualSpacing/>
        <w:rPr>
          <w:rFonts w:ascii="宋体" w:hAnsi="宋体" w:cs="宋体"/>
          <w:sz w:val="24"/>
        </w:rPr>
      </w:pPr>
      <w:r>
        <w:rPr>
          <w:rFonts w:hint="eastAsia" w:ascii="宋体" w:hAnsi="宋体" w:cs="宋体"/>
          <w:b/>
          <w:sz w:val="24"/>
          <w:szCs w:val="24"/>
        </w:rPr>
        <w:t>18.开标</w:t>
      </w:r>
    </w:p>
    <w:p w14:paraId="46D02CE5">
      <w:pPr>
        <w:pStyle w:val="569"/>
        <w:spacing w:before="0" w:line="420" w:lineRule="exact"/>
        <w:ind w:left="0" w:firstLine="480" w:firstLineChars="200"/>
        <w:contextualSpacing/>
        <w:rPr>
          <w:rFonts w:ascii="宋体" w:hAnsi="宋体" w:cs="宋体"/>
          <w:sz w:val="24"/>
        </w:rPr>
      </w:pPr>
      <w:r>
        <w:rPr>
          <w:rFonts w:hint="eastAsia" w:ascii="宋体" w:hAnsi="宋体" w:cs="宋体"/>
          <w:sz w:val="24"/>
        </w:rPr>
        <w:t>18.1采购代理机构按照招标文件规定的时间通过电子交易平台组织开标，所有投标人均应当准时在线参加。投标人不足3家的，不得开标。</w:t>
      </w:r>
    </w:p>
    <w:p w14:paraId="09AAE70D">
      <w:pPr>
        <w:pStyle w:val="569"/>
        <w:spacing w:before="0" w:line="420" w:lineRule="exact"/>
        <w:ind w:left="0" w:firstLine="240" w:firstLineChars="100"/>
        <w:contextualSpacing/>
        <w:rPr>
          <w:rFonts w:ascii="宋体" w:hAnsi="宋体" w:cs="宋体"/>
          <w:sz w:val="24"/>
        </w:rPr>
      </w:pPr>
      <w:r>
        <w:rPr>
          <w:rFonts w:hint="eastAsia" w:ascii="宋体" w:hAnsi="宋体" w:cs="宋体"/>
          <w:sz w:val="24"/>
        </w:rPr>
        <w:t>　18.2开标时，电子交易平台按开标时间自动提取所有投标文件。采购代理机构依托电子交易平台发起开始解密指令，投标人按照平台提示在招标文件规定时间内完成在线解密。</w:t>
      </w:r>
    </w:p>
    <w:p w14:paraId="64CEBAE1">
      <w:pPr>
        <w:pStyle w:val="569"/>
        <w:spacing w:before="0" w:line="420" w:lineRule="exact"/>
        <w:ind w:left="0" w:firstLine="240" w:firstLineChars="100"/>
        <w:contextualSpacing/>
        <w:rPr>
          <w:rFonts w:ascii="宋体" w:hAnsi="宋体" w:cs="宋体"/>
          <w:b/>
          <w:sz w:val="24"/>
        </w:rPr>
      </w:pPr>
      <w:r>
        <w:rPr>
          <w:rFonts w:hint="eastAsia" w:ascii="宋体" w:hAnsi="宋体" w:cs="宋体"/>
          <w:sz w:val="24"/>
        </w:rPr>
        <w:t>　18.3</w:t>
      </w:r>
      <w:r>
        <w:rPr>
          <w:rFonts w:hint="eastAsia" w:ascii="宋体" w:hAnsi="宋体" w:cs="宋体"/>
          <w:b/>
          <w:sz w:val="24"/>
        </w:rPr>
        <w:t>投标文件未按时解密，投标人提供了备份投标文件的，经投标人同意后以备份投标文件作为依据，否则视为投标文件撤回。投标文件已按时解密的，备份投标文件自动失效。</w:t>
      </w:r>
    </w:p>
    <w:p w14:paraId="1A350516">
      <w:pPr>
        <w:pStyle w:val="569"/>
        <w:spacing w:before="0" w:line="420" w:lineRule="exact"/>
        <w:ind w:left="0" w:firstLine="0"/>
        <w:contextualSpacing/>
        <w:rPr>
          <w:rFonts w:ascii="宋体" w:hAnsi="宋体" w:cs="宋体"/>
          <w:b/>
          <w:sz w:val="24"/>
        </w:rPr>
      </w:pPr>
      <w:r>
        <w:rPr>
          <w:rFonts w:hint="eastAsia" w:ascii="宋体" w:hAnsi="宋体" w:cs="宋体"/>
          <w:b/>
          <w:sz w:val="24"/>
        </w:rPr>
        <w:t>19</w:t>
      </w:r>
      <w:r>
        <w:rPr>
          <w:rFonts w:hint="eastAsia" w:ascii="宋体" w:hAnsi="宋体" w:cs="宋体"/>
          <w:b/>
          <w:sz w:val="24"/>
          <w:szCs w:val="24"/>
        </w:rPr>
        <w:t>.</w:t>
      </w:r>
      <w:r>
        <w:rPr>
          <w:rFonts w:hint="eastAsia" w:ascii="宋体" w:hAnsi="宋体" w:cs="宋体"/>
          <w:b/>
          <w:sz w:val="24"/>
        </w:rPr>
        <w:t>资格审查</w:t>
      </w:r>
    </w:p>
    <w:p w14:paraId="4A7FBEB9">
      <w:pPr>
        <w:pStyle w:val="167"/>
        <w:spacing w:before="0" w:line="420" w:lineRule="exact"/>
        <w:ind w:firstLine="480"/>
        <w:rPr>
          <w:rFonts w:ascii="宋体" w:hAnsi="宋体" w:cs="宋体"/>
          <w:kern w:val="0"/>
          <w:szCs w:val="24"/>
        </w:rPr>
      </w:pPr>
      <w:r>
        <w:rPr>
          <w:rFonts w:hint="eastAsia" w:ascii="宋体" w:hAnsi="宋体" w:cs="宋体"/>
          <w:kern w:val="0"/>
          <w:szCs w:val="24"/>
        </w:rPr>
        <w:t>19.1开标后，采购人或采购代理机构将依法对投标人的资格进行审查。</w:t>
      </w:r>
    </w:p>
    <w:p w14:paraId="390B66C6">
      <w:pPr>
        <w:snapToGrid w:val="0"/>
        <w:spacing w:line="420" w:lineRule="exact"/>
        <w:ind w:firstLine="480" w:firstLineChars="200"/>
        <w:rPr>
          <w:rFonts w:ascii="宋体" w:hAnsi="宋体" w:cs="宋体"/>
          <w:sz w:val="24"/>
        </w:rPr>
      </w:pPr>
      <w:r>
        <w:rPr>
          <w:rFonts w:hint="eastAsia" w:ascii="宋体" w:hAnsi="宋体" w:cs="宋体"/>
          <w:kern w:val="0"/>
          <w:sz w:val="24"/>
        </w:rPr>
        <w:t>19.2</w:t>
      </w:r>
      <w:r>
        <w:rPr>
          <w:rFonts w:hint="eastAsia" w:ascii="宋体" w:hAnsi="宋体" w:cs="宋体"/>
          <w:sz w:val="24"/>
        </w:rPr>
        <w:t>采购人或采购代理机构依据法律法规和招标文件的规定，对投标人的基本资格条件、特定资格条件进行审查。</w:t>
      </w:r>
    </w:p>
    <w:p w14:paraId="07A10280">
      <w:pPr>
        <w:pStyle w:val="167"/>
        <w:spacing w:before="0" w:line="420" w:lineRule="exact"/>
        <w:ind w:firstLine="480"/>
        <w:rPr>
          <w:rFonts w:ascii="宋体" w:hAnsi="宋体" w:cs="宋体"/>
          <w:kern w:val="0"/>
          <w:szCs w:val="24"/>
        </w:rPr>
      </w:pPr>
      <w:r>
        <w:rPr>
          <w:rFonts w:hint="eastAsia" w:ascii="宋体" w:hAnsi="宋体" w:cs="宋体"/>
          <w:kern w:val="0"/>
          <w:szCs w:val="24"/>
        </w:rPr>
        <w:t>19.3投标人未按照招标文件要求提供与</w:t>
      </w:r>
      <w:r>
        <w:rPr>
          <w:rFonts w:hint="eastAsia" w:ascii="宋体" w:hAnsi="宋体" w:cs="宋体"/>
        </w:rPr>
        <w:t>基本资格条件、特定资格条件相应的</w:t>
      </w:r>
      <w:r>
        <w:rPr>
          <w:rFonts w:hint="eastAsia" w:ascii="宋体" w:hAnsi="宋体" w:cs="宋体"/>
          <w:kern w:val="0"/>
          <w:szCs w:val="24"/>
        </w:rPr>
        <w:t>有效资格证明材料的，视为投标人不具备招标文件中规定的资格要求，其投标无效。</w:t>
      </w:r>
    </w:p>
    <w:p w14:paraId="42360BD7">
      <w:pPr>
        <w:pStyle w:val="167"/>
        <w:spacing w:before="0" w:line="420" w:lineRule="exact"/>
        <w:ind w:firstLine="480"/>
        <w:rPr>
          <w:rFonts w:ascii="宋体" w:hAnsi="宋体" w:cs="宋体"/>
          <w:kern w:val="0"/>
          <w:szCs w:val="24"/>
        </w:rPr>
      </w:pPr>
      <w:r>
        <w:rPr>
          <w:rFonts w:hint="eastAsia" w:ascii="宋体" w:hAnsi="宋体" w:cs="宋体"/>
          <w:kern w:val="0"/>
          <w:szCs w:val="24"/>
        </w:rPr>
        <w:t>19.4对未通过资格审查的投标人，采购人或采购代理机构告知其未通过的原因。</w:t>
      </w:r>
    </w:p>
    <w:p w14:paraId="75C9AC6E">
      <w:pPr>
        <w:pStyle w:val="167"/>
        <w:spacing w:before="0" w:line="420" w:lineRule="exact"/>
        <w:ind w:firstLine="480"/>
        <w:rPr>
          <w:rFonts w:ascii="宋体" w:hAnsi="宋体" w:cs="宋体"/>
        </w:rPr>
      </w:pPr>
      <w:r>
        <w:rPr>
          <w:rFonts w:hint="eastAsia" w:ascii="宋体" w:hAnsi="宋体" w:cs="宋体"/>
          <w:kern w:val="0"/>
          <w:szCs w:val="24"/>
        </w:rPr>
        <w:t>19.</w:t>
      </w:r>
      <w:r>
        <w:rPr>
          <w:rFonts w:hint="eastAsia" w:ascii="宋体" w:hAnsi="宋体" w:cs="宋体"/>
        </w:rPr>
        <w:t>5合格投标人不足3家的，不再评标。</w:t>
      </w:r>
    </w:p>
    <w:p w14:paraId="12477866">
      <w:pPr>
        <w:pStyle w:val="167"/>
        <w:spacing w:before="0" w:line="420" w:lineRule="exact"/>
        <w:ind w:firstLine="0" w:firstLineChars="0"/>
        <w:rPr>
          <w:rFonts w:ascii="宋体" w:hAnsi="宋体" w:cs="宋体"/>
          <w:b/>
          <w:szCs w:val="24"/>
        </w:rPr>
      </w:pPr>
      <w:r>
        <w:rPr>
          <w:rFonts w:hint="eastAsia" w:ascii="宋体" w:hAnsi="宋体" w:cs="宋体"/>
          <w:b/>
          <w:szCs w:val="24"/>
        </w:rPr>
        <w:t>20.信用信息查询</w:t>
      </w:r>
    </w:p>
    <w:p w14:paraId="7CF4B431">
      <w:pPr>
        <w:pStyle w:val="167"/>
        <w:spacing w:before="0" w:line="420" w:lineRule="exact"/>
        <w:ind w:firstLine="495" w:firstLineChars="0"/>
        <w:rPr>
          <w:rFonts w:ascii="宋体" w:hAnsi="宋体" w:cs="宋体"/>
          <w:kern w:val="0"/>
          <w:szCs w:val="24"/>
        </w:rPr>
      </w:pPr>
      <w:r>
        <w:rPr>
          <w:rFonts w:hint="eastAsia" w:ascii="宋体" w:hAnsi="宋体" w:cs="宋体"/>
          <w:kern w:val="0"/>
          <w:szCs w:val="24"/>
        </w:rPr>
        <w:t>20.1信用信息查询渠道及截止时间：采购代理机构将通过“信用中国”网站(www.creditchina.gov.cn)、中国政府采购网(www.ccgp.gov.cn)渠道查询投标人投标截止时间当天的信用记录。</w:t>
      </w:r>
    </w:p>
    <w:p w14:paraId="6147E8D8">
      <w:pPr>
        <w:pStyle w:val="167"/>
        <w:spacing w:before="0" w:line="420" w:lineRule="exact"/>
        <w:ind w:firstLine="495" w:firstLineChars="0"/>
        <w:rPr>
          <w:rFonts w:ascii="宋体" w:hAnsi="宋体" w:cs="宋体"/>
          <w:kern w:val="0"/>
          <w:szCs w:val="24"/>
        </w:rPr>
      </w:pPr>
      <w:r>
        <w:rPr>
          <w:rFonts w:hint="eastAsia" w:ascii="宋体" w:hAnsi="宋体" w:cs="宋体"/>
          <w:kern w:val="0"/>
          <w:szCs w:val="24"/>
        </w:rPr>
        <w:t>20.2信用信息查询记录和证据留存的具体方式：现场查询的投标人的信用记录、查询结果经确认后将与采购文件一起存档。</w:t>
      </w:r>
    </w:p>
    <w:p w14:paraId="261C9BD1">
      <w:pPr>
        <w:pStyle w:val="167"/>
        <w:spacing w:before="0" w:line="420" w:lineRule="exact"/>
        <w:ind w:firstLine="495" w:firstLineChars="0"/>
        <w:rPr>
          <w:rFonts w:ascii="宋体" w:hAnsi="宋体" w:cs="宋体"/>
          <w:kern w:val="0"/>
          <w:szCs w:val="24"/>
        </w:rPr>
      </w:pPr>
      <w:r>
        <w:rPr>
          <w:rFonts w:hint="eastAsia" w:ascii="宋体" w:hAnsi="宋体" w:cs="宋体"/>
          <w:kern w:val="0"/>
          <w:szCs w:val="24"/>
        </w:rPr>
        <w:t>20.3信用信息的使用规则：经查询列入失信被执行人名单、重大税收违法案件当事人名单、政府采购严重违法失信行为记录名单的投标人将被拒绝参与政府采购活动。</w:t>
      </w:r>
    </w:p>
    <w:p w14:paraId="5D93992A">
      <w:pPr>
        <w:pStyle w:val="167"/>
        <w:spacing w:before="0" w:line="420" w:lineRule="exact"/>
        <w:ind w:firstLine="480"/>
        <w:rPr>
          <w:rFonts w:ascii="宋体" w:hAnsi="宋体" w:cs="宋体"/>
        </w:rPr>
      </w:pPr>
      <w:r>
        <w:rPr>
          <w:rFonts w:hint="eastAsia" w:ascii="宋体" w:hAnsi="宋体" w:cs="宋体"/>
          <w:kern w:val="0"/>
          <w:szCs w:val="24"/>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rPr>
        <w:t>。</w:t>
      </w:r>
    </w:p>
    <w:p w14:paraId="58372EDE">
      <w:pPr>
        <w:snapToGrid w:val="0"/>
        <w:spacing w:line="420" w:lineRule="exact"/>
        <w:jc w:val="center"/>
        <w:outlineLvl w:val="0"/>
        <w:rPr>
          <w:rFonts w:ascii="宋体" w:hAnsi="宋体" w:cs="宋体"/>
          <w:b/>
          <w:sz w:val="28"/>
          <w:szCs w:val="28"/>
        </w:rPr>
      </w:pPr>
      <w:r>
        <w:rPr>
          <w:rFonts w:hint="eastAsia" w:ascii="宋体" w:hAnsi="宋体" w:cs="宋体"/>
          <w:b/>
          <w:sz w:val="28"/>
          <w:szCs w:val="28"/>
        </w:rPr>
        <w:t>五、评标</w:t>
      </w:r>
    </w:p>
    <w:p w14:paraId="7E0AB249">
      <w:pPr>
        <w:pStyle w:val="167"/>
        <w:spacing w:before="0" w:line="420" w:lineRule="exact"/>
        <w:ind w:firstLine="493" w:firstLineChars="0"/>
        <w:rPr>
          <w:rFonts w:ascii="宋体" w:hAnsi="宋体" w:cs="宋体"/>
          <w:b/>
          <w:bCs/>
          <w:kern w:val="0"/>
          <w:szCs w:val="24"/>
        </w:rPr>
      </w:pPr>
      <w:bookmarkStart w:id="11" w:name="_Toc91899903"/>
      <w:r>
        <w:rPr>
          <w:rFonts w:hint="eastAsia" w:ascii="宋体" w:hAnsi="宋体" w:cs="宋体"/>
          <w:kern w:val="0"/>
          <w:szCs w:val="24"/>
        </w:rPr>
        <w:t>21. 评标委员会将根据招标文件和有关规定，履行评标工作职责，并按照评标方法及评分标准，全面衡量各投标人对招标文件的响应情况。对实质上响应招标文件的投标人，按照评审因素进行评审。</w:t>
      </w:r>
      <w:r>
        <w:rPr>
          <w:rFonts w:hint="eastAsia" w:ascii="宋体" w:hAnsi="宋体" w:cs="宋体"/>
          <w:b/>
          <w:bCs/>
          <w:kern w:val="0"/>
          <w:szCs w:val="24"/>
        </w:rPr>
        <w:t>详见招标文件第四部分评标办法。</w:t>
      </w:r>
    </w:p>
    <w:p w14:paraId="4F234DD8">
      <w:pPr>
        <w:snapToGrid w:val="0"/>
        <w:spacing w:line="420" w:lineRule="exact"/>
        <w:jc w:val="center"/>
        <w:outlineLvl w:val="0"/>
        <w:rPr>
          <w:rFonts w:ascii="宋体" w:hAnsi="宋体" w:cs="宋体"/>
          <w:b/>
          <w:sz w:val="28"/>
          <w:szCs w:val="28"/>
        </w:rPr>
      </w:pPr>
      <w:r>
        <w:rPr>
          <w:rFonts w:hint="eastAsia" w:ascii="宋体" w:hAnsi="宋体" w:cs="宋体"/>
          <w:b/>
          <w:sz w:val="28"/>
          <w:szCs w:val="28"/>
        </w:rPr>
        <w:t>六、定标</w:t>
      </w:r>
    </w:p>
    <w:p w14:paraId="2208911B">
      <w:pPr>
        <w:pStyle w:val="26"/>
        <w:spacing w:line="420" w:lineRule="exact"/>
        <w:ind w:left="479" w:hanging="479" w:hangingChars="199"/>
        <w:rPr>
          <w:rFonts w:cs="宋体"/>
          <w:b/>
        </w:rPr>
      </w:pPr>
      <w:r>
        <w:rPr>
          <w:rFonts w:hint="eastAsia" w:cs="宋体"/>
          <w:b/>
        </w:rPr>
        <w:t>22. 确定中标供应商</w:t>
      </w:r>
    </w:p>
    <w:p w14:paraId="7DBB235F">
      <w:pPr>
        <w:pStyle w:val="167"/>
        <w:snapToGrid w:val="0"/>
        <w:spacing w:before="0" w:line="420" w:lineRule="exact"/>
        <w:ind w:firstLine="480"/>
        <w:rPr>
          <w:rFonts w:ascii="宋体" w:hAnsi="宋体" w:cs="宋体"/>
          <w:b/>
          <w:szCs w:val="24"/>
        </w:rPr>
      </w:pPr>
      <w:r>
        <w:rPr>
          <w:rFonts w:hint="eastAsia" w:ascii="宋体" w:hAnsi="宋体" w:cs="宋体"/>
          <w:szCs w:val="24"/>
        </w:rPr>
        <w:t>采购人将自收到评审报告之日起5个工作日内通过电子交易平台在评审报告推荐的中标候选人中确定中标供应商，并将结果确认书面提交给采购代理机构。</w:t>
      </w:r>
    </w:p>
    <w:p w14:paraId="0A048694">
      <w:pPr>
        <w:pStyle w:val="167"/>
        <w:snapToGrid w:val="0"/>
        <w:spacing w:before="0" w:line="420" w:lineRule="exact"/>
        <w:ind w:firstLine="0" w:firstLineChars="0"/>
        <w:rPr>
          <w:rFonts w:ascii="宋体" w:hAnsi="宋体" w:cs="宋体"/>
          <w:b/>
          <w:szCs w:val="24"/>
        </w:rPr>
      </w:pPr>
      <w:r>
        <w:rPr>
          <w:rFonts w:hint="eastAsia" w:ascii="宋体" w:hAnsi="宋体" w:cs="宋体"/>
          <w:b/>
          <w:szCs w:val="24"/>
        </w:rPr>
        <w:t>23. 中标通知与中标结果公告</w:t>
      </w:r>
    </w:p>
    <w:p w14:paraId="14C042DF">
      <w:pPr>
        <w:widowControl/>
        <w:spacing w:line="420" w:lineRule="exact"/>
        <w:ind w:firstLine="480"/>
        <w:jc w:val="left"/>
        <w:rPr>
          <w:rFonts w:ascii="宋体" w:hAnsi="宋体" w:cs="宋体"/>
          <w:sz w:val="24"/>
        </w:rPr>
      </w:pPr>
      <w:r>
        <w:rPr>
          <w:rFonts w:hint="eastAsia" w:ascii="宋体" w:hAnsi="宋体" w:cs="宋体"/>
          <w:sz w:val="24"/>
        </w:rPr>
        <w:t>23.1自中标人确定之日起2个工作日内，采购代理机构通过电子交易平台向中标人发出中标通知书，同时编制发布采购结果公告。</w:t>
      </w:r>
    </w:p>
    <w:p w14:paraId="140BEAFB">
      <w:pPr>
        <w:widowControl/>
        <w:spacing w:line="420" w:lineRule="exact"/>
        <w:ind w:firstLine="480"/>
        <w:jc w:val="left"/>
        <w:rPr>
          <w:rFonts w:ascii="宋体" w:hAnsi="宋体" w:cs="宋体"/>
          <w:sz w:val="24"/>
        </w:rPr>
      </w:pPr>
      <w:r>
        <w:rPr>
          <w:rFonts w:hint="eastAsia" w:ascii="宋体" w:hAnsi="宋体" w:cs="宋体"/>
          <w:sz w:val="24"/>
        </w:rPr>
        <w:t>23.2公告期限为1个工作日。</w:t>
      </w:r>
    </w:p>
    <w:p w14:paraId="4D46259A">
      <w:pPr>
        <w:snapToGrid w:val="0"/>
        <w:spacing w:line="420" w:lineRule="exact"/>
        <w:ind w:firstLine="422" w:firstLineChars="150"/>
        <w:jc w:val="center"/>
        <w:rPr>
          <w:rFonts w:ascii="宋体" w:hAnsi="宋体" w:cs="宋体"/>
          <w:b/>
          <w:sz w:val="28"/>
          <w:szCs w:val="22"/>
        </w:rPr>
      </w:pPr>
      <w:r>
        <w:rPr>
          <w:rFonts w:hint="eastAsia" w:ascii="宋体" w:hAnsi="宋体" w:cs="宋体"/>
          <w:b/>
          <w:sz w:val="28"/>
          <w:szCs w:val="22"/>
        </w:rPr>
        <w:t>七、合同授予</w:t>
      </w:r>
    </w:p>
    <w:p w14:paraId="2A1DC062">
      <w:pPr>
        <w:pStyle w:val="26"/>
        <w:spacing w:line="420" w:lineRule="exact"/>
        <w:ind w:left="479" w:hanging="479" w:hangingChars="199"/>
        <w:rPr>
          <w:rFonts w:cs="宋体"/>
          <w:b/>
        </w:rPr>
      </w:pPr>
      <w:r>
        <w:rPr>
          <w:rFonts w:hint="eastAsia" w:cs="宋体"/>
          <w:b/>
        </w:rPr>
        <w:t xml:space="preserve">24. </w:t>
      </w:r>
      <w:r>
        <w:rPr>
          <w:rFonts w:hint="eastAsia" w:cs="宋体"/>
        </w:rPr>
        <w:t>合同主要条款详见第五部分拟签订的合同文本。</w:t>
      </w:r>
    </w:p>
    <w:p w14:paraId="66C70BF9">
      <w:pPr>
        <w:pStyle w:val="26"/>
        <w:spacing w:line="420" w:lineRule="exact"/>
        <w:ind w:left="479" w:hanging="479" w:hangingChars="199"/>
        <w:rPr>
          <w:rFonts w:cs="宋体"/>
          <w:b/>
        </w:rPr>
      </w:pPr>
      <w:r>
        <w:rPr>
          <w:rFonts w:hint="eastAsia" w:cs="宋体"/>
          <w:b/>
        </w:rPr>
        <w:t>25. 合同的签订</w:t>
      </w:r>
    </w:p>
    <w:p w14:paraId="27765CE3">
      <w:pPr>
        <w:widowControl/>
        <w:spacing w:line="420" w:lineRule="exact"/>
        <w:ind w:firstLine="480"/>
        <w:jc w:val="left"/>
        <w:rPr>
          <w:rFonts w:ascii="宋体" w:hAnsi="宋体" w:cs="宋体"/>
          <w:kern w:val="0"/>
          <w:sz w:val="24"/>
        </w:rPr>
      </w:pPr>
      <w:r>
        <w:rPr>
          <w:rFonts w:hint="eastAsia" w:ascii="宋体" w:hAnsi="宋体" w:cs="宋体"/>
          <w:sz w:val="24"/>
        </w:rPr>
        <w:t>25.1</w:t>
      </w:r>
      <w:r>
        <w:rPr>
          <w:rFonts w:hint="eastAsia" w:ascii="宋体" w:hAnsi="宋体" w:cs="宋体"/>
          <w:kern w:val="0"/>
          <w:sz w:val="24"/>
        </w:rPr>
        <w:t xml:space="preserve"> 采购人与中标人应当在中标通知书发出之日起三十日内，按照招标文件确定的事项签订政府采购合同，并在合同签订之日起2个工作日内依法发布合同公告。</w:t>
      </w:r>
    </w:p>
    <w:p w14:paraId="5AC0CAD1">
      <w:pPr>
        <w:pStyle w:val="167"/>
        <w:snapToGrid w:val="0"/>
        <w:spacing w:before="0" w:line="420" w:lineRule="exact"/>
        <w:ind w:firstLine="480"/>
        <w:rPr>
          <w:rFonts w:ascii="宋体" w:hAnsi="宋体" w:cs="宋体"/>
          <w:kern w:val="0"/>
          <w:lang w:val="zh-CN"/>
        </w:rPr>
      </w:pPr>
      <w:r>
        <w:rPr>
          <w:rFonts w:hint="eastAsia" w:ascii="宋体" w:hAnsi="宋体" w:cs="宋体"/>
          <w:kern w:val="0"/>
          <w:lang w:val="zh-CN"/>
        </w:rPr>
        <w:t>25.2中标人按规定的日期、时间、地点，由法定代表人或其授权代表与采购人代表签订合同。如中标人为联合体的，由联合体成员各方法定代表人或其授权代表与采购人代表签订合同。</w:t>
      </w:r>
    </w:p>
    <w:p w14:paraId="4C2CFC83">
      <w:pPr>
        <w:pStyle w:val="167"/>
        <w:snapToGrid w:val="0"/>
        <w:spacing w:before="0" w:line="420" w:lineRule="exact"/>
        <w:ind w:firstLine="480"/>
        <w:rPr>
          <w:rFonts w:ascii="宋体" w:hAnsi="宋体" w:cs="宋体"/>
          <w:kern w:val="0"/>
        </w:rPr>
      </w:pPr>
      <w:r>
        <w:rPr>
          <w:rFonts w:hint="eastAsia" w:ascii="宋体" w:hAnsi="宋体" w:cs="宋体"/>
        </w:rPr>
        <w:t>25.3采购人对合同内容负责。合同金额200万元及以上的必须由法律顾问根据《中华人民共和国政府采购法》、《中华人民共和国民法典》等对合同条款进行审查，出具法律意见书后方可签订合同。对于合同金额200万元以下的项目，采购单位自行组织审查合同条款。</w:t>
      </w:r>
    </w:p>
    <w:p w14:paraId="7A8A2FBF">
      <w:pPr>
        <w:pStyle w:val="167"/>
        <w:snapToGrid w:val="0"/>
        <w:spacing w:before="0" w:line="420" w:lineRule="exact"/>
        <w:ind w:firstLine="480"/>
        <w:rPr>
          <w:rFonts w:ascii="宋体" w:hAnsi="宋体" w:cs="宋体"/>
        </w:rPr>
      </w:pPr>
      <w:r>
        <w:rPr>
          <w:rFonts w:hint="eastAsia" w:ascii="宋体" w:hAnsi="宋体" w:cs="宋体"/>
        </w:rPr>
        <w:t>25.4如签订合同并生效后，供应商无故拒绝或延期，除按照合同条款处理外，将上报政府采购监管部门予以处理。</w:t>
      </w:r>
    </w:p>
    <w:p w14:paraId="1686481D">
      <w:pPr>
        <w:pStyle w:val="167"/>
        <w:snapToGrid w:val="0"/>
        <w:spacing w:before="0" w:line="420" w:lineRule="exact"/>
        <w:ind w:firstLine="480"/>
        <w:rPr>
          <w:rFonts w:ascii="宋体" w:hAnsi="宋体" w:cs="宋体"/>
        </w:rPr>
      </w:pPr>
      <w:r>
        <w:rPr>
          <w:rFonts w:hint="eastAsia" w:ascii="宋体" w:hAnsi="宋体" w:cs="宋体"/>
        </w:rPr>
        <w:t>25.5中标供应商拒绝与采购人签订合同的，采购人应当重新开展政府采购活动。</w:t>
      </w:r>
    </w:p>
    <w:p w14:paraId="7DB64B06">
      <w:pPr>
        <w:pStyle w:val="167"/>
        <w:snapToGrid w:val="0"/>
        <w:spacing w:before="0" w:line="288" w:lineRule="auto"/>
        <w:ind w:firstLine="480"/>
        <w:rPr>
          <w:rFonts w:ascii="宋体" w:hAnsi="宋体" w:cs="宋体"/>
        </w:rPr>
      </w:pPr>
      <w:r>
        <w:rPr>
          <w:rFonts w:hint="eastAsia" w:ascii="宋体" w:hAnsi="宋体" w:cs="宋体"/>
        </w:rPr>
        <w:t>25.6采购合同由采购人与中标供应商根据招标文件、投标文件等内容签订并公告。</w:t>
      </w:r>
    </w:p>
    <w:p w14:paraId="71F60D8B">
      <w:pPr>
        <w:pStyle w:val="26"/>
        <w:spacing w:line="288" w:lineRule="auto"/>
        <w:ind w:left="479" w:hanging="479" w:hangingChars="199"/>
        <w:rPr>
          <w:rFonts w:cs="宋体"/>
          <w:b/>
        </w:rPr>
      </w:pPr>
      <w:r>
        <w:rPr>
          <w:rFonts w:hint="eastAsia" w:cs="宋体"/>
          <w:b/>
        </w:rPr>
        <w:t>26. 履约保证金</w:t>
      </w:r>
    </w:p>
    <w:p w14:paraId="43595942">
      <w:pPr>
        <w:tabs>
          <w:tab w:val="left" w:pos="0"/>
        </w:tabs>
        <w:spacing w:line="288" w:lineRule="auto"/>
        <w:ind w:firstLine="482"/>
        <w:rPr>
          <w:rFonts w:ascii="宋体" w:hAnsi="宋体" w:cs="宋体"/>
          <w:b/>
          <w:sz w:val="24"/>
        </w:rPr>
      </w:pPr>
      <w:r>
        <w:rPr>
          <w:rFonts w:hint="eastAsia" w:ascii="宋体" w:hAnsi="宋体" w:cs="宋体"/>
          <w:kern w:val="0"/>
          <w:sz w:val="24"/>
        </w:rPr>
        <w:t>拟签订的合同文本要求中标供应商提交履约保证金的，供应商应当以支票、汇票、本票或者金融机构、担保机构出具的保函等非现金形式提交</w:t>
      </w:r>
      <w:r>
        <w:rPr>
          <w:rFonts w:hint="eastAsia" w:ascii="宋体" w:hAnsi="宋体" w:cs="宋体"/>
          <w:sz w:val="24"/>
        </w:rPr>
        <w:t>。履约保证金的数额不得超过政府采购合同金额</w:t>
      </w:r>
      <w:r>
        <w:rPr>
          <w:rFonts w:hint="eastAsia" w:ascii="宋体" w:hAnsi="宋体" w:cs="宋体"/>
          <w:kern w:val="0"/>
          <w:sz w:val="24"/>
        </w:rPr>
        <w:t>的1%。</w:t>
      </w:r>
      <w:r>
        <w:rPr>
          <w:rFonts w:hint="eastAsia" w:ascii="宋体" w:hAnsi="宋体" w:cs="宋体"/>
          <w:sz w:val="24"/>
        </w:rPr>
        <w:t>鼓励和支持供应商以银行、保险公司出具的保函形式提供履约保证金。</w:t>
      </w:r>
      <w:r>
        <w:rPr>
          <w:rFonts w:hint="eastAsia" w:ascii="宋体" w:hAnsi="宋体" w:cs="宋体"/>
          <w:b/>
          <w:sz w:val="24"/>
        </w:rPr>
        <w:t>采购人不得拒收履约保函。</w:t>
      </w:r>
    </w:p>
    <w:p w14:paraId="5241FB1C">
      <w:pPr>
        <w:tabs>
          <w:tab w:val="left" w:pos="0"/>
        </w:tabs>
        <w:spacing w:line="288" w:lineRule="auto"/>
        <w:ind w:firstLine="482"/>
        <w:rPr>
          <w:rFonts w:ascii="宋体" w:hAnsi="宋体" w:cs="宋体"/>
          <w:b/>
          <w:sz w:val="32"/>
        </w:rPr>
      </w:pPr>
      <w:r>
        <w:rPr>
          <w:rFonts w:hint="eastAsia" w:ascii="宋体" w:hAnsi="宋体" w:cs="宋体"/>
          <w:kern w:val="0"/>
          <w:sz w:val="24"/>
        </w:rPr>
        <w:t>供应商可登录政府采购云平台-【金融服务】—【我的项目】—【已备案合同】以保函形式提供。政府采购云平台金融专线400-903-9583。</w:t>
      </w:r>
    </w:p>
    <w:p w14:paraId="20D0EA1F">
      <w:pPr>
        <w:snapToGrid w:val="0"/>
        <w:spacing w:line="288" w:lineRule="auto"/>
        <w:jc w:val="center"/>
        <w:rPr>
          <w:rFonts w:ascii="宋体" w:hAnsi="宋体" w:cs="宋体"/>
          <w:b/>
          <w:sz w:val="24"/>
        </w:rPr>
      </w:pPr>
      <w:r>
        <w:rPr>
          <w:rFonts w:hint="eastAsia" w:ascii="宋体" w:hAnsi="宋体" w:cs="宋体"/>
          <w:b/>
          <w:sz w:val="28"/>
          <w:szCs w:val="22"/>
        </w:rPr>
        <w:t>八、电子交易活动的中止</w:t>
      </w:r>
    </w:p>
    <w:p w14:paraId="49BF5097">
      <w:pPr>
        <w:pStyle w:val="167"/>
        <w:snapToGrid w:val="0"/>
        <w:spacing w:before="0" w:line="288" w:lineRule="auto"/>
        <w:ind w:firstLine="0" w:firstLineChars="0"/>
        <w:rPr>
          <w:rFonts w:ascii="宋体" w:hAnsi="宋体" w:cs="宋体"/>
        </w:rPr>
      </w:pPr>
      <w:r>
        <w:rPr>
          <w:rFonts w:hint="eastAsia" w:ascii="宋体" w:hAnsi="宋体" w:cs="宋体"/>
          <w:b/>
          <w:bCs/>
        </w:rPr>
        <w:t xml:space="preserve">27. </w:t>
      </w:r>
      <w:r>
        <w:rPr>
          <w:rFonts w:hint="eastAsia" w:ascii="宋体" w:hAnsi="宋体" w:cs="宋体"/>
          <w:b/>
          <w:szCs w:val="24"/>
        </w:rPr>
        <w:t>电子交易活动的中止。</w:t>
      </w:r>
      <w:r>
        <w:rPr>
          <w:rFonts w:hint="eastAsia" w:ascii="宋体" w:hAnsi="宋体" w:cs="宋体"/>
        </w:rPr>
        <w:t>采购过程中出现以下情形，导致电子交易平台无法正常运行，或者无法保证电子交易的公平、公正和安全时，采购代理机构可中止电子交易活动：</w:t>
      </w:r>
    </w:p>
    <w:p w14:paraId="70AF80D3">
      <w:pPr>
        <w:pStyle w:val="167"/>
        <w:snapToGrid w:val="0"/>
        <w:spacing w:before="0" w:line="288" w:lineRule="auto"/>
        <w:ind w:firstLine="480"/>
        <w:rPr>
          <w:rFonts w:ascii="宋体" w:hAnsi="宋体" w:cs="宋体"/>
        </w:rPr>
      </w:pPr>
      <w:r>
        <w:rPr>
          <w:rFonts w:hint="eastAsia" w:ascii="宋体" w:hAnsi="宋体" w:cs="宋体"/>
        </w:rPr>
        <w:t xml:space="preserve">27.1电子交易平台发生故障而无法登录访问的； </w:t>
      </w:r>
    </w:p>
    <w:p w14:paraId="093D43A2">
      <w:pPr>
        <w:pStyle w:val="167"/>
        <w:snapToGrid w:val="0"/>
        <w:spacing w:before="0" w:line="288" w:lineRule="auto"/>
        <w:ind w:firstLine="480"/>
        <w:rPr>
          <w:rFonts w:ascii="宋体" w:hAnsi="宋体" w:cs="宋体"/>
        </w:rPr>
      </w:pPr>
      <w:r>
        <w:rPr>
          <w:rFonts w:hint="eastAsia" w:ascii="宋体" w:hAnsi="宋体" w:cs="宋体"/>
        </w:rPr>
        <w:t>27.2电子交易平台应用或数据库出现错误，不能进行正常操作的；</w:t>
      </w:r>
    </w:p>
    <w:p w14:paraId="014D619F">
      <w:pPr>
        <w:pStyle w:val="167"/>
        <w:snapToGrid w:val="0"/>
        <w:spacing w:before="0" w:line="288" w:lineRule="auto"/>
        <w:ind w:firstLine="480"/>
        <w:rPr>
          <w:rFonts w:ascii="宋体" w:hAnsi="宋体" w:cs="宋体"/>
        </w:rPr>
      </w:pPr>
      <w:r>
        <w:rPr>
          <w:rFonts w:hint="eastAsia" w:ascii="宋体" w:hAnsi="宋体" w:cs="宋体"/>
        </w:rPr>
        <w:t>27.3电子交易平台发现严重安全漏洞，有潜在泄密危险的；</w:t>
      </w:r>
    </w:p>
    <w:p w14:paraId="177C2369">
      <w:pPr>
        <w:pStyle w:val="167"/>
        <w:snapToGrid w:val="0"/>
        <w:spacing w:before="0" w:line="288" w:lineRule="auto"/>
        <w:ind w:firstLine="480"/>
        <w:rPr>
          <w:rFonts w:ascii="宋体" w:hAnsi="宋体" w:cs="宋体"/>
        </w:rPr>
      </w:pPr>
      <w:r>
        <w:rPr>
          <w:rFonts w:hint="eastAsia" w:ascii="宋体" w:hAnsi="宋体" w:cs="宋体"/>
        </w:rPr>
        <w:t xml:space="preserve">27.4病毒发作导致不能进行正常操作的； </w:t>
      </w:r>
    </w:p>
    <w:p w14:paraId="73139955">
      <w:pPr>
        <w:pStyle w:val="167"/>
        <w:snapToGrid w:val="0"/>
        <w:spacing w:before="0" w:line="288" w:lineRule="auto"/>
        <w:ind w:firstLine="480"/>
        <w:rPr>
          <w:rFonts w:ascii="宋体" w:hAnsi="宋体" w:cs="宋体"/>
        </w:rPr>
      </w:pPr>
      <w:r>
        <w:rPr>
          <w:rFonts w:hint="eastAsia" w:ascii="宋体" w:hAnsi="宋体" w:cs="宋体"/>
        </w:rPr>
        <w:t>27.5其他无法保证电子交易的公平、公正和安全的情况。</w:t>
      </w:r>
    </w:p>
    <w:p w14:paraId="2E171E82">
      <w:pPr>
        <w:pStyle w:val="167"/>
        <w:snapToGrid w:val="0"/>
        <w:spacing w:before="0" w:line="288" w:lineRule="auto"/>
        <w:ind w:firstLine="0" w:firstLineChars="0"/>
        <w:rPr>
          <w:rFonts w:ascii="宋体" w:hAnsi="宋体" w:cs="宋体"/>
        </w:rPr>
      </w:pPr>
      <w:r>
        <w:rPr>
          <w:rFonts w:hint="eastAsia" w:ascii="宋体" w:hAnsi="宋体" w:cs="宋体"/>
          <w:b/>
          <w:bCs/>
        </w:rPr>
        <w:t>28.</w:t>
      </w:r>
      <w:r>
        <w:rPr>
          <w:rFonts w:hint="eastAsia" w:ascii="宋体" w:hAnsi="宋体" w:cs="宋体"/>
        </w:rPr>
        <w:t>出现以上情形，不影响采购公平、公正性的，采购组织机构可以待上述情形消除后继续组织电子交易活动，也可以决定某些环节以纸质形式进行；影响或可能影响采购公平、公正性的，报告政府采购监管部门并组织重新采购。</w:t>
      </w:r>
    </w:p>
    <w:p w14:paraId="3638AEB3">
      <w:pPr>
        <w:snapToGrid w:val="0"/>
        <w:spacing w:line="288" w:lineRule="auto"/>
        <w:jc w:val="center"/>
        <w:rPr>
          <w:rFonts w:ascii="宋体" w:hAnsi="宋体" w:cs="宋体"/>
          <w:b/>
          <w:sz w:val="28"/>
          <w:szCs w:val="22"/>
        </w:rPr>
      </w:pPr>
      <w:r>
        <w:rPr>
          <w:rFonts w:hint="eastAsia" w:ascii="宋体" w:hAnsi="宋体" w:cs="宋体"/>
          <w:b/>
          <w:sz w:val="28"/>
          <w:szCs w:val="22"/>
        </w:rPr>
        <w:t>九、验收</w:t>
      </w:r>
    </w:p>
    <w:p w14:paraId="32A8B56B">
      <w:pPr>
        <w:pStyle w:val="26"/>
        <w:spacing w:line="288" w:lineRule="auto"/>
        <w:ind w:firstLine="0" w:firstLineChars="0"/>
        <w:rPr>
          <w:rFonts w:cs="宋体"/>
          <w:b/>
        </w:rPr>
      </w:pPr>
      <w:r>
        <w:rPr>
          <w:rFonts w:hint="eastAsia" w:cs="宋体"/>
          <w:b/>
        </w:rPr>
        <w:t>29.验收</w:t>
      </w:r>
    </w:p>
    <w:p w14:paraId="1BBFDF97">
      <w:pPr>
        <w:tabs>
          <w:tab w:val="left" w:pos="0"/>
        </w:tabs>
        <w:spacing w:line="288" w:lineRule="auto"/>
        <w:ind w:firstLine="482"/>
        <w:rPr>
          <w:rFonts w:ascii="宋体" w:hAnsi="宋体" w:cs="宋体"/>
          <w:kern w:val="0"/>
          <w:sz w:val="24"/>
        </w:rPr>
      </w:pPr>
      <w:r>
        <w:rPr>
          <w:rFonts w:hint="eastAsia" w:ascii="宋体" w:hAnsi="宋体" w:cs="宋体"/>
          <w:kern w:val="0"/>
          <w:sz w:val="24"/>
        </w:rPr>
        <w:t>29.1采购人组织对供应商履约的验收，相关费用原则上由采购人支付（采购需求另行规定的除外）。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A2B0141">
      <w:pPr>
        <w:tabs>
          <w:tab w:val="left" w:pos="0"/>
        </w:tabs>
        <w:spacing w:line="288" w:lineRule="auto"/>
        <w:ind w:firstLine="482"/>
        <w:rPr>
          <w:rFonts w:ascii="宋体" w:hAnsi="宋体" w:cs="宋体"/>
          <w:kern w:val="0"/>
          <w:sz w:val="24"/>
        </w:rPr>
      </w:pPr>
      <w:r>
        <w:rPr>
          <w:rFonts w:hint="eastAsia" w:ascii="宋体" w:hAnsi="宋体" w:cs="宋体"/>
          <w:kern w:val="0"/>
          <w:sz w:val="24"/>
        </w:rPr>
        <w:t>29.2采购人可以邀请参加本项目的其他投标人或者第三方机构参与验收。参与验收的投标人或者第三方机构的意见作为验收书的参考资料一并存档。</w:t>
      </w:r>
    </w:p>
    <w:p w14:paraId="10BB0FE3">
      <w:pPr>
        <w:tabs>
          <w:tab w:val="left" w:pos="0"/>
        </w:tabs>
        <w:spacing w:line="420" w:lineRule="exact"/>
        <w:ind w:firstLine="482"/>
        <w:rPr>
          <w:rFonts w:ascii="宋体" w:hAnsi="宋体" w:cs="宋体"/>
          <w:kern w:val="0"/>
          <w:sz w:val="24"/>
        </w:rPr>
      </w:pPr>
      <w:r>
        <w:rPr>
          <w:rFonts w:hint="eastAsia" w:ascii="宋体" w:hAnsi="宋体" w:cs="宋体"/>
          <w:kern w:val="0"/>
          <w:sz w:val="24"/>
        </w:rPr>
        <w:t>29.3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63EBE6E6">
      <w:pPr>
        <w:tabs>
          <w:tab w:val="left" w:pos="0"/>
        </w:tabs>
        <w:spacing w:line="420" w:lineRule="exact"/>
        <w:ind w:firstLine="482"/>
        <w:rPr>
          <w:rFonts w:ascii="宋体" w:hAnsi="宋体" w:cs="宋体"/>
          <w:sz w:val="18"/>
          <w:szCs w:val="18"/>
        </w:rPr>
      </w:pPr>
      <w:r>
        <w:rPr>
          <w:rFonts w:hint="eastAsia" w:ascii="宋体" w:hAnsi="宋体" w:cs="宋体"/>
          <w:kern w:val="0"/>
          <w:sz w:val="24"/>
        </w:rPr>
        <w:t>29.4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bookmarkEnd w:id="11"/>
    <w:p w14:paraId="20FDC716">
      <w:pPr>
        <w:tabs>
          <w:tab w:val="left" w:pos="0"/>
        </w:tabs>
        <w:spacing w:line="420" w:lineRule="exact"/>
        <w:ind w:firstLine="482"/>
        <w:rPr>
          <w:rFonts w:ascii="宋体" w:hAnsi="宋体" w:cs="宋体"/>
          <w:kern w:val="0"/>
          <w:sz w:val="24"/>
        </w:rPr>
        <w:sectPr>
          <w:footerReference r:id="rId10" w:type="default"/>
          <w:pgSz w:w="11906" w:h="16838"/>
          <w:pgMar w:top="873" w:right="1236" w:bottom="873" w:left="1236" w:header="567" w:footer="567" w:gutter="0"/>
          <w:cols w:space="720" w:num="1"/>
          <w:docGrid w:linePitch="312" w:charSpace="0"/>
        </w:sectPr>
      </w:pPr>
      <w:bookmarkStart w:id="12" w:name="_Hlt75236290"/>
      <w:bookmarkEnd w:id="12"/>
      <w:bookmarkStart w:id="13" w:name="_Hlt68072990"/>
      <w:bookmarkEnd w:id="13"/>
      <w:bookmarkStart w:id="14" w:name="_Hlt74730295"/>
      <w:bookmarkEnd w:id="14"/>
      <w:bookmarkStart w:id="15" w:name="_Hlt68072998"/>
      <w:bookmarkEnd w:id="15"/>
      <w:bookmarkStart w:id="16" w:name="_Hlt74729768"/>
      <w:bookmarkEnd w:id="16"/>
      <w:bookmarkStart w:id="17" w:name="_Hlt68057669"/>
      <w:bookmarkEnd w:id="17"/>
      <w:bookmarkStart w:id="18" w:name="_Hlt74707468"/>
      <w:bookmarkEnd w:id="18"/>
      <w:bookmarkStart w:id="19" w:name="_Hlt68073093"/>
      <w:bookmarkEnd w:id="19"/>
      <w:bookmarkStart w:id="20" w:name="_Hlt68403820"/>
      <w:bookmarkEnd w:id="20"/>
      <w:bookmarkStart w:id="21" w:name="_Hlt75236011"/>
      <w:bookmarkEnd w:id="21"/>
      <w:bookmarkStart w:id="22" w:name="_Hlt75236101"/>
      <w:bookmarkEnd w:id="22"/>
      <w:bookmarkStart w:id="23" w:name="_Hlt74714665"/>
      <w:bookmarkEnd w:id="23"/>
    </w:p>
    <w:bookmarkEnd w:id="9"/>
    <w:bookmarkEnd w:id="10"/>
    <w:p w14:paraId="2325E1E2">
      <w:pPr>
        <w:adjustRightInd/>
        <w:spacing w:line="360" w:lineRule="auto"/>
        <w:jc w:val="center"/>
        <w:outlineLvl w:val="0"/>
        <w:rPr>
          <w:rFonts w:ascii="宋体" w:hAnsi="宋体" w:cs="宋体"/>
          <w:b/>
          <w:kern w:val="44"/>
          <w:sz w:val="36"/>
          <w:szCs w:val="36"/>
        </w:rPr>
      </w:pPr>
      <w:bookmarkStart w:id="24" w:name="第四部分"/>
      <w:r>
        <w:rPr>
          <w:rFonts w:hint="eastAsia" w:ascii="宋体" w:hAnsi="宋体" w:cs="宋体"/>
          <w:b/>
          <w:kern w:val="44"/>
          <w:sz w:val="36"/>
          <w:szCs w:val="36"/>
        </w:rPr>
        <w:t xml:space="preserve">  第三部分 采购需求</w:t>
      </w:r>
    </w:p>
    <w:p w14:paraId="50AC22F4">
      <w:pPr>
        <w:ind w:firstLine="420"/>
        <w:rPr>
          <w:rFonts w:ascii="宋体" w:hAnsi="宋体" w:cs="宋体"/>
          <w:b/>
          <w:bCs/>
          <w:sz w:val="24"/>
          <w:u w:val="single"/>
        </w:rPr>
      </w:pPr>
      <w:r>
        <w:rPr>
          <w:rFonts w:hint="eastAsia" w:ascii="宋体" w:hAnsi="宋体" w:cs="宋体"/>
          <w:b/>
          <w:bCs/>
          <w:sz w:val="24"/>
          <w:u w:val="single"/>
        </w:rPr>
        <w:t>产品要求中如有参考品牌、型号的仅作为投标方案参考，但投标产品品牌、型号至少应与参考品牌、型号相当。</w:t>
      </w:r>
    </w:p>
    <w:p w14:paraId="3E59786D">
      <w:pPr>
        <w:rPr>
          <w:rFonts w:ascii="宋体" w:hAnsi="宋体" w:cs="宋体"/>
          <w:b/>
          <w:sz w:val="24"/>
        </w:rPr>
      </w:pPr>
      <w:r>
        <w:rPr>
          <w:rFonts w:hint="eastAsia" w:ascii="宋体" w:hAnsi="宋体" w:cs="宋体"/>
          <w:b/>
          <w:bCs/>
          <w:sz w:val="24"/>
          <w:u w:val="single"/>
        </w:rPr>
        <w:t>除参考品牌、型号以外，欢迎其它能满足本项目技术需求且性能与参考品牌、型号相当的产品参加。</w:t>
      </w:r>
    </w:p>
    <w:p w14:paraId="1001B78B">
      <w:pPr>
        <w:spacing w:before="187" w:line="227" w:lineRule="auto"/>
        <w:ind w:left="543"/>
        <w:rPr>
          <w:rFonts w:ascii="宋体" w:hAnsi="宋体" w:cs="宋体"/>
          <w:sz w:val="24"/>
        </w:rPr>
      </w:pPr>
      <w:r>
        <w:rPr>
          <w:rFonts w:hint="eastAsia" w:ascii="宋体" w:hAnsi="宋体" w:cs="宋体"/>
          <w:b/>
          <w:bCs/>
          <w:spacing w:val="7"/>
          <w:sz w:val="24"/>
        </w:rPr>
        <w:t>一、采购清单及主要技术性能要求</w:t>
      </w:r>
    </w:p>
    <w:tbl>
      <w:tblPr>
        <w:tblStyle w:val="64"/>
        <w:tblW w:w="9983" w:type="dxa"/>
        <w:jc w:val="center"/>
        <w:tblLayout w:type="fixed"/>
        <w:tblCellMar>
          <w:top w:w="0" w:type="dxa"/>
          <w:left w:w="108" w:type="dxa"/>
          <w:bottom w:w="0" w:type="dxa"/>
          <w:right w:w="108" w:type="dxa"/>
        </w:tblCellMar>
      </w:tblPr>
      <w:tblGrid>
        <w:gridCol w:w="791"/>
        <w:gridCol w:w="662"/>
        <w:gridCol w:w="476"/>
        <w:gridCol w:w="480"/>
        <w:gridCol w:w="735"/>
        <w:gridCol w:w="6839"/>
      </w:tblGrid>
      <w:tr w14:paraId="67125299">
        <w:tblPrEx>
          <w:tblCellMar>
            <w:top w:w="0" w:type="dxa"/>
            <w:left w:w="108" w:type="dxa"/>
            <w:bottom w:w="0" w:type="dxa"/>
            <w:right w:w="108" w:type="dxa"/>
          </w:tblCellMar>
        </w:tblPrEx>
        <w:trPr>
          <w:trHeight w:val="23" w:hRule="atLeast"/>
          <w:jc w:val="center"/>
        </w:trPr>
        <w:tc>
          <w:tcPr>
            <w:tcW w:w="791" w:type="dxa"/>
            <w:tcBorders>
              <w:top w:val="single" w:color="000000" w:sz="4" w:space="0"/>
              <w:left w:val="single" w:color="000000" w:sz="4" w:space="0"/>
              <w:bottom w:val="single" w:color="000000" w:sz="4" w:space="0"/>
              <w:right w:val="single" w:color="000000" w:sz="4" w:space="0"/>
            </w:tcBorders>
            <w:noWrap/>
            <w:vAlign w:val="center"/>
          </w:tcPr>
          <w:p w14:paraId="6647904E">
            <w:pPr>
              <w:widowControl/>
              <w:jc w:val="center"/>
              <w:textAlignment w:val="center"/>
              <w:rPr>
                <w:rFonts w:ascii="宋体" w:hAnsi="宋体" w:cs="宋体"/>
                <w:b/>
                <w:bCs/>
                <w:sz w:val="24"/>
              </w:rPr>
            </w:pPr>
            <w:r>
              <w:rPr>
                <w:rFonts w:hint="eastAsia" w:ascii="宋体" w:hAnsi="宋体" w:cs="宋体"/>
                <w:b/>
                <w:bCs/>
                <w:sz w:val="24"/>
              </w:rPr>
              <w:t>装备类别</w:t>
            </w: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51FDF494">
            <w:pPr>
              <w:widowControl/>
              <w:jc w:val="center"/>
              <w:textAlignment w:val="center"/>
              <w:rPr>
                <w:rFonts w:ascii="宋体" w:hAnsi="宋体" w:cs="宋体"/>
                <w:b/>
                <w:bCs/>
                <w:sz w:val="24"/>
              </w:rPr>
            </w:pPr>
            <w:r>
              <w:rPr>
                <w:rFonts w:hint="eastAsia" w:ascii="宋体" w:hAnsi="宋体" w:cs="宋体"/>
                <w:b/>
                <w:bCs/>
                <w:sz w:val="24"/>
              </w:rPr>
              <w:t>序号</w:t>
            </w:r>
          </w:p>
        </w:tc>
        <w:tc>
          <w:tcPr>
            <w:tcW w:w="956" w:type="dxa"/>
            <w:gridSpan w:val="2"/>
            <w:tcBorders>
              <w:top w:val="single" w:color="000000" w:sz="4" w:space="0"/>
              <w:left w:val="single" w:color="000000" w:sz="4" w:space="0"/>
              <w:bottom w:val="single" w:color="000000" w:sz="4" w:space="0"/>
              <w:right w:val="single" w:color="000000" w:sz="4" w:space="0"/>
            </w:tcBorders>
            <w:noWrap/>
            <w:vAlign w:val="center"/>
          </w:tcPr>
          <w:p w14:paraId="2391B81B">
            <w:pPr>
              <w:widowControl/>
              <w:jc w:val="center"/>
              <w:textAlignment w:val="center"/>
              <w:rPr>
                <w:rFonts w:ascii="宋体" w:hAnsi="宋体" w:cs="宋体"/>
                <w:b/>
                <w:bCs/>
                <w:sz w:val="24"/>
              </w:rPr>
            </w:pPr>
            <w:r>
              <w:rPr>
                <w:rFonts w:hint="eastAsia" w:ascii="宋体" w:hAnsi="宋体" w:cs="宋体"/>
                <w:b/>
                <w:bCs/>
                <w:sz w:val="24"/>
              </w:rPr>
              <w:t>装备名称</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5FD57874">
            <w:pPr>
              <w:widowControl/>
              <w:jc w:val="center"/>
              <w:textAlignment w:val="center"/>
              <w:rPr>
                <w:rFonts w:ascii="宋体" w:hAnsi="宋体" w:cs="宋体"/>
                <w:b/>
                <w:bCs/>
                <w:sz w:val="24"/>
              </w:rPr>
            </w:pPr>
            <w:r>
              <w:rPr>
                <w:rFonts w:hint="eastAsia" w:ascii="宋体" w:hAnsi="宋体" w:cs="宋体"/>
                <w:b/>
                <w:bCs/>
                <w:sz w:val="24"/>
              </w:rPr>
              <w:t>数量</w:t>
            </w:r>
          </w:p>
        </w:tc>
        <w:tc>
          <w:tcPr>
            <w:tcW w:w="6839" w:type="dxa"/>
            <w:tcBorders>
              <w:top w:val="single" w:color="000000" w:sz="4" w:space="0"/>
              <w:left w:val="single" w:color="000000" w:sz="4" w:space="0"/>
              <w:bottom w:val="single" w:color="000000" w:sz="4" w:space="0"/>
              <w:right w:val="single" w:color="000000" w:sz="4" w:space="0"/>
            </w:tcBorders>
            <w:noWrap/>
            <w:vAlign w:val="center"/>
          </w:tcPr>
          <w:p w14:paraId="5834CAE4">
            <w:pPr>
              <w:widowControl/>
              <w:jc w:val="center"/>
              <w:textAlignment w:val="center"/>
              <w:rPr>
                <w:rFonts w:ascii="宋体" w:hAnsi="宋体" w:cs="宋体"/>
                <w:b/>
                <w:bCs/>
                <w:sz w:val="24"/>
              </w:rPr>
            </w:pPr>
            <w:r>
              <w:rPr>
                <w:rFonts w:hint="eastAsia" w:ascii="宋体" w:hAnsi="宋体" w:cs="宋体"/>
                <w:b/>
                <w:bCs/>
                <w:sz w:val="24"/>
              </w:rPr>
              <w:t>功能及技术参数</w:t>
            </w:r>
          </w:p>
        </w:tc>
      </w:tr>
      <w:tr w14:paraId="686C3669">
        <w:tblPrEx>
          <w:tblCellMar>
            <w:top w:w="0" w:type="dxa"/>
            <w:left w:w="108" w:type="dxa"/>
            <w:bottom w:w="0" w:type="dxa"/>
            <w:right w:w="108" w:type="dxa"/>
          </w:tblCellMar>
        </w:tblPrEx>
        <w:trPr>
          <w:trHeight w:val="23" w:hRule="atLeast"/>
          <w:jc w:val="center"/>
        </w:trPr>
        <w:tc>
          <w:tcPr>
            <w:tcW w:w="791" w:type="dxa"/>
            <w:vMerge w:val="restart"/>
            <w:tcBorders>
              <w:top w:val="single" w:color="000000" w:sz="4" w:space="0"/>
              <w:left w:val="single" w:color="000000" w:sz="4" w:space="0"/>
              <w:bottom w:val="single" w:color="000000" w:sz="4" w:space="0"/>
              <w:right w:val="single" w:color="000000" w:sz="4" w:space="0"/>
            </w:tcBorders>
            <w:noWrap/>
            <w:vAlign w:val="center"/>
          </w:tcPr>
          <w:p w14:paraId="304B3EA6">
            <w:pPr>
              <w:widowControl/>
              <w:jc w:val="center"/>
              <w:textAlignment w:val="center"/>
              <w:rPr>
                <w:rFonts w:ascii="宋体" w:hAnsi="宋体" w:cs="宋体"/>
                <w:sz w:val="24"/>
              </w:rPr>
            </w:pPr>
            <w:r>
              <w:rPr>
                <w:rFonts w:hint="eastAsia" w:ascii="宋体" w:hAnsi="宋体" w:cs="宋体"/>
                <w:sz w:val="24"/>
              </w:rPr>
              <w:t>通信类</w:t>
            </w: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0C6D8801">
            <w:pPr>
              <w:widowControl/>
              <w:jc w:val="center"/>
              <w:textAlignment w:val="center"/>
              <w:rPr>
                <w:rFonts w:ascii="宋体" w:hAnsi="宋体" w:cs="宋体"/>
                <w:sz w:val="24"/>
              </w:rPr>
            </w:pPr>
            <w:r>
              <w:rPr>
                <w:rFonts w:hint="eastAsia" w:ascii="宋体" w:hAnsi="宋体" w:cs="宋体"/>
                <w:sz w:val="24"/>
              </w:rPr>
              <w:t>1</w:t>
            </w:r>
          </w:p>
        </w:tc>
        <w:tc>
          <w:tcPr>
            <w:tcW w:w="956" w:type="dxa"/>
            <w:gridSpan w:val="2"/>
            <w:tcBorders>
              <w:top w:val="single" w:color="000000" w:sz="4" w:space="0"/>
              <w:left w:val="single" w:color="000000" w:sz="4" w:space="0"/>
              <w:bottom w:val="single" w:color="000000" w:sz="4" w:space="0"/>
              <w:right w:val="single" w:color="000000" w:sz="4" w:space="0"/>
            </w:tcBorders>
            <w:noWrap/>
            <w:vAlign w:val="center"/>
          </w:tcPr>
          <w:p w14:paraId="43899160">
            <w:pPr>
              <w:widowControl/>
              <w:jc w:val="center"/>
              <w:textAlignment w:val="center"/>
              <w:rPr>
                <w:rFonts w:ascii="宋体" w:hAnsi="宋体" w:cs="宋体"/>
                <w:sz w:val="24"/>
              </w:rPr>
            </w:pPr>
            <w:r>
              <w:rPr>
                <w:rFonts w:hint="eastAsia" w:ascii="宋体" w:hAnsi="宋体" w:cs="宋体"/>
                <w:sz w:val="24"/>
              </w:rPr>
              <w:t>野外应急电源</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53CE5D86">
            <w:pPr>
              <w:widowControl/>
              <w:jc w:val="center"/>
              <w:textAlignment w:val="center"/>
              <w:rPr>
                <w:rFonts w:ascii="宋体" w:hAnsi="宋体" w:cs="宋体"/>
                <w:sz w:val="24"/>
              </w:rPr>
            </w:pPr>
            <w:r>
              <w:rPr>
                <w:rFonts w:hint="eastAsia" w:ascii="宋体" w:hAnsi="宋体" w:cs="宋体"/>
                <w:sz w:val="24"/>
              </w:rPr>
              <w:t>4</w:t>
            </w:r>
          </w:p>
        </w:tc>
        <w:tc>
          <w:tcPr>
            <w:tcW w:w="6839" w:type="dxa"/>
            <w:tcBorders>
              <w:top w:val="single" w:color="000000" w:sz="4" w:space="0"/>
              <w:left w:val="single" w:color="000000" w:sz="4" w:space="0"/>
              <w:bottom w:val="single" w:color="000000" w:sz="4" w:space="0"/>
              <w:right w:val="single" w:color="000000" w:sz="4" w:space="0"/>
            </w:tcBorders>
            <w:noWrap/>
            <w:vAlign w:val="center"/>
          </w:tcPr>
          <w:p w14:paraId="5B6BD466">
            <w:pPr>
              <w:widowControl/>
              <w:jc w:val="left"/>
              <w:textAlignment w:val="center"/>
              <w:rPr>
                <w:rFonts w:ascii="宋体" w:hAnsi="宋体" w:cs="宋体"/>
                <w:sz w:val="24"/>
              </w:rPr>
            </w:pPr>
            <w:bookmarkStart w:id="25" w:name="OLE_LINK5"/>
            <w:bookmarkStart w:id="26" w:name="OLE_LINK6"/>
            <w:r>
              <w:rPr>
                <w:rFonts w:hint="eastAsia" w:ascii="宋体" w:hAnsi="宋体" w:cs="宋体"/>
                <w:sz w:val="24"/>
              </w:rPr>
              <w:t>电池容量≥2040Wh（3.2V/638400mAh）</w:t>
            </w:r>
          </w:p>
          <w:p w14:paraId="1ECB5B2C">
            <w:pPr>
              <w:widowControl/>
              <w:jc w:val="left"/>
              <w:textAlignment w:val="center"/>
              <w:rPr>
                <w:rFonts w:ascii="宋体" w:hAnsi="宋体" w:cs="宋体"/>
                <w:sz w:val="24"/>
              </w:rPr>
            </w:pPr>
            <w:r>
              <w:rPr>
                <w:rFonts w:hint="eastAsia" w:ascii="宋体" w:hAnsi="宋体" w:cs="宋体"/>
                <w:sz w:val="24"/>
              </w:rPr>
              <w:t>功率额定≥3000W，峰值≥6000W</w:t>
            </w:r>
          </w:p>
          <w:p w14:paraId="5226E7BF">
            <w:pPr>
              <w:widowControl/>
              <w:jc w:val="left"/>
              <w:textAlignment w:val="center"/>
              <w:rPr>
                <w:rFonts w:ascii="宋体" w:hAnsi="宋体" w:cs="宋体"/>
                <w:sz w:val="24"/>
              </w:rPr>
            </w:pPr>
            <w:r>
              <w:rPr>
                <w:rFonts w:hint="eastAsia" w:ascii="宋体" w:hAnsi="宋体" w:cs="宋体"/>
                <w:sz w:val="24"/>
              </w:rPr>
              <w:t>电芯材质：磷酸铁锂</w:t>
            </w:r>
          </w:p>
          <w:p w14:paraId="0B10F504">
            <w:pPr>
              <w:widowControl/>
              <w:jc w:val="left"/>
              <w:textAlignment w:val="center"/>
              <w:rPr>
                <w:rFonts w:ascii="宋体" w:hAnsi="宋体" w:cs="宋体"/>
                <w:sz w:val="24"/>
              </w:rPr>
            </w:pPr>
            <w:r>
              <w:rPr>
                <w:rFonts w:hint="eastAsia" w:ascii="宋体" w:hAnsi="宋体" w:cs="宋体"/>
                <w:sz w:val="24"/>
              </w:rPr>
              <w:t>尺寸≤473*359*373mm</w:t>
            </w:r>
          </w:p>
          <w:p w14:paraId="623EE598">
            <w:pPr>
              <w:widowControl/>
              <w:jc w:val="left"/>
              <w:textAlignment w:val="center"/>
              <w:rPr>
                <w:rFonts w:ascii="宋体" w:hAnsi="宋体" w:cs="宋体"/>
                <w:sz w:val="24"/>
              </w:rPr>
            </w:pPr>
            <w:r>
              <w:rPr>
                <w:rFonts w:hint="eastAsia" w:ascii="宋体" w:hAnsi="宋体" w:cs="宋体"/>
                <w:sz w:val="24"/>
              </w:rPr>
              <w:t>重量≤29.2kg</w:t>
            </w:r>
          </w:p>
          <w:p w14:paraId="79D962E8">
            <w:pPr>
              <w:widowControl/>
              <w:jc w:val="left"/>
              <w:textAlignment w:val="center"/>
              <w:rPr>
                <w:rFonts w:ascii="宋体" w:hAnsi="宋体" w:cs="宋体"/>
                <w:sz w:val="24"/>
              </w:rPr>
            </w:pPr>
            <w:r>
              <w:rPr>
                <w:rFonts w:hint="eastAsia" w:ascii="宋体" w:hAnsi="宋体" w:cs="宋体"/>
                <w:sz w:val="24"/>
              </w:rPr>
              <w:t>输入：市电充、车充、太阳能板充</w:t>
            </w:r>
          </w:p>
          <w:p w14:paraId="0A372893">
            <w:pPr>
              <w:widowControl/>
              <w:jc w:val="left"/>
              <w:textAlignment w:val="center"/>
              <w:rPr>
                <w:rFonts w:ascii="宋体" w:hAnsi="宋体" w:cs="宋体"/>
                <w:sz w:val="24"/>
              </w:rPr>
            </w:pPr>
            <w:r>
              <w:rPr>
                <w:rFonts w:hint="eastAsia" w:ascii="宋体" w:hAnsi="宋体" w:cs="宋体"/>
                <w:sz w:val="24"/>
              </w:rPr>
              <w:t>"市电充时间：≤1.7小时；</w:t>
            </w:r>
          </w:p>
          <w:p w14:paraId="039DF5ED">
            <w:pPr>
              <w:widowControl/>
              <w:jc w:val="left"/>
              <w:textAlignment w:val="center"/>
              <w:rPr>
                <w:rFonts w:hint="eastAsia" w:ascii="宋体" w:hAnsi="宋体" w:cs="宋体"/>
                <w:sz w:val="24"/>
              </w:rPr>
            </w:pPr>
            <w:r>
              <w:rPr>
                <w:rFonts w:hint="eastAsia" w:ascii="宋体" w:hAnsi="宋体" w:cs="宋体"/>
                <w:sz w:val="24"/>
              </w:rPr>
              <w:t>太阳能板充电：最快2小时；"</w:t>
            </w:r>
          </w:p>
          <w:p w14:paraId="09CAAA8B">
            <w:pPr>
              <w:widowControl/>
              <w:jc w:val="left"/>
              <w:textAlignment w:val="center"/>
              <w:rPr>
                <w:rFonts w:hint="eastAsia" w:ascii="宋体" w:hAnsi="宋体" w:cs="宋体"/>
                <w:sz w:val="24"/>
              </w:rPr>
            </w:pPr>
            <w:r>
              <w:rPr>
                <w:rFonts w:hint="eastAsia" w:ascii="宋体" w:hAnsi="宋体" w:cs="宋体"/>
                <w:sz w:val="24"/>
              </w:rPr>
              <w:t>产品具有安全快充、BMS保护算法,物理安全防护；</w:t>
            </w:r>
          </w:p>
          <w:p w14:paraId="5E1846E9">
            <w:pPr>
              <w:widowControl/>
              <w:jc w:val="left"/>
              <w:textAlignment w:val="center"/>
              <w:rPr>
                <w:rFonts w:hint="eastAsia" w:ascii="宋体" w:hAnsi="宋体" w:cs="宋体"/>
                <w:sz w:val="24"/>
              </w:rPr>
            </w:pPr>
            <w:r>
              <w:rPr>
                <w:rFonts w:hint="eastAsia" w:ascii="宋体" w:hAnsi="宋体" w:cs="宋体"/>
                <w:sz w:val="24"/>
              </w:rPr>
              <w:t>输出：正弦波输出，端口总数≥9个输出口；AC端口≥4个；USB-A(5V/3A 18W Max)端口≥2个；USB-C端口(PD100W Max)≥2个；车充输出（12V/10A）≥1个</w:t>
            </w:r>
          </w:p>
          <w:p w14:paraId="32AD3DEC">
            <w:pPr>
              <w:widowControl/>
              <w:jc w:val="left"/>
              <w:textAlignment w:val="center"/>
              <w:rPr>
                <w:rFonts w:hint="eastAsia" w:ascii="宋体" w:hAnsi="宋体" w:cs="宋体"/>
                <w:sz w:val="24"/>
              </w:rPr>
            </w:pPr>
            <w:r>
              <w:rPr>
                <w:rFonts w:hint="eastAsia" w:ascii="宋体" w:hAnsi="宋体" w:cs="宋体"/>
                <w:sz w:val="24"/>
              </w:rPr>
              <w:t>加电包：支持，最大可加加电包容量至：12度电</w:t>
            </w:r>
          </w:p>
          <w:p w14:paraId="18C7E0CC">
            <w:pPr>
              <w:widowControl/>
              <w:jc w:val="left"/>
              <w:textAlignment w:val="center"/>
              <w:rPr>
                <w:rFonts w:hint="eastAsia" w:ascii="宋体" w:hAnsi="宋体" w:cs="宋体"/>
                <w:sz w:val="24"/>
              </w:rPr>
            </w:pPr>
            <w:r>
              <w:rPr>
                <w:rFonts w:hint="eastAsia" w:ascii="宋体" w:hAnsi="宋体" w:cs="宋体"/>
                <w:sz w:val="24"/>
              </w:rPr>
              <w:t>智能App功能：有，蓝牙和WiFi双模式通信，App远程控制设备，实现更多用户自定义设置</w:t>
            </w:r>
          </w:p>
          <w:p w14:paraId="61E28FDC">
            <w:pPr>
              <w:widowControl/>
              <w:jc w:val="left"/>
              <w:textAlignment w:val="center"/>
              <w:rPr>
                <w:rFonts w:hint="eastAsia" w:ascii="宋体" w:hAnsi="宋体" w:cs="宋体"/>
                <w:sz w:val="24"/>
              </w:rPr>
            </w:pPr>
            <w:r>
              <w:rPr>
                <w:rFonts w:hint="eastAsia" w:ascii="宋体" w:hAnsi="宋体" w:cs="宋体"/>
                <w:sz w:val="24"/>
              </w:rPr>
              <w:t>EPS紧急备电功能：有，≤20ms</w:t>
            </w:r>
          </w:p>
          <w:p w14:paraId="02395397">
            <w:pPr>
              <w:widowControl/>
              <w:jc w:val="left"/>
              <w:textAlignment w:val="center"/>
              <w:rPr>
                <w:rFonts w:hint="eastAsia" w:ascii="宋体" w:hAnsi="宋体" w:cs="宋体"/>
                <w:sz w:val="24"/>
              </w:rPr>
            </w:pPr>
            <w:r>
              <w:rPr>
                <w:rFonts w:hint="eastAsia" w:ascii="宋体" w:hAnsi="宋体" w:cs="宋体"/>
                <w:sz w:val="24"/>
              </w:rPr>
              <w:t>拉杆+单手可握+大橡胶轮+内嵌提手</w:t>
            </w:r>
          </w:p>
          <w:p w14:paraId="4CE5E08F">
            <w:pPr>
              <w:widowControl/>
              <w:jc w:val="left"/>
              <w:textAlignment w:val="center"/>
              <w:rPr>
                <w:rFonts w:hint="eastAsia" w:ascii="宋体" w:hAnsi="宋体" w:cs="宋体"/>
                <w:sz w:val="24"/>
              </w:rPr>
            </w:pPr>
            <w:r>
              <w:rPr>
                <w:rFonts w:hint="eastAsia" w:ascii="宋体" w:hAnsi="宋体" w:cs="宋体"/>
                <w:sz w:val="24"/>
              </w:rPr>
              <w:t>智能显示屏，可显示不少于20种工作状态</w:t>
            </w:r>
          </w:p>
          <w:p w14:paraId="100A638A">
            <w:pPr>
              <w:widowControl/>
              <w:jc w:val="left"/>
              <w:textAlignment w:val="center"/>
              <w:rPr>
                <w:rFonts w:hint="eastAsia" w:ascii="宋体" w:hAnsi="宋体" w:cs="宋体"/>
                <w:sz w:val="24"/>
              </w:rPr>
            </w:pPr>
            <w:r>
              <w:rPr>
                <w:rFonts w:hint="eastAsia" w:ascii="宋体" w:hAnsi="宋体" w:cs="宋体"/>
                <w:sz w:val="24"/>
              </w:rPr>
              <w:t>防阻燃防火外壳</w:t>
            </w:r>
            <w:bookmarkStart w:id="406" w:name="_GoBack"/>
            <w:bookmarkEnd w:id="406"/>
          </w:p>
          <w:p w14:paraId="14C7967F">
            <w:pPr>
              <w:widowControl/>
              <w:jc w:val="left"/>
              <w:textAlignment w:val="center"/>
              <w:rPr>
                <w:rFonts w:ascii="宋体" w:hAnsi="宋体" w:cs="宋体"/>
                <w:sz w:val="24"/>
              </w:rPr>
            </w:pPr>
            <w:r>
              <w:rPr>
                <w:rFonts w:hint="eastAsia" w:ascii="宋体" w:hAnsi="宋体" w:cs="宋体"/>
                <w:sz w:val="24"/>
              </w:rPr>
              <w:t>工作温度：-10℃-45℃;</w:t>
            </w:r>
          </w:p>
          <w:p w14:paraId="6267D5AB">
            <w:pPr>
              <w:widowControl/>
              <w:jc w:val="left"/>
              <w:textAlignment w:val="center"/>
              <w:rPr>
                <w:rFonts w:ascii="宋体" w:hAnsi="宋体" w:cs="宋体"/>
                <w:sz w:val="24"/>
              </w:rPr>
            </w:pPr>
            <w:r>
              <w:rPr>
                <w:rFonts w:hint="eastAsia" w:ascii="宋体" w:hAnsi="宋体" w:cs="宋体"/>
                <w:sz w:val="24"/>
              </w:rPr>
              <w:t>分区供电开关，保证用电安全</w:t>
            </w:r>
          </w:p>
          <w:p w14:paraId="231E1F6D">
            <w:pPr>
              <w:widowControl/>
              <w:jc w:val="left"/>
              <w:textAlignment w:val="center"/>
              <w:rPr>
                <w:rFonts w:ascii="宋体" w:hAnsi="宋体" w:cs="宋体"/>
                <w:sz w:val="24"/>
              </w:rPr>
            </w:pPr>
            <w:r>
              <w:rPr>
                <w:rFonts w:hint="eastAsia" w:ascii="宋体" w:hAnsi="宋体" w:cs="宋体"/>
                <w:sz w:val="24"/>
              </w:rPr>
              <w:t>温度传感器≥9个</w:t>
            </w:r>
          </w:p>
          <w:p w14:paraId="6D94517B">
            <w:pPr>
              <w:widowControl/>
              <w:jc w:val="left"/>
              <w:textAlignment w:val="center"/>
              <w:rPr>
                <w:rFonts w:ascii="宋体" w:hAnsi="宋体" w:cs="宋体"/>
                <w:sz w:val="24"/>
              </w:rPr>
            </w:pPr>
            <w:r>
              <w:rPr>
                <w:rFonts w:hint="eastAsia" w:ascii="宋体" w:hAnsi="宋体" w:cs="宋体"/>
                <w:sz w:val="24"/>
              </w:rPr>
              <w:t>▲防火等级≥UL 94-V0（提供检测报告）</w:t>
            </w:r>
          </w:p>
          <w:p w14:paraId="1DB279BF">
            <w:pPr>
              <w:widowControl/>
              <w:jc w:val="left"/>
              <w:textAlignment w:val="center"/>
              <w:rPr>
                <w:rFonts w:ascii="宋体" w:hAnsi="宋体" w:cs="宋体"/>
                <w:sz w:val="24"/>
              </w:rPr>
            </w:pPr>
            <w:r>
              <w:rPr>
                <w:rFonts w:hint="eastAsia" w:ascii="宋体" w:hAnsi="宋体" w:cs="宋体"/>
                <w:sz w:val="24"/>
              </w:rPr>
              <w:t>▲防震等级≥9级（提供检测报告）</w:t>
            </w:r>
          </w:p>
          <w:p w14:paraId="66EAEEBE">
            <w:pPr>
              <w:widowControl/>
              <w:jc w:val="left"/>
              <w:textAlignment w:val="center"/>
              <w:rPr>
                <w:rFonts w:ascii="宋体" w:hAnsi="宋体" w:cs="宋体"/>
                <w:sz w:val="24"/>
              </w:rPr>
            </w:pPr>
            <w:r>
              <w:rPr>
                <w:rFonts w:hint="eastAsia" w:ascii="宋体" w:hAnsi="宋体" w:cs="宋体"/>
                <w:sz w:val="24"/>
              </w:rPr>
              <w:t>提供无线电发射设备型号核准证</w:t>
            </w:r>
          </w:p>
          <w:p w14:paraId="6D0135E8">
            <w:pPr>
              <w:widowControl/>
              <w:jc w:val="left"/>
              <w:textAlignment w:val="center"/>
              <w:rPr>
                <w:rFonts w:ascii="宋体" w:hAnsi="宋体" w:cs="宋体"/>
                <w:sz w:val="24"/>
              </w:rPr>
            </w:pPr>
            <w:r>
              <w:rPr>
                <w:rFonts w:hint="eastAsia" w:ascii="宋体" w:hAnsi="宋体" w:cs="宋体"/>
                <w:sz w:val="24"/>
              </w:rPr>
              <w:t>▲提供依据GB4943.1规范的质量检测报告</w:t>
            </w:r>
            <w:bookmarkEnd w:id="25"/>
            <w:bookmarkEnd w:id="26"/>
          </w:p>
        </w:tc>
      </w:tr>
      <w:tr w14:paraId="4C6F8B22">
        <w:tblPrEx>
          <w:tblCellMar>
            <w:top w:w="0" w:type="dxa"/>
            <w:left w:w="108" w:type="dxa"/>
            <w:bottom w:w="0" w:type="dxa"/>
            <w:right w:w="108" w:type="dxa"/>
          </w:tblCellMar>
        </w:tblPrEx>
        <w:trPr>
          <w:trHeight w:val="23" w:hRule="atLeast"/>
          <w:jc w:val="center"/>
        </w:trPr>
        <w:tc>
          <w:tcPr>
            <w:tcW w:w="791" w:type="dxa"/>
            <w:vMerge w:val="continue"/>
            <w:tcBorders>
              <w:top w:val="single" w:color="000000" w:sz="4" w:space="0"/>
              <w:left w:val="single" w:color="000000" w:sz="4" w:space="0"/>
              <w:bottom w:val="single" w:color="000000" w:sz="4" w:space="0"/>
              <w:right w:val="single" w:color="000000" w:sz="4" w:space="0"/>
            </w:tcBorders>
            <w:noWrap/>
            <w:vAlign w:val="center"/>
          </w:tcPr>
          <w:p w14:paraId="7B180E07">
            <w:pPr>
              <w:jc w:val="center"/>
              <w:rPr>
                <w:rFonts w:ascii="宋体" w:hAnsi="宋体" w:cs="宋体"/>
                <w:sz w:val="24"/>
              </w:rPr>
            </w:pP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55CC4D17">
            <w:pPr>
              <w:widowControl/>
              <w:jc w:val="center"/>
              <w:textAlignment w:val="center"/>
              <w:rPr>
                <w:rFonts w:ascii="宋体" w:hAnsi="宋体" w:cs="宋体"/>
                <w:sz w:val="24"/>
              </w:rPr>
            </w:pPr>
            <w:r>
              <w:rPr>
                <w:rFonts w:hint="eastAsia" w:ascii="宋体" w:hAnsi="宋体" w:cs="宋体"/>
                <w:sz w:val="24"/>
              </w:rPr>
              <w:t>2</w:t>
            </w:r>
          </w:p>
        </w:tc>
        <w:tc>
          <w:tcPr>
            <w:tcW w:w="956" w:type="dxa"/>
            <w:gridSpan w:val="2"/>
            <w:tcBorders>
              <w:top w:val="single" w:color="000000" w:sz="4" w:space="0"/>
              <w:left w:val="single" w:color="000000" w:sz="4" w:space="0"/>
              <w:bottom w:val="single" w:color="000000" w:sz="4" w:space="0"/>
              <w:right w:val="single" w:color="000000" w:sz="4" w:space="0"/>
            </w:tcBorders>
            <w:noWrap/>
            <w:vAlign w:val="center"/>
          </w:tcPr>
          <w:p w14:paraId="3D7560D7">
            <w:pPr>
              <w:widowControl/>
              <w:jc w:val="center"/>
              <w:textAlignment w:val="center"/>
              <w:rPr>
                <w:rFonts w:ascii="宋体" w:hAnsi="宋体" w:cs="宋体"/>
                <w:sz w:val="24"/>
              </w:rPr>
            </w:pPr>
            <w:r>
              <w:rPr>
                <w:rFonts w:hint="eastAsia" w:ascii="宋体" w:hAnsi="宋体" w:cs="宋体"/>
                <w:sz w:val="24"/>
              </w:rPr>
              <w:t>移动视频终端设备</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75A05EB4">
            <w:pPr>
              <w:widowControl/>
              <w:jc w:val="center"/>
              <w:textAlignment w:val="center"/>
              <w:rPr>
                <w:rFonts w:ascii="宋体" w:hAnsi="宋体" w:cs="宋体"/>
                <w:sz w:val="24"/>
              </w:rPr>
            </w:pPr>
            <w:r>
              <w:rPr>
                <w:rFonts w:hint="eastAsia" w:ascii="宋体" w:hAnsi="宋体" w:cs="宋体"/>
                <w:sz w:val="24"/>
              </w:rPr>
              <w:t>21</w:t>
            </w:r>
          </w:p>
        </w:tc>
        <w:tc>
          <w:tcPr>
            <w:tcW w:w="6839" w:type="dxa"/>
            <w:tcBorders>
              <w:top w:val="single" w:color="000000" w:sz="4" w:space="0"/>
              <w:left w:val="single" w:color="000000" w:sz="4" w:space="0"/>
              <w:bottom w:val="single" w:color="000000" w:sz="4" w:space="0"/>
              <w:right w:val="single" w:color="000000" w:sz="4" w:space="0"/>
            </w:tcBorders>
            <w:noWrap/>
            <w:vAlign w:val="center"/>
          </w:tcPr>
          <w:p w14:paraId="6F63BDDD">
            <w:pPr>
              <w:widowControl/>
              <w:jc w:val="left"/>
              <w:textAlignment w:val="center"/>
              <w:rPr>
                <w:rFonts w:ascii="宋体" w:hAnsi="宋体" w:cs="宋体"/>
                <w:sz w:val="24"/>
              </w:rPr>
            </w:pPr>
            <w:r>
              <w:rPr>
                <w:rFonts w:hint="eastAsia" w:ascii="宋体" w:hAnsi="宋体" w:cs="宋体"/>
                <w:sz w:val="24"/>
              </w:rPr>
              <w:t>1、★一体化智能终端，摄像机、触控显示屏（不低于11英寸）、麦克风和扬声器高度集成，内置SIM卡槽，可直接插卡进行视频通话，非PC/PAD，非第三方产品拼凑。（需提供产品照片并加盖厂商公章）</w:t>
            </w:r>
          </w:p>
          <w:p w14:paraId="37EB32A9">
            <w:pPr>
              <w:widowControl/>
              <w:jc w:val="left"/>
              <w:textAlignment w:val="center"/>
              <w:rPr>
                <w:rFonts w:ascii="宋体" w:hAnsi="宋体" w:cs="宋体"/>
                <w:sz w:val="24"/>
              </w:rPr>
            </w:pPr>
            <w:r>
              <w:rPr>
                <w:rFonts w:hint="eastAsia" w:ascii="宋体" w:hAnsi="宋体" w:cs="宋体"/>
                <w:sz w:val="24"/>
              </w:rPr>
              <w:t>2.协议标准：视频编码：支持SVC分层编码技术。</w:t>
            </w:r>
          </w:p>
          <w:p w14:paraId="399D9E60">
            <w:pPr>
              <w:widowControl/>
              <w:jc w:val="left"/>
              <w:textAlignment w:val="center"/>
              <w:rPr>
                <w:rFonts w:ascii="宋体" w:hAnsi="宋体" w:cs="宋体"/>
                <w:sz w:val="24"/>
              </w:rPr>
            </w:pPr>
            <w:r>
              <w:rPr>
                <w:rFonts w:hint="eastAsia" w:ascii="宋体" w:hAnsi="宋体" w:cs="宋体"/>
                <w:sz w:val="24"/>
              </w:rPr>
              <w:t>3.为保证音频效果，系统应支持宽频高保真语音技术，支持G.711、G.722、OPUS音频编解码协议。（提供第三方机构检测报告）</w:t>
            </w:r>
          </w:p>
          <w:p w14:paraId="015C8ED1">
            <w:pPr>
              <w:widowControl/>
              <w:jc w:val="left"/>
              <w:textAlignment w:val="center"/>
              <w:rPr>
                <w:rFonts w:ascii="宋体" w:hAnsi="宋体" w:cs="宋体"/>
                <w:sz w:val="24"/>
              </w:rPr>
            </w:pPr>
            <w:r>
              <w:rPr>
                <w:rFonts w:hint="eastAsia" w:ascii="宋体" w:hAnsi="宋体" w:cs="宋体"/>
                <w:sz w:val="24"/>
              </w:rPr>
              <w:t>4.处理能力：支持1080P30fps、720P30fps、360P30fps、180P30fps分辨率。</w:t>
            </w:r>
          </w:p>
          <w:p w14:paraId="1344749C">
            <w:pPr>
              <w:widowControl/>
              <w:jc w:val="left"/>
              <w:textAlignment w:val="center"/>
              <w:rPr>
                <w:rFonts w:ascii="宋体" w:hAnsi="宋体" w:cs="宋体"/>
                <w:sz w:val="24"/>
              </w:rPr>
            </w:pPr>
            <w:r>
              <w:rPr>
                <w:rFonts w:hint="eastAsia" w:ascii="宋体" w:hAnsi="宋体" w:cs="宋体"/>
                <w:sz w:val="24"/>
              </w:rPr>
              <w:t>5. ▲支持双流内容分享，支持HDMI信号源输入实现插线共享，支持1080P高清双流，并可向下兼容共享PC的主要分辨率，如1440*900、1280*800、1024*768等。（提供第三方机构检测报告）</w:t>
            </w:r>
          </w:p>
          <w:p w14:paraId="51E655C5">
            <w:pPr>
              <w:widowControl/>
              <w:jc w:val="left"/>
              <w:textAlignment w:val="center"/>
              <w:rPr>
                <w:rFonts w:ascii="宋体" w:hAnsi="宋体" w:cs="宋体"/>
                <w:sz w:val="24"/>
              </w:rPr>
            </w:pPr>
            <w:r>
              <w:rPr>
                <w:rFonts w:hint="eastAsia" w:ascii="宋体" w:hAnsi="宋体" w:cs="宋体"/>
                <w:sz w:val="24"/>
              </w:rPr>
              <w:t>6. ▲终端可以通过物理开关关闭视频，可以通过会控平台关闭视频，视频关闭后其他与会者不能看到本地视频，本地终端正常接收远端主流和辅流视频。（提供第三方机构检测报告）</w:t>
            </w:r>
          </w:p>
          <w:p w14:paraId="761F5FEF">
            <w:pPr>
              <w:widowControl/>
              <w:jc w:val="left"/>
              <w:textAlignment w:val="center"/>
              <w:rPr>
                <w:rFonts w:ascii="宋体" w:hAnsi="宋体" w:cs="宋体"/>
                <w:sz w:val="24"/>
              </w:rPr>
            </w:pPr>
            <w:r>
              <w:rPr>
                <w:rFonts w:hint="eastAsia" w:ascii="宋体" w:hAnsi="宋体" w:cs="宋体"/>
                <w:sz w:val="24"/>
              </w:rPr>
              <w:t>7.在多分屏会议中，可点击任意小分屏画面实现该画面图像放大全屏。</w:t>
            </w:r>
          </w:p>
          <w:p w14:paraId="02E2C498">
            <w:pPr>
              <w:widowControl/>
              <w:jc w:val="left"/>
              <w:textAlignment w:val="center"/>
              <w:rPr>
                <w:rFonts w:ascii="宋体" w:hAnsi="宋体" w:cs="宋体"/>
                <w:sz w:val="24"/>
              </w:rPr>
            </w:pPr>
            <w:r>
              <w:rPr>
                <w:rFonts w:hint="eastAsia" w:ascii="宋体" w:hAnsi="宋体" w:cs="宋体"/>
                <w:sz w:val="24"/>
              </w:rPr>
              <w:t>8.应用功能：配置支持单位通讯录，支持分组，能够由平台统一推送，自动更新。</w:t>
            </w:r>
          </w:p>
          <w:p w14:paraId="21EB9BC8">
            <w:pPr>
              <w:widowControl/>
              <w:jc w:val="left"/>
              <w:textAlignment w:val="center"/>
              <w:rPr>
                <w:rFonts w:ascii="宋体" w:hAnsi="宋体" w:cs="宋体"/>
                <w:sz w:val="24"/>
              </w:rPr>
            </w:pPr>
            <w:r>
              <w:rPr>
                <w:rFonts w:hint="eastAsia" w:ascii="宋体" w:hAnsi="宋体" w:cs="宋体"/>
                <w:sz w:val="24"/>
              </w:rPr>
              <w:t>9.支持通过无线传屏器与终端配对，实现PC桌面、文件等内容的共享，同时抓取并分享内容播放的声音。</w:t>
            </w:r>
          </w:p>
          <w:p w14:paraId="5C7698E3">
            <w:pPr>
              <w:widowControl/>
              <w:jc w:val="left"/>
              <w:textAlignment w:val="center"/>
              <w:rPr>
                <w:rFonts w:ascii="宋体" w:hAnsi="宋体" w:cs="宋体"/>
                <w:sz w:val="24"/>
              </w:rPr>
            </w:pPr>
            <w:r>
              <w:rPr>
                <w:rFonts w:hint="eastAsia" w:ascii="宋体" w:hAnsi="宋体" w:cs="宋体"/>
                <w:sz w:val="24"/>
              </w:rPr>
              <w:t>10. ▲内置电子白板功能，支持与会商终端、软件终端多方同时标注，实现多方白板互动。（提供第三方机构检测报告）</w:t>
            </w:r>
          </w:p>
          <w:p w14:paraId="1DC1B9B5">
            <w:pPr>
              <w:widowControl/>
              <w:jc w:val="left"/>
              <w:textAlignment w:val="center"/>
              <w:rPr>
                <w:rFonts w:ascii="宋体" w:hAnsi="宋体" w:cs="宋体"/>
                <w:sz w:val="24"/>
              </w:rPr>
            </w:pPr>
            <w:r>
              <w:rPr>
                <w:rFonts w:hint="eastAsia" w:ascii="宋体" w:hAnsi="宋体" w:cs="宋体"/>
                <w:sz w:val="24"/>
              </w:rPr>
              <w:t>11.一体化集成内置电池，可用于便携式移动视频通话场景应用，充满电的情况下，可支持不少于4个小时的视频通话、24小时待机。</w:t>
            </w:r>
          </w:p>
          <w:p w14:paraId="2D137BB9">
            <w:pPr>
              <w:widowControl/>
              <w:jc w:val="left"/>
              <w:textAlignment w:val="center"/>
              <w:rPr>
                <w:rFonts w:ascii="宋体" w:hAnsi="宋体" w:cs="宋体"/>
                <w:sz w:val="24"/>
              </w:rPr>
            </w:pPr>
            <w:r>
              <w:rPr>
                <w:rFonts w:hint="eastAsia" w:ascii="宋体" w:hAnsi="宋体" w:cs="宋体"/>
                <w:sz w:val="24"/>
              </w:rPr>
              <w:t>12.支持扫码投票，终端显示屏可以显示投票二维码，通过手机APP扫码参与投票。</w:t>
            </w:r>
          </w:p>
          <w:p w14:paraId="0ACC4F51">
            <w:pPr>
              <w:widowControl/>
              <w:jc w:val="left"/>
              <w:textAlignment w:val="center"/>
              <w:rPr>
                <w:rFonts w:ascii="宋体" w:hAnsi="宋体" w:cs="宋体"/>
                <w:sz w:val="24"/>
              </w:rPr>
            </w:pPr>
            <w:r>
              <w:rPr>
                <w:rFonts w:hint="eastAsia" w:ascii="宋体" w:hAnsi="宋体" w:cs="宋体"/>
                <w:sz w:val="24"/>
              </w:rPr>
              <w:t>13. ▲支持通过自有触屏进行会控，可以实现会议中发言管理，实现挂断、静音/解除静音、取消发言（举手发言）、开/关摄像头、窗口布局、会议管理。（提供第三方机构检测报告）</w:t>
            </w:r>
          </w:p>
          <w:p w14:paraId="042FE50D">
            <w:pPr>
              <w:widowControl/>
              <w:jc w:val="left"/>
              <w:textAlignment w:val="center"/>
              <w:rPr>
                <w:rFonts w:ascii="宋体" w:hAnsi="宋体" w:cs="宋体"/>
                <w:sz w:val="24"/>
              </w:rPr>
            </w:pPr>
            <w:r>
              <w:rPr>
                <w:rFonts w:hint="eastAsia" w:ascii="宋体" w:hAnsi="宋体" w:cs="宋体"/>
                <w:sz w:val="24"/>
              </w:rPr>
              <w:t>14. ▲镜头要求：集成专业级高清镜头，支持108°水平视角，采用4K分辨率感光元件，自动对焦。支持手动控制旋转，实现±180°视野覆盖，支持镜头单独垂直方向调整。（需提供产品截图并加盖厂商公章）</w:t>
            </w:r>
          </w:p>
          <w:p w14:paraId="2237AAFD">
            <w:pPr>
              <w:widowControl/>
              <w:jc w:val="left"/>
              <w:textAlignment w:val="center"/>
              <w:rPr>
                <w:rFonts w:ascii="宋体" w:hAnsi="宋体" w:cs="宋体"/>
                <w:sz w:val="24"/>
              </w:rPr>
            </w:pPr>
            <w:r>
              <w:rPr>
                <w:rFonts w:hint="eastAsia" w:ascii="宋体" w:hAnsi="宋体" w:cs="宋体"/>
                <w:sz w:val="24"/>
              </w:rPr>
              <w:t>★15.与应急部、省、市移动会议终端能无缝接入</w:t>
            </w:r>
          </w:p>
          <w:p w14:paraId="13429517">
            <w:pPr>
              <w:widowControl/>
              <w:jc w:val="left"/>
              <w:textAlignment w:val="center"/>
              <w:rPr>
                <w:rFonts w:ascii="宋体" w:hAnsi="宋体" w:cs="宋体"/>
                <w:sz w:val="24"/>
              </w:rPr>
            </w:pPr>
            <w:r>
              <w:rPr>
                <w:rFonts w:hint="eastAsia" w:ascii="宋体" w:hAnsi="宋体" w:cs="宋体"/>
                <w:sz w:val="24"/>
              </w:rPr>
              <w:t>16.整机设备提供至少三年质保。（需提供原厂针对本次项目的质保函并加盖厂商公章）</w:t>
            </w:r>
          </w:p>
          <w:p w14:paraId="0A27C791">
            <w:pPr>
              <w:widowControl/>
              <w:jc w:val="left"/>
              <w:textAlignment w:val="center"/>
              <w:rPr>
                <w:rFonts w:ascii="宋体" w:hAnsi="宋体" w:cs="宋体"/>
                <w:sz w:val="24"/>
              </w:rPr>
            </w:pPr>
            <w:r>
              <w:rPr>
                <w:rFonts w:hint="eastAsia" w:ascii="宋体" w:hAnsi="宋体" w:cs="宋体"/>
                <w:sz w:val="24"/>
              </w:rPr>
              <w:t>17.其他要求：设备可自行组会满足全市应急管理需求，且能正常加入省厅会议，需针对此本次项目提供承诺函并加盖厂家公章。</w:t>
            </w:r>
          </w:p>
          <w:p w14:paraId="6B0376C9">
            <w:pPr>
              <w:widowControl/>
              <w:jc w:val="left"/>
              <w:textAlignment w:val="center"/>
              <w:rPr>
                <w:rFonts w:ascii="宋体" w:hAnsi="宋体" w:cs="宋体"/>
                <w:sz w:val="24"/>
              </w:rPr>
            </w:pPr>
            <w:r>
              <w:rPr>
                <w:rFonts w:hint="eastAsia" w:ascii="宋体" w:hAnsi="宋体" w:cs="宋体"/>
                <w:sz w:val="24"/>
              </w:rPr>
              <w:t>有效证明材料：</w:t>
            </w:r>
          </w:p>
          <w:p w14:paraId="77A6C870">
            <w:pPr>
              <w:widowControl/>
              <w:jc w:val="left"/>
              <w:textAlignment w:val="center"/>
              <w:rPr>
                <w:rFonts w:ascii="宋体" w:hAnsi="宋体" w:cs="宋体"/>
                <w:sz w:val="24"/>
              </w:rPr>
            </w:pPr>
            <w:r>
              <w:rPr>
                <w:rFonts w:hint="eastAsia" w:ascii="宋体" w:hAnsi="宋体" w:cs="宋体"/>
                <w:sz w:val="24"/>
              </w:rPr>
              <w:t>标记有“▲”及“★”号的技术参数指标，须按照采购需求提供相应的证明材料，未标记“▲”及“★”号的技术参数指标可提供检测机构出具的有效检测报告复制件或制造商公开发布的宣传手册扫描件或制造商官网截图或加盖制造商公章的技术规格书(白皮书)等其他佐证材料。</w:t>
            </w:r>
          </w:p>
        </w:tc>
      </w:tr>
      <w:tr w14:paraId="370FD2C4">
        <w:tblPrEx>
          <w:tblCellMar>
            <w:top w:w="0" w:type="dxa"/>
            <w:left w:w="108" w:type="dxa"/>
            <w:bottom w:w="0" w:type="dxa"/>
            <w:right w:w="108" w:type="dxa"/>
          </w:tblCellMar>
        </w:tblPrEx>
        <w:trPr>
          <w:trHeight w:val="23" w:hRule="atLeast"/>
          <w:jc w:val="center"/>
        </w:trPr>
        <w:tc>
          <w:tcPr>
            <w:tcW w:w="791" w:type="dxa"/>
            <w:vMerge w:val="continue"/>
            <w:tcBorders>
              <w:top w:val="single" w:color="000000" w:sz="4" w:space="0"/>
              <w:left w:val="single" w:color="000000" w:sz="4" w:space="0"/>
              <w:bottom w:val="single" w:color="000000" w:sz="4" w:space="0"/>
              <w:right w:val="single" w:color="000000" w:sz="4" w:space="0"/>
            </w:tcBorders>
            <w:noWrap/>
            <w:vAlign w:val="center"/>
          </w:tcPr>
          <w:p w14:paraId="0DF2721C">
            <w:pPr>
              <w:jc w:val="center"/>
              <w:rPr>
                <w:rFonts w:ascii="宋体" w:hAnsi="宋体" w:cs="宋体"/>
                <w:sz w:val="24"/>
              </w:rPr>
            </w:pP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01652455">
            <w:pPr>
              <w:widowControl/>
              <w:jc w:val="center"/>
              <w:textAlignment w:val="center"/>
              <w:rPr>
                <w:rFonts w:ascii="宋体" w:hAnsi="宋体" w:cs="宋体"/>
                <w:sz w:val="24"/>
              </w:rPr>
            </w:pPr>
            <w:r>
              <w:rPr>
                <w:rFonts w:hint="eastAsia" w:ascii="宋体" w:hAnsi="宋体" w:cs="宋体"/>
                <w:sz w:val="24"/>
              </w:rPr>
              <w:t>3</w:t>
            </w:r>
          </w:p>
        </w:tc>
        <w:tc>
          <w:tcPr>
            <w:tcW w:w="956" w:type="dxa"/>
            <w:gridSpan w:val="2"/>
            <w:tcBorders>
              <w:top w:val="single" w:color="000000" w:sz="4" w:space="0"/>
              <w:left w:val="single" w:color="000000" w:sz="4" w:space="0"/>
              <w:bottom w:val="single" w:color="000000" w:sz="4" w:space="0"/>
              <w:right w:val="single" w:color="000000" w:sz="4" w:space="0"/>
            </w:tcBorders>
            <w:noWrap/>
            <w:vAlign w:val="center"/>
          </w:tcPr>
          <w:p w14:paraId="5BCCB10E">
            <w:pPr>
              <w:widowControl/>
              <w:jc w:val="center"/>
              <w:textAlignment w:val="center"/>
              <w:rPr>
                <w:rFonts w:ascii="宋体" w:hAnsi="宋体" w:cs="宋体"/>
                <w:sz w:val="24"/>
              </w:rPr>
            </w:pPr>
            <w:r>
              <w:rPr>
                <w:rFonts w:hint="eastAsia" w:ascii="宋体" w:hAnsi="宋体" w:cs="宋体"/>
                <w:sz w:val="24"/>
              </w:rPr>
              <w:t>双模370对讲机</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4FE0FB40">
            <w:pPr>
              <w:widowControl/>
              <w:textAlignment w:val="center"/>
              <w:rPr>
                <w:rFonts w:ascii="宋体" w:hAnsi="宋体" w:cs="宋体"/>
                <w:sz w:val="24"/>
              </w:rPr>
            </w:pPr>
            <w:r>
              <w:rPr>
                <w:rFonts w:hint="eastAsia" w:ascii="宋体" w:hAnsi="宋体" w:cs="宋体"/>
                <w:sz w:val="24"/>
              </w:rPr>
              <w:t>3</w:t>
            </w:r>
          </w:p>
        </w:tc>
        <w:tc>
          <w:tcPr>
            <w:tcW w:w="6839" w:type="dxa"/>
            <w:tcBorders>
              <w:top w:val="single" w:color="000000" w:sz="4" w:space="0"/>
              <w:left w:val="single" w:color="000000" w:sz="4" w:space="0"/>
              <w:bottom w:val="single" w:color="000000" w:sz="4" w:space="0"/>
              <w:right w:val="single" w:color="000000" w:sz="4" w:space="0"/>
            </w:tcBorders>
            <w:noWrap/>
            <w:vAlign w:val="center"/>
          </w:tcPr>
          <w:p w14:paraId="2B7EA2ED">
            <w:pPr>
              <w:adjustRightInd/>
              <w:jc w:val="left"/>
              <w:rPr>
                <w:rFonts w:ascii="宋体" w:hAnsi="宋体" w:cs="宋体"/>
                <w:sz w:val="24"/>
              </w:rPr>
            </w:pPr>
            <w:r>
              <w:rPr>
                <w:rFonts w:hint="eastAsia" w:ascii="宋体" w:hAnsi="宋体" w:cs="宋体"/>
                <w:sz w:val="24"/>
              </w:rPr>
              <w:t>1、制式:支持370M专网PDT和公网PoC制式；具备370M应急管理专用频段的无线电发射设备型号核准证。（提供证书复印件）</w:t>
            </w:r>
          </w:p>
          <w:p w14:paraId="633A3FDC">
            <w:pPr>
              <w:adjustRightInd/>
              <w:jc w:val="left"/>
              <w:rPr>
                <w:rFonts w:ascii="宋体" w:hAnsi="宋体" w:cs="宋体"/>
                <w:sz w:val="24"/>
              </w:rPr>
            </w:pPr>
            <w:r>
              <w:rPr>
                <w:rFonts w:hint="eastAsia" w:ascii="宋体" w:hAnsi="宋体" w:cs="宋体"/>
                <w:sz w:val="24"/>
              </w:rPr>
              <w:t>2、工作频段:350MHz～400MHz。</w:t>
            </w:r>
          </w:p>
          <w:p w14:paraId="71452A5B">
            <w:pPr>
              <w:adjustRightInd/>
              <w:jc w:val="left"/>
              <w:rPr>
                <w:rFonts w:ascii="宋体" w:hAnsi="宋体" w:cs="宋体"/>
                <w:sz w:val="24"/>
              </w:rPr>
            </w:pPr>
            <w:r>
              <w:rPr>
                <w:rFonts w:hint="eastAsia" w:ascii="宋体" w:hAnsi="宋体" w:cs="宋体"/>
                <w:sz w:val="24"/>
              </w:rPr>
              <w:t>3、配置要求 ：CPU频率≥八核 1.8GHz；内存≥32GB ROM+3GB RAM；3.5英寸以上中文彩屏显示，屏幕分辨率不低于1280*720；支持WIFI；摄像头：前≥500万像素，后≥1300万像素。</w:t>
            </w:r>
          </w:p>
          <w:p w14:paraId="32082EED">
            <w:pPr>
              <w:adjustRightInd/>
              <w:jc w:val="left"/>
              <w:rPr>
                <w:rFonts w:ascii="宋体" w:hAnsi="宋体" w:cs="宋体"/>
                <w:sz w:val="24"/>
              </w:rPr>
            </w:pPr>
            <w:r>
              <w:rPr>
                <w:rFonts w:hint="eastAsia" w:ascii="宋体" w:hAnsi="宋体" w:cs="宋体"/>
                <w:sz w:val="24"/>
              </w:rPr>
              <w:t>4、防护等级:防尘防水能力≥IP68，能长期曝露室外使用。提供第三方具备CNAS或CMA认证资质的机构出具的检测报告扫描件。</w:t>
            </w:r>
          </w:p>
          <w:p w14:paraId="2F6FEB18">
            <w:pPr>
              <w:adjustRightInd/>
              <w:jc w:val="left"/>
              <w:rPr>
                <w:rFonts w:ascii="宋体" w:hAnsi="宋体" w:cs="宋体"/>
                <w:sz w:val="24"/>
              </w:rPr>
            </w:pPr>
            <w:r>
              <w:rPr>
                <w:rFonts w:hint="eastAsia" w:ascii="宋体" w:hAnsi="宋体" w:cs="宋体"/>
                <w:sz w:val="24"/>
              </w:rPr>
              <w:t>5、环境适应性:工作温度-40℃-55℃；工作湿度5%RH-100%RH。</w:t>
            </w:r>
          </w:p>
          <w:p w14:paraId="4F52D240">
            <w:pPr>
              <w:adjustRightInd/>
              <w:jc w:val="left"/>
              <w:rPr>
                <w:rFonts w:ascii="宋体" w:hAnsi="宋体" w:cs="宋体"/>
                <w:sz w:val="24"/>
              </w:rPr>
            </w:pPr>
            <w:r>
              <w:rPr>
                <w:rFonts w:hint="eastAsia" w:ascii="宋体" w:hAnsi="宋体" w:cs="宋体"/>
                <w:sz w:val="24"/>
              </w:rPr>
              <w:t>6、语音编码方式:NVOC</w:t>
            </w:r>
          </w:p>
          <w:p w14:paraId="3A707469">
            <w:pPr>
              <w:adjustRightInd/>
              <w:jc w:val="left"/>
              <w:rPr>
                <w:rFonts w:ascii="宋体" w:hAnsi="宋体" w:cs="宋体"/>
                <w:sz w:val="24"/>
              </w:rPr>
            </w:pPr>
            <w:r>
              <w:rPr>
                <w:rFonts w:hint="eastAsia" w:ascii="宋体" w:hAnsi="宋体" w:cs="宋体"/>
                <w:sz w:val="24"/>
              </w:rPr>
              <w:t>7、</w:t>
            </w:r>
            <w:bookmarkStart w:id="27" w:name="OLE_LINK4"/>
            <w:bookmarkStart w:id="28" w:name="OLE_LINK3"/>
            <w:r>
              <w:rPr>
                <w:rFonts w:hint="eastAsia" w:ascii="宋体" w:hAnsi="宋体" w:cs="宋体"/>
                <w:sz w:val="24"/>
              </w:rPr>
              <w:t>▲</w:t>
            </w:r>
            <w:bookmarkEnd w:id="27"/>
            <w:bookmarkEnd w:id="28"/>
            <w:r>
              <w:rPr>
                <w:rFonts w:hint="eastAsia" w:ascii="宋体" w:hAnsi="宋体" w:cs="宋体"/>
                <w:sz w:val="24"/>
              </w:rPr>
              <w:t>支持不低于6个可编程按键，且支持菜单配置，可配置不低于17个可编程功能，提供第三方具备CNAS或CMA认证资质的机构出具的检测报告扫描件或复印件；</w:t>
            </w:r>
          </w:p>
          <w:p w14:paraId="60F8F944">
            <w:pPr>
              <w:adjustRightInd/>
              <w:jc w:val="left"/>
              <w:rPr>
                <w:rFonts w:ascii="宋体" w:hAnsi="宋体" w:cs="宋体"/>
                <w:sz w:val="24"/>
              </w:rPr>
            </w:pPr>
            <w:r>
              <w:rPr>
                <w:rFonts w:hint="eastAsia" w:ascii="宋体" w:hAnsi="宋体" w:cs="宋体"/>
                <w:sz w:val="24"/>
              </w:rPr>
              <w:t>8、▲支持双模同号功能，无论终端登记在专网还是公网，使用相同号码进行登记，实现一机一号， 用户可以使用相同的号码接入不同网络下的业务，提供第三方具备CNAS或CMA认证资质的机构出具的检测报告扫描件或复印件；</w:t>
            </w:r>
          </w:p>
          <w:p w14:paraId="2E4EADE9">
            <w:pPr>
              <w:adjustRightInd/>
              <w:jc w:val="left"/>
              <w:rPr>
                <w:rFonts w:ascii="宋体" w:hAnsi="宋体" w:cs="宋体"/>
                <w:sz w:val="24"/>
              </w:rPr>
            </w:pPr>
            <w:r>
              <w:rPr>
                <w:rFonts w:hint="eastAsia" w:ascii="宋体" w:hAnsi="宋体" w:cs="宋体"/>
                <w:sz w:val="24"/>
              </w:rPr>
              <w:t>9、电池容量:≥2400mAH，支持快速充电；</w:t>
            </w:r>
          </w:p>
          <w:p w14:paraId="05E54558">
            <w:pPr>
              <w:adjustRightInd/>
              <w:jc w:val="left"/>
              <w:rPr>
                <w:rFonts w:ascii="宋体" w:hAnsi="宋体" w:cs="宋体"/>
                <w:sz w:val="24"/>
              </w:rPr>
            </w:pPr>
            <w:r>
              <w:rPr>
                <w:rFonts w:hint="eastAsia" w:ascii="宋体" w:hAnsi="宋体" w:cs="宋体"/>
                <w:sz w:val="24"/>
              </w:rPr>
              <w:t>10、支持双路发送功能，可同时向窄带集群和公网集群(PoC)通话组发起呼叫，提供第三方具备CNAS或CMA认证资质的机构出具的检测报告扫描件；</w:t>
            </w:r>
          </w:p>
          <w:p w14:paraId="55185DF7">
            <w:pPr>
              <w:adjustRightInd/>
              <w:jc w:val="left"/>
              <w:rPr>
                <w:rFonts w:ascii="宋体" w:hAnsi="宋体" w:cs="宋体"/>
                <w:sz w:val="24"/>
              </w:rPr>
            </w:pPr>
            <w:r>
              <w:rPr>
                <w:rFonts w:hint="eastAsia" w:ascii="宋体" w:hAnsi="宋体" w:cs="宋体"/>
                <w:sz w:val="24"/>
              </w:rPr>
              <w:t>11、</w:t>
            </w:r>
            <w:bookmarkStart w:id="29" w:name="OLE_LINK7"/>
            <w:bookmarkStart w:id="30" w:name="OLE_LINK8"/>
            <w:r>
              <w:rPr>
                <w:rFonts w:hint="eastAsia" w:ascii="宋体" w:hAnsi="宋体" w:cs="宋体"/>
                <w:sz w:val="24"/>
              </w:rPr>
              <w:t>▲</w:t>
            </w:r>
            <w:bookmarkEnd w:id="29"/>
            <w:bookmarkEnd w:id="30"/>
            <w:r>
              <w:rPr>
                <w:rFonts w:hint="eastAsia" w:ascii="宋体" w:hAnsi="宋体" w:cs="宋体"/>
                <w:sz w:val="24"/>
              </w:rPr>
              <w:t>电池防伪:插上非原装电池时终端会以文字提示：非原装电池。提供第三方具备CNAS或CMA认证资质的机构出具的检测报告扫描件；</w:t>
            </w:r>
          </w:p>
          <w:p w14:paraId="0F2B2104">
            <w:pPr>
              <w:adjustRightInd/>
              <w:jc w:val="left"/>
              <w:rPr>
                <w:rFonts w:ascii="宋体" w:hAnsi="宋体" w:cs="宋体"/>
                <w:b/>
                <w:bCs/>
                <w:sz w:val="24"/>
              </w:rPr>
            </w:pPr>
            <w:r>
              <w:rPr>
                <w:rFonts w:hint="eastAsia" w:ascii="宋体" w:hAnsi="宋体" w:cs="宋体"/>
                <w:b/>
                <w:bCs/>
                <w:sz w:val="24"/>
              </w:rPr>
              <w:t>12、★接入功能:支持直接无缝接入绍兴市应急管理局公专融合集群通信系统，实现与370MHz集群通信系统互联互通，并共用一套调度系统，提供投标人承诺函并加盖投标人公章。</w:t>
            </w:r>
          </w:p>
          <w:p w14:paraId="097E5D69">
            <w:pPr>
              <w:adjustRightInd/>
              <w:jc w:val="left"/>
              <w:rPr>
                <w:rFonts w:ascii="宋体" w:hAnsi="宋体" w:cs="宋体"/>
                <w:sz w:val="24"/>
              </w:rPr>
            </w:pPr>
            <w:r>
              <w:rPr>
                <w:rFonts w:hint="eastAsia" w:ascii="宋体" w:hAnsi="宋体" w:cs="宋体"/>
                <w:sz w:val="24"/>
              </w:rPr>
              <w:t>13、▲定位功能:支持单北斗定位功能。</w:t>
            </w:r>
          </w:p>
        </w:tc>
      </w:tr>
      <w:tr w14:paraId="03523502">
        <w:tblPrEx>
          <w:tblCellMar>
            <w:top w:w="0" w:type="dxa"/>
            <w:left w:w="108" w:type="dxa"/>
            <w:bottom w:w="0" w:type="dxa"/>
            <w:right w:w="108" w:type="dxa"/>
          </w:tblCellMar>
        </w:tblPrEx>
        <w:trPr>
          <w:trHeight w:val="23" w:hRule="atLeast"/>
          <w:jc w:val="center"/>
        </w:trPr>
        <w:tc>
          <w:tcPr>
            <w:tcW w:w="791" w:type="dxa"/>
            <w:vMerge w:val="restart"/>
            <w:tcBorders>
              <w:top w:val="single" w:color="000000" w:sz="4" w:space="0"/>
              <w:left w:val="single" w:color="000000" w:sz="4" w:space="0"/>
              <w:right w:val="single" w:color="000000" w:sz="4" w:space="0"/>
            </w:tcBorders>
            <w:noWrap/>
            <w:vAlign w:val="center"/>
          </w:tcPr>
          <w:p w14:paraId="69FB22CA">
            <w:pPr>
              <w:jc w:val="center"/>
              <w:rPr>
                <w:rFonts w:ascii="宋体" w:hAnsi="宋体" w:cs="宋体"/>
                <w:sz w:val="24"/>
              </w:rPr>
            </w:pPr>
            <w:r>
              <w:rPr>
                <w:rFonts w:hint="eastAsia" w:ascii="宋体" w:hAnsi="宋体" w:cs="宋体"/>
                <w:sz w:val="24"/>
              </w:rPr>
              <w:t>救援类</w:t>
            </w: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35D80CDE">
            <w:pPr>
              <w:widowControl/>
              <w:jc w:val="center"/>
              <w:textAlignment w:val="center"/>
              <w:rPr>
                <w:rFonts w:ascii="宋体" w:hAnsi="宋体" w:cs="宋体"/>
                <w:sz w:val="24"/>
              </w:rPr>
            </w:pPr>
            <w:r>
              <w:rPr>
                <w:rFonts w:hint="eastAsia" w:ascii="宋体" w:hAnsi="宋体" w:cs="宋体"/>
                <w:sz w:val="24"/>
              </w:rPr>
              <w:t>4</w:t>
            </w:r>
          </w:p>
        </w:tc>
        <w:tc>
          <w:tcPr>
            <w:tcW w:w="956" w:type="dxa"/>
            <w:gridSpan w:val="2"/>
            <w:tcBorders>
              <w:top w:val="single" w:color="000000" w:sz="4" w:space="0"/>
              <w:left w:val="single" w:color="000000" w:sz="4" w:space="0"/>
              <w:bottom w:val="single" w:color="000000" w:sz="4" w:space="0"/>
              <w:right w:val="single" w:color="000000" w:sz="4" w:space="0"/>
            </w:tcBorders>
            <w:noWrap/>
            <w:vAlign w:val="center"/>
          </w:tcPr>
          <w:p w14:paraId="3F5BD21E">
            <w:pPr>
              <w:widowControl/>
              <w:jc w:val="center"/>
              <w:textAlignment w:val="center"/>
              <w:rPr>
                <w:rFonts w:ascii="宋体" w:hAnsi="宋体" w:cs="宋体"/>
                <w:sz w:val="24"/>
              </w:rPr>
            </w:pPr>
            <w:r>
              <w:rPr>
                <w:rFonts w:hint="eastAsia" w:ascii="宋体" w:hAnsi="宋体" w:cs="宋体"/>
                <w:sz w:val="24"/>
              </w:rPr>
              <w:t>便携式发电机</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27788752">
            <w:pPr>
              <w:widowControl/>
              <w:textAlignment w:val="center"/>
              <w:rPr>
                <w:rFonts w:ascii="宋体" w:hAnsi="宋体" w:cs="宋体"/>
                <w:sz w:val="24"/>
              </w:rPr>
            </w:pPr>
            <w:r>
              <w:rPr>
                <w:rFonts w:hint="eastAsia" w:ascii="宋体" w:hAnsi="宋体" w:cs="宋体"/>
                <w:sz w:val="24"/>
              </w:rPr>
              <w:t>2</w:t>
            </w:r>
          </w:p>
        </w:tc>
        <w:tc>
          <w:tcPr>
            <w:tcW w:w="6839" w:type="dxa"/>
            <w:tcBorders>
              <w:top w:val="single" w:color="000000" w:sz="4" w:space="0"/>
              <w:left w:val="single" w:color="000000" w:sz="4" w:space="0"/>
              <w:bottom w:val="single" w:color="000000" w:sz="4" w:space="0"/>
              <w:right w:val="single" w:color="000000" w:sz="4" w:space="0"/>
            </w:tcBorders>
            <w:noWrap/>
            <w:vAlign w:val="center"/>
          </w:tcPr>
          <w:p w14:paraId="483797B0">
            <w:pPr>
              <w:adjustRightInd/>
              <w:jc w:val="left"/>
              <w:rPr>
                <w:rFonts w:ascii="宋体" w:hAnsi="宋体" w:cs="宋体"/>
                <w:sz w:val="24"/>
              </w:rPr>
            </w:pPr>
            <w:r>
              <w:rPr>
                <w:rFonts w:hint="eastAsia" w:ascii="宋体" w:hAnsi="宋体" w:cs="宋体"/>
                <w:sz w:val="24"/>
              </w:rPr>
              <w:t>1.发动机型式：单缸四冲程风冷</w:t>
            </w:r>
          </w:p>
          <w:p w14:paraId="10722E72">
            <w:pPr>
              <w:adjustRightInd/>
              <w:jc w:val="left"/>
              <w:rPr>
                <w:rFonts w:ascii="宋体" w:hAnsi="宋体" w:cs="宋体"/>
                <w:sz w:val="24"/>
              </w:rPr>
            </w:pPr>
            <w:r>
              <w:rPr>
                <w:rFonts w:hint="eastAsia" w:ascii="宋体" w:hAnsi="宋体" w:cs="宋体"/>
                <w:sz w:val="24"/>
              </w:rPr>
              <w:t>2. 发动机排气量（cm³）：≥420</w:t>
            </w:r>
          </w:p>
          <w:p w14:paraId="3549014E">
            <w:pPr>
              <w:adjustRightInd/>
              <w:jc w:val="left"/>
              <w:rPr>
                <w:rFonts w:ascii="宋体" w:hAnsi="宋体" w:cs="宋体"/>
                <w:sz w:val="24"/>
              </w:rPr>
            </w:pPr>
            <w:r>
              <w:rPr>
                <w:rFonts w:hint="eastAsia" w:ascii="宋体" w:hAnsi="宋体" w:cs="宋体"/>
                <w:sz w:val="24"/>
              </w:rPr>
              <w:t>3. 发动机缸径*行程：≥90mm×66mm</w:t>
            </w:r>
          </w:p>
          <w:p w14:paraId="09B48ACE">
            <w:pPr>
              <w:adjustRightInd/>
              <w:jc w:val="left"/>
              <w:rPr>
                <w:rFonts w:ascii="宋体" w:hAnsi="宋体" w:cs="宋体"/>
                <w:sz w:val="24"/>
              </w:rPr>
            </w:pPr>
            <w:r>
              <w:rPr>
                <w:rFonts w:hint="eastAsia" w:ascii="宋体" w:hAnsi="宋体" w:cs="宋体"/>
                <w:sz w:val="24"/>
              </w:rPr>
              <w:t>▲4. 发动机最大输出功率(kw/rpm)：≥9.5/3600</w:t>
            </w:r>
          </w:p>
          <w:p w14:paraId="37192931">
            <w:pPr>
              <w:adjustRightInd/>
              <w:jc w:val="left"/>
              <w:rPr>
                <w:rFonts w:ascii="宋体" w:hAnsi="宋体" w:cs="宋体"/>
                <w:sz w:val="24"/>
              </w:rPr>
            </w:pPr>
            <w:r>
              <w:rPr>
                <w:rFonts w:hint="eastAsia" w:ascii="宋体" w:hAnsi="宋体" w:cs="宋体"/>
                <w:sz w:val="24"/>
              </w:rPr>
              <w:t>5.起动系统：手启动/电启动</w:t>
            </w:r>
          </w:p>
          <w:p w14:paraId="391A3501">
            <w:pPr>
              <w:adjustRightInd/>
              <w:jc w:val="left"/>
              <w:rPr>
                <w:rFonts w:ascii="宋体" w:hAnsi="宋体" w:cs="宋体"/>
                <w:sz w:val="24"/>
              </w:rPr>
            </w:pPr>
            <w:r>
              <w:rPr>
                <w:rFonts w:hint="eastAsia" w:ascii="宋体" w:hAnsi="宋体" w:cs="宋体"/>
                <w:sz w:val="24"/>
              </w:rPr>
              <w:t xml:space="preserve">6.燃油箱容量(L)：≥25L </w:t>
            </w:r>
          </w:p>
          <w:p w14:paraId="5E928726">
            <w:pPr>
              <w:adjustRightInd/>
              <w:jc w:val="left"/>
              <w:rPr>
                <w:rFonts w:ascii="宋体" w:hAnsi="宋体" w:cs="宋体"/>
                <w:sz w:val="24"/>
              </w:rPr>
            </w:pPr>
            <w:r>
              <w:rPr>
                <w:rFonts w:hint="eastAsia" w:ascii="宋体" w:hAnsi="宋体" w:cs="宋体"/>
                <w:sz w:val="24"/>
              </w:rPr>
              <w:t xml:space="preserve">▲8.连续工作时间（Hr）：≥8h </w:t>
            </w:r>
          </w:p>
          <w:p w14:paraId="7742BCF2">
            <w:pPr>
              <w:adjustRightInd/>
              <w:jc w:val="left"/>
              <w:rPr>
                <w:rFonts w:ascii="宋体" w:hAnsi="宋体" w:cs="宋体"/>
                <w:sz w:val="24"/>
              </w:rPr>
            </w:pPr>
            <w:r>
              <w:rPr>
                <w:rFonts w:hint="eastAsia" w:ascii="宋体" w:hAnsi="宋体" w:cs="宋体"/>
                <w:sz w:val="24"/>
              </w:rPr>
              <w:t>9.机油容量(L) ：≥1.1L</w:t>
            </w:r>
          </w:p>
          <w:p w14:paraId="30EFC150">
            <w:pPr>
              <w:adjustRightInd/>
              <w:jc w:val="left"/>
              <w:rPr>
                <w:rFonts w:ascii="宋体" w:hAnsi="宋体" w:cs="宋体"/>
                <w:sz w:val="24"/>
              </w:rPr>
            </w:pPr>
            <w:r>
              <w:rPr>
                <w:rFonts w:hint="eastAsia" w:ascii="宋体" w:hAnsi="宋体" w:cs="宋体"/>
                <w:sz w:val="24"/>
              </w:rPr>
              <w:t>10.燃油 ：汽油</w:t>
            </w:r>
          </w:p>
          <w:p w14:paraId="5157D1AE">
            <w:pPr>
              <w:adjustRightInd/>
              <w:jc w:val="left"/>
              <w:rPr>
                <w:rFonts w:ascii="宋体" w:hAnsi="宋体" w:cs="宋体"/>
                <w:sz w:val="24"/>
              </w:rPr>
            </w:pPr>
            <w:r>
              <w:rPr>
                <w:rFonts w:hint="eastAsia" w:ascii="宋体" w:hAnsi="宋体" w:cs="宋体"/>
                <w:sz w:val="24"/>
              </w:rPr>
              <w:t>▲11.额定功率（KW）：≥5.0kw，最大功率：≥6.0kw；</w:t>
            </w:r>
          </w:p>
          <w:p w14:paraId="104FB637">
            <w:pPr>
              <w:adjustRightInd/>
              <w:jc w:val="left"/>
              <w:rPr>
                <w:rFonts w:ascii="宋体" w:hAnsi="宋体" w:cs="宋体"/>
                <w:sz w:val="24"/>
              </w:rPr>
            </w:pPr>
            <w:r>
              <w:rPr>
                <w:rFonts w:hint="eastAsia" w:ascii="宋体" w:hAnsi="宋体" w:cs="宋体"/>
                <w:sz w:val="24"/>
              </w:rPr>
              <w:t xml:space="preserve">12. 额定电压(V) :230/400v； </w:t>
            </w:r>
          </w:p>
          <w:p w14:paraId="01DCF0AA">
            <w:pPr>
              <w:adjustRightInd/>
              <w:jc w:val="left"/>
              <w:rPr>
                <w:rFonts w:ascii="宋体" w:hAnsi="宋体" w:cs="宋体"/>
                <w:sz w:val="24"/>
              </w:rPr>
            </w:pPr>
            <w:r>
              <w:rPr>
                <w:rFonts w:hint="eastAsia" w:ascii="宋体" w:hAnsi="宋体" w:cs="宋体"/>
                <w:sz w:val="24"/>
              </w:rPr>
              <w:t>13.功率因数(cosΦ)：1.0/0.8；</w:t>
            </w:r>
          </w:p>
          <w:p w14:paraId="0D06FA3A">
            <w:pPr>
              <w:adjustRightInd/>
              <w:jc w:val="left"/>
              <w:rPr>
                <w:rFonts w:ascii="宋体" w:hAnsi="宋体" w:cs="宋体"/>
                <w:sz w:val="24"/>
              </w:rPr>
            </w:pPr>
            <w:r>
              <w:rPr>
                <w:rFonts w:hint="eastAsia" w:ascii="宋体" w:hAnsi="宋体" w:cs="宋体"/>
                <w:sz w:val="24"/>
              </w:rPr>
              <w:t>▲14.额定电流(A) : ≥21.7/9.5A；</w:t>
            </w:r>
          </w:p>
          <w:p w14:paraId="2ABCBF24">
            <w:pPr>
              <w:adjustRightInd/>
              <w:jc w:val="left"/>
              <w:rPr>
                <w:rFonts w:ascii="宋体" w:hAnsi="宋体" w:cs="宋体"/>
                <w:sz w:val="24"/>
              </w:rPr>
            </w:pPr>
            <w:r>
              <w:rPr>
                <w:rFonts w:hint="eastAsia" w:ascii="宋体" w:hAnsi="宋体" w:cs="宋体"/>
                <w:sz w:val="24"/>
              </w:rPr>
              <w:t>▲15噪声级(dB(A)):≤80.2</w:t>
            </w:r>
          </w:p>
          <w:p w14:paraId="59EBB370">
            <w:pPr>
              <w:adjustRightInd/>
              <w:jc w:val="left"/>
              <w:rPr>
                <w:rFonts w:ascii="宋体" w:hAnsi="宋体" w:cs="宋体"/>
                <w:sz w:val="24"/>
              </w:rPr>
            </w:pPr>
            <w:r>
              <w:rPr>
                <w:rFonts w:hint="eastAsia" w:ascii="宋体" w:hAnsi="宋体" w:cs="宋体"/>
                <w:sz w:val="24"/>
              </w:rPr>
              <w:t>▲16.耐电压测试：发电机组主回路及控制回路应能承受1min, 频率为50Hz，正弦波电压，施加电压为1500V, 试验期间无击穿闪络现象。</w:t>
            </w:r>
          </w:p>
          <w:p w14:paraId="6ED93370">
            <w:pPr>
              <w:adjustRightInd/>
              <w:jc w:val="left"/>
              <w:rPr>
                <w:rFonts w:ascii="宋体" w:hAnsi="宋体" w:cs="宋体"/>
                <w:sz w:val="24"/>
              </w:rPr>
            </w:pPr>
            <w:r>
              <w:rPr>
                <w:rFonts w:hint="eastAsia" w:ascii="宋体" w:hAnsi="宋体" w:cs="宋体"/>
                <w:sz w:val="24"/>
              </w:rPr>
              <w:t>17.功率输出性能：热态频率降≤5%，热态稳态电压偏差≤±5%</w:t>
            </w:r>
          </w:p>
          <w:p w14:paraId="48F0D69F">
            <w:pPr>
              <w:adjustRightInd/>
              <w:jc w:val="left"/>
              <w:rPr>
                <w:rFonts w:ascii="宋体" w:hAnsi="宋体" w:cs="宋体"/>
                <w:sz w:val="24"/>
              </w:rPr>
            </w:pPr>
            <w:r>
              <w:rPr>
                <w:rFonts w:hint="eastAsia" w:ascii="宋体" w:hAnsi="宋体" w:cs="宋体"/>
                <w:sz w:val="24"/>
              </w:rPr>
              <w:t>18.高效100%全铜线免维护电机，</w:t>
            </w:r>
          </w:p>
          <w:p w14:paraId="3A866210">
            <w:pPr>
              <w:adjustRightInd/>
              <w:jc w:val="left"/>
              <w:rPr>
                <w:rFonts w:ascii="宋体" w:hAnsi="宋体" w:cs="宋体"/>
                <w:sz w:val="24"/>
              </w:rPr>
            </w:pPr>
            <w:r>
              <w:rPr>
                <w:rFonts w:hint="eastAsia" w:ascii="宋体" w:hAnsi="宋体" w:cs="宋体"/>
                <w:sz w:val="24"/>
              </w:rPr>
              <w:t>19、发电机组具有机油过低保护功能，带机油报警指示灯，缺少机油时，发动机自动熄火。</w:t>
            </w:r>
          </w:p>
          <w:p w14:paraId="369D7D67">
            <w:pPr>
              <w:adjustRightInd/>
              <w:jc w:val="left"/>
              <w:rPr>
                <w:rFonts w:ascii="宋体" w:hAnsi="宋体" w:cs="宋体"/>
                <w:sz w:val="24"/>
              </w:rPr>
            </w:pPr>
            <w:r>
              <w:rPr>
                <w:rFonts w:hint="eastAsia" w:ascii="宋体" w:hAnsi="宋体" w:cs="宋体"/>
                <w:sz w:val="24"/>
              </w:rPr>
              <w:t>20、发电机组装有数显电压表，可显示电压，频率，机组运行时间；</w:t>
            </w:r>
          </w:p>
          <w:p w14:paraId="0A27D5D2">
            <w:pPr>
              <w:adjustRightInd/>
              <w:jc w:val="left"/>
              <w:rPr>
                <w:rFonts w:ascii="宋体" w:hAnsi="宋体" w:cs="宋体"/>
                <w:sz w:val="24"/>
              </w:rPr>
            </w:pPr>
            <w:r>
              <w:rPr>
                <w:rFonts w:hint="eastAsia" w:ascii="宋体" w:hAnsi="宋体" w:cs="宋体"/>
                <w:sz w:val="24"/>
              </w:rPr>
              <w:t>18. 发电机组配有2个定向轮、2个万向轮，万向轮带刹车装置，方便移动；机组结构牢固，抗震、抗摔，适应野外使用。</w:t>
            </w:r>
          </w:p>
          <w:p w14:paraId="656B67D0">
            <w:pPr>
              <w:adjustRightInd/>
              <w:jc w:val="left"/>
              <w:rPr>
                <w:rFonts w:ascii="宋体" w:hAnsi="宋体" w:cs="宋体"/>
                <w:sz w:val="24"/>
              </w:rPr>
            </w:pPr>
            <w:r>
              <w:rPr>
                <w:rFonts w:hint="eastAsia" w:ascii="宋体" w:hAnsi="宋体" w:cs="宋体"/>
                <w:sz w:val="24"/>
              </w:rPr>
              <w:t>19. 机组尺寸：≤690*525*560mm</w:t>
            </w:r>
          </w:p>
          <w:p w14:paraId="6DAC44C9">
            <w:pPr>
              <w:adjustRightInd/>
              <w:jc w:val="left"/>
              <w:rPr>
                <w:rFonts w:ascii="宋体" w:hAnsi="宋体" w:cs="宋体"/>
                <w:sz w:val="24"/>
              </w:rPr>
            </w:pPr>
            <w:r>
              <w:rPr>
                <w:rFonts w:hint="eastAsia" w:ascii="宋体" w:hAnsi="宋体" w:cs="宋体"/>
                <w:sz w:val="24"/>
              </w:rPr>
              <w:t xml:space="preserve">20.毛重/净重(kg): ≤90kg </w:t>
            </w:r>
          </w:p>
          <w:p w14:paraId="28D21259">
            <w:pPr>
              <w:adjustRightInd/>
              <w:jc w:val="left"/>
              <w:rPr>
                <w:rFonts w:ascii="宋体" w:hAnsi="宋体" w:cs="宋体"/>
                <w:sz w:val="24"/>
              </w:rPr>
            </w:pPr>
            <w:r>
              <w:rPr>
                <w:rFonts w:hint="eastAsia" w:ascii="宋体" w:hAnsi="宋体" w:cs="宋体"/>
                <w:sz w:val="24"/>
              </w:rPr>
              <w:t>21.产品提供带有CMA和CANS的省级机电产品专业质检机构检测出具的检测报告（“▲”为重要参数，需要在检测报告中体现）</w:t>
            </w:r>
          </w:p>
        </w:tc>
      </w:tr>
      <w:tr w14:paraId="325F7F17">
        <w:tblPrEx>
          <w:tblCellMar>
            <w:top w:w="0" w:type="dxa"/>
            <w:left w:w="108" w:type="dxa"/>
            <w:bottom w:w="0" w:type="dxa"/>
            <w:right w:w="108" w:type="dxa"/>
          </w:tblCellMar>
        </w:tblPrEx>
        <w:trPr>
          <w:trHeight w:val="23" w:hRule="atLeast"/>
          <w:jc w:val="center"/>
        </w:trPr>
        <w:tc>
          <w:tcPr>
            <w:tcW w:w="791" w:type="dxa"/>
            <w:vMerge w:val="continue"/>
            <w:tcBorders>
              <w:left w:val="single" w:color="000000" w:sz="4" w:space="0"/>
              <w:right w:val="single" w:color="000000" w:sz="4" w:space="0"/>
            </w:tcBorders>
            <w:noWrap/>
            <w:vAlign w:val="center"/>
          </w:tcPr>
          <w:p w14:paraId="691F91DB">
            <w:pPr>
              <w:jc w:val="center"/>
              <w:rPr>
                <w:rFonts w:ascii="宋体" w:hAnsi="宋体" w:cs="宋体"/>
                <w:sz w:val="24"/>
              </w:rPr>
            </w:pPr>
          </w:p>
        </w:tc>
        <w:tc>
          <w:tcPr>
            <w:tcW w:w="662" w:type="dxa"/>
            <w:vMerge w:val="restart"/>
            <w:tcBorders>
              <w:top w:val="single" w:color="000000" w:sz="4" w:space="0"/>
              <w:left w:val="single" w:color="000000" w:sz="4" w:space="0"/>
              <w:right w:val="single" w:color="000000" w:sz="4" w:space="0"/>
            </w:tcBorders>
            <w:noWrap/>
            <w:vAlign w:val="center"/>
          </w:tcPr>
          <w:p w14:paraId="29D3B6D8">
            <w:pPr>
              <w:widowControl/>
              <w:jc w:val="center"/>
              <w:textAlignment w:val="center"/>
              <w:rPr>
                <w:rFonts w:ascii="宋体" w:hAnsi="宋体" w:cs="宋体"/>
                <w:sz w:val="24"/>
              </w:rPr>
            </w:pPr>
            <w:r>
              <w:rPr>
                <w:rFonts w:hint="eastAsia" w:ascii="宋体" w:hAnsi="宋体" w:cs="宋体"/>
                <w:sz w:val="24"/>
              </w:rPr>
              <w:t>5</w:t>
            </w:r>
          </w:p>
        </w:tc>
        <w:tc>
          <w:tcPr>
            <w:tcW w:w="476" w:type="dxa"/>
            <w:vMerge w:val="restart"/>
            <w:tcBorders>
              <w:top w:val="single" w:color="000000" w:sz="4" w:space="0"/>
              <w:left w:val="single" w:color="000000" w:sz="4" w:space="0"/>
              <w:right w:val="single" w:color="auto" w:sz="4" w:space="0"/>
            </w:tcBorders>
            <w:noWrap/>
            <w:vAlign w:val="center"/>
          </w:tcPr>
          <w:p w14:paraId="3510E353">
            <w:pPr>
              <w:widowControl/>
              <w:jc w:val="center"/>
              <w:textAlignment w:val="center"/>
              <w:rPr>
                <w:rFonts w:ascii="宋体" w:hAnsi="宋体" w:cs="宋体"/>
                <w:sz w:val="24"/>
              </w:rPr>
            </w:pPr>
            <w:r>
              <w:rPr>
                <w:rFonts w:hint="eastAsia" w:ascii="宋体" w:hAnsi="宋体" w:cs="宋体"/>
                <w:sz w:val="24"/>
              </w:rPr>
              <w:t>小型或中型无人机</w:t>
            </w:r>
          </w:p>
        </w:tc>
        <w:tc>
          <w:tcPr>
            <w:tcW w:w="480" w:type="dxa"/>
            <w:tcBorders>
              <w:top w:val="single" w:color="000000" w:sz="4" w:space="0"/>
              <w:left w:val="single" w:color="auto" w:sz="4" w:space="0"/>
              <w:bottom w:val="single" w:color="000000" w:sz="4" w:space="0"/>
              <w:right w:val="single" w:color="000000" w:sz="4" w:space="0"/>
            </w:tcBorders>
            <w:vAlign w:val="center"/>
          </w:tcPr>
          <w:p w14:paraId="47B41ED2">
            <w:pPr>
              <w:widowControl/>
              <w:jc w:val="center"/>
              <w:textAlignment w:val="center"/>
              <w:rPr>
                <w:rFonts w:ascii="宋体" w:hAnsi="宋体" w:cs="宋体"/>
                <w:sz w:val="24"/>
              </w:rPr>
            </w:pPr>
            <w:r>
              <w:rPr>
                <w:rFonts w:hint="eastAsia" w:ascii="宋体" w:hAnsi="宋体" w:cs="宋体"/>
                <w:sz w:val="24"/>
              </w:rPr>
              <w:t>无人机</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48AD5CBF">
            <w:pPr>
              <w:widowControl/>
              <w:textAlignment w:val="center"/>
              <w:rPr>
                <w:rFonts w:ascii="宋体" w:hAnsi="宋体" w:cs="宋体"/>
                <w:sz w:val="24"/>
              </w:rPr>
            </w:pPr>
            <w:r>
              <w:rPr>
                <w:rFonts w:hint="eastAsia" w:ascii="宋体" w:hAnsi="宋体" w:cs="宋体"/>
                <w:sz w:val="24"/>
              </w:rPr>
              <w:t>12</w:t>
            </w:r>
          </w:p>
        </w:tc>
        <w:tc>
          <w:tcPr>
            <w:tcW w:w="6839" w:type="dxa"/>
            <w:tcBorders>
              <w:top w:val="single" w:color="000000" w:sz="4" w:space="0"/>
              <w:left w:val="single" w:color="000000" w:sz="4" w:space="0"/>
              <w:bottom w:val="single" w:color="000000" w:sz="4" w:space="0"/>
              <w:right w:val="single" w:color="000000" w:sz="4" w:space="0"/>
            </w:tcBorders>
            <w:noWrap/>
            <w:vAlign w:val="center"/>
          </w:tcPr>
          <w:p w14:paraId="11F0B50C">
            <w:pPr>
              <w:adjustRightInd/>
              <w:jc w:val="left"/>
              <w:rPr>
                <w:rFonts w:ascii="宋体" w:hAnsi="宋体" w:cs="宋体"/>
                <w:sz w:val="24"/>
              </w:rPr>
            </w:pPr>
            <w:r>
              <w:rPr>
                <w:rFonts w:hint="eastAsia" w:ascii="宋体" w:hAnsi="宋体" w:cs="宋体"/>
                <w:sz w:val="24"/>
              </w:rPr>
              <w:t>整套包含：无人机*1，无人机电池*2；遥控器*1；无人机保险1年；20w/年三者险*1年；无人机安全箱*1个；充电管家*1个；256G内存；</w:t>
            </w:r>
          </w:p>
          <w:p w14:paraId="1D08F1B5">
            <w:pPr>
              <w:adjustRightInd/>
              <w:jc w:val="left"/>
              <w:rPr>
                <w:rFonts w:ascii="宋体" w:hAnsi="宋体" w:cs="宋体"/>
                <w:sz w:val="24"/>
              </w:rPr>
            </w:pPr>
            <w:r>
              <w:rPr>
                <w:rFonts w:hint="eastAsia" w:ascii="宋体" w:hAnsi="宋体" w:cs="宋体"/>
                <w:sz w:val="24"/>
              </w:rPr>
              <w:t>1.起飞重量（含电池、普通桨叶和 microSD 卡、无配件）≤1250 g；</w:t>
            </w:r>
          </w:p>
          <w:p w14:paraId="5E6DFD54">
            <w:pPr>
              <w:adjustRightInd/>
              <w:jc w:val="left"/>
              <w:rPr>
                <w:rFonts w:ascii="宋体" w:hAnsi="宋体" w:cs="宋体"/>
                <w:sz w:val="24"/>
              </w:rPr>
            </w:pPr>
            <w:r>
              <w:rPr>
                <w:rFonts w:hint="eastAsia" w:ascii="宋体" w:hAnsi="宋体" w:cs="宋体"/>
                <w:sz w:val="24"/>
              </w:rPr>
              <w:t>2.折叠后尺寸（长×宽×高）≤265×118×143mm；</w:t>
            </w:r>
          </w:p>
          <w:p w14:paraId="3B651D45">
            <w:pPr>
              <w:adjustRightInd/>
              <w:jc w:val="left"/>
              <w:rPr>
                <w:rFonts w:ascii="宋体" w:hAnsi="宋体" w:cs="宋体"/>
                <w:sz w:val="24"/>
              </w:rPr>
            </w:pPr>
            <w:r>
              <w:rPr>
                <w:rFonts w:hint="eastAsia" w:ascii="宋体" w:hAnsi="宋体" w:cs="宋体"/>
                <w:sz w:val="24"/>
              </w:rPr>
              <w:t>3. ▲对角线轴距：438.8 mm；（提供具备CNAS和ilac-MRA认证的检测机构出具的第三方检测报告）</w:t>
            </w:r>
          </w:p>
          <w:p w14:paraId="5130A055">
            <w:pPr>
              <w:adjustRightInd/>
              <w:jc w:val="left"/>
              <w:rPr>
                <w:rFonts w:ascii="宋体" w:hAnsi="宋体" w:cs="宋体"/>
                <w:sz w:val="24"/>
              </w:rPr>
            </w:pPr>
            <w:r>
              <w:rPr>
                <w:rFonts w:hint="eastAsia" w:ascii="宋体" w:hAnsi="宋体" w:cs="宋体"/>
                <w:sz w:val="24"/>
              </w:rPr>
              <w:t>4.最长飞行时间≥49 分钟；</w:t>
            </w:r>
          </w:p>
          <w:p w14:paraId="6E81F9E9">
            <w:pPr>
              <w:adjustRightInd/>
              <w:jc w:val="left"/>
              <w:rPr>
                <w:rFonts w:ascii="宋体" w:hAnsi="宋体" w:cs="宋体"/>
                <w:sz w:val="24"/>
              </w:rPr>
            </w:pPr>
            <w:r>
              <w:rPr>
                <w:rFonts w:hint="eastAsia" w:ascii="宋体" w:hAnsi="宋体" w:cs="宋体"/>
                <w:sz w:val="24"/>
              </w:rPr>
              <w:t>5.最大可抗风速≥12m/s；</w:t>
            </w:r>
          </w:p>
          <w:p w14:paraId="4963449F">
            <w:pPr>
              <w:adjustRightInd/>
              <w:jc w:val="left"/>
              <w:rPr>
                <w:rFonts w:ascii="宋体" w:hAnsi="宋体" w:cs="宋体"/>
                <w:sz w:val="24"/>
              </w:rPr>
            </w:pPr>
            <w:r>
              <w:rPr>
                <w:rFonts w:hint="eastAsia" w:ascii="宋体" w:hAnsi="宋体" w:cs="宋体"/>
                <w:sz w:val="24"/>
              </w:rPr>
              <w:t>6.图传天线：8天线，2发4收；</w:t>
            </w:r>
          </w:p>
          <w:p w14:paraId="03C91691">
            <w:pPr>
              <w:adjustRightInd/>
              <w:jc w:val="left"/>
              <w:rPr>
                <w:rFonts w:ascii="宋体" w:hAnsi="宋体" w:cs="宋体"/>
                <w:sz w:val="24"/>
              </w:rPr>
            </w:pPr>
            <w:r>
              <w:rPr>
                <w:rFonts w:hint="eastAsia" w:ascii="宋体" w:hAnsi="宋体" w:cs="宋体"/>
                <w:sz w:val="24"/>
              </w:rPr>
              <w:t>7.GNSS定位悬停精度垂直≤0.5 m，水平≤0.5 m；</w:t>
            </w:r>
          </w:p>
          <w:p w14:paraId="31D462D2">
            <w:pPr>
              <w:adjustRightInd/>
              <w:jc w:val="left"/>
              <w:rPr>
                <w:rFonts w:ascii="宋体" w:hAnsi="宋体" w:cs="宋体"/>
                <w:sz w:val="24"/>
              </w:rPr>
            </w:pPr>
            <w:r>
              <w:rPr>
                <w:rFonts w:hint="eastAsia" w:ascii="宋体" w:hAnsi="宋体" w:cs="宋体"/>
                <w:sz w:val="24"/>
              </w:rPr>
              <w:t>8.RTK定位悬停精度垂直≤0.1 m，水平≤0.1 m；</w:t>
            </w:r>
          </w:p>
          <w:p w14:paraId="503B963C">
            <w:pPr>
              <w:adjustRightInd/>
              <w:jc w:val="left"/>
              <w:rPr>
                <w:rFonts w:ascii="宋体" w:hAnsi="宋体" w:cs="宋体"/>
                <w:sz w:val="24"/>
              </w:rPr>
            </w:pPr>
            <w:r>
              <w:rPr>
                <w:rFonts w:hint="eastAsia" w:ascii="宋体" w:hAnsi="宋体" w:cs="宋体"/>
                <w:sz w:val="24"/>
              </w:rPr>
              <w:t>9.全向感知系统，飞行器的前、后、左、右、上均具备双目视觉避障传感器，下方具备三维红外传感器，能够在探测到障碍物时在App上进行提醒，并自动减速刹车或绕行；</w:t>
            </w:r>
          </w:p>
          <w:p w14:paraId="6E817037">
            <w:pPr>
              <w:adjustRightInd/>
              <w:jc w:val="left"/>
              <w:rPr>
                <w:rFonts w:ascii="宋体" w:hAnsi="宋体" w:cs="宋体"/>
                <w:sz w:val="24"/>
              </w:rPr>
            </w:pPr>
            <w:r>
              <w:rPr>
                <w:rFonts w:hint="eastAsia" w:ascii="宋体" w:hAnsi="宋体" w:cs="宋体"/>
                <w:sz w:val="24"/>
              </w:rPr>
              <w:t>10.图传最大信号有效距离（无干扰、无遮挡）：25km；</w:t>
            </w:r>
          </w:p>
          <w:p w14:paraId="4F7E48BF">
            <w:pPr>
              <w:adjustRightInd/>
              <w:jc w:val="left"/>
              <w:rPr>
                <w:rFonts w:ascii="宋体" w:hAnsi="宋体" w:cs="宋体"/>
                <w:sz w:val="24"/>
              </w:rPr>
            </w:pPr>
            <w:r>
              <w:rPr>
                <w:rFonts w:hint="eastAsia" w:ascii="宋体" w:hAnsi="宋体" w:cs="宋体"/>
                <w:sz w:val="24"/>
              </w:rPr>
              <w:t>11. ▲内置RTK定位模块：具备RTK定位功能，应能通过遥控器连接到网络RTK服务或RTK移动站，获取高精度的位置信息。（提供具备CNAS和ilac-MRA认证的检测机构出具的第三方检测报告）</w:t>
            </w:r>
          </w:p>
          <w:p w14:paraId="5713F7AE">
            <w:pPr>
              <w:adjustRightInd/>
              <w:jc w:val="left"/>
              <w:rPr>
                <w:rFonts w:ascii="宋体" w:hAnsi="宋体" w:cs="宋体"/>
                <w:sz w:val="24"/>
              </w:rPr>
            </w:pPr>
            <w:r>
              <w:rPr>
                <w:rFonts w:hint="eastAsia" w:ascii="宋体" w:hAnsi="宋体" w:cs="宋体"/>
                <w:sz w:val="24"/>
              </w:rPr>
              <w:t>12.最大上升速度≥10 m/s；最大下降速度≥8 m/s ；最大水平飞行速度≥18m/s</w:t>
            </w:r>
          </w:p>
          <w:p w14:paraId="7B17B921">
            <w:pPr>
              <w:adjustRightInd/>
              <w:jc w:val="left"/>
              <w:rPr>
                <w:rFonts w:ascii="宋体" w:hAnsi="宋体" w:cs="宋体"/>
                <w:sz w:val="24"/>
              </w:rPr>
            </w:pPr>
            <w:r>
              <w:rPr>
                <w:rFonts w:hint="eastAsia" w:ascii="宋体" w:hAnsi="宋体" w:cs="宋体"/>
                <w:sz w:val="24"/>
              </w:rPr>
              <w:t>13. ▲支持降落保护功能：在自主降落过程中，无人机飞行器应能够检测下方地形，当下方地形为不平整地面或水面，飞行器保持悬停，同时应能通过遥控器软件向用户发出提示。（提供具备CNAS和ilac-MRA认证的检测机构出具的第三方检测报告）</w:t>
            </w:r>
          </w:p>
          <w:p w14:paraId="2A8EB514">
            <w:pPr>
              <w:adjustRightInd/>
              <w:jc w:val="left"/>
              <w:rPr>
                <w:rFonts w:ascii="宋体" w:hAnsi="宋体" w:cs="宋体"/>
                <w:sz w:val="24"/>
              </w:rPr>
            </w:pPr>
            <w:r>
              <w:rPr>
                <w:rFonts w:hint="eastAsia" w:ascii="宋体" w:hAnsi="宋体" w:cs="宋体"/>
                <w:sz w:val="24"/>
              </w:rPr>
              <w:t xml:space="preserve">14.遥控器屏幕分辨率&gt;1920x1080; </w:t>
            </w:r>
          </w:p>
          <w:p w14:paraId="13F376F8">
            <w:pPr>
              <w:adjustRightInd/>
              <w:jc w:val="left"/>
              <w:rPr>
                <w:rFonts w:ascii="宋体" w:hAnsi="宋体" w:cs="宋体"/>
                <w:sz w:val="24"/>
              </w:rPr>
            </w:pPr>
            <w:r>
              <w:rPr>
                <w:rFonts w:hint="eastAsia" w:ascii="宋体" w:hAnsi="宋体" w:cs="宋体"/>
                <w:sz w:val="24"/>
              </w:rPr>
              <w:t>15.包含1台广角相机影像传感器≥1/1.3英寸CMOS,有效像素≥4800万:1台长焦相机影像传感器≥1/1.5英寸CMOS，有效像素≥4800万。广角可见光相机变焦倍数不低于112倍和红外热成像相机；</w:t>
            </w:r>
          </w:p>
          <w:p w14:paraId="2695AC8D">
            <w:pPr>
              <w:adjustRightInd/>
              <w:jc w:val="left"/>
              <w:rPr>
                <w:rFonts w:ascii="宋体" w:hAnsi="宋体" w:cs="宋体"/>
                <w:sz w:val="24"/>
              </w:rPr>
            </w:pPr>
            <w:r>
              <w:rPr>
                <w:rFonts w:hint="eastAsia" w:ascii="宋体" w:hAnsi="宋体" w:cs="宋体"/>
                <w:sz w:val="24"/>
              </w:rPr>
              <w:t>16.搭载热成像相机，分辨率≥640*512，超分模式≥1280*1024，支持28倍数码变焦；</w:t>
            </w:r>
          </w:p>
          <w:p w14:paraId="0E7ACE07">
            <w:pPr>
              <w:adjustRightInd/>
              <w:jc w:val="left"/>
              <w:rPr>
                <w:rFonts w:ascii="宋体" w:hAnsi="宋体" w:cs="宋体"/>
                <w:sz w:val="24"/>
              </w:rPr>
            </w:pPr>
            <w:r>
              <w:rPr>
                <w:rFonts w:hint="eastAsia" w:ascii="宋体" w:hAnsi="宋体" w:cs="宋体"/>
                <w:sz w:val="24"/>
              </w:rPr>
              <w:t>17.支持航线功能、地理位置时间戳水印、激光测距信息、实时远程直播、实时远程控制、夜景模式等功能。</w:t>
            </w:r>
          </w:p>
          <w:p w14:paraId="33F2E947">
            <w:pPr>
              <w:adjustRightInd/>
              <w:jc w:val="left"/>
              <w:rPr>
                <w:rFonts w:ascii="宋体" w:hAnsi="宋体" w:cs="宋体"/>
                <w:sz w:val="24"/>
              </w:rPr>
            </w:pPr>
            <w:r>
              <w:rPr>
                <w:rFonts w:hint="eastAsia" w:ascii="宋体" w:hAnsi="宋体" w:cs="宋体"/>
                <w:sz w:val="24"/>
              </w:rPr>
              <w:t>18. ▲自定义水印功能、超清矩阵拍摄、一键全景功能：通过遥控器可自定义设置飞行器机型、SN 码、经纬度、日期时间等信息，并且可自定义水印位置。（提供具备CNAS和ilac-MRA认证的检测机构出具的第三方检测报告）</w:t>
            </w:r>
          </w:p>
          <w:p w14:paraId="357625A0">
            <w:pPr>
              <w:adjustRightInd/>
              <w:jc w:val="left"/>
              <w:rPr>
                <w:rFonts w:ascii="宋体" w:hAnsi="宋体" w:cs="宋体"/>
                <w:sz w:val="24"/>
              </w:rPr>
            </w:pPr>
            <w:r>
              <w:rPr>
                <w:rFonts w:hint="eastAsia" w:ascii="宋体" w:hAnsi="宋体" w:cs="宋体"/>
                <w:sz w:val="24"/>
              </w:rPr>
              <w:t>19. ▲控制信号丢失、导航信号丢失、低电量情况地面站有告警提示，可自动悬停，严重低电量自动降落。（提供具备CNAS和ilac-MRA认证的检测机构出具的第三方检测报告）</w:t>
            </w:r>
          </w:p>
          <w:p w14:paraId="6EA20AA2">
            <w:pPr>
              <w:adjustRightInd/>
              <w:jc w:val="left"/>
              <w:rPr>
                <w:rFonts w:ascii="宋体" w:hAnsi="宋体" w:cs="宋体"/>
                <w:sz w:val="24"/>
              </w:rPr>
            </w:pPr>
            <w:r>
              <w:rPr>
                <w:rFonts w:hint="eastAsia" w:ascii="宋体" w:hAnsi="宋体" w:cs="宋体"/>
                <w:sz w:val="24"/>
              </w:rPr>
              <w:t>20.提供无线电发射设备型号核准证书。</w:t>
            </w:r>
          </w:p>
        </w:tc>
      </w:tr>
      <w:tr w14:paraId="670EA3A9">
        <w:tblPrEx>
          <w:tblCellMar>
            <w:top w:w="0" w:type="dxa"/>
            <w:left w:w="108" w:type="dxa"/>
            <w:bottom w:w="0" w:type="dxa"/>
            <w:right w:w="108" w:type="dxa"/>
          </w:tblCellMar>
        </w:tblPrEx>
        <w:trPr>
          <w:trHeight w:val="23" w:hRule="atLeast"/>
          <w:jc w:val="center"/>
        </w:trPr>
        <w:tc>
          <w:tcPr>
            <w:tcW w:w="791" w:type="dxa"/>
            <w:vMerge w:val="continue"/>
            <w:tcBorders>
              <w:left w:val="single" w:color="000000" w:sz="4" w:space="0"/>
              <w:right w:val="single" w:color="000000" w:sz="4" w:space="0"/>
            </w:tcBorders>
            <w:noWrap/>
            <w:vAlign w:val="center"/>
          </w:tcPr>
          <w:p w14:paraId="6C9A1067">
            <w:pPr>
              <w:jc w:val="center"/>
              <w:rPr>
                <w:rFonts w:ascii="宋体" w:hAnsi="宋体" w:cs="宋体"/>
                <w:sz w:val="24"/>
              </w:rPr>
            </w:pPr>
          </w:p>
        </w:tc>
        <w:tc>
          <w:tcPr>
            <w:tcW w:w="662" w:type="dxa"/>
            <w:vMerge w:val="continue"/>
            <w:tcBorders>
              <w:left w:val="single" w:color="000000" w:sz="4" w:space="0"/>
              <w:right w:val="single" w:color="000000" w:sz="4" w:space="0"/>
            </w:tcBorders>
            <w:noWrap/>
            <w:vAlign w:val="center"/>
          </w:tcPr>
          <w:p w14:paraId="66EEC152">
            <w:pPr>
              <w:widowControl/>
              <w:jc w:val="center"/>
              <w:textAlignment w:val="center"/>
              <w:rPr>
                <w:rFonts w:ascii="宋体" w:hAnsi="宋体" w:cs="宋体"/>
                <w:sz w:val="24"/>
              </w:rPr>
            </w:pPr>
          </w:p>
        </w:tc>
        <w:tc>
          <w:tcPr>
            <w:tcW w:w="476" w:type="dxa"/>
            <w:vMerge w:val="continue"/>
            <w:tcBorders>
              <w:left w:val="single" w:color="000000" w:sz="4" w:space="0"/>
              <w:right w:val="single" w:color="auto" w:sz="4" w:space="0"/>
            </w:tcBorders>
            <w:noWrap/>
            <w:vAlign w:val="center"/>
          </w:tcPr>
          <w:p w14:paraId="303643C3">
            <w:pPr>
              <w:widowControl/>
              <w:jc w:val="center"/>
              <w:textAlignment w:val="center"/>
              <w:rPr>
                <w:rFonts w:ascii="宋体" w:hAnsi="宋体" w:cs="宋体"/>
                <w:sz w:val="24"/>
              </w:rPr>
            </w:pPr>
          </w:p>
        </w:tc>
        <w:tc>
          <w:tcPr>
            <w:tcW w:w="480" w:type="dxa"/>
            <w:tcBorders>
              <w:top w:val="single" w:color="000000" w:sz="4" w:space="0"/>
              <w:left w:val="single" w:color="auto" w:sz="4" w:space="0"/>
              <w:bottom w:val="single" w:color="000000" w:sz="4" w:space="0"/>
              <w:right w:val="single" w:color="000000" w:sz="4" w:space="0"/>
            </w:tcBorders>
            <w:vAlign w:val="center"/>
          </w:tcPr>
          <w:p w14:paraId="4AA513DF">
            <w:pPr>
              <w:widowControl/>
              <w:jc w:val="center"/>
              <w:textAlignment w:val="center"/>
              <w:rPr>
                <w:rFonts w:ascii="宋体" w:hAnsi="宋体" w:cs="宋体"/>
                <w:sz w:val="24"/>
              </w:rPr>
            </w:pPr>
            <w:r>
              <w:rPr>
                <w:rFonts w:hint="eastAsia" w:ascii="宋体" w:hAnsi="宋体" w:cs="宋体"/>
                <w:sz w:val="24"/>
              </w:rPr>
              <w:t>无人机配套喊话器照明一体机</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7D2300B4">
            <w:pPr>
              <w:widowControl/>
              <w:textAlignment w:val="center"/>
              <w:rPr>
                <w:rFonts w:ascii="宋体" w:hAnsi="宋体" w:cs="宋体"/>
                <w:sz w:val="24"/>
              </w:rPr>
            </w:pPr>
            <w:r>
              <w:rPr>
                <w:rFonts w:hint="eastAsia" w:ascii="宋体" w:hAnsi="宋体" w:cs="宋体"/>
                <w:sz w:val="24"/>
              </w:rPr>
              <w:t>1</w:t>
            </w:r>
          </w:p>
        </w:tc>
        <w:tc>
          <w:tcPr>
            <w:tcW w:w="6839" w:type="dxa"/>
            <w:tcBorders>
              <w:top w:val="single" w:color="000000" w:sz="4" w:space="0"/>
              <w:left w:val="single" w:color="000000" w:sz="4" w:space="0"/>
              <w:bottom w:val="single" w:color="000000" w:sz="4" w:space="0"/>
              <w:right w:val="single" w:color="000000" w:sz="4" w:space="0"/>
            </w:tcBorders>
            <w:noWrap/>
            <w:vAlign w:val="center"/>
          </w:tcPr>
          <w:p w14:paraId="431767DC">
            <w:pPr>
              <w:adjustRightInd/>
              <w:jc w:val="left"/>
              <w:rPr>
                <w:rFonts w:ascii="宋体" w:hAnsi="宋体" w:cs="宋体"/>
                <w:sz w:val="24"/>
              </w:rPr>
            </w:pPr>
            <w:r>
              <w:rPr>
                <w:rFonts w:hint="eastAsia" w:ascii="宋体" w:hAnsi="宋体" w:cs="宋体"/>
                <w:sz w:val="24"/>
              </w:rPr>
              <w:t>1.电气接口：DJI SDK接口</w:t>
            </w:r>
          </w:p>
          <w:p w14:paraId="3B85279C">
            <w:pPr>
              <w:adjustRightInd/>
              <w:jc w:val="left"/>
              <w:rPr>
                <w:rFonts w:ascii="宋体" w:hAnsi="宋体" w:cs="宋体"/>
                <w:sz w:val="24"/>
              </w:rPr>
            </w:pPr>
            <w:r>
              <w:rPr>
                <w:rFonts w:hint="eastAsia" w:ascii="宋体" w:hAnsi="宋体" w:cs="宋体"/>
                <w:sz w:val="24"/>
              </w:rPr>
              <w:t>2.尺寸：≤146*65*96 mm</w:t>
            </w:r>
          </w:p>
          <w:p w14:paraId="15579A49">
            <w:pPr>
              <w:adjustRightInd/>
              <w:jc w:val="left"/>
              <w:rPr>
                <w:rFonts w:ascii="宋体" w:hAnsi="宋体" w:cs="宋体"/>
                <w:sz w:val="24"/>
              </w:rPr>
            </w:pPr>
            <w:r>
              <w:rPr>
                <w:rFonts w:hint="eastAsia" w:ascii="宋体" w:hAnsi="宋体" w:cs="宋体"/>
                <w:sz w:val="24"/>
              </w:rPr>
              <w:t>3.重量：≤180g</w:t>
            </w:r>
          </w:p>
          <w:p w14:paraId="1FE47D38">
            <w:pPr>
              <w:adjustRightInd/>
              <w:jc w:val="left"/>
              <w:rPr>
                <w:rFonts w:ascii="宋体" w:hAnsi="宋体" w:cs="宋体"/>
                <w:sz w:val="24"/>
              </w:rPr>
            </w:pPr>
            <w:r>
              <w:rPr>
                <w:rFonts w:hint="eastAsia" w:ascii="宋体" w:hAnsi="宋体" w:cs="宋体"/>
                <w:sz w:val="24"/>
              </w:rPr>
              <w:t>4.防护等级：≥IP54</w:t>
            </w:r>
          </w:p>
          <w:p w14:paraId="1F7F17CD">
            <w:pPr>
              <w:adjustRightInd/>
              <w:jc w:val="left"/>
              <w:rPr>
                <w:rFonts w:ascii="宋体" w:hAnsi="宋体" w:cs="宋体"/>
                <w:sz w:val="24"/>
              </w:rPr>
            </w:pPr>
            <w:r>
              <w:rPr>
                <w:rFonts w:hint="eastAsia" w:ascii="宋体" w:hAnsi="宋体" w:cs="宋体"/>
                <w:sz w:val="24"/>
              </w:rPr>
              <w:t>5.支持机型：Matrice 4E、Matrice 4T、Matrice 4D、Matrice 4TD</w:t>
            </w:r>
          </w:p>
          <w:p w14:paraId="6D1BC623">
            <w:pPr>
              <w:adjustRightInd/>
              <w:jc w:val="left"/>
              <w:rPr>
                <w:rFonts w:ascii="宋体" w:hAnsi="宋体" w:cs="宋体"/>
                <w:sz w:val="24"/>
              </w:rPr>
            </w:pPr>
            <w:r>
              <w:rPr>
                <w:rFonts w:hint="eastAsia" w:ascii="宋体" w:hAnsi="宋体" w:cs="宋体"/>
                <w:sz w:val="24"/>
              </w:rPr>
              <w:t>6.额定功耗：≥40W</w:t>
            </w:r>
          </w:p>
          <w:p w14:paraId="49F7F221">
            <w:pPr>
              <w:adjustRightInd/>
              <w:jc w:val="left"/>
              <w:rPr>
                <w:rFonts w:ascii="宋体" w:hAnsi="宋体" w:cs="宋体"/>
                <w:sz w:val="24"/>
              </w:rPr>
            </w:pPr>
            <w:r>
              <w:rPr>
                <w:rFonts w:hint="eastAsia" w:ascii="宋体" w:hAnsi="宋体" w:cs="宋体"/>
                <w:sz w:val="24"/>
              </w:rPr>
              <w:t>7.照明方式：组合照明</w:t>
            </w:r>
          </w:p>
          <w:p w14:paraId="1E48DF42">
            <w:pPr>
              <w:adjustRightInd/>
              <w:jc w:val="left"/>
              <w:rPr>
                <w:rFonts w:ascii="宋体" w:hAnsi="宋体" w:cs="宋体"/>
                <w:sz w:val="24"/>
              </w:rPr>
            </w:pPr>
            <w:r>
              <w:rPr>
                <w:rFonts w:hint="eastAsia" w:ascii="宋体" w:hAnsi="宋体" w:cs="宋体"/>
                <w:sz w:val="24"/>
              </w:rPr>
              <w:t>8.照明角度：14°</w:t>
            </w:r>
          </w:p>
          <w:p w14:paraId="3553EC00">
            <w:pPr>
              <w:adjustRightInd/>
              <w:jc w:val="left"/>
              <w:rPr>
                <w:rFonts w:ascii="宋体" w:hAnsi="宋体" w:cs="宋体"/>
                <w:sz w:val="24"/>
              </w:rPr>
            </w:pPr>
            <w:r>
              <w:rPr>
                <w:rFonts w:hint="eastAsia" w:ascii="宋体" w:hAnsi="宋体" w:cs="宋体"/>
                <w:sz w:val="24"/>
              </w:rPr>
              <w:t>9.照明距离：150m处中心光照度大于等于3Lux</w:t>
            </w:r>
          </w:p>
          <w:p w14:paraId="4029BA48">
            <w:pPr>
              <w:adjustRightInd/>
              <w:jc w:val="left"/>
              <w:rPr>
                <w:rFonts w:ascii="宋体" w:hAnsi="宋体" w:cs="宋体"/>
                <w:sz w:val="24"/>
              </w:rPr>
            </w:pPr>
            <w:r>
              <w:rPr>
                <w:rFonts w:hint="eastAsia" w:ascii="宋体" w:hAnsi="宋体" w:cs="宋体"/>
                <w:sz w:val="24"/>
              </w:rPr>
              <w:t>10.照明面积：150m处照明面积大于等于1050m²</w:t>
            </w:r>
          </w:p>
          <w:p w14:paraId="2A870395">
            <w:pPr>
              <w:adjustRightInd/>
              <w:jc w:val="left"/>
              <w:rPr>
                <w:rFonts w:ascii="宋体" w:hAnsi="宋体" w:cs="宋体"/>
                <w:sz w:val="24"/>
              </w:rPr>
            </w:pPr>
            <w:r>
              <w:rPr>
                <w:rFonts w:hint="eastAsia" w:ascii="宋体" w:hAnsi="宋体" w:cs="宋体"/>
                <w:sz w:val="24"/>
              </w:rPr>
              <w:t>11.中心光照度：50米处中心光照度大于等于30Lux</w:t>
            </w:r>
          </w:p>
          <w:p w14:paraId="65F0AFD1">
            <w:pPr>
              <w:adjustRightInd/>
              <w:jc w:val="left"/>
              <w:rPr>
                <w:rFonts w:ascii="宋体" w:hAnsi="宋体" w:cs="宋体"/>
                <w:sz w:val="24"/>
              </w:rPr>
            </w:pPr>
            <w:r>
              <w:rPr>
                <w:rFonts w:hint="eastAsia" w:ascii="宋体" w:hAnsi="宋体" w:cs="宋体"/>
                <w:sz w:val="24"/>
              </w:rPr>
              <w:t>12.云台类型：无刷自增稳云台（提供具备CNAS和ilac-MRA认证的检测机构出具的第三方检测报告）</w:t>
            </w:r>
          </w:p>
          <w:p w14:paraId="469E004C">
            <w:pPr>
              <w:adjustRightInd/>
              <w:jc w:val="left"/>
              <w:rPr>
                <w:rFonts w:ascii="宋体" w:hAnsi="宋体" w:cs="宋体"/>
                <w:sz w:val="24"/>
              </w:rPr>
            </w:pPr>
            <w:r>
              <w:rPr>
                <w:rFonts w:hint="eastAsia" w:ascii="宋体" w:hAnsi="宋体" w:cs="宋体"/>
                <w:sz w:val="24"/>
              </w:rPr>
              <w:t>13.云台角度：-90°至 +35°可控云台</w:t>
            </w:r>
          </w:p>
          <w:p w14:paraId="2E844398">
            <w:pPr>
              <w:adjustRightInd/>
              <w:jc w:val="left"/>
              <w:rPr>
                <w:rFonts w:ascii="宋体" w:hAnsi="宋体" w:cs="宋体"/>
                <w:sz w:val="24"/>
              </w:rPr>
            </w:pPr>
            <w:r>
              <w:rPr>
                <w:rFonts w:hint="eastAsia" w:ascii="宋体" w:hAnsi="宋体" w:cs="宋体"/>
                <w:sz w:val="24"/>
              </w:rPr>
              <w:t>14. ▲爆闪颜色：红、绿、蓝、白、黄（提供具备CNAS和ilac-MRA认证的检测机构出具的第三方检测报告）</w:t>
            </w:r>
          </w:p>
          <w:p w14:paraId="17FD8E26">
            <w:pPr>
              <w:adjustRightInd/>
              <w:jc w:val="left"/>
              <w:rPr>
                <w:rFonts w:ascii="宋体" w:hAnsi="宋体" w:cs="宋体"/>
                <w:sz w:val="24"/>
              </w:rPr>
            </w:pPr>
            <w:r>
              <w:rPr>
                <w:rFonts w:hint="eastAsia" w:ascii="宋体" w:hAnsi="宋体" w:cs="宋体"/>
                <w:sz w:val="24"/>
              </w:rPr>
              <w:t>15.TTS一米处声压：114db</w:t>
            </w:r>
          </w:p>
          <w:p w14:paraId="2FAD9C57">
            <w:pPr>
              <w:adjustRightInd/>
              <w:jc w:val="left"/>
              <w:rPr>
                <w:rFonts w:ascii="宋体" w:hAnsi="宋体" w:cs="宋体"/>
                <w:sz w:val="24"/>
              </w:rPr>
            </w:pPr>
            <w:r>
              <w:rPr>
                <w:rFonts w:hint="eastAsia" w:ascii="宋体" w:hAnsi="宋体" w:cs="宋体"/>
                <w:sz w:val="24"/>
              </w:rPr>
              <w:t>16.广播距离：300m</w:t>
            </w:r>
          </w:p>
          <w:p w14:paraId="699F867A">
            <w:pPr>
              <w:adjustRightInd/>
              <w:jc w:val="left"/>
              <w:rPr>
                <w:rFonts w:ascii="宋体" w:hAnsi="宋体" w:cs="宋体"/>
                <w:sz w:val="24"/>
              </w:rPr>
            </w:pPr>
            <w:r>
              <w:rPr>
                <w:rFonts w:hint="eastAsia" w:ascii="宋体" w:hAnsi="宋体" w:cs="宋体"/>
                <w:sz w:val="24"/>
              </w:rPr>
              <w:t>17.★控制方式：DJI Pilot2、司空2、小程序、上云API（提供具备CNAS和ilac-MRA认证的检测机构出具的第三方检测报告）</w:t>
            </w:r>
          </w:p>
          <w:p w14:paraId="43F31D76">
            <w:pPr>
              <w:adjustRightInd/>
              <w:jc w:val="left"/>
              <w:rPr>
                <w:rFonts w:ascii="宋体" w:hAnsi="宋体" w:cs="宋体"/>
                <w:sz w:val="24"/>
              </w:rPr>
            </w:pPr>
            <w:r>
              <w:rPr>
                <w:rFonts w:hint="eastAsia" w:ascii="宋体" w:hAnsi="宋体" w:cs="宋体"/>
                <w:sz w:val="24"/>
              </w:rPr>
              <w:t>18.喊话方式：4G手持麦、DJI Pilot2、司空2</w:t>
            </w:r>
          </w:p>
          <w:p w14:paraId="474E072D">
            <w:pPr>
              <w:adjustRightInd/>
              <w:jc w:val="left"/>
              <w:rPr>
                <w:rFonts w:ascii="宋体" w:hAnsi="宋体" w:cs="宋体"/>
                <w:sz w:val="24"/>
              </w:rPr>
            </w:pPr>
            <w:r>
              <w:rPr>
                <w:rFonts w:hint="eastAsia" w:ascii="宋体" w:hAnsi="宋体" w:cs="宋体"/>
                <w:sz w:val="24"/>
              </w:rPr>
              <w:t>19. ▲链路支持：支持PSDK和4G双链路（提供具备CNAS和ilac-MRA认证的检测机构出具的第三方检测报告）</w:t>
            </w:r>
          </w:p>
          <w:p w14:paraId="7EE141D7">
            <w:pPr>
              <w:adjustRightInd/>
              <w:jc w:val="left"/>
              <w:rPr>
                <w:rFonts w:ascii="宋体" w:hAnsi="宋体" w:cs="宋体"/>
                <w:sz w:val="24"/>
              </w:rPr>
            </w:pPr>
            <w:r>
              <w:rPr>
                <w:rFonts w:hint="eastAsia" w:ascii="宋体" w:hAnsi="宋体" w:cs="宋体"/>
                <w:sz w:val="24"/>
              </w:rPr>
              <w:t>20.安装方式：手拧螺丝快拆</w:t>
            </w:r>
          </w:p>
          <w:p w14:paraId="1C774BA8">
            <w:pPr>
              <w:adjustRightInd/>
              <w:jc w:val="left"/>
              <w:rPr>
                <w:rFonts w:ascii="宋体" w:hAnsi="宋体" w:cs="宋体"/>
                <w:sz w:val="24"/>
              </w:rPr>
            </w:pPr>
            <w:r>
              <w:rPr>
                <w:rFonts w:hint="eastAsia" w:ascii="宋体" w:hAnsi="宋体" w:cs="宋体"/>
                <w:sz w:val="24"/>
              </w:rPr>
              <w:t>21.工作温度： -10℃至50℃</w:t>
            </w:r>
          </w:p>
          <w:p w14:paraId="7DBB6487">
            <w:pPr>
              <w:adjustRightInd/>
              <w:jc w:val="left"/>
              <w:rPr>
                <w:rFonts w:ascii="宋体" w:hAnsi="宋体" w:cs="宋体"/>
                <w:sz w:val="24"/>
              </w:rPr>
            </w:pPr>
            <w:r>
              <w:rPr>
                <w:rFonts w:hint="eastAsia" w:ascii="宋体" w:hAnsi="宋体" w:cs="宋体"/>
                <w:sz w:val="24"/>
              </w:rPr>
              <w:t>22.存储温度： -20℃至60℃</w:t>
            </w:r>
          </w:p>
          <w:p w14:paraId="74478243">
            <w:pPr>
              <w:adjustRightInd/>
              <w:jc w:val="left"/>
              <w:rPr>
                <w:rFonts w:ascii="宋体" w:hAnsi="宋体" w:cs="宋体"/>
                <w:sz w:val="24"/>
              </w:rPr>
            </w:pPr>
            <w:r>
              <w:rPr>
                <w:rFonts w:hint="eastAsia" w:ascii="宋体" w:hAnsi="宋体" w:cs="宋体"/>
                <w:sz w:val="24"/>
              </w:rPr>
              <w:t>23.★特色功能：①配置可控云台，可与相机云台联动 ②可选配激光指引功能③支持4G对讲机喊话与收音。（提供具备CNAS和ilac-MRA认证的检测机构出具的第三方检测报告）</w:t>
            </w:r>
          </w:p>
        </w:tc>
      </w:tr>
      <w:tr w14:paraId="37B7D118">
        <w:tblPrEx>
          <w:tblCellMar>
            <w:top w:w="0" w:type="dxa"/>
            <w:left w:w="108" w:type="dxa"/>
            <w:bottom w:w="0" w:type="dxa"/>
            <w:right w:w="108" w:type="dxa"/>
          </w:tblCellMar>
        </w:tblPrEx>
        <w:trPr>
          <w:trHeight w:val="23" w:hRule="atLeast"/>
          <w:jc w:val="center"/>
        </w:trPr>
        <w:tc>
          <w:tcPr>
            <w:tcW w:w="791" w:type="dxa"/>
            <w:vMerge w:val="continue"/>
            <w:tcBorders>
              <w:left w:val="single" w:color="000000" w:sz="4" w:space="0"/>
              <w:right w:val="single" w:color="000000" w:sz="4" w:space="0"/>
            </w:tcBorders>
            <w:noWrap/>
            <w:vAlign w:val="center"/>
          </w:tcPr>
          <w:p w14:paraId="724F0784">
            <w:pPr>
              <w:jc w:val="center"/>
              <w:rPr>
                <w:rFonts w:ascii="宋体" w:hAnsi="宋体" w:cs="宋体"/>
                <w:sz w:val="24"/>
              </w:rPr>
            </w:pPr>
          </w:p>
        </w:tc>
        <w:tc>
          <w:tcPr>
            <w:tcW w:w="662" w:type="dxa"/>
            <w:vMerge w:val="continue"/>
            <w:tcBorders>
              <w:left w:val="single" w:color="000000" w:sz="4" w:space="0"/>
              <w:right w:val="single" w:color="000000" w:sz="4" w:space="0"/>
            </w:tcBorders>
            <w:noWrap/>
            <w:vAlign w:val="center"/>
          </w:tcPr>
          <w:p w14:paraId="12E51A79">
            <w:pPr>
              <w:widowControl/>
              <w:jc w:val="center"/>
              <w:textAlignment w:val="center"/>
              <w:rPr>
                <w:rFonts w:ascii="宋体" w:hAnsi="宋体" w:cs="宋体"/>
                <w:sz w:val="24"/>
              </w:rPr>
            </w:pPr>
          </w:p>
        </w:tc>
        <w:tc>
          <w:tcPr>
            <w:tcW w:w="476" w:type="dxa"/>
            <w:vMerge w:val="continue"/>
            <w:tcBorders>
              <w:left w:val="single" w:color="000000" w:sz="4" w:space="0"/>
              <w:right w:val="single" w:color="auto" w:sz="4" w:space="0"/>
            </w:tcBorders>
            <w:noWrap/>
            <w:vAlign w:val="center"/>
          </w:tcPr>
          <w:p w14:paraId="63238DBF">
            <w:pPr>
              <w:widowControl/>
              <w:jc w:val="center"/>
              <w:textAlignment w:val="center"/>
              <w:rPr>
                <w:rFonts w:ascii="宋体" w:hAnsi="宋体" w:cs="宋体"/>
                <w:sz w:val="24"/>
              </w:rPr>
            </w:pPr>
          </w:p>
        </w:tc>
        <w:tc>
          <w:tcPr>
            <w:tcW w:w="480" w:type="dxa"/>
            <w:tcBorders>
              <w:top w:val="single" w:color="000000" w:sz="4" w:space="0"/>
              <w:left w:val="single" w:color="auto" w:sz="4" w:space="0"/>
              <w:bottom w:val="single" w:color="000000" w:sz="4" w:space="0"/>
              <w:right w:val="single" w:color="000000" w:sz="4" w:space="0"/>
            </w:tcBorders>
            <w:vAlign w:val="center"/>
          </w:tcPr>
          <w:p w14:paraId="2618B558">
            <w:pPr>
              <w:widowControl/>
              <w:jc w:val="center"/>
              <w:textAlignment w:val="center"/>
              <w:rPr>
                <w:rFonts w:hint="eastAsia" w:ascii="宋体" w:hAnsi="宋体" w:cs="宋体"/>
                <w:sz w:val="24"/>
                <w:highlight w:val="none"/>
              </w:rPr>
            </w:pPr>
            <w:r>
              <w:rPr>
                <w:rFonts w:hint="eastAsia" w:ascii="宋体" w:hAnsi="宋体" w:cs="宋体"/>
                <w:sz w:val="24"/>
                <w:highlight w:val="none"/>
              </w:rPr>
              <w:t>多功能基站</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45E5985A">
            <w:pPr>
              <w:widowControl/>
              <w:textAlignment w:val="center"/>
              <w:rPr>
                <w:rFonts w:hint="eastAsia" w:ascii="宋体" w:hAnsi="宋体" w:cs="宋体"/>
                <w:sz w:val="24"/>
                <w:highlight w:val="none"/>
              </w:rPr>
            </w:pPr>
            <w:r>
              <w:rPr>
                <w:rFonts w:hint="eastAsia" w:ascii="宋体" w:hAnsi="宋体" w:cs="宋体"/>
                <w:sz w:val="24"/>
                <w:highlight w:val="none"/>
              </w:rPr>
              <w:t>1</w:t>
            </w:r>
          </w:p>
        </w:tc>
        <w:tc>
          <w:tcPr>
            <w:tcW w:w="6839" w:type="dxa"/>
            <w:tcBorders>
              <w:top w:val="single" w:color="000000" w:sz="4" w:space="0"/>
              <w:left w:val="single" w:color="000000" w:sz="4" w:space="0"/>
              <w:bottom w:val="single" w:color="000000" w:sz="4" w:space="0"/>
              <w:right w:val="single" w:color="000000" w:sz="4" w:space="0"/>
            </w:tcBorders>
            <w:noWrap/>
            <w:vAlign w:val="center"/>
          </w:tcPr>
          <w:p w14:paraId="18540920">
            <w:pPr>
              <w:adjustRightInd/>
              <w:jc w:val="left"/>
              <w:rPr>
                <w:rFonts w:hint="eastAsia" w:ascii="宋体" w:hAnsi="宋体" w:cs="宋体"/>
                <w:sz w:val="24"/>
                <w:highlight w:val="none"/>
              </w:rPr>
            </w:pPr>
            <w:r>
              <w:rPr>
                <w:rFonts w:hint="eastAsia" w:ascii="宋体" w:hAnsi="宋体" w:cs="宋体"/>
                <w:sz w:val="24"/>
                <w:highlight w:val="none"/>
              </w:rPr>
              <w:t>1、卫星接收频点：支持五星十九频</w:t>
            </w:r>
          </w:p>
          <w:p w14:paraId="65B34728">
            <w:pPr>
              <w:adjustRightInd/>
              <w:jc w:val="left"/>
              <w:rPr>
                <w:rFonts w:hint="eastAsia" w:ascii="宋体" w:hAnsi="宋体" w:cs="宋体"/>
                <w:sz w:val="24"/>
                <w:highlight w:val="none"/>
              </w:rPr>
            </w:pPr>
            <w:r>
              <w:rPr>
                <w:rFonts w:hint="eastAsia" w:ascii="宋体" w:hAnsi="宋体" w:cs="宋体"/>
                <w:sz w:val="24"/>
                <w:highlight w:val="none"/>
              </w:rPr>
              <w:t>2、系统精度：RTK精度：</w:t>
            </w:r>
          </w:p>
          <w:p w14:paraId="7214C627">
            <w:pPr>
              <w:adjustRightInd/>
              <w:jc w:val="left"/>
              <w:rPr>
                <w:rFonts w:hint="eastAsia" w:ascii="宋体" w:hAnsi="宋体" w:cs="宋体"/>
                <w:sz w:val="24"/>
                <w:highlight w:val="none"/>
              </w:rPr>
            </w:pPr>
            <w:r>
              <w:rPr>
                <w:rFonts w:hint="eastAsia" w:ascii="宋体" w:hAnsi="宋体" w:cs="宋体"/>
                <w:sz w:val="24"/>
                <w:highlight w:val="none"/>
              </w:rPr>
              <w:t>水平：0.8 cm+ 1 ppm(RMS)</w:t>
            </w:r>
          </w:p>
          <w:p w14:paraId="5470978F">
            <w:pPr>
              <w:adjustRightInd/>
              <w:jc w:val="left"/>
              <w:rPr>
                <w:rFonts w:hint="eastAsia" w:ascii="宋体" w:hAnsi="宋体" w:cs="宋体"/>
                <w:sz w:val="24"/>
                <w:highlight w:val="none"/>
              </w:rPr>
            </w:pPr>
            <w:r>
              <w:rPr>
                <w:rFonts w:hint="eastAsia" w:ascii="宋体" w:hAnsi="宋体" w:cs="宋体"/>
                <w:sz w:val="24"/>
                <w:highlight w:val="none"/>
              </w:rPr>
              <w:t>垂直：1.5 cm+ 1 ppm(RMS)</w:t>
            </w:r>
          </w:p>
          <w:p w14:paraId="49E95821">
            <w:pPr>
              <w:adjustRightInd/>
              <w:jc w:val="left"/>
              <w:rPr>
                <w:rFonts w:hint="eastAsia" w:ascii="宋体" w:hAnsi="宋体" w:cs="宋体"/>
                <w:sz w:val="24"/>
                <w:highlight w:val="none"/>
              </w:rPr>
            </w:pPr>
            <w:r>
              <w:rPr>
                <w:rFonts w:hint="eastAsia" w:ascii="宋体" w:hAnsi="宋体" w:cs="宋体"/>
                <w:sz w:val="24"/>
                <w:highlight w:val="none"/>
              </w:rPr>
              <w:t>倾斜测量精度：8mm+0.7mm/°tilt（30°内精度&lt;2cm）</w:t>
            </w:r>
          </w:p>
          <w:p w14:paraId="39187B49">
            <w:pPr>
              <w:adjustRightInd/>
              <w:jc w:val="left"/>
              <w:rPr>
                <w:rFonts w:hint="eastAsia" w:ascii="宋体" w:hAnsi="宋体" w:cs="宋体"/>
                <w:sz w:val="24"/>
                <w:highlight w:val="none"/>
              </w:rPr>
            </w:pPr>
            <w:r>
              <w:rPr>
                <w:rFonts w:hint="eastAsia" w:ascii="宋体" w:hAnsi="宋体" w:cs="宋体"/>
                <w:sz w:val="24"/>
                <w:highlight w:val="none"/>
              </w:rPr>
              <w:t>3、电池存储温度：-5~30</w:t>
            </w:r>
          </w:p>
          <w:p w14:paraId="3589C7D7">
            <w:pPr>
              <w:adjustRightInd/>
              <w:jc w:val="left"/>
              <w:rPr>
                <w:rFonts w:hint="eastAsia" w:ascii="宋体" w:hAnsi="宋体" w:cs="宋体"/>
                <w:sz w:val="24"/>
                <w:highlight w:val="none"/>
              </w:rPr>
            </w:pPr>
            <w:r>
              <w:rPr>
                <w:rFonts w:hint="eastAsia" w:ascii="宋体" w:hAnsi="宋体" w:cs="宋体"/>
                <w:sz w:val="24"/>
                <w:highlight w:val="none"/>
              </w:rPr>
              <w:t>4、工作环境温度：-20~55°C</w:t>
            </w:r>
          </w:p>
          <w:p w14:paraId="6473000F">
            <w:pPr>
              <w:adjustRightInd/>
              <w:jc w:val="left"/>
              <w:rPr>
                <w:rFonts w:hint="eastAsia" w:ascii="宋体" w:hAnsi="宋体" w:cs="宋体"/>
                <w:sz w:val="24"/>
                <w:highlight w:val="none"/>
              </w:rPr>
            </w:pPr>
            <w:r>
              <w:rPr>
                <w:rFonts w:hint="eastAsia" w:ascii="宋体" w:hAnsi="宋体" w:cs="宋体"/>
                <w:sz w:val="24"/>
                <w:highlight w:val="none"/>
              </w:rPr>
              <w:t>5、海拔高度：不低于5000 米</w:t>
            </w:r>
          </w:p>
          <w:p w14:paraId="06A9E634">
            <w:pPr>
              <w:adjustRightInd/>
              <w:jc w:val="left"/>
              <w:rPr>
                <w:rFonts w:hint="eastAsia" w:ascii="宋体" w:hAnsi="宋体" w:cs="宋体"/>
                <w:sz w:val="24"/>
                <w:highlight w:val="none"/>
              </w:rPr>
            </w:pPr>
            <w:r>
              <w:rPr>
                <w:rFonts w:hint="eastAsia" w:ascii="宋体" w:hAnsi="宋体" w:cs="宋体"/>
                <w:sz w:val="24"/>
                <w:highlight w:val="none"/>
              </w:rPr>
              <w:t>6、防护性能：不低于IP66</w:t>
            </w:r>
          </w:p>
          <w:p w14:paraId="634B1745">
            <w:pPr>
              <w:adjustRightInd/>
              <w:jc w:val="left"/>
              <w:rPr>
                <w:rFonts w:hint="eastAsia" w:ascii="宋体" w:hAnsi="宋体" w:cs="宋体"/>
                <w:sz w:val="24"/>
                <w:highlight w:val="none"/>
              </w:rPr>
            </w:pPr>
            <w:r>
              <w:rPr>
                <w:rFonts w:hint="eastAsia" w:ascii="宋体" w:hAnsi="宋体" w:cs="宋体"/>
                <w:sz w:val="24"/>
                <w:highlight w:val="none"/>
              </w:rPr>
              <w:t>7、抗跌落性能：支持2m随杆跌落</w:t>
            </w:r>
          </w:p>
        </w:tc>
      </w:tr>
      <w:tr w14:paraId="599C1FE9">
        <w:tblPrEx>
          <w:tblCellMar>
            <w:top w:w="0" w:type="dxa"/>
            <w:left w:w="108" w:type="dxa"/>
            <w:bottom w:w="0" w:type="dxa"/>
            <w:right w:w="108" w:type="dxa"/>
          </w:tblCellMar>
        </w:tblPrEx>
        <w:trPr>
          <w:trHeight w:val="23" w:hRule="atLeast"/>
          <w:jc w:val="center"/>
        </w:trPr>
        <w:tc>
          <w:tcPr>
            <w:tcW w:w="791" w:type="dxa"/>
            <w:vMerge w:val="continue"/>
            <w:tcBorders>
              <w:left w:val="single" w:color="000000" w:sz="4" w:space="0"/>
              <w:right w:val="single" w:color="000000" w:sz="4" w:space="0"/>
            </w:tcBorders>
            <w:noWrap/>
            <w:vAlign w:val="center"/>
          </w:tcPr>
          <w:p w14:paraId="21112823">
            <w:pPr>
              <w:jc w:val="center"/>
              <w:rPr>
                <w:rFonts w:ascii="宋体" w:hAnsi="宋体" w:cs="宋体"/>
                <w:sz w:val="24"/>
              </w:rPr>
            </w:pPr>
          </w:p>
        </w:tc>
        <w:tc>
          <w:tcPr>
            <w:tcW w:w="662" w:type="dxa"/>
            <w:vMerge w:val="continue"/>
            <w:tcBorders>
              <w:left w:val="single" w:color="000000" w:sz="4" w:space="0"/>
              <w:bottom w:val="single" w:color="000000" w:sz="4" w:space="0"/>
              <w:right w:val="single" w:color="000000" w:sz="4" w:space="0"/>
            </w:tcBorders>
            <w:noWrap/>
            <w:vAlign w:val="center"/>
          </w:tcPr>
          <w:p w14:paraId="6D2DECA1">
            <w:pPr>
              <w:widowControl/>
              <w:jc w:val="center"/>
              <w:textAlignment w:val="center"/>
              <w:rPr>
                <w:rFonts w:ascii="宋体" w:hAnsi="宋体" w:cs="宋体"/>
                <w:sz w:val="24"/>
              </w:rPr>
            </w:pPr>
          </w:p>
        </w:tc>
        <w:tc>
          <w:tcPr>
            <w:tcW w:w="476" w:type="dxa"/>
            <w:vMerge w:val="continue"/>
            <w:tcBorders>
              <w:left w:val="single" w:color="000000" w:sz="4" w:space="0"/>
              <w:bottom w:val="single" w:color="000000" w:sz="4" w:space="0"/>
              <w:right w:val="single" w:color="auto" w:sz="4" w:space="0"/>
            </w:tcBorders>
            <w:noWrap/>
            <w:vAlign w:val="center"/>
          </w:tcPr>
          <w:p w14:paraId="3C521009">
            <w:pPr>
              <w:widowControl/>
              <w:jc w:val="center"/>
              <w:textAlignment w:val="center"/>
              <w:rPr>
                <w:rFonts w:ascii="宋体" w:hAnsi="宋体" w:cs="宋体"/>
                <w:sz w:val="24"/>
              </w:rPr>
            </w:pPr>
          </w:p>
        </w:tc>
        <w:tc>
          <w:tcPr>
            <w:tcW w:w="480" w:type="dxa"/>
            <w:tcBorders>
              <w:top w:val="single" w:color="000000" w:sz="4" w:space="0"/>
              <w:left w:val="single" w:color="auto" w:sz="4" w:space="0"/>
              <w:bottom w:val="single" w:color="000000" w:sz="4" w:space="0"/>
              <w:right w:val="single" w:color="000000" w:sz="4" w:space="0"/>
            </w:tcBorders>
            <w:vAlign w:val="center"/>
          </w:tcPr>
          <w:p w14:paraId="1CB60C20">
            <w:pPr>
              <w:widowControl/>
              <w:jc w:val="center"/>
              <w:textAlignment w:val="center"/>
              <w:rPr>
                <w:rFonts w:ascii="宋体" w:hAnsi="宋体" w:cs="宋体"/>
                <w:sz w:val="24"/>
              </w:rPr>
            </w:pPr>
            <w:r>
              <w:rPr>
                <w:rFonts w:hint="eastAsia" w:ascii="宋体" w:hAnsi="宋体" w:cs="宋体"/>
                <w:sz w:val="24"/>
              </w:rPr>
              <w:t>应急数据防外泄模块</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3BA4F65D">
            <w:pPr>
              <w:widowControl/>
              <w:textAlignment w:val="center"/>
              <w:rPr>
                <w:rFonts w:ascii="宋体" w:hAnsi="宋体" w:cs="宋体"/>
                <w:sz w:val="24"/>
              </w:rPr>
            </w:pPr>
            <w:r>
              <w:rPr>
                <w:rFonts w:hint="eastAsia" w:ascii="宋体" w:hAnsi="宋体" w:cs="宋体"/>
                <w:sz w:val="24"/>
              </w:rPr>
              <w:t>1</w:t>
            </w:r>
          </w:p>
        </w:tc>
        <w:tc>
          <w:tcPr>
            <w:tcW w:w="6839" w:type="dxa"/>
            <w:tcBorders>
              <w:top w:val="single" w:color="000000" w:sz="4" w:space="0"/>
              <w:left w:val="single" w:color="000000" w:sz="4" w:space="0"/>
              <w:bottom w:val="single" w:color="000000" w:sz="4" w:space="0"/>
              <w:right w:val="single" w:color="000000" w:sz="4" w:space="0"/>
            </w:tcBorders>
            <w:noWrap/>
            <w:vAlign w:val="center"/>
          </w:tcPr>
          <w:p w14:paraId="1C652969">
            <w:pPr>
              <w:adjustRightInd/>
              <w:jc w:val="left"/>
              <w:rPr>
                <w:rFonts w:ascii="宋体" w:hAnsi="宋体" w:cs="宋体"/>
                <w:sz w:val="24"/>
              </w:rPr>
            </w:pPr>
            <w:r>
              <w:rPr>
                <w:rFonts w:hint="eastAsia" w:ascii="宋体" w:hAnsi="宋体" w:cs="宋体"/>
                <w:sz w:val="24"/>
              </w:rPr>
              <w:t>分区类型：1、逻辑分区；2、动态分区；</w:t>
            </w:r>
          </w:p>
          <w:p w14:paraId="4C32151F">
            <w:pPr>
              <w:adjustRightInd/>
              <w:jc w:val="left"/>
              <w:rPr>
                <w:rFonts w:ascii="宋体" w:hAnsi="宋体" w:cs="宋体"/>
                <w:sz w:val="24"/>
              </w:rPr>
            </w:pPr>
            <w:r>
              <w:rPr>
                <w:rFonts w:hint="eastAsia" w:ascii="宋体" w:hAnsi="宋体" w:cs="宋体"/>
                <w:sz w:val="24"/>
              </w:rPr>
              <w:t>引导方式：MBR,UEFI；</w:t>
            </w:r>
          </w:p>
          <w:p w14:paraId="70E44686">
            <w:pPr>
              <w:adjustRightInd/>
              <w:jc w:val="left"/>
              <w:rPr>
                <w:rFonts w:ascii="宋体" w:hAnsi="宋体" w:cs="宋体"/>
                <w:sz w:val="24"/>
              </w:rPr>
            </w:pPr>
            <w:r>
              <w:rPr>
                <w:rFonts w:hint="eastAsia" w:ascii="宋体" w:hAnsi="宋体" w:cs="宋体"/>
                <w:sz w:val="24"/>
              </w:rPr>
              <w:t>文件系统：FAT16，FAT32，exFAT、NTFS、REFS；</w:t>
            </w:r>
          </w:p>
          <w:p w14:paraId="2B89C334">
            <w:pPr>
              <w:adjustRightInd/>
              <w:jc w:val="left"/>
              <w:rPr>
                <w:rFonts w:ascii="宋体" w:hAnsi="宋体" w:cs="宋体"/>
                <w:sz w:val="24"/>
              </w:rPr>
            </w:pPr>
            <w:r>
              <w:rPr>
                <w:rFonts w:hint="eastAsia" w:ascii="宋体" w:hAnsi="宋体" w:cs="宋体"/>
                <w:sz w:val="24"/>
              </w:rPr>
              <w:t>支持语言：国际化语言及环境，支持简体中文、繁体、英文、日文显示；</w:t>
            </w:r>
          </w:p>
          <w:p w14:paraId="565E57CE">
            <w:pPr>
              <w:adjustRightInd/>
              <w:jc w:val="left"/>
              <w:rPr>
                <w:rFonts w:ascii="宋体" w:hAnsi="宋体" w:cs="宋体"/>
                <w:sz w:val="24"/>
              </w:rPr>
            </w:pPr>
            <w:r>
              <w:rPr>
                <w:rFonts w:hint="eastAsia" w:ascii="宋体" w:hAnsi="宋体" w:cs="宋体"/>
                <w:sz w:val="24"/>
              </w:rPr>
              <w:t>加密分区：支持选择对应分区进行加密；</w:t>
            </w:r>
          </w:p>
          <w:p w14:paraId="38CD7207">
            <w:pPr>
              <w:adjustRightInd/>
              <w:jc w:val="left"/>
              <w:rPr>
                <w:rFonts w:ascii="宋体" w:hAnsi="宋体" w:cs="宋体"/>
                <w:sz w:val="24"/>
              </w:rPr>
            </w:pPr>
            <w:r>
              <w:rPr>
                <w:rFonts w:hint="eastAsia" w:ascii="宋体" w:hAnsi="宋体" w:cs="宋体"/>
                <w:sz w:val="24"/>
              </w:rPr>
              <w:t>解密分区：支持选择对应分区进行解密；</w:t>
            </w:r>
          </w:p>
          <w:p w14:paraId="1A95EE11">
            <w:pPr>
              <w:adjustRightInd/>
              <w:jc w:val="left"/>
              <w:rPr>
                <w:rFonts w:ascii="宋体" w:hAnsi="宋体" w:cs="宋体"/>
                <w:sz w:val="24"/>
              </w:rPr>
            </w:pPr>
            <w:r>
              <w:rPr>
                <w:rFonts w:hint="eastAsia" w:ascii="宋体" w:hAnsi="宋体" w:cs="宋体"/>
                <w:sz w:val="24"/>
              </w:rPr>
              <w:t>初始化性能策略：初始化CPU全速，初始化包括空闲空间的所有扇区（配置选择独占式、智能式）；</w:t>
            </w:r>
          </w:p>
          <w:p w14:paraId="50B8D6BE">
            <w:pPr>
              <w:adjustRightInd/>
              <w:jc w:val="left"/>
              <w:rPr>
                <w:rFonts w:ascii="宋体" w:hAnsi="宋体" w:cs="宋体"/>
                <w:sz w:val="24"/>
              </w:rPr>
            </w:pPr>
            <w:r>
              <w:rPr>
                <w:rFonts w:hint="eastAsia" w:ascii="宋体" w:hAnsi="宋体" w:cs="宋体"/>
                <w:sz w:val="24"/>
              </w:rPr>
              <w:t>用户管理：超级管理员（Administrator）可通过密码认证登录内置急救系统，超级管理员登录系统可对硬盘分区进行加解密，支持创建普通用户，最多创建3个普通用户；</w:t>
            </w:r>
          </w:p>
          <w:p w14:paraId="4508A200">
            <w:pPr>
              <w:adjustRightInd/>
              <w:jc w:val="left"/>
              <w:rPr>
                <w:rFonts w:ascii="宋体" w:hAnsi="宋体" w:cs="宋体"/>
                <w:sz w:val="24"/>
              </w:rPr>
            </w:pPr>
            <w:r>
              <w:rPr>
                <w:rFonts w:hint="eastAsia" w:ascii="宋体" w:hAnsi="宋体" w:cs="宋体"/>
                <w:sz w:val="24"/>
              </w:rPr>
              <w:t>普通用户：支持采用普通用户登录DiskCrypt系统，采用DiskCrypt中创建的普通用户可正常登录访问系统，普通用户登录不支持对硬盘分区进行加解密；</w:t>
            </w:r>
          </w:p>
          <w:p w14:paraId="614496C3">
            <w:pPr>
              <w:adjustRightInd/>
              <w:jc w:val="left"/>
              <w:rPr>
                <w:rFonts w:ascii="宋体" w:hAnsi="宋体" w:cs="宋体"/>
                <w:sz w:val="24"/>
              </w:rPr>
            </w:pPr>
            <w:r>
              <w:rPr>
                <w:rFonts w:hint="eastAsia" w:ascii="宋体" w:hAnsi="宋体" w:cs="宋体"/>
                <w:sz w:val="24"/>
              </w:rPr>
              <w:t>终端状态查看：支持查看终端磁盘分区加密模块状态信息，激活，停用，禁用；</w:t>
            </w:r>
          </w:p>
          <w:p w14:paraId="434DF071">
            <w:pPr>
              <w:adjustRightInd/>
              <w:jc w:val="left"/>
              <w:rPr>
                <w:rFonts w:ascii="宋体" w:hAnsi="宋体" w:cs="宋体"/>
                <w:sz w:val="24"/>
              </w:rPr>
            </w:pPr>
            <w:r>
              <w:rPr>
                <w:rFonts w:hint="eastAsia" w:ascii="宋体" w:hAnsi="宋体" w:cs="宋体"/>
                <w:sz w:val="24"/>
              </w:rPr>
              <w:t>硬盘信息：分区、加密状态、容量；</w:t>
            </w:r>
          </w:p>
          <w:p w14:paraId="4094A74C">
            <w:pPr>
              <w:adjustRightInd/>
              <w:jc w:val="left"/>
              <w:rPr>
                <w:rFonts w:ascii="宋体" w:hAnsi="宋体" w:cs="宋体"/>
                <w:sz w:val="24"/>
              </w:rPr>
            </w:pPr>
            <w:r>
              <w:rPr>
                <w:rFonts w:hint="eastAsia" w:ascii="宋体" w:hAnsi="宋体" w:cs="宋体"/>
                <w:sz w:val="24"/>
              </w:rPr>
              <w:t>系统还原：磁盘加密后支持还原到已安装全盘加密并初始化后的任意还原点，windows系统还原文件级的，DiskCrypt全盘加密是磁盘级的；</w:t>
            </w:r>
          </w:p>
          <w:p w14:paraId="7DA90971">
            <w:pPr>
              <w:adjustRightInd/>
              <w:jc w:val="left"/>
              <w:rPr>
                <w:rFonts w:ascii="宋体" w:hAnsi="宋体" w:cs="宋体"/>
                <w:sz w:val="24"/>
              </w:rPr>
            </w:pPr>
            <w:r>
              <w:rPr>
                <w:rFonts w:hint="eastAsia" w:ascii="宋体" w:hAnsi="宋体" w:cs="宋体"/>
                <w:sz w:val="24"/>
              </w:rPr>
              <w:t>兼容系统：Windows 全系列、麒麟、统信 UOS 系统。</w:t>
            </w:r>
          </w:p>
          <w:p w14:paraId="6043BE05">
            <w:pPr>
              <w:widowControl/>
              <w:jc w:val="left"/>
              <w:textAlignment w:val="center"/>
              <w:rPr>
                <w:rFonts w:ascii="宋体" w:hAnsi="宋体" w:cs="宋体"/>
                <w:sz w:val="24"/>
              </w:rPr>
            </w:pPr>
            <w:r>
              <w:rPr>
                <w:rFonts w:hint="eastAsia" w:ascii="宋体" w:hAnsi="宋体" w:cs="宋体"/>
                <w:sz w:val="24"/>
              </w:rPr>
              <w:t>★国产化率不低于80%，（提供第三方机构检测报告）</w:t>
            </w:r>
          </w:p>
        </w:tc>
      </w:tr>
      <w:tr w14:paraId="14B11F09">
        <w:tblPrEx>
          <w:tblCellMar>
            <w:top w:w="0" w:type="dxa"/>
            <w:left w:w="108" w:type="dxa"/>
            <w:bottom w:w="0" w:type="dxa"/>
            <w:right w:w="108" w:type="dxa"/>
          </w:tblCellMar>
        </w:tblPrEx>
        <w:trPr>
          <w:trHeight w:val="23" w:hRule="atLeast"/>
          <w:jc w:val="center"/>
        </w:trPr>
        <w:tc>
          <w:tcPr>
            <w:tcW w:w="791" w:type="dxa"/>
            <w:vMerge w:val="continue"/>
            <w:tcBorders>
              <w:left w:val="single" w:color="000000" w:sz="4" w:space="0"/>
              <w:right w:val="single" w:color="000000" w:sz="4" w:space="0"/>
            </w:tcBorders>
            <w:noWrap/>
            <w:vAlign w:val="center"/>
          </w:tcPr>
          <w:p w14:paraId="252C3AD2">
            <w:pPr>
              <w:jc w:val="center"/>
              <w:rPr>
                <w:rFonts w:ascii="宋体" w:hAnsi="宋体" w:cs="宋体"/>
                <w:sz w:val="24"/>
              </w:rPr>
            </w:pP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4ED3D148">
            <w:pPr>
              <w:widowControl/>
              <w:jc w:val="center"/>
              <w:textAlignment w:val="center"/>
              <w:rPr>
                <w:rFonts w:ascii="宋体" w:hAnsi="宋体" w:cs="宋体"/>
                <w:sz w:val="24"/>
              </w:rPr>
            </w:pPr>
            <w:r>
              <w:rPr>
                <w:rFonts w:hint="eastAsia" w:ascii="宋体" w:hAnsi="宋体" w:cs="宋体"/>
                <w:sz w:val="24"/>
              </w:rPr>
              <w:t>6</w:t>
            </w:r>
          </w:p>
        </w:tc>
        <w:tc>
          <w:tcPr>
            <w:tcW w:w="956" w:type="dxa"/>
            <w:gridSpan w:val="2"/>
            <w:tcBorders>
              <w:top w:val="single" w:color="000000" w:sz="4" w:space="0"/>
              <w:left w:val="single" w:color="000000" w:sz="4" w:space="0"/>
              <w:bottom w:val="single" w:color="000000" w:sz="4" w:space="0"/>
              <w:right w:val="single" w:color="000000" w:sz="4" w:space="0"/>
            </w:tcBorders>
            <w:noWrap/>
            <w:vAlign w:val="center"/>
          </w:tcPr>
          <w:p w14:paraId="03E7F3AE">
            <w:pPr>
              <w:widowControl/>
              <w:jc w:val="center"/>
              <w:textAlignment w:val="center"/>
              <w:rPr>
                <w:rFonts w:ascii="宋体" w:hAnsi="宋体" w:cs="宋体"/>
                <w:sz w:val="24"/>
              </w:rPr>
            </w:pPr>
            <w:r>
              <w:rPr>
                <w:rFonts w:hint="eastAsia" w:ascii="宋体" w:hAnsi="宋体" w:cs="宋体"/>
                <w:sz w:val="24"/>
              </w:rPr>
              <w:t>救援伸缩杆</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3472D4BC">
            <w:pPr>
              <w:widowControl/>
              <w:textAlignment w:val="center"/>
              <w:rPr>
                <w:rFonts w:ascii="宋体" w:hAnsi="宋体" w:cs="宋体"/>
                <w:sz w:val="24"/>
              </w:rPr>
            </w:pPr>
            <w:r>
              <w:rPr>
                <w:rFonts w:hint="eastAsia" w:ascii="宋体" w:hAnsi="宋体" w:cs="宋体"/>
                <w:sz w:val="24"/>
              </w:rPr>
              <w:t>1</w:t>
            </w:r>
          </w:p>
        </w:tc>
        <w:tc>
          <w:tcPr>
            <w:tcW w:w="6839" w:type="dxa"/>
            <w:tcBorders>
              <w:top w:val="single" w:color="000000" w:sz="4" w:space="0"/>
              <w:left w:val="single" w:color="000000" w:sz="4" w:space="0"/>
              <w:bottom w:val="single" w:color="000000" w:sz="4" w:space="0"/>
              <w:right w:val="single" w:color="000000" w:sz="4" w:space="0"/>
            </w:tcBorders>
            <w:noWrap/>
            <w:vAlign w:val="center"/>
          </w:tcPr>
          <w:p w14:paraId="77A0655F">
            <w:pPr>
              <w:adjustRightInd/>
              <w:jc w:val="left"/>
              <w:rPr>
                <w:rFonts w:ascii="宋体" w:hAnsi="宋体" w:cs="宋体"/>
                <w:sz w:val="24"/>
              </w:rPr>
            </w:pPr>
            <w:r>
              <w:rPr>
                <w:rFonts w:hint="eastAsia" w:ascii="宋体" w:hAnsi="宋体" w:cs="宋体"/>
                <w:sz w:val="24"/>
              </w:rPr>
              <w:t>采用抗拉胶体材质，拉动重量150kg，适应温度-10至70°℃，产品重量1kg，收缩长度1.2m，伸开长度5m，圈套直径31cm，管径35mm。</w:t>
            </w:r>
          </w:p>
        </w:tc>
      </w:tr>
      <w:tr w14:paraId="3BA4739F">
        <w:tblPrEx>
          <w:tblCellMar>
            <w:top w:w="0" w:type="dxa"/>
            <w:left w:w="108" w:type="dxa"/>
            <w:bottom w:w="0" w:type="dxa"/>
            <w:right w:w="108" w:type="dxa"/>
          </w:tblCellMar>
        </w:tblPrEx>
        <w:trPr>
          <w:trHeight w:val="23" w:hRule="atLeast"/>
          <w:jc w:val="center"/>
        </w:trPr>
        <w:tc>
          <w:tcPr>
            <w:tcW w:w="791" w:type="dxa"/>
            <w:vMerge w:val="continue"/>
            <w:tcBorders>
              <w:left w:val="single" w:color="000000" w:sz="4" w:space="0"/>
              <w:right w:val="single" w:color="000000" w:sz="4" w:space="0"/>
            </w:tcBorders>
            <w:noWrap/>
            <w:vAlign w:val="center"/>
          </w:tcPr>
          <w:p w14:paraId="28C0A7FF">
            <w:pPr>
              <w:jc w:val="center"/>
              <w:rPr>
                <w:rFonts w:ascii="宋体" w:hAnsi="宋体" w:cs="宋体"/>
                <w:sz w:val="24"/>
              </w:rPr>
            </w:pP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0D6F963E">
            <w:pPr>
              <w:widowControl/>
              <w:jc w:val="center"/>
              <w:textAlignment w:val="center"/>
              <w:rPr>
                <w:rFonts w:ascii="宋体" w:hAnsi="宋体" w:cs="宋体"/>
                <w:sz w:val="24"/>
              </w:rPr>
            </w:pPr>
            <w:r>
              <w:rPr>
                <w:rFonts w:hint="eastAsia" w:ascii="宋体" w:hAnsi="宋体" w:cs="宋体"/>
                <w:sz w:val="24"/>
              </w:rPr>
              <w:t>7</w:t>
            </w:r>
          </w:p>
        </w:tc>
        <w:tc>
          <w:tcPr>
            <w:tcW w:w="956" w:type="dxa"/>
            <w:gridSpan w:val="2"/>
            <w:tcBorders>
              <w:top w:val="single" w:color="000000" w:sz="4" w:space="0"/>
              <w:left w:val="single" w:color="000000" w:sz="4" w:space="0"/>
              <w:bottom w:val="single" w:color="000000" w:sz="4" w:space="0"/>
              <w:right w:val="single" w:color="000000" w:sz="4" w:space="0"/>
            </w:tcBorders>
            <w:noWrap/>
            <w:vAlign w:val="center"/>
          </w:tcPr>
          <w:p w14:paraId="5479BE1A">
            <w:pPr>
              <w:widowControl/>
              <w:jc w:val="center"/>
              <w:textAlignment w:val="center"/>
              <w:rPr>
                <w:rFonts w:ascii="宋体" w:hAnsi="宋体" w:cs="宋体"/>
                <w:sz w:val="24"/>
              </w:rPr>
            </w:pPr>
            <w:r>
              <w:rPr>
                <w:rFonts w:hint="eastAsia" w:ascii="宋体" w:hAnsi="宋体" w:cs="宋体"/>
                <w:sz w:val="24"/>
              </w:rPr>
              <w:t>铁锹</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2039C89E">
            <w:pPr>
              <w:widowControl/>
              <w:textAlignment w:val="center"/>
              <w:rPr>
                <w:rFonts w:ascii="宋体" w:hAnsi="宋体" w:cs="宋体"/>
                <w:sz w:val="24"/>
              </w:rPr>
            </w:pPr>
            <w:r>
              <w:rPr>
                <w:rFonts w:hint="eastAsia" w:ascii="宋体" w:hAnsi="宋体" w:cs="宋体"/>
                <w:sz w:val="24"/>
              </w:rPr>
              <w:t>140</w:t>
            </w:r>
          </w:p>
        </w:tc>
        <w:tc>
          <w:tcPr>
            <w:tcW w:w="6839" w:type="dxa"/>
            <w:tcBorders>
              <w:top w:val="single" w:color="000000" w:sz="4" w:space="0"/>
              <w:left w:val="single" w:color="000000" w:sz="4" w:space="0"/>
              <w:bottom w:val="single" w:color="000000" w:sz="4" w:space="0"/>
              <w:right w:val="single" w:color="000000" w:sz="4" w:space="0"/>
            </w:tcBorders>
            <w:noWrap/>
            <w:vAlign w:val="center"/>
          </w:tcPr>
          <w:p w14:paraId="2426CD64">
            <w:pPr>
              <w:adjustRightInd/>
              <w:jc w:val="left"/>
              <w:rPr>
                <w:rFonts w:ascii="宋体" w:hAnsi="宋体" w:cs="宋体"/>
                <w:sz w:val="24"/>
              </w:rPr>
            </w:pPr>
            <w:r>
              <w:rPr>
                <w:rFonts w:hint="eastAsia" w:ascii="宋体" w:hAnsi="宋体" w:cs="宋体"/>
                <w:sz w:val="24"/>
              </w:rPr>
              <w:t>柄长度：120cm：锹：40*24*30cm</w:t>
            </w:r>
          </w:p>
          <w:p w14:paraId="0FBE0341">
            <w:pPr>
              <w:adjustRightInd/>
              <w:jc w:val="left"/>
              <w:rPr>
                <w:rFonts w:ascii="宋体" w:hAnsi="宋体" w:cs="宋体"/>
                <w:sz w:val="24"/>
              </w:rPr>
            </w:pPr>
            <w:r>
              <w:rPr>
                <w:rFonts w:hint="eastAsia" w:ascii="宋体" w:hAnsi="宋体" w:cs="宋体"/>
                <w:sz w:val="24"/>
              </w:rPr>
              <w:t>主体材质：碳钢</w:t>
            </w:r>
          </w:p>
          <w:p w14:paraId="71F8E667">
            <w:pPr>
              <w:adjustRightInd/>
              <w:jc w:val="left"/>
              <w:rPr>
                <w:rFonts w:ascii="宋体" w:hAnsi="宋体" w:cs="宋体"/>
                <w:sz w:val="24"/>
              </w:rPr>
            </w:pPr>
            <w:r>
              <w:rPr>
                <w:rFonts w:hint="eastAsia" w:ascii="宋体" w:hAnsi="宋体" w:cs="宋体"/>
                <w:sz w:val="24"/>
              </w:rPr>
              <w:t>表面处理：喷漆</w:t>
            </w:r>
          </w:p>
          <w:p w14:paraId="1D7167EE">
            <w:pPr>
              <w:adjustRightInd/>
              <w:jc w:val="left"/>
              <w:rPr>
                <w:rFonts w:ascii="宋体" w:hAnsi="宋体" w:cs="宋体"/>
                <w:sz w:val="24"/>
              </w:rPr>
            </w:pPr>
            <w:r>
              <w:rPr>
                <w:rFonts w:hint="eastAsia" w:ascii="宋体" w:hAnsi="宋体" w:cs="宋体"/>
                <w:sz w:val="24"/>
              </w:rPr>
              <w:t>锹头宽：300mm</w:t>
            </w:r>
          </w:p>
          <w:p w14:paraId="562BA738">
            <w:pPr>
              <w:adjustRightInd/>
              <w:jc w:val="left"/>
              <w:rPr>
                <w:rFonts w:ascii="宋体" w:hAnsi="宋体" w:cs="宋体"/>
                <w:sz w:val="24"/>
              </w:rPr>
            </w:pPr>
            <w:r>
              <w:rPr>
                <w:rFonts w:hint="eastAsia" w:ascii="宋体" w:hAnsi="宋体" w:cs="宋体"/>
                <w:sz w:val="24"/>
              </w:rPr>
              <w:t>锹头重：0.8kg</w:t>
            </w:r>
          </w:p>
        </w:tc>
      </w:tr>
      <w:tr w14:paraId="5755BBB2">
        <w:tblPrEx>
          <w:tblCellMar>
            <w:top w:w="0" w:type="dxa"/>
            <w:left w:w="108" w:type="dxa"/>
            <w:bottom w:w="0" w:type="dxa"/>
            <w:right w:w="108" w:type="dxa"/>
          </w:tblCellMar>
        </w:tblPrEx>
        <w:trPr>
          <w:trHeight w:val="23" w:hRule="atLeast"/>
          <w:jc w:val="center"/>
        </w:trPr>
        <w:tc>
          <w:tcPr>
            <w:tcW w:w="791" w:type="dxa"/>
            <w:vMerge w:val="continue"/>
            <w:tcBorders>
              <w:left w:val="single" w:color="000000" w:sz="4" w:space="0"/>
              <w:right w:val="single" w:color="000000" w:sz="4" w:space="0"/>
            </w:tcBorders>
            <w:noWrap/>
            <w:vAlign w:val="center"/>
          </w:tcPr>
          <w:p w14:paraId="41C91000">
            <w:pPr>
              <w:jc w:val="center"/>
              <w:rPr>
                <w:rFonts w:ascii="宋体" w:hAnsi="宋体" w:cs="宋体"/>
                <w:sz w:val="24"/>
              </w:rPr>
            </w:pP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58761DCE">
            <w:pPr>
              <w:widowControl/>
              <w:jc w:val="center"/>
              <w:textAlignment w:val="center"/>
              <w:rPr>
                <w:rFonts w:ascii="宋体" w:hAnsi="宋体" w:cs="宋体"/>
                <w:sz w:val="24"/>
              </w:rPr>
            </w:pPr>
            <w:r>
              <w:rPr>
                <w:rFonts w:hint="eastAsia" w:ascii="宋体" w:hAnsi="宋体" w:cs="宋体"/>
                <w:sz w:val="24"/>
              </w:rPr>
              <w:t>8</w:t>
            </w:r>
          </w:p>
        </w:tc>
        <w:tc>
          <w:tcPr>
            <w:tcW w:w="956" w:type="dxa"/>
            <w:gridSpan w:val="2"/>
            <w:tcBorders>
              <w:top w:val="single" w:color="000000" w:sz="4" w:space="0"/>
              <w:left w:val="single" w:color="000000" w:sz="4" w:space="0"/>
              <w:bottom w:val="single" w:color="000000" w:sz="4" w:space="0"/>
              <w:right w:val="single" w:color="000000" w:sz="4" w:space="0"/>
            </w:tcBorders>
            <w:noWrap/>
            <w:vAlign w:val="center"/>
          </w:tcPr>
          <w:p w14:paraId="67EBF0DA">
            <w:pPr>
              <w:widowControl/>
              <w:jc w:val="center"/>
              <w:textAlignment w:val="center"/>
              <w:rPr>
                <w:rFonts w:ascii="宋体" w:hAnsi="宋体" w:cs="宋体"/>
                <w:sz w:val="24"/>
              </w:rPr>
            </w:pPr>
            <w:r>
              <w:rPr>
                <w:rFonts w:hint="eastAsia" w:ascii="宋体" w:hAnsi="宋体" w:cs="宋体"/>
                <w:sz w:val="24"/>
              </w:rPr>
              <w:t>高音喇叭</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19DEE613">
            <w:pPr>
              <w:widowControl/>
              <w:textAlignment w:val="center"/>
              <w:rPr>
                <w:rFonts w:ascii="宋体" w:hAnsi="宋体" w:cs="宋体"/>
                <w:sz w:val="24"/>
              </w:rPr>
            </w:pPr>
            <w:r>
              <w:rPr>
                <w:rFonts w:hint="eastAsia" w:ascii="宋体" w:hAnsi="宋体" w:cs="宋体"/>
                <w:sz w:val="24"/>
              </w:rPr>
              <w:t>10</w:t>
            </w:r>
          </w:p>
        </w:tc>
        <w:tc>
          <w:tcPr>
            <w:tcW w:w="6839" w:type="dxa"/>
            <w:tcBorders>
              <w:top w:val="single" w:color="000000" w:sz="4" w:space="0"/>
              <w:left w:val="single" w:color="000000" w:sz="4" w:space="0"/>
              <w:bottom w:val="single" w:color="000000" w:sz="4" w:space="0"/>
              <w:right w:val="single" w:color="000000" w:sz="4" w:space="0"/>
            </w:tcBorders>
            <w:noWrap/>
            <w:vAlign w:val="center"/>
          </w:tcPr>
          <w:p w14:paraId="35EF3B0E">
            <w:pPr>
              <w:adjustRightInd/>
              <w:jc w:val="left"/>
              <w:rPr>
                <w:rFonts w:ascii="宋体" w:hAnsi="宋体" w:cs="宋体"/>
                <w:sz w:val="24"/>
              </w:rPr>
            </w:pPr>
            <w:r>
              <w:rPr>
                <w:rFonts w:hint="eastAsia" w:ascii="宋体" w:hAnsi="宋体" w:cs="宋体"/>
                <w:sz w:val="24"/>
              </w:rPr>
              <w:t>功能：喊话录音音乐报警蓝牙USB/TF卡</w:t>
            </w:r>
          </w:p>
          <w:p w14:paraId="5595F105">
            <w:pPr>
              <w:adjustRightInd/>
              <w:jc w:val="left"/>
              <w:rPr>
                <w:rFonts w:ascii="宋体" w:hAnsi="宋体" w:cs="宋体"/>
                <w:sz w:val="24"/>
              </w:rPr>
            </w:pPr>
            <w:r>
              <w:rPr>
                <w:rFonts w:hint="eastAsia" w:ascii="宋体" w:hAnsi="宋体" w:cs="宋体"/>
                <w:sz w:val="24"/>
              </w:rPr>
              <w:t>性能：音量大，声音清晰</w:t>
            </w:r>
          </w:p>
          <w:p w14:paraId="7A682E7A">
            <w:pPr>
              <w:adjustRightInd/>
              <w:jc w:val="left"/>
              <w:rPr>
                <w:rFonts w:ascii="宋体" w:hAnsi="宋体" w:cs="宋体"/>
                <w:sz w:val="24"/>
              </w:rPr>
            </w:pPr>
            <w:r>
              <w:rPr>
                <w:rFonts w:hint="eastAsia" w:ascii="宋体" w:hAnsi="宋体" w:cs="宋体"/>
                <w:sz w:val="24"/>
              </w:rPr>
              <w:t>传播距离：2000米</w:t>
            </w:r>
          </w:p>
          <w:p w14:paraId="01AFFBEA">
            <w:pPr>
              <w:adjustRightInd/>
              <w:jc w:val="left"/>
              <w:rPr>
                <w:rFonts w:ascii="宋体" w:hAnsi="宋体" w:cs="宋体"/>
                <w:sz w:val="24"/>
              </w:rPr>
            </w:pPr>
            <w:r>
              <w:rPr>
                <w:rFonts w:hint="eastAsia" w:ascii="宋体" w:hAnsi="宋体" w:cs="宋体"/>
                <w:sz w:val="24"/>
              </w:rPr>
              <w:t>待机时间：约8-15小时(根据音量大小)</w:t>
            </w:r>
          </w:p>
          <w:p w14:paraId="14792F25">
            <w:pPr>
              <w:adjustRightInd/>
              <w:jc w:val="left"/>
              <w:rPr>
                <w:rFonts w:ascii="宋体" w:hAnsi="宋体" w:cs="宋体"/>
                <w:sz w:val="24"/>
              </w:rPr>
            </w:pPr>
            <w:r>
              <w:rPr>
                <w:rFonts w:hint="eastAsia" w:ascii="宋体" w:hAnsi="宋体" w:cs="宋体"/>
                <w:sz w:val="24"/>
              </w:rPr>
              <w:t>录音时间：360秒</w:t>
            </w:r>
          </w:p>
          <w:p w14:paraId="65C178F7">
            <w:pPr>
              <w:adjustRightInd/>
              <w:jc w:val="left"/>
              <w:rPr>
                <w:rFonts w:ascii="宋体" w:hAnsi="宋体" w:cs="宋体"/>
                <w:sz w:val="24"/>
              </w:rPr>
            </w:pPr>
            <w:r>
              <w:rPr>
                <w:rFonts w:hint="eastAsia" w:ascii="宋体" w:hAnsi="宋体" w:cs="宋体"/>
                <w:sz w:val="24"/>
              </w:rPr>
              <w:t>功率：100W</w:t>
            </w:r>
          </w:p>
          <w:p w14:paraId="7D115A46">
            <w:pPr>
              <w:adjustRightInd/>
              <w:jc w:val="left"/>
              <w:rPr>
                <w:rFonts w:ascii="宋体" w:hAnsi="宋体" w:cs="宋体"/>
                <w:sz w:val="24"/>
              </w:rPr>
            </w:pPr>
            <w:r>
              <w:rPr>
                <w:rFonts w:hint="eastAsia" w:ascii="宋体" w:hAnsi="宋体" w:cs="宋体"/>
                <w:sz w:val="24"/>
              </w:rPr>
              <w:t>电池：配备2节可充电锂电池</w:t>
            </w:r>
          </w:p>
          <w:p w14:paraId="75425421">
            <w:pPr>
              <w:adjustRightInd/>
              <w:jc w:val="left"/>
              <w:rPr>
                <w:rFonts w:ascii="宋体" w:hAnsi="宋体" w:cs="宋体"/>
                <w:sz w:val="24"/>
              </w:rPr>
            </w:pPr>
            <w:r>
              <w:rPr>
                <w:rFonts w:hint="eastAsia" w:ascii="宋体" w:hAnsi="宋体" w:cs="宋体"/>
                <w:sz w:val="24"/>
              </w:rPr>
              <w:t>材料：ABS</w:t>
            </w:r>
          </w:p>
          <w:p w14:paraId="6877EB4D">
            <w:pPr>
              <w:adjustRightInd/>
              <w:jc w:val="left"/>
              <w:rPr>
                <w:rFonts w:ascii="宋体" w:hAnsi="宋体" w:cs="宋体"/>
                <w:sz w:val="24"/>
              </w:rPr>
            </w:pPr>
            <w:r>
              <w:rPr>
                <w:rFonts w:hint="eastAsia" w:ascii="宋体" w:hAnsi="宋体" w:cs="宋体"/>
                <w:sz w:val="24"/>
              </w:rPr>
              <w:t>电池容量：4800MWH</w:t>
            </w:r>
          </w:p>
          <w:p w14:paraId="652080FD">
            <w:pPr>
              <w:adjustRightInd/>
              <w:jc w:val="left"/>
              <w:rPr>
                <w:rFonts w:ascii="宋体" w:hAnsi="宋体" w:cs="宋体"/>
                <w:sz w:val="24"/>
              </w:rPr>
            </w:pPr>
            <w:r>
              <w:rPr>
                <w:rFonts w:hint="eastAsia" w:ascii="宋体" w:hAnsi="宋体" w:cs="宋体"/>
                <w:sz w:val="24"/>
              </w:rPr>
              <w:t>产品重量：0.97KG</w:t>
            </w:r>
          </w:p>
          <w:p w14:paraId="419E86B0">
            <w:pPr>
              <w:adjustRightInd/>
              <w:jc w:val="left"/>
              <w:rPr>
                <w:rFonts w:ascii="宋体" w:hAnsi="宋体" w:cs="宋体"/>
                <w:sz w:val="24"/>
              </w:rPr>
            </w:pPr>
            <w:r>
              <w:rPr>
                <w:rFonts w:hint="eastAsia" w:ascii="宋体" w:hAnsi="宋体" w:cs="宋体"/>
                <w:sz w:val="24"/>
              </w:rPr>
              <w:t>颜色：全黑色/红白 双色可选</w:t>
            </w:r>
          </w:p>
        </w:tc>
      </w:tr>
      <w:tr w14:paraId="426E200A">
        <w:tblPrEx>
          <w:tblCellMar>
            <w:top w:w="0" w:type="dxa"/>
            <w:left w:w="108" w:type="dxa"/>
            <w:bottom w:w="0" w:type="dxa"/>
            <w:right w:w="108" w:type="dxa"/>
          </w:tblCellMar>
        </w:tblPrEx>
        <w:trPr>
          <w:trHeight w:val="117" w:hRule="atLeast"/>
          <w:jc w:val="center"/>
        </w:trPr>
        <w:tc>
          <w:tcPr>
            <w:tcW w:w="791" w:type="dxa"/>
            <w:vMerge w:val="continue"/>
            <w:tcBorders>
              <w:left w:val="single" w:color="000000" w:sz="4" w:space="0"/>
              <w:right w:val="single" w:color="000000" w:sz="4" w:space="0"/>
            </w:tcBorders>
            <w:noWrap/>
            <w:vAlign w:val="center"/>
          </w:tcPr>
          <w:p w14:paraId="1AD9D56D">
            <w:pPr>
              <w:jc w:val="center"/>
              <w:rPr>
                <w:rFonts w:ascii="宋体" w:hAnsi="宋体" w:cs="宋体"/>
                <w:sz w:val="24"/>
              </w:rPr>
            </w:pP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62E8363B">
            <w:pPr>
              <w:widowControl/>
              <w:jc w:val="center"/>
              <w:textAlignment w:val="center"/>
              <w:rPr>
                <w:rFonts w:ascii="宋体" w:hAnsi="宋体" w:cs="宋体"/>
                <w:sz w:val="24"/>
              </w:rPr>
            </w:pPr>
            <w:r>
              <w:rPr>
                <w:rFonts w:hint="eastAsia" w:ascii="宋体" w:hAnsi="宋体" w:cs="宋体"/>
                <w:sz w:val="24"/>
              </w:rPr>
              <w:t>9</w:t>
            </w:r>
          </w:p>
        </w:tc>
        <w:tc>
          <w:tcPr>
            <w:tcW w:w="956" w:type="dxa"/>
            <w:gridSpan w:val="2"/>
            <w:tcBorders>
              <w:top w:val="single" w:color="000000" w:sz="4" w:space="0"/>
              <w:left w:val="single" w:color="000000" w:sz="4" w:space="0"/>
              <w:bottom w:val="single" w:color="000000" w:sz="4" w:space="0"/>
              <w:right w:val="single" w:color="000000" w:sz="4" w:space="0"/>
            </w:tcBorders>
            <w:noWrap/>
            <w:vAlign w:val="center"/>
          </w:tcPr>
          <w:p w14:paraId="52848492">
            <w:pPr>
              <w:widowControl/>
              <w:jc w:val="center"/>
              <w:textAlignment w:val="center"/>
              <w:rPr>
                <w:rFonts w:ascii="宋体" w:hAnsi="宋体" w:cs="宋体"/>
                <w:sz w:val="24"/>
              </w:rPr>
            </w:pPr>
            <w:r>
              <w:rPr>
                <w:rFonts w:hint="eastAsia" w:ascii="宋体" w:hAnsi="宋体" w:cs="宋体"/>
                <w:sz w:val="24"/>
              </w:rPr>
              <w:t>救援担架</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1DB4D9F0">
            <w:pPr>
              <w:widowControl/>
              <w:textAlignment w:val="center"/>
              <w:rPr>
                <w:rFonts w:ascii="宋体" w:hAnsi="宋体" w:cs="宋体"/>
                <w:sz w:val="24"/>
              </w:rPr>
            </w:pPr>
            <w:r>
              <w:rPr>
                <w:rFonts w:hint="eastAsia" w:ascii="宋体" w:hAnsi="宋体" w:cs="宋体"/>
                <w:sz w:val="24"/>
              </w:rPr>
              <w:t>7</w:t>
            </w:r>
          </w:p>
        </w:tc>
        <w:tc>
          <w:tcPr>
            <w:tcW w:w="6839" w:type="dxa"/>
            <w:tcBorders>
              <w:top w:val="single" w:color="000000" w:sz="4" w:space="0"/>
              <w:left w:val="single" w:color="000000" w:sz="4" w:space="0"/>
              <w:bottom w:val="single" w:color="000000" w:sz="4" w:space="0"/>
              <w:right w:val="single" w:color="000000" w:sz="4" w:space="0"/>
            </w:tcBorders>
            <w:noWrap/>
            <w:vAlign w:val="center"/>
          </w:tcPr>
          <w:p w14:paraId="3F52EB27">
            <w:pPr>
              <w:adjustRightInd/>
              <w:jc w:val="left"/>
              <w:rPr>
                <w:rFonts w:ascii="宋体" w:hAnsi="宋体" w:cs="宋体"/>
                <w:sz w:val="24"/>
              </w:rPr>
            </w:pPr>
            <w:r>
              <w:rPr>
                <w:rFonts w:hint="eastAsia" w:ascii="宋体" w:hAnsi="宋体" w:cs="宋体"/>
                <w:sz w:val="24"/>
              </w:rPr>
              <w:t xml:space="preserve">1、符合DIN13048.3《可折叠担架》标准要求； </w:t>
            </w:r>
          </w:p>
          <w:p w14:paraId="24417518">
            <w:pPr>
              <w:adjustRightInd/>
              <w:jc w:val="left"/>
              <w:rPr>
                <w:rFonts w:ascii="宋体" w:hAnsi="宋体" w:cs="宋体"/>
                <w:sz w:val="24"/>
              </w:rPr>
            </w:pPr>
            <w:r>
              <w:rPr>
                <w:rFonts w:hint="eastAsia" w:ascii="宋体" w:hAnsi="宋体" w:cs="宋体"/>
                <w:sz w:val="24"/>
              </w:rPr>
              <w:t xml:space="preserve">2、为金属框架、高分子材料表面质材，便于清洁、洗消，安装有两个万向轮、两个定向轮； </w:t>
            </w:r>
          </w:p>
          <w:p w14:paraId="5E040F66">
            <w:pPr>
              <w:adjustRightInd/>
              <w:jc w:val="left"/>
              <w:rPr>
                <w:rFonts w:ascii="宋体" w:hAnsi="宋体" w:cs="宋体"/>
                <w:sz w:val="24"/>
              </w:rPr>
            </w:pPr>
            <w:r>
              <w:rPr>
                <w:rFonts w:hint="eastAsia" w:ascii="宋体" w:hAnsi="宋体" w:cs="宋体"/>
                <w:sz w:val="24"/>
              </w:rPr>
              <w:t>3、产品质量7.238kg、承重200Kg、展开长度186cm、折叠长度92cm；</w:t>
            </w:r>
          </w:p>
          <w:p w14:paraId="45259760">
            <w:pPr>
              <w:adjustRightInd/>
              <w:jc w:val="left"/>
              <w:rPr>
                <w:rFonts w:ascii="宋体" w:hAnsi="宋体" w:cs="宋体"/>
                <w:sz w:val="24"/>
              </w:rPr>
            </w:pPr>
            <w:r>
              <w:rPr>
                <w:rFonts w:hint="eastAsia" w:ascii="宋体" w:hAnsi="宋体" w:cs="宋体"/>
                <w:sz w:val="24"/>
              </w:rPr>
              <w:t>4、具有永久性标志及产品数据标识；</w:t>
            </w:r>
          </w:p>
          <w:p w14:paraId="47DD0120">
            <w:pPr>
              <w:widowControl/>
              <w:jc w:val="left"/>
              <w:textAlignment w:val="center"/>
              <w:rPr>
                <w:rFonts w:ascii="宋体" w:hAnsi="宋体" w:cs="宋体"/>
                <w:sz w:val="24"/>
              </w:rPr>
            </w:pPr>
            <w:r>
              <w:rPr>
                <w:rFonts w:hint="eastAsia" w:ascii="宋体" w:hAnsi="宋体" w:cs="宋体"/>
                <w:sz w:val="24"/>
              </w:rPr>
              <w:t>5、产品（提供第三方机构检测报告）</w:t>
            </w:r>
          </w:p>
        </w:tc>
      </w:tr>
      <w:tr w14:paraId="4ECC10E1">
        <w:tblPrEx>
          <w:tblCellMar>
            <w:top w:w="0" w:type="dxa"/>
            <w:left w:w="108" w:type="dxa"/>
            <w:bottom w:w="0" w:type="dxa"/>
            <w:right w:w="108" w:type="dxa"/>
          </w:tblCellMar>
        </w:tblPrEx>
        <w:trPr>
          <w:trHeight w:val="23" w:hRule="atLeast"/>
          <w:jc w:val="center"/>
        </w:trPr>
        <w:tc>
          <w:tcPr>
            <w:tcW w:w="791" w:type="dxa"/>
            <w:vMerge w:val="continue"/>
            <w:tcBorders>
              <w:left w:val="single" w:color="000000" w:sz="4" w:space="0"/>
              <w:right w:val="single" w:color="000000" w:sz="4" w:space="0"/>
            </w:tcBorders>
            <w:noWrap/>
            <w:vAlign w:val="center"/>
          </w:tcPr>
          <w:p w14:paraId="6E71EE21">
            <w:pPr>
              <w:jc w:val="center"/>
              <w:rPr>
                <w:rFonts w:ascii="宋体" w:hAnsi="宋体" w:cs="宋体"/>
                <w:sz w:val="24"/>
              </w:rPr>
            </w:pP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2785191B">
            <w:pPr>
              <w:widowControl/>
              <w:jc w:val="center"/>
              <w:textAlignment w:val="center"/>
              <w:rPr>
                <w:rFonts w:ascii="宋体" w:hAnsi="宋体" w:cs="宋体"/>
                <w:sz w:val="24"/>
              </w:rPr>
            </w:pPr>
            <w:r>
              <w:rPr>
                <w:rFonts w:hint="eastAsia" w:ascii="宋体" w:hAnsi="宋体" w:cs="宋体"/>
                <w:sz w:val="24"/>
              </w:rPr>
              <w:t>10</w:t>
            </w:r>
          </w:p>
        </w:tc>
        <w:tc>
          <w:tcPr>
            <w:tcW w:w="956" w:type="dxa"/>
            <w:gridSpan w:val="2"/>
            <w:tcBorders>
              <w:top w:val="single" w:color="000000" w:sz="4" w:space="0"/>
              <w:left w:val="single" w:color="000000" w:sz="4" w:space="0"/>
              <w:bottom w:val="single" w:color="000000" w:sz="4" w:space="0"/>
              <w:right w:val="single" w:color="000000" w:sz="4" w:space="0"/>
            </w:tcBorders>
            <w:noWrap/>
            <w:vAlign w:val="center"/>
          </w:tcPr>
          <w:p w14:paraId="06087085">
            <w:pPr>
              <w:widowControl/>
              <w:jc w:val="center"/>
              <w:textAlignment w:val="center"/>
              <w:rPr>
                <w:rFonts w:ascii="宋体" w:hAnsi="宋体" w:cs="宋体"/>
                <w:sz w:val="24"/>
              </w:rPr>
            </w:pPr>
            <w:r>
              <w:rPr>
                <w:rFonts w:hint="eastAsia" w:ascii="宋体" w:hAnsi="宋体" w:cs="宋体"/>
                <w:sz w:val="24"/>
              </w:rPr>
              <w:t>警戒带</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39935F79">
            <w:pPr>
              <w:widowControl/>
              <w:textAlignment w:val="center"/>
              <w:rPr>
                <w:rFonts w:ascii="宋体" w:hAnsi="宋体" w:cs="宋体"/>
                <w:sz w:val="24"/>
              </w:rPr>
            </w:pPr>
            <w:r>
              <w:rPr>
                <w:rFonts w:hint="eastAsia" w:ascii="宋体" w:hAnsi="宋体" w:cs="宋体"/>
                <w:sz w:val="24"/>
              </w:rPr>
              <w:t>35</w:t>
            </w:r>
          </w:p>
        </w:tc>
        <w:tc>
          <w:tcPr>
            <w:tcW w:w="6839" w:type="dxa"/>
            <w:tcBorders>
              <w:top w:val="single" w:color="000000" w:sz="4" w:space="0"/>
              <w:left w:val="single" w:color="000000" w:sz="4" w:space="0"/>
              <w:bottom w:val="single" w:color="000000" w:sz="4" w:space="0"/>
              <w:right w:val="single" w:color="000000" w:sz="4" w:space="0"/>
            </w:tcBorders>
            <w:noWrap/>
            <w:vAlign w:val="center"/>
          </w:tcPr>
          <w:p w14:paraId="2454D0AC">
            <w:pPr>
              <w:adjustRightInd/>
              <w:jc w:val="left"/>
              <w:rPr>
                <w:rFonts w:ascii="宋体" w:hAnsi="宋体" w:cs="宋体"/>
                <w:sz w:val="24"/>
              </w:rPr>
            </w:pPr>
            <w:r>
              <w:rPr>
                <w:rFonts w:hint="eastAsia" w:ascii="宋体" w:hAnsi="宋体" w:cs="宋体"/>
                <w:sz w:val="24"/>
              </w:rPr>
              <w:t>厚度40mm 厚度0.3mm 黄白反光警戒带 涤纶</w:t>
            </w:r>
          </w:p>
        </w:tc>
      </w:tr>
      <w:tr w14:paraId="595A4284">
        <w:tblPrEx>
          <w:tblCellMar>
            <w:top w:w="0" w:type="dxa"/>
            <w:left w:w="108" w:type="dxa"/>
            <w:bottom w:w="0" w:type="dxa"/>
            <w:right w:w="108" w:type="dxa"/>
          </w:tblCellMar>
        </w:tblPrEx>
        <w:trPr>
          <w:trHeight w:val="23" w:hRule="atLeast"/>
          <w:jc w:val="center"/>
        </w:trPr>
        <w:tc>
          <w:tcPr>
            <w:tcW w:w="791" w:type="dxa"/>
            <w:vMerge w:val="continue"/>
            <w:tcBorders>
              <w:left w:val="single" w:color="000000" w:sz="4" w:space="0"/>
              <w:right w:val="single" w:color="000000" w:sz="4" w:space="0"/>
            </w:tcBorders>
            <w:noWrap/>
            <w:vAlign w:val="center"/>
          </w:tcPr>
          <w:p w14:paraId="342C98D8">
            <w:pPr>
              <w:jc w:val="center"/>
              <w:rPr>
                <w:rFonts w:ascii="宋体" w:hAnsi="宋体" w:cs="宋体"/>
                <w:sz w:val="24"/>
              </w:rPr>
            </w:pP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489CCBE4">
            <w:pPr>
              <w:widowControl/>
              <w:jc w:val="center"/>
              <w:textAlignment w:val="center"/>
              <w:rPr>
                <w:rFonts w:ascii="宋体" w:hAnsi="宋体" w:cs="宋体"/>
                <w:sz w:val="24"/>
              </w:rPr>
            </w:pPr>
            <w:r>
              <w:rPr>
                <w:rFonts w:hint="eastAsia" w:ascii="宋体" w:hAnsi="宋体" w:cs="宋体"/>
                <w:sz w:val="24"/>
              </w:rPr>
              <w:t>11</w:t>
            </w:r>
          </w:p>
        </w:tc>
        <w:tc>
          <w:tcPr>
            <w:tcW w:w="956" w:type="dxa"/>
            <w:gridSpan w:val="2"/>
            <w:tcBorders>
              <w:top w:val="single" w:color="000000" w:sz="4" w:space="0"/>
              <w:left w:val="single" w:color="000000" w:sz="4" w:space="0"/>
              <w:bottom w:val="single" w:color="000000" w:sz="4" w:space="0"/>
              <w:right w:val="single" w:color="000000" w:sz="4" w:space="0"/>
            </w:tcBorders>
            <w:noWrap/>
            <w:vAlign w:val="center"/>
          </w:tcPr>
          <w:p w14:paraId="62AAAD7B">
            <w:pPr>
              <w:widowControl/>
              <w:jc w:val="center"/>
              <w:textAlignment w:val="center"/>
              <w:rPr>
                <w:rFonts w:ascii="宋体" w:hAnsi="宋体" w:cs="宋体"/>
                <w:sz w:val="24"/>
              </w:rPr>
            </w:pPr>
            <w:r>
              <w:rPr>
                <w:rFonts w:hint="eastAsia" w:ascii="宋体" w:hAnsi="宋体" w:cs="宋体"/>
                <w:sz w:val="24"/>
              </w:rPr>
              <w:t>马刀锯</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55CFE253">
            <w:pPr>
              <w:widowControl/>
              <w:textAlignment w:val="center"/>
              <w:rPr>
                <w:rFonts w:ascii="宋体" w:hAnsi="宋体" w:cs="宋体"/>
                <w:sz w:val="24"/>
              </w:rPr>
            </w:pPr>
            <w:r>
              <w:rPr>
                <w:rFonts w:hint="eastAsia" w:ascii="宋体" w:hAnsi="宋体" w:cs="宋体"/>
                <w:sz w:val="24"/>
              </w:rPr>
              <w:t>2</w:t>
            </w:r>
          </w:p>
        </w:tc>
        <w:tc>
          <w:tcPr>
            <w:tcW w:w="6839" w:type="dxa"/>
            <w:tcBorders>
              <w:top w:val="single" w:color="000000" w:sz="4" w:space="0"/>
              <w:left w:val="single" w:color="000000" w:sz="4" w:space="0"/>
              <w:bottom w:val="single" w:color="000000" w:sz="4" w:space="0"/>
              <w:right w:val="single" w:color="000000" w:sz="4" w:space="0"/>
            </w:tcBorders>
            <w:noWrap/>
            <w:vAlign w:val="center"/>
          </w:tcPr>
          <w:p w14:paraId="0276D52C">
            <w:pPr>
              <w:adjustRightInd/>
              <w:jc w:val="left"/>
              <w:rPr>
                <w:rFonts w:ascii="宋体" w:hAnsi="宋体" w:cs="宋体"/>
                <w:sz w:val="24"/>
              </w:rPr>
            </w:pPr>
            <w:r>
              <w:rPr>
                <w:rFonts w:hint="eastAsia" w:ascii="宋体" w:hAnsi="宋体" w:cs="宋体"/>
                <w:sz w:val="24"/>
              </w:rPr>
              <w:t>1.电池电压：20V</w:t>
            </w:r>
          </w:p>
          <w:p w14:paraId="5459397C">
            <w:pPr>
              <w:adjustRightInd/>
              <w:jc w:val="left"/>
              <w:rPr>
                <w:rFonts w:ascii="宋体" w:hAnsi="宋体" w:cs="宋体"/>
                <w:sz w:val="24"/>
              </w:rPr>
            </w:pPr>
            <w:r>
              <w:rPr>
                <w:rFonts w:hint="eastAsia" w:ascii="宋体" w:hAnsi="宋体" w:cs="宋体"/>
                <w:sz w:val="24"/>
              </w:rPr>
              <w:t>2.空载冲程转速（次/分钟）：0-3000</w:t>
            </w:r>
          </w:p>
          <w:p w14:paraId="53E72DD7">
            <w:pPr>
              <w:adjustRightInd/>
              <w:jc w:val="left"/>
              <w:rPr>
                <w:rFonts w:ascii="宋体" w:hAnsi="宋体" w:cs="宋体"/>
                <w:sz w:val="24"/>
              </w:rPr>
            </w:pPr>
            <w:r>
              <w:rPr>
                <w:rFonts w:hint="eastAsia" w:ascii="宋体" w:hAnsi="宋体" w:cs="宋体"/>
                <w:sz w:val="24"/>
              </w:rPr>
              <w:t>3.裸机重量（千克）：2.7</w:t>
            </w:r>
          </w:p>
          <w:p w14:paraId="239417E8">
            <w:pPr>
              <w:adjustRightInd/>
              <w:jc w:val="left"/>
              <w:rPr>
                <w:rFonts w:ascii="宋体" w:hAnsi="宋体" w:cs="宋体"/>
                <w:sz w:val="24"/>
              </w:rPr>
            </w:pPr>
            <w:r>
              <w:rPr>
                <w:rFonts w:hint="eastAsia" w:ascii="宋体" w:hAnsi="宋体" w:cs="宋体"/>
                <w:sz w:val="24"/>
              </w:rPr>
              <w:t xml:space="preserve">4.最大切割能力（毫米）：木材300/金属20          </w:t>
            </w:r>
          </w:p>
          <w:p w14:paraId="1F9C1FE0">
            <w:pPr>
              <w:adjustRightInd/>
              <w:jc w:val="left"/>
              <w:rPr>
                <w:rFonts w:ascii="宋体" w:hAnsi="宋体" w:cs="宋体"/>
                <w:sz w:val="24"/>
              </w:rPr>
            </w:pPr>
            <w:r>
              <w:rPr>
                <w:rFonts w:hint="eastAsia" w:ascii="宋体" w:hAnsi="宋体" w:cs="宋体"/>
                <w:sz w:val="24"/>
              </w:rPr>
              <w:t xml:space="preserve">5.冲程长度（毫米）：32                          </w:t>
            </w:r>
          </w:p>
          <w:p w14:paraId="299DD0A2">
            <w:pPr>
              <w:adjustRightInd/>
              <w:jc w:val="left"/>
              <w:rPr>
                <w:rFonts w:ascii="宋体" w:hAnsi="宋体" w:cs="宋体"/>
                <w:sz w:val="24"/>
              </w:rPr>
            </w:pPr>
            <w:r>
              <w:rPr>
                <w:rFonts w:hint="eastAsia" w:ascii="宋体" w:hAnsi="宋体" w:cs="宋体"/>
                <w:sz w:val="24"/>
              </w:rPr>
              <w:t xml:space="preserve">6.握持周长（毫米）：125                         </w:t>
            </w:r>
          </w:p>
          <w:p w14:paraId="2EE0C445">
            <w:pPr>
              <w:adjustRightInd/>
              <w:jc w:val="left"/>
              <w:rPr>
                <w:rFonts w:ascii="宋体" w:hAnsi="宋体" w:cs="宋体"/>
                <w:sz w:val="24"/>
              </w:rPr>
            </w:pPr>
            <w:r>
              <w:rPr>
                <w:rFonts w:hint="eastAsia" w:ascii="宋体" w:hAnsi="宋体" w:cs="宋体"/>
                <w:sz w:val="24"/>
              </w:rPr>
              <w:t xml:space="preserve">7.4.0Ah锂电池                                   </w:t>
            </w:r>
          </w:p>
          <w:p w14:paraId="1D251BE7">
            <w:pPr>
              <w:adjustRightInd/>
              <w:jc w:val="left"/>
              <w:rPr>
                <w:rFonts w:ascii="宋体" w:hAnsi="宋体" w:cs="宋体"/>
                <w:sz w:val="24"/>
              </w:rPr>
            </w:pPr>
            <w:r>
              <w:rPr>
                <w:rFonts w:hint="eastAsia" w:ascii="宋体" w:hAnsi="宋体" w:cs="宋体"/>
                <w:sz w:val="24"/>
              </w:rPr>
              <w:t>8.产品尺寸（毫米）：430×53×160</w:t>
            </w:r>
          </w:p>
        </w:tc>
      </w:tr>
      <w:tr w14:paraId="63987B05">
        <w:tblPrEx>
          <w:tblCellMar>
            <w:top w:w="0" w:type="dxa"/>
            <w:left w:w="108" w:type="dxa"/>
            <w:bottom w:w="0" w:type="dxa"/>
            <w:right w:w="108" w:type="dxa"/>
          </w:tblCellMar>
        </w:tblPrEx>
        <w:trPr>
          <w:trHeight w:val="23" w:hRule="atLeast"/>
          <w:jc w:val="center"/>
        </w:trPr>
        <w:tc>
          <w:tcPr>
            <w:tcW w:w="791" w:type="dxa"/>
            <w:vMerge w:val="continue"/>
            <w:tcBorders>
              <w:left w:val="single" w:color="000000" w:sz="4" w:space="0"/>
              <w:bottom w:val="single" w:color="000000" w:sz="4" w:space="0"/>
              <w:right w:val="single" w:color="000000" w:sz="4" w:space="0"/>
            </w:tcBorders>
            <w:noWrap/>
            <w:vAlign w:val="center"/>
          </w:tcPr>
          <w:p w14:paraId="6C261D12">
            <w:pPr>
              <w:jc w:val="center"/>
              <w:rPr>
                <w:rFonts w:ascii="宋体" w:hAnsi="宋体" w:cs="宋体"/>
                <w:sz w:val="24"/>
              </w:rPr>
            </w:pP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703477B3">
            <w:pPr>
              <w:widowControl/>
              <w:jc w:val="center"/>
              <w:textAlignment w:val="center"/>
              <w:rPr>
                <w:rFonts w:ascii="宋体" w:hAnsi="宋体" w:cs="宋体"/>
                <w:sz w:val="24"/>
              </w:rPr>
            </w:pPr>
            <w:r>
              <w:rPr>
                <w:rFonts w:hint="eastAsia" w:ascii="宋体" w:hAnsi="宋体" w:cs="宋体"/>
                <w:sz w:val="24"/>
              </w:rPr>
              <w:t>12</w:t>
            </w:r>
          </w:p>
        </w:tc>
        <w:tc>
          <w:tcPr>
            <w:tcW w:w="956" w:type="dxa"/>
            <w:gridSpan w:val="2"/>
            <w:tcBorders>
              <w:top w:val="single" w:color="000000" w:sz="4" w:space="0"/>
              <w:left w:val="single" w:color="000000" w:sz="4" w:space="0"/>
              <w:bottom w:val="single" w:color="000000" w:sz="4" w:space="0"/>
              <w:right w:val="single" w:color="000000" w:sz="4" w:space="0"/>
            </w:tcBorders>
            <w:noWrap/>
            <w:vAlign w:val="center"/>
          </w:tcPr>
          <w:p w14:paraId="2B28094A">
            <w:pPr>
              <w:widowControl/>
              <w:jc w:val="center"/>
              <w:textAlignment w:val="center"/>
              <w:rPr>
                <w:rFonts w:ascii="宋体" w:hAnsi="宋体" w:cs="宋体"/>
                <w:sz w:val="24"/>
              </w:rPr>
            </w:pPr>
            <w:r>
              <w:rPr>
                <w:rFonts w:hint="eastAsia" w:ascii="宋体" w:hAnsi="宋体" w:cs="宋体"/>
                <w:sz w:val="24"/>
              </w:rPr>
              <w:t>便携式探照灯</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1C482D25">
            <w:pPr>
              <w:widowControl/>
              <w:textAlignment w:val="center"/>
              <w:rPr>
                <w:rFonts w:ascii="宋体" w:hAnsi="宋体" w:cs="宋体"/>
                <w:sz w:val="24"/>
              </w:rPr>
            </w:pPr>
            <w:r>
              <w:rPr>
                <w:rFonts w:hint="eastAsia" w:ascii="宋体" w:hAnsi="宋体" w:cs="宋体"/>
                <w:sz w:val="24"/>
              </w:rPr>
              <w:t>14</w:t>
            </w:r>
          </w:p>
        </w:tc>
        <w:tc>
          <w:tcPr>
            <w:tcW w:w="6839" w:type="dxa"/>
            <w:tcBorders>
              <w:top w:val="single" w:color="000000" w:sz="4" w:space="0"/>
              <w:left w:val="single" w:color="000000" w:sz="4" w:space="0"/>
              <w:bottom w:val="single" w:color="000000" w:sz="4" w:space="0"/>
              <w:right w:val="single" w:color="000000" w:sz="4" w:space="0"/>
            </w:tcBorders>
            <w:noWrap/>
            <w:vAlign w:val="center"/>
          </w:tcPr>
          <w:p w14:paraId="54179922">
            <w:pPr>
              <w:adjustRightInd/>
              <w:jc w:val="left"/>
              <w:rPr>
                <w:rFonts w:ascii="宋体" w:hAnsi="宋体" w:cs="宋体"/>
                <w:sz w:val="24"/>
              </w:rPr>
            </w:pPr>
            <w:r>
              <w:rPr>
                <w:rFonts w:hint="eastAsia" w:ascii="宋体" w:hAnsi="宋体" w:cs="宋体"/>
                <w:sz w:val="24"/>
              </w:rPr>
              <w:t>一．多功能应急灯：</w:t>
            </w:r>
          </w:p>
          <w:p w14:paraId="75EA41C5">
            <w:pPr>
              <w:adjustRightInd/>
              <w:jc w:val="left"/>
              <w:rPr>
                <w:rFonts w:ascii="宋体" w:hAnsi="宋体" w:cs="宋体"/>
                <w:sz w:val="24"/>
              </w:rPr>
            </w:pPr>
            <w:r>
              <w:rPr>
                <w:rFonts w:hint="eastAsia" w:ascii="宋体" w:hAnsi="宋体" w:cs="宋体"/>
                <w:sz w:val="24"/>
              </w:rPr>
              <w:t>1.额定电压：≥22.2V  ，额定功率：≥50W</w:t>
            </w:r>
          </w:p>
          <w:p w14:paraId="3FD30B25">
            <w:pPr>
              <w:adjustRightInd/>
              <w:jc w:val="left"/>
              <w:rPr>
                <w:rFonts w:ascii="宋体" w:hAnsi="宋体" w:cs="宋体"/>
                <w:sz w:val="24"/>
              </w:rPr>
            </w:pPr>
            <w:r>
              <w:rPr>
                <w:rFonts w:hint="eastAsia" w:ascii="宋体" w:hAnsi="宋体" w:cs="宋体"/>
                <w:sz w:val="24"/>
              </w:rPr>
              <w:t>2.额定容量：≥10Ah ，工作时间：强光≥10小时，工作光≥16小时 ,警示光≥22小时，充电时间：≤6小时</w:t>
            </w:r>
          </w:p>
          <w:p w14:paraId="0973D54C">
            <w:pPr>
              <w:adjustRightInd/>
              <w:jc w:val="left"/>
              <w:rPr>
                <w:rFonts w:ascii="宋体" w:hAnsi="宋体" w:cs="宋体"/>
                <w:sz w:val="24"/>
              </w:rPr>
            </w:pPr>
            <w:r>
              <w:rPr>
                <w:rFonts w:hint="eastAsia" w:ascii="宋体" w:hAnsi="宋体" w:cs="宋体"/>
                <w:sz w:val="24"/>
              </w:rPr>
              <w:t>▲3.充满电后强光聚光模式下工作满10min时在测试距离6m处,测试光束中心的最大照度值，最大照度≥1500 1x, 充满电后强光泛光模式下工作满10min时在测试距离3m处，测试光東直径200mm上平均分布的5点照度值，平均照度≥1000 1x</w:t>
            </w:r>
          </w:p>
          <w:p w14:paraId="37DEB633">
            <w:pPr>
              <w:adjustRightInd/>
              <w:jc w:val="left"/>
              <w:rPr>
                <w:rFonts w:ascii="宋体" w:hAnsi="宋体" w:cs="宋体"/>
                <w:sz w:val="24"/>
              </w:rPr>
            </w:pPr>
            <w:r>
              <w:rPr>
                <w:rFonts w:hint="eastAsia" w:ascii="宋体" w:hAnsi="宋体" w:cs="宋体"/>
                <w:sz w:val="24"/>
              </w:rPr>
              <w:t>▲4.外形尺寸：升≤495*152*1245mm, 收≤495*152*178mm ，重量：≤6kg</w:t>
            </w:r>
          </w:p>
          <w:p w14:paraId="2A85463F">
            <w:pPr>
              <w:adjustRightInd/>
              <w:jc w:val="left"/>
              <w:rPr>
                <w:rFonts w:ascii="宋体" w:hAnsi="宋体" w:cs="宋体"/>
                <w:sz w:val="24"/>
              </w:rPr>
            </w:pPr>
            <w:r>
              <w:rPr>
                <w:rFonts w:hint="eastAsia" w:ascii="宋体" w:hAnsi="宋体" w:cs="宋体"/>
                <w:sz w:val="24"/>
              </w:rPr>
              <w:t>5.警示灯颜色/红/蓝，照明形式/聚光/泛光</w:t>
            </w:r>
          </w:p>
          <w:p w14:paraId="7A6BEA1E">
            <w:pPr>
              <w:adjustRightInd/>
              <w:jc w:val="left"/>
              <w:rPr>
                <w:rFonts w:ascii="宋体" w:hAnsi="宋体" w:cs="宋体"/>
                <w:sz w:val="24"/>
              </w:rPr>
            </w:pPr>
            <w:r>
              <w:rPr>
                <w:rFonts w:hint="eastAsia" w:ascii="宋体" w:hAnsi="宋体" w:cs="宋体"/>
                <w:sz w:val="24"/>
              </w:rPr>
              <w:t>6.外壳防护等级：≥IP66</w:t>
            </w:r>
          </w:p>
          <w:p w14:paraId="1DE126F6">
            <w:pPr>
              <w:adjustRightInd/>
              <w:jc w:val="left"/>
              <w:rPr>
                <w:rFonts w:ascii="宋体" w:hAnsi="宋体" w:cs="宋体"/>
                <w:sz w:val="24"/>
              </w:rPr>
            </w:pPr>
            <w:r>
              <w:rPr>
                <w:rFonts w:hint="eastAsia" w:ascii="宋体" w:hAnsi="宋体" w:cs="宋体"/>
                <w:sz w:val="24"/>
              </w:rPr>
              <w:t xml:space="preserve">▲7.结构形式:具有聚光、泛光、及聚泛光全开模式，灯头背面有红蓝警示灯,灯体表面具备电量显示功能;采用 LED 光源;配备有折叠式升降杆，升降杆采用快锁结构固定，升降高度1.25m,灯头照射角度可在上下 0-180°,左右 0-360°范围内调节,底部稳定可折叠支脚。采用可充电电池，配备专用充电。                                                                </w:t>
            </w:r>
          </w:p>
          <w:p w14:paraId="4A55A86B">
            <w:pPr>
              <w:widowControl/>
              <w:jc w:val="left"/>
              <w:textAlignment w:val="center"/>
              <w:rPr>
                <w:rFonts w:ascii="宋体" w:hAnsi="宋体" w:cs="宋体"/>
                <w:sz w:val="24"/>
              </w:rPr>
            </w:pPr>
            <w:r>
              <w:rPr>
                <w:rFonts w:hint="eastAsia" w:ascii="宋体" w:hAnsi="宋体" w:cs="宋体"/>
                <w:sz w:val="24"/>
              </w:rPr>
              <w:t>注：需提供第三方机构检测报告。</w:t>
            </w:r>
          </w:p>
        </w:tc>
      </w:tr>
      <w:tr w14:paraId="7DD41B53">
        <w:tblPrEx>
          <w:tblCellMar>
            <w:top w:w="0" w:type="dxa"/>
            <w:left w:w="108" w:type="dxa"/>
            <w:bottom w:w="0" w:type="dxa"/>
            <w:right w:w="108" w:type="dxa"/>
          </w:tblCellMar>
        </w:tblPrEx>
        <w:trPr>
          <w:trHeight w:val="23" w:hRule="atLeast"/>
          <w:jc w:val="center"/>
        </w:trPr>
        <w:tc>
          <w:tcPr>
            <w:tcW w:w="791" w:type="dxa"/>
            <w:vMerge w:val="restart"/>
            <w:tcBorders>
              <w:top w:val="single" w:color="000000" w:sz="4" w:space="0"/>
              <w:left w:val="single" w:color="000000" w:sz="4" w:space="0"/>
              <w:right w:val="single" w:color="000000" w:sz="4" w:space="0"/>
            </w:tcBorders>
            <w:noWrap/>
            <w:vAlign w:val="center"/>
          </w:tcPr>
          <w:p w14:paraId="1E950E3D">
            <w:pPr>
              <w:jc w:val="center"/>
              <w:rPr>
                <w:rFonts w:ascii="宋体" w:hAnsi="宋体" w:cs="宋体"/>
                <w:sz w:val="24"/>
              </w:rPr>
            </w:pPr>
            <w:r>
              <w:rPr>
                <w:rFonts w:hint="eastAsia" w:ascii="宋体" w:hAnsi="宋体" w:cs="宋体"/>
                <w:sz w:val="24"/>
              </w:rPr>
              <w:t>执法类</w:t>
            </w: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3ED506D6">
            <w:pPr>
              <w:widowControl/>
              <w:jc w:val="center"/>
              <w:textAlignment w:val="center"/>
              <w:rPr>
                <w:rFonts w:ascii="宋体" w:hAnsi="宋体" w:cs="宋体"/>
                <w:sz w:val="24"/>
              </w:rPr>
            </w:pPr>
            <w:r>
              <w:rPr>
                <w:rFonts w:hint="eastAsia" w:ascii="宋体" w:hAnsi="宋体" w:cs="宋体"/>
                <w:sz w:val="24"/>
              </w:rPr>
              <w:t>13</w:t>
            </w:r>
          </w:p>
        </w:tc>
        <w:tc>
          <w:tcPr>
            <w:tcW w:w="956" w:type="dxa"/>
            <w:gridSpan w:val="2"/>
            <w:tcBorders>
              <w:top w:val="single" w:color="000000" w:sz="4" w:space="0"/>
              <w:left w:val="single" w:color="000000" w:sz="4" w:space="0"/>
              <w:bottom w:val="single" w:color="000000" w:sz="4" w:space="0"/>
              <w:right w:val="single" w:color="000000" w:sz="4" w:space="0"/>
            </w:tcBorders>
            <w:noWrap/>
            <w:vAlign w:val="center"/>
          </w:tcPr>
          <w:p w14:paraId="41D35259">
            <w:pPr>
              <w:widowControl/>
              <w:jc w:val="center"/>
              <w:textAlignment w:val="center"/>
              <w:rPr>
                <w:rFonts w:ascii="宋体" w:hAnsi="宋体" w:cs="宋体"/>
                <w:sz w:val="24"/>
              </w:rPr>
            </w:pPr>
            <w:r>
              <w:rPr>
                <w:rFonts w:hint="eastAsia" w:ascii="宋体" w:hAnsi="宋体" w:cs="宋体"/>
                <w:sz w:val="24"/>
              </w:rPr>
              <w:t>测电笔</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2FFE09CB">
            <w:pPr>
              <w:widowControl/>
              <w:textAlignment w:val="center"/>
              <w:rPr>
                <w:rFonts w:ascii="宋体" w:hAnsi="宋体" w:cs="宋体"/>
                <w:sz w:val="24"/>
              </w:rPr>
            </w:pPr>
            <w:r>
              <w:rPr>
                <w:rFonts w:hint="eastAsia" w:ascii="宋体" w:hAnsi="宋体" w:cs="宋体"/>
                <w:sz w:val="24"/>
              </w:rPr>
              <w:t>6</w:t>
            </w:r>
          </w:p>
        </w:tc>
        <w:tc>
          <w:tcPr>
            <w:tcW w:w="6839" w:type="dxa"/>
            <w:tcBorders>
              <w:top w:val="single" w:color="000000" w:sz="4" w:space="0"/>
              <w:left w:val="single" w:color="000000" w:sz="4" w:space="0"/>
              <w:bottom w:val="single" w:color="000000" w:sz="4" w:space="0"/>
              <w:right w:val="single" w:color="000000" w:sz="4" w:space="0"/>
            </w:tcBorders>
            <w:noWrap/>
            <w:vAlign w:val="center"/>
          </w:tcPr>
          <w:p w14:paraId="36FA981E">
            <w:pPr>
              <w:adjustRightInd/>
              <w:jc w:val="left"/>
              <w:rPr>
                <w:rFonts w:ascii="宋体" w:hAnsi="宋体" w:cs="宋体"/>
                <w:sz w:val="24"/>
              </w:rPr>
            </w:pPr>
            <w:r>
              <w:rPr>
                <w:rFonts w:hint="eastAsia" w:ascii="宋体" w:hAnsi="宋体" w:cs="宋体"/>
                <w:sz w:val="24"/>
              </w:rPr>
              <w:t>测电范围：150-250V。</w:t>
            </w:r>
          </w:p>
          <w:p w14:paraId="3753D9AD">
            <w:pPr>
              <w:adjustRightInd/>
              <w:jc w:val="left"/>
              <w:rPr>
                <w:rFonts w:ascii="宋体" w:hAnsi="宋体" w:cs="宋体"/>
                <w:sz w:val="24"/>
              </w:rPr>
            </w:pPr>
            <w:r>
              <w:rPr>
                <w:rFonts w:hint="eastAsia" w:ascii="宋体" w:hAnsi="宋体" w:cs="宋体"/>
                <w:sz w:val="24"/>
              </w:rPr>
              <w:t xml:space="preserve"> 尺寸：笔杆直径3.5mm，长度180mm。</w:t>
            </w:r>
          </w:p>
          <w:p w14:paraId="2D64E1C8">
            <w:pPr>
              <w:adjustRightInd/>
              <w:jc w:val="left"/>
              <w:rPr>
                <w:rFonts w:ascii="宋体" w:hAnsi="宋体" w:cs="宋体"/>
                <w:sz w:val="24"/>
              </w:rPr>
            </w:pPr>
            <w:r>
              <w:rPr>
                <w:rFonts w:hint="eastAsia" w:ascii="宋体" w:hAnsi="宋体" w:cs="宋体"/>
                <w:sz w:val="24"/>
              </w:rPr>
              <w:t xml:space="preserve"> 外观：红色手柄。</w:t>
            </w:r>
          </w:p>
          <w:p w14:paraId="328ACD03">
            <w:pPr>
              <w:adjustRightInd/>
              <w:jc w:val="left"/>
              <w:rPr>
                <w:rFonts w:ascii="宋体" w:hAnsi="宋体" w:cs="宋体"/>
                <w:sz w:val="24"/>
              </w:rPr>
            </w:pPr>
            <w:r>
              <w:rPr>
                <w:rFonts w:hint="eastAsia" w:ascii="宋体" w:hAnsi="宋体" w:cs="宋体"/>
                <w:sz w:val="24"/>
              </w:rPr>
              <w:t xml:space="preserve"> 材质：笔尖和笔尾为金属材质，笔杆为绝缘材料。</w:t>
            </w:r>
          </w:p>
          <w:p w14:paraId="50E11773">
            <w:pPr>
              <w:adjustRightInd/>
              <w:jc w:val="left"/>
              <w:rPr>
                <w:rFonts w:ascii="宋体" w:hAnsi="宋体" w:cs="宋体"/>
                <w:sz w:val="24"/>
              </w:rPr>
            </w:pPr>
            <w:r>
              <w:rPr>
                <w:rFonts w:hint="eastAsia" w:ascii="宋体" w:hAnsi="宋体" w:cs="宋体"/>
                <w:sz w:val="24"/>
              </w:rPr>
              <w:t xml:space="preserve"> 功能：具备基本的测电功能，可通过氖泡发光来判断线路是否带电。其螺丝刀式设计，批头直径3.2mm，硬度高、扭力大，能用于拧螺丝。</w:t>
            </w:r>
          </w:p>
        </w:tc>
      </w:tr>
      <w:tr w14:paraId="7E81E267">
        <w:tblPrEx>
          <w:tblCellMar>
            <w:top w:w="0" w:type="dxa"/>
            <w:left w:w="108" w:type="dxa"/>
            <w:bottom w:w="0" w:type="dxa"/>
            <w:right w:w="108" w:type="dxa"/>
          </w:tblCellMar>
        </w:tblPrEx>
        <w:trPr>
          <w:trHeight w:val="23" w:hRule="atLeast"/>
          <w:jc w:val="center"/>
        </w:trPr>
        <w:tc>
          <w:tcPr>
            <w:tcW w:w="791" w:type="dxa"/>
            <w:vMerge w:val="continue"/>
            <w:tcBorders>
              <w:left w:val="single" w:color="000000" w:sz="4" w:space="0"/>
              <w:right w:val="single" w:color="000000" w:sz="4" w:space="0"/>
            </w:tcBorders>
            <w:noWrap/>
            <w:vAlign w:val="center"/>
          </w:tcPr>
          <w:p w14:paraId="146B1343">
            <w:pPr>
              <w:jc w:val="center"/>
              <w:rPr>
                <w:rFonts w:ascii="宋体" w:hAnsi="宋体" w:cs="宋体"/>
                <w:sz w:val="24"/>
              </w:rPr>
            </w:pP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0F55E9D6">
            <w:pPr>
              <w:widowControl/>
              <w:jc w:val="center"/>
              <w:textAlignment w:val="center"/>
              <w:rPr>
                <w:rFonts w:ascii="宋体" w:hAnsi="宋体" w:cs="宋体"/>
                <w:sz w:val="24"/>
              </w:rPr>
            </w:pPr>
            <w:r>
              <w:rPr>
                <w:rFonts w:hint="eastAsia" w:ascii="宋体" w:hAnsi="宋体" w:cs="宋体"/>
                <w:sz w:val="24"/>
              </w:rPr>
              <w:t>14</w:t>
            </w:r>
          </w:p>
        </w:tc>
        <w:tc>
          <w:tcPr>
            <w:tcW w:w="956" w:type="dxa"/>
            <w:gridSpan w:val="2"/>
            <w:tcBorders>
              <w:top w:val="single" w:color="000000" w:sz="4" w:space="0"/>
              <w:left w:val="single" w:color="000000" w:sz="4" w:space="0"/>
              <w:bottom w:val="single" w:color="000000" w:sz="4" w:space="0"/>
              <w:right w:val="single" w:color="000000" w:sz="4" w:space="0"/>
            </w:tcBorders>
            <w:noWrap/>
            <w:vAlign w:val="center"/>
          </w:tcPr>
          <w:p w14:paraId="37AE8EB2">
            <w:pPr>
              <w:widowControl/>
              <w:jc w:val="center"/>
              <w:textAlignment w:val="center"/>
              <w:rPr>
                <w:rFonts w:ascii="宋体" w:hAnsi="宋体" w:cs="宋体"/>
                <w:sz w:val="24"/>
              </w:rPr>
            </w:pPr>
            <w:r>
              <w:rPr>
                <w:rFonts w:hint="eastAsia" w:ascii="宋体" w:hAnsi="宋体" w:cs="宋体"/>
                <w:sz w:val="24"/>
              </w:rPr>
              <w:t>强光手电（头灯）</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6EED7FE8">
            <w:pPr>
              <w:widowControl/>
              <w:textAlignment w:val="center"/>
              <w:rPr>
                <w:rFonts w:ascii="宋体" w:hAnsi="宋体" w:cs="宋体"/>
                <w:sz w:val="24"/>
              </w:rPr>
            </w:pPr>
            <w:r>
              <w:rPr>
                <w:rFonts w:hint="eastAsia" w:ascii="宋体" w:hAnsi="宋体" w:cs="宋体"/>
                <w:sz w:val="24"/>
              </w:rPr>
              <w:t>14</w:t>
            </w:r>
          </w:p>
        </w:tc>
        <w:tc>
          <w:tcPr>
            <w:tcW w:w="6839" w:type="dxa"/>
            <w:tcBorders>
              <w:top w:val="single" w:color="000000" w:sz="4" w:space="0"/>
              <w:left w:val="single" w:color="000000" w:sz="4" w:space="0"/>
              <w:bottom w:val="single" w:color="000000" w:sz="4" w:space="0"/>
              <w:right w:val="single" w:color="000000" w:sz="4" w:space="0"/>
            </w:tcBorders>
            <w:noWrap/>
            <w:vAlign w:val="center"/>
          </w:tcPr>
          <w:p w14:paraId="1426E9F5">
            <w:pPr>
              <w:adjustRightInd/>
              <w:jc w:val="left"/>
              <w:rPr>
                <w:rFonts w:ascii="宋体" w:hAnsi="宋体" w:cs="宋体"/>
                <w:sz w:val="24"/>
              </w:rPr>
            </w:pPr>
            <w:r>
              <w:rPr>
                <w:rFonts w:hint="eastAsia" w:ascii="宋体" w:hAnsi="宋体" w:cs="宋体"/>
                <w:sz w:val="24"/>
              </w:rPr>
              <w:t xml:space="preserve">符合：GB3836.1-2021 爆炸性环境 第1部分:设备 通用要求 </w:t>
            </w:r>
          </w:p>
          <w:p w14:paraId="7DF23146">
            <w:pPr>
              <w:adjustRightInd/>
              <w:jc w:val="left"/>
              <w:rPr>
                <w:rFonts w:ascii="宋体" w:hAnsi="宋体" w:cs="宋体"/>
                <w:sz w:val="24"/>
              </w:rPr>
            </w:pPr>
            <w:r>
              <w:rPr>
                <w:rFonts w:hint="eastAsia" w:ascii="宋体" w:hAnsi="宋体" w:cs="宋体"/>
                <w:sz w:val="24"/>
              </w:rPr>
              <w:t>GB3836.2-2021 爆炸性环境 第2部分:由隔爆外壳“d”保护的设备（须在防爆合格证体现验证）                                                             1、隔爆型最高防爆等级，可在易燃易爆场所安全使用。</w:t>
            </w:r>
          </w:p>
          <w:p w14:paraId="3EF272E7">
            <w:pPr>
              <w:adjustRightInd/>
              <w:jc w:val="left"/>
              <w:rPr>
                <w:rFonts w:ascii="宋体" w:hAnsi="宋体" w:cs="宋体"/>
                <w:sz w:val="24"/>
              </w:rPr>
            </w:pPr>
            <w:r>
              <w:rPr>
                <w:rFonts w:hint="eastAsia" w:ascii="宋体" w:hAnsi="宋体" w:cs="宋体"/>
                <w:sz w:val="24"/>
              </w:rPr>
              <w:t>2、采用固态免维护LED光源，光效高，寿命长达10万小时。</w:t>
            </w:r>
          </w:p>
          <w:p w14:paraId="108731E1">
            <w:pPr>
              <w:adjustRightInd/>
              <w:jc w:val="left"/>
              <w:rPr>
                <w:rFonts w:ascii="宋体" w:hAnsi="宋体" w:cs="宋体"/>
                <w:sz w:val="24"/>
              </w:rPr>
            </w:pPr>
            <w:r>
              <w:rPr>
                <w:rFonts w:hint="eastAsia" w:ascii="宋体" w:hAnsi="宋体" w:cs="宋体"/>
                <w:sz w:val="24"/>
              </w:rPr>
              <w:t>3、具有工作光、强光、弱光，爆闪，SOS， 5种光设计，按动按钮可进行自由转换。</w:t>
            </w:r>
          </w:p>
          <w:p w14:paraId="7AA27050">
            <w:pPr>
              <w:adjustRightInd/>
              <w:jc w:val="left"/>
              <w:rPr>
                <w:rFonts w:ascii="宋体" w:hAnsi="宋体" w:cs="宋体"/>
                <w:sz w:val="24"/>
              </w:rPr>
            </w:pPr>
            <w:r>
              <w:rPr>
                <w:rFonts w:hint="eastAsia" w:ascii="宋体" w:hAnsi="宋体" w:cs="宋体"/>
                <w:sz w:val="24"/>
              </w:rPr>
              <w:t>4、人性化的电量指示（百分30%电量为红色，百分之70为绿色）和低电压显示功能设计，可随时查询电池电量；当电量不足时，灯具会自动提示进行充电。尾部带有红色方位信号指示灯，可给救援现场人员定位警示。</w:t>
            </w:r>
          </w:p>
          <w:p w14:paraId="3424B2F2">
            <w:pPr>
              <w:adjustRightInd/>
              <w:jc w:val="left"/>
              <w:rPr>
                <w:rFonts w:ascii="宋体" w:hAnsi="宋体" w:cs="宋体"/>
                <w:sz w:val="24"/>
              </w:rPr>
            </w:pPr>
            <w:r>
              <w:rPr>
                <w:rFonts w:hint="eastAsia" w:ascii="宋体" w:hAnsi="宋体" w:cs="宋体"/>
                <w:sz w:val="24"/>
              </w:rPr>
              <w:t>5、额定电压 ≥DC3.7V,  额定容量 ≥2200mAh</w:t>
            </w:r>
          </w:p>
          <w:p w14:paraId="05C3FA1D">
            <w:pPr>
              <w:adjustRightInd/>
              <w:jc w:val="left"/>
              <w:rPr>
                <w:rFonts w:ascii="宋体" w:hAnsi="宋体" w:cs="宋体"/>
                <w:sz w:val="24"/>
              </w:rPr>
            </w:pPr>
            <w:r>
              <w:rPr>
                <w:rFonts w:hint="eastAsia" w:ascii="宋体" w:hAnsi="宋体" w:cs="宋体"/>
                <w:sz w:val="24"/>
              </w:rPr>
              <w:t>6、额定功率（LED）3W</w:t>
            </w:r>
          </w:p>
          <w:p w14:paraId="45984C96">
            <w:pPr>
              <w:adjustRightInd/>
              <w:jc w:val="left"/>
              <w:rPr>
                <w:rFonts w:ascii="宋体" w:hAnsi="宋体" w:cs="宋体"/>
                <w:sz w:val="24"/>
              </w:rPr>
            </w:pPr>
            <w:r>
              <w:rPr>
                <w:rFonts w:hint="eastAsia" w:ascii="宋体" w:hAnsi="宋体" w:cs="宋体"/>
                <w:sz w:val="24"/>
              </w:rPr>
              <w:t>7、平均使用寿命 ≥100000h</w:t>
            </w:r>
          </w:p>
          <w:p w14:paraId="02739E93">
            <w:pPr>
              <w:adjustRightInd/>
              <w:jc w:val="left"/>
              <w:rPr>
                <w:rFonts w:ascii="宋体" w:hAnsi="宋体" w:cs="宋体"/>
                <w:sz w:val="24"/>
              </w:rPr>
            </w:pPr>
            <w:r>
              <w:rPr>
                <w:rFonts w:hint="eastAsia" w:ascii="宋体" w:hAnsi="宋体" w:cs="宋体"/>
                <w:sz w:val="24"/>
              </w:rPr>
              <w:t>8、连续放电时间： 6h（强光）/12h（工作光）/20h（频闪）</w:t>
            </w:r>
          </w:p>
          <w:p w14:paraId="0E6D2FF9">
            <w:pPr>
              <w:adjustRightInd/>
              <w:jc w:val="left"/>
              <w:rPr>
                <w:rFonts w:ascii="宋体" w:hAnsi="宋体" w:cs="宋体"/>
                <w:sz w:val="24"/>
              </w:rPr>
            </w:pPr>
            <w:r>
              <w:rPr>
                <w:rFonts w:hint="eastAsia" w:ascii="宋体" w:hAnsi="宋体" w:cs="宋体"/>
                <w:sz w:val="24"/>
              </w:rPr>
              <w:t xml:space="preserve">9、充电时间 5h电池使用寿命 ≥1000（循环）,  </w:t>
            </w:r>
          </w:p>
          <w:p w14:paraId="28E628DF">
            <w:pPr>
              <w:adjustRightInd/>
              <w:jc w:val="left"/>
              <w:rPr>
                <w:rFonts w:ascii="宋体" w:hAnsi="宋体" w:cs="宋体"/>
                <w:sz w:val="24"/>
              </w:rPr>
            </w:pPr>
            <w:r>
              <w:rPr>
                <w:rFonts w:hint="eastAsia" w:ascii="宋体" w:hAnsi="宋体" w:cs="宋体"/>
                <w:sz w:val="24"/>
              </w:rPr>
              <w:t>10、外形尺寸 ≤28×140mm(直径×长度)</w:t>
            </w:r>
          </w:p>
          <w:p w14:paraId="168B7BA4">
            <w:pPr>
              <w:adjustRightInd/>
              <w:jc w:val="left"/>
              <w:rPr>
                <w:rFonts w:ascii="宋体" w:hAnsi="宋体" w:cs="宋体"/>
                <w:sz w:val="24"/>
              </w:rPr>
            </w:pPr>
            <w:r>
              <w:rPr>
                <w:rFonts w:hint="eastAsia" w:ascii="宋体" w:hAnsi="宋体" w:cs="宋体"/>
                <w:sz w:val="24"/>
              </w:rPr>
              <w:t xml:space="preserve">11、重量≤ 0.12kg ,                                                    </w:t>
            </w:r>
          </w:p>
          <w:p w14:paraId="2F6F6A0B">
            <w:pPr>
              <w:adjustRightInd/>
              <w:jc w:val="left"/>
              <w:rPr>
                <w:rFonts w:ascii="宋体" w:hAnsi="宋体" w:cs="宋体"/>
                <w:sz w:val="24"/>
              </w:rPr>
            </w:pPr>
            <w:r>
              <w:rPr>
                <w:rFonts w:hint="eastAsia" w:ascii="宋体" w:hAnsi="宋体" w:cs="宋体"/>
                <w:sz w:val="24"/>
              </w:rPr>
              <w:t xml:space="preserve">12、外壳防护等级 ≥IP66（须在防爆合格证体现验证）  </w:t>
            </w:r>
          </w:p>
          <w:p w14:paraId="7952963B">
            <w:pPr>
              <w:adjustRightInd/>
              <w:jc w:val="left"/>
              <w:rPr>
                <w:rFonts w:ascii="宋体" w:hAnsi="宋体" w:cs="宋体"/>
                <w:sz w:val="24"/>
              </w:rPr>
            </w:pPr>
            <w:r>
              <w:rPr>
                <w:rFonts w:hint="eastAsia" w:ascii="宋体" w:hAnsi="宋体" w:cs="宋体"/>
                <w:sz w:val="24"/>
              </w:rPr>
              <w:t>13、防爆标志：Ex db ⅡC T6 Gb（须在防爆合格证体现验证）</w:t>
            </w:r>
          </w:p>
        </w:tc>
      </w:tr>
      <w:tr w14:paraId="4DB7E3DF">
        <w:tblPrEx>
          <w:tblCellMar>
            <w:top w:w="0" w:type="dxa"/>
            <w:left w:w="108" w:type="dxa"/>
            <w:bottom w:w="0" w:type="dxa"/>
            <w:right w:w="108" w:type="dxa"/>
          </w:tblCellMar>
        </w:tblPrEx>
        <w:trPr>
          <w:trHeight w:val="23" w:hRule="atLeast"/>
          <w:jc w:val="center"/>
        </w:trPr>
        <w:tc>
          <w:tcPr>
            <w:tcW w:w="791" w:type="dxa"/>
            <w:vMerge w:val="continue"/>
            <w:tcBorders>
              <w:left w:val="single" w:color="000000" w:sz="4" w:space="0"/>
              <w:right w:val="single" w:color="000000" w:sz="4" w:space="0"/>
            </w:tcBorders>
            <w:noWrap/>
            <w:vAlign w:val="center"/>
          </w:tcPr>
          <w:p w14:paraId="664E37D2">
            <w:pPr>
              <w:jc w:val="center"/>
              <w:rPr>
                <w:rFonts w:ascii="宋体" w:hAnsi="宋体" w:cs="宋体"/>
                <w:sz w:val="24"/>
              </w:rPr>
            </w:pP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3CC209AF">
            <w:pPr>
              <w:widowControl/>
              <w:jc w:val="center"/>
              <w:textAlignment w:val="center"/>
              <w:rPr>
                <w:rFonts w:ascii="宋体" w:hAnsi="宋体" w:cs="宋体"/>
                <w:sz w:val="24"/>
              </w:rPr>
            </w:pPr>
            <w:r>
              <w:rPr>
                <w:rFonts w:hint="eastAsia" w:ascii="宋体" w:hAnsi="宋体" w:cs="宋体"/>
                <w:sz w:val="24"/>
              </w:rPr>
              <w:t>15</w:t>
            </w:r>
          </w:p>
        </w:tc>
        <w:tc>
          <w:tcPr>
            <w:tcW w:w="956" w:type="dxa"/>
            <w:gridSpan w:val="2"/>
            <w:tcBorders>
              <w:top w:val="single" w:color="000000" w:sz="4" w:space="0"/>
              <w:left w:val="single" w:color="000000" w:sz="4" w:space="0"/>
              <w:bottom w:val="single" w:color="000000" w:sz="4" w:space="0"/>
              <w:right w:val="single" w:color="000000" w:sz="4" w:space="0"/>
            </w:tcBorders>
            <w:noWrap/>
            <w:vAlign w:val="center"/>
          </w:tcPr>
          <w:p w14:paraId="5CAE2A75">
            <w:pPr>
              <w:widowControl/>
              <w:jc w:val="center"/>
              <w:textAlignment w:val="center"/>
              <w:rPr>
                <w:rFonts w:ascii="宋体" w:hAnsi="宋体" w:cs="宋体"/>
                <w:sz w:val="24"/>
              </w:rPr>
            </w:pPr>
            <w:r>
              <w:rPr>
                <w:rFonts w:hint="eastAsia" w:ascii="宋体" w:hAnsi="宋体" w:cs="宋体"/>
                <w:sz w:val="24"/>
              </w:rPr>
              <w:t>卷尺</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4A9D3B60">
            <w:pPr>
              <w:widowControl/>
              <w:textAlignment w:val="center"/>
              <w:rPr>
                <w:rFonts w:ascii="宋体" w:hAnsi="宋体" w:cs="宋体"/>
                <w:sz w:val="24"/>
              </w:rPr>
            </w:pPr>
            <w:r>
              <w:rPr>
                <w:rFonts w:hint="eastAsia" w:ascii="宋体" w:hAnsi="宋体" w:cs="宋体"/>
                <w:sz w:val="24"/>
              </w:rPr>
              <w:t>2</w:t>
            </w:r>
          </w:p>
        </w:tc>
        <w:tc>
          <w:tcPr>
            <w:tcW w:w="6839" w:type="dxa"/>
            <w:tcBorders>
              <w:top w:val="single" w:color="000000" w:sz="4" w:space="0"/>
              <w:left w:val="single" w:color="000000" w:sz="4" w:space="0"/>
              <w:bottom w:val="single" w:color="000000" w:sz="4" w:space="0"/>
              <w:right w:val="single" w:color="000000" w:sz="4" w:space="0"/>
            </w:tcBorders>
            <w:noWrap/>
            <w:vAlign w:val="center"/>
          </w:tcPr>
          <w:p w14:paraId="0EFB2F30">
            <w:pPr>
              <w:adjustRightInd/>
              <w:jc w:val="left"/>
              <w:rPr>
                <w:rFonts w:ascii="宋体" w:hAnsi="宋体" w:cs="宋体"/>
                <w:sz w:val="24"/>
              </w:rPr>
            </w:pPr>
            <w:r>
              <w:rPr>
                <w:rFonts w:hint="eastAsia" w:ascii="宋体" w:hAnsi="宋体" w:cs="宋体"/>
                <w:sz w:val="24"/>
              </w:rPr>
              <w:t>尺寸规格：长度为10米，尺带宽度为25毫米。整体尺寸（长×宽×高）约为1000x10x2毫米。</w:t>
            </w:r>
          </w:p>
          <w:p w14:paraId="44122259">
            <w:pPr>
              <w:adjustRightInd/>
              <w:jc w:val="left"/>
              <w:rPr>
                <w:rFonts w:ascii="宋体" w:hAnsi="宋体" w:cs="宋体"/>
                <w:sz w:val="24"/>
              </w:rPr>
            </w:pPr>
            <w:r>
              <w:rPr>
                <w:rFonts w:hint="eastAsia" w:ascii="宋体" w:hAnsi="宋体" w:cs="宋体"/>
                <w:sz w:val="24"/>
              </w:rPr>
              <w:t xml:space="preserve"> 精度等级：达到GIS一级精度。</w:t>
            </w:r>
          </w:p>
          <w:p w14:paraId="418CB8AC">
            <w:pPr>
              <w:adjustRightInd/>
              <w:jc w:val="left"/>
              <w:rPr>
                <w:rFonts w:ascii="宋体" w:hAnsi="宋体" w:cs="宋体"/>
                <w:sz w:val="24"/>
              </w:rPr>
            </w:pPr>
            <w:r>
              <w:rPr>
                <w:rFonts w:hint="eastAsia" w:ascii="宋体" w:hAnsi="宋体" w:cs="宋体"/>
                <w:sz w:val="24"/>
              </w:rPr>
              <w:t xml:space="preserve"> 材质：尺带采用高级钢材，表面有尼龙披覆耐磨处理和防锈涂层，尺壳采用高强度ABS塑料。</w:t>
            </w:r>
          </w:p>
          <w:p w14:paraId="25762C8A">
            <w:pPr>
              <w:adjustRightInd/>
              <w:jc w:val="left"/>
              <w:rPr>
                <w:rFonts w:ascii="宋体" w:hAnsi="宋体" w:cs="宋体"/>
                <w:sz w:val="24"/>
              </w:rPr>
            </w:pPr>
            <w:r>
              <w:rPr>
                <w:rFonts w:hint="eastAsia" w:ascii="宋体" w:hAnsi="宋体" w:cs="宋体"/>
                <w:sz w:val="24"/>
              </w:rPr>
              <w:t xml:space="preserve"> 功能设计：卷尺尺勾有自动归零设置，确保测量内部或外部均从零位开始。尺爪有减震设计，伸缩自如，能有效减少尺带回收后坐力。带有灵活制动按钮，手控感强，防滑尺钩内置防滑线不易脱落。背部有便携挂钩，方便携带和悬挂。</w:t>
            </w:r>
          </w:p>
        </w:tc>
      </w:tr>
      <w:tr w14:paraId="5BFFC36C">
        <w:tblPrEx>
          <w:tblCellMar>
            <w:top w:w="0" w:type="dxa"/>
            <w:left w:w="108" w:type="dxa"/>
            <w:bottom w:w="0" w:type="dxa"/>
            <w:right w:w="108" w:type="dxa"/>
          </w:tblCellMar>
        </w:tblPrEx>
        <w:trPr>
          <w:trHeight w:val="23" w:hRule="atLeast"/>
          <w:jc w:val="center"/>
        </w:trPr>
        <w:tc>
          <w:tcPr>
            <w:tcW w:w="791" w:type="dxa"/>
            <w:vMerge w:val="continue"/>
            <w:tcBorders>
              <w:left w:val="single" w:color="000000" w:sz="4" w:space="0"/>
              <w:right w:val="single" w:color="000000" w:sz="4" w:space="0"/>
            </w:tcBorders>
            <w:noWrap/>
            <w:vAlign w:val="center"/>
          </w:tcPr>
          <w:p w14:paraId="081AB0C7">
            <w:pPr>
              <w:jc w:val="center"/>
              <w:rPr>
                <w:rFonts w:ascii="宋体" w:hAnsi="宋体" w:cs="宋体"/>
                <w:sz w:val="24"/>
              </w:rPr>
            </w:pP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15F4EF53">
            <w:pPr>
              <w:widowControl/>
              <w:jc w:val="center"/>
              <w:textAlignment w:val="center"/>
              <w:rPr>
                <w:rFonts w:ascii="宋体" w:hAnsi="宋体" w:cs="宋体"/>
                <w:sz w:val="24"/>
              </w:rPr>
            </w:pPr>
            <w:r>
              <w:rPr>
                <w:rFonts w:hint="eastAsia" w:ascii="宋体" w:hAnsi="宋体" w:cs="宋体"/>
                <w:sz w:val="24"/>
              </w:rPr>
              <w:t>16</w:t>
            </w:r>
          </w:p>
        </w:tc>
        <w:tc>
          <w:tcPr>
            <w:tcW w:w="956" w:type="dxa"/>
            <w:gridSpan w:val="2"/>
            <w:tcBorders>
              <w:top w:val="single" w:color="000000" w:sz="4" w:space="0"/>
              <w:left w:val="single" w:color="000000" w:sz="4" w:space="0"/>
              <w:bottom w:val="single" w:color="000000" w:sz="4" w:space="0"/>
              <w:right w:val="single" w:color="000000" w:sz="4" w:space="0"/>
            </w:tcBorders>
            <w:noWrap/>
            <w:vAlign w:val="center"/>
          </w:tcPr>
          <w:p w14:paraId="6C45CEE3">
            <w:pPr>
              <w:widowControl/>
              <w:jc w:val="center"/>
              <w:textAlignment w:val="center"/>
              <w:rPr>
                <w:rFonts w:ascii="宋体" w:hAnsi="宋体" w:cs="宋体"/>
                <w:sz w:val="24"/>
              </w:rPr>
            </w:pPr>
            <w:r>
              <w:rPr>
                <w:rFonts w:hint="eastAsia" w:ascii="宋体" w:hAnsi="宋体" w:cs="宋体"/>
                <w:sz w:val="24"/>
              </w:rPr>
              <w:t>绝缘手套</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2E5E7AD9">
            <w:pPr>
              <w:widowControl/>
              <w:textAlignment w:val="center"/>
              <w:rPr>
                <w:rFonts w:ascii="宋体" w:hAnsi="宋体" w:cs="宋体"/>
                <w:sz w:val="24"/>
              </w:rPr>
            </w:pPr>
            <w:r>
              <w:rPr>
                <w:rFonts w:hint="eastAsia" w:ascii="宋体" w:hAnsi="宋体" w:cs="宋体"/>
                <w:sz w:val="24"/>
              </w:rPr>
              <w:t>6</w:t>
            </w:r>
          </w:p>
        </w:tc>
        <w:tc>
          <w:tcPr>
            <w:tcW w:w="6839" w:type="dxa"/>
            <w:tcBorders>
              <w:top w:val="single" w:color="000000" w:sz="4" w:space="0"/>
              <w:left w:val="single" w:color="000000" w:sz="4" w:space="0"/>
              <w:bottom w:val="single" w:color="000000" w:sz="4" w:space="0"/>
              <w:right w:val="single" w:color="000000" w:sz="4" w:space="0"/>
            </w:tcBorders>
            <w:noWrap/>
            <w:vAlign w:val="center"/>
          </w:tcPr>
          <w:p w14:paraId="44831A14">
            <w:pPr>
              <w:adjustRightInd/>
              <w:jc w:val="left"/>
              <w:rPr>
                <w:rFonts w:ascii="宋体" w:hAnsi="宋体" w:cs="宋体"/>
                <w:sz w:val="24"/>
              </w:rPr>
            </w:pPr>
            <w:r>
              <w:rPr>
                <w:rFonts w:hint="eastAsia" w:ascii="宋体" w:hAnsi="宋体" w:cs="宋体"/>
                <w:sz w:val="24"/>
              </w:rPr>
              <w:t>符合GB/T17622-2008《带点作业用绝缘手套》  25kV掌型款 适用交流电压≦21750V，直流电压≦32625V的作业场所，长365mm 宽180mm 厚3.45mm。</w:t>
            </w:r>
          </w:p>
        </w:tc>
      </w:tr>
      <w:tr w14:paraId="2FE6C068">
        <w:tblPrEx>
          <w:tblCellMar>
            <w:top w:w="0" w:type="dxa"/>
            <w:left w:w="108" w:type="dxa"/>
            <w:bottom w:w="0" w:type="dxa"/>
            <w:right w:w="108" w:type="dxa"/>
          </w:tblCellMar>
        </w:tblPrEx>
        <w:trPr>
          <w:trHeight w:val="23" w:hRule="atLeast"/>
          <w:jc w:val="center"/>
        </w:trPr>
        <w:tc>
          <w:tcPr>
            <w:tcW w:w="791" w:type="dxa"/>
            <w:vMerge w:val="continue"/>
            <w:tcBorders>
              <w:left w:val="single" w:color="000000" w:sz="4" w:space="0"/>
              <w:right w:val="single" w:color="000000" w:sz="4" w:space="0"/>
            </w:tcBorders>
            <w:noWrap/>
            <w:vAlign w:val="center"/>
          </w:tcPr>
          <w:p w14:paraId="616E7BBB">
            <w:pPr>
              <w:jc w:val="center"/>
              <w:rPr>
                <w:rFonts w:ascii="宋体" w:hAnsi="宋体" w:cs="宋体"/>
                <w:sz w:val="24"/>
              </w:rPr>
            </w:pP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2C9CE5AE">
            <w:pPr>
              <w:widowControl/>
              <w:jc w:val="center"/>
              <w:textAlignment w:val="center"/>
              <w:rPr>
                <w:rFonts w:ascii="宋体" w:hAnsi="宋体" w:cs="宋体"/>
                <w:sz w:val="24"/>
              </w:rPr>
            </w:pPr>
            <w:r>
              <w:rPr>
                <w:rFonts w:hint="eastAsia" w:ascii="宋体" w:hAnsi="宋体" w:cs="宋体"/>
                <w:sz w:val="24"/>
              </w:rPr>
              <w:t>17</w:t>
            </w:r>
          </w:p>
        </w:tc>
        <w:tc>
          <w:tcPr>
            <w:tcW w:w="956" w:type="dxa"/>
            <w:gridSpan w:val="2"/>
            <w:tcBorders>
              <w:top w:val="single" w:color="000000" w:sz="4" w:space="0"/>
              <w:left w:val="single" w:color="000000" w:sz="4" w:space="0"/>
              <w:bottom w:val="single" w:color="000000" w:sz="4" w:space="0"/>
              <w:right w:val="single" w:color="000000" w:sz="4" w:space="0"/>
            </w:tcBorders>
            <w:noWrap/>
            <w:vAlign w:val="center"/>
          </w:tcPr>
          <w:p w14:paraId="7C23BC08">
            <w:pPr>
              <w:widowControl/>
              <w:jc w:val="center"/>
              <w:textAlignment w:val="center"/>
              <w:rPr>
                <w:rFonts w:ascii="宋体" w:hAnsi="宋体" w:cs="宋体"/>
                <w:sz w:val="24"/>
              </w:rPr>
            </w:pPr>
            <w:r>
              <w:rPr>
                <w:rFonts w:hint="eastAsia" w:ascii="宋体" w:hAnsi="宋体" w:cs="宋体"/>
                <w:sz w:val="24"/>
              </w:rPr>
              <w:t>防爆照相机</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1B4526EA">
            <w:pPr>
              <w:widowControl/>
              <w:textAlignment w:val="center"/>
              <w:rPr>
                <w:rFonts w:ascii="宋体" w:hAnsi="宋体" w:cs="宋体"/>
                <w:sz w:val="24"/>
              </w:rPr>
            </w:pPr>
            <w:r>
              <w:rPr>
                <w:rFonts w:hint="eastAsia" w:ascii="宋体" w:hAnsi="宋体" w:cs="宋体"/>
                <w:sz w:val="24"/>
              </w:rPr>
              <w:t>5</w:t>
            </w:r>
          </w:p>
        </w:tc>
        <w:tc>
          <w:tcPr>
            <w:tcW w:w="6839" w:type="dxa"/>
            <w:tcBorders>
              <w:top w:val="single" w:color="000000" w:sz="4" w:space="0"/>
              <w:left w:val="single" w:color="000000" w:sz="4" w:space="0"/>
              <w:bottom w:val="single" w:color="000000" w:sz="4" w:space="0"/>
              <w:right w:val="single" w:color="000000" w:sz="4" w:space="0"/>
            </w:tcBorders>
            <w:noWrap/>
            <w:vAlign w:val="center"/>
          </w:tcPr>
          <w:p w14:paraId="4183C470">
            <w:pPr>
              <w:adjustRightInd/>
              <w:jc w:val="left"/>
              <w:rPr>
                <w:rFonts w:ascii="宋体" w:hAnsi="宋体" w:cs="宋体"/>
                <w:sz w:val="24"/>
              </w:rPr>
            </w:pPr>
            <w:r>
              <w:rPr>
                <w:rFonts w:hint="eastAsia" w:ascii="宋体" w:hAnsi="宋体" w:cs="宋体"/>
                <w:sz w:val="24"/>
              </w:rPr>
              <w:t>1、有效像素≥2400万；</w:t>
            </w:r>
          </w:p>
          <w:p w14:paraId="0775D986">
            <w:pPr>
              <w:adjustRightInd/>
              <w:jc w:val="left"/>
              <w:rPr>
                <w:rFonts w:ascii="宋体" w:hAnsi="宋体" w:cs="宋体"/>
                <w:sz w:val="24"/>
              </w:rPr>
            </w:pPr>
            <w:r>
              <w:rPr>
                <w:rFonts w:hint="eastAsia" w:ascii="宋体" w:hAnsi="宋体" w:cs="宋体"/>
                <w:sz w:val="24"/>
              </w:rPr>
              <w:t>2、图像感应器尺寸22.3×14.9毫米；</w:t>
            </w:r>
          </w:p>
          <w:p w14:paraId="58BDFBD9">
            <w:pPr>
              <w:adjustRightInd/>
              <w:jc w:val="left"/>
              <w:rPr>
                <w:rFonts w:ascii="宋体" w:hAnsi="宋体" w:cs="宋体"/>
                <w:sz w:val="24"/>
              </w:rPr>
            </w:pPr>
            <w:r>
              <w:rPr>
                <w:rFonts w:hint="eastAsia" w:ascii="宋体" w:hAnsi="宋体" w:cs="宋体"/>
                <w:sz w:val="24"/>
              </w:rPr>
              <w:t>3、3.0英寸彩色显示屏；</w:t>
            </w:r>
          </w:p>
          <w:p w14:paraId="7183D3D6">
            <w:pPr>
              <w:adjustRightInd/>
              <w:jc w:val="left"/>
              <w:rPr>
                <w:rFonts w:ascii="宋体" w:hAnsi="宋体" w:cs="宋体"/>
                <w:sz w:val="24"/>
              </w:rPr>
            </w:pPr>
            <w:r>
              <w:rPr>
                <w:rFonts w:hint="eastAsia" w:ascii="宋体" w:hAnsi="宋体" w:cs="宋体"/>
                <w:sz w:val="24"/>
              </w:rPr>
              <w:t>4、内置10颗本安型LED闪光灯；</w:t>
            </w:r>
          </w:p>
          <w:p w14:paraId="19985B55">
            <w:pPr>
              <w:adjustRightInd/>
              <w:jc w:val="left"/>
              <w:rPr>
                <w:rFonts w:ascii="宋体" w:hAnsi="宋体" w:cs="宋体"/>
                <w:sz w:val="24"/>
              </w:rPr>
            </w:pPr>
            <w:r>
              <w:rPr>
                <w:rFonts w:hint="eastAsia" w:ascii="宋体" w:hAnsi="宋体" w:cs="宋体"/>
                <w:sz w:val="24"/>
              </w:rPr>
              <w:t>5、相机闪光灯防爆锂电池一体化设计；</w:t>
            </w:r>
          </w:p>
          <w:p w14:paraId="27863BBD">
            <w:pPr>
              <w:adjustRightInd/>
              <w:jc w:val="left"/>
              <w:rPr>
                <w:rFonts w:ascii="宋体" w:hAnsi="宋体" w:cs="宋体"/>
                <w:sz w:val="24"/>
              </w:rPr>
            </w:pPr>
            <w:r>
              <w:rPr>
                <w:rFonts w:hint="eastAsia" w:ascii="宋体" w:hAnsi="宋体" w:cs="宋体"/>
                <w:sz w:val="24"/>
              </w:rPr>
              <w:t>6、自动对焦自动曝光单镜头反光式；</w:t>
            </w:r>
          </w:p>
          <w:p w14:paraId="6490555A">
            <w:pPr>
              <w:adjustRightInd/>
              <w:jc w:val="left"/>
              <w:rPr>
                <w:rFonts w:ascii="宋体" w:hAnsi="宋体" w:cs="宋体"/>
                <w:sz w:val="24"/>
              </w:rPr>
            </w:pPr>
            <w:r>
              <w:rPr>
                <w:rFonts w:hint="eastAsia" w:ascii="宋体" w:hAnsi="宋体" w:cs="宋体"/>
                <w:sz w:val="24"/>
              </w:rPr>
              <w:t>7、支持WIFI、NFC；</w:t>
            </w:r>
          </w:p>
          <w:p w14:paraId="3E3F21E8">
            <w:pPr>
              <w:adjustRightInd/>
              <w:jc w:val="left"/>
              <w:rPr>
                <w:rFonts w:ascii="宋体" w:hAnsi="宋体" w:cs="宋体"/>
                <w:sz w:val="24"/>
              </w:rPr>
            </w:pPr>
            <w:r>
              <w:rPr>
                <w:rFonts w:hint="eastAsia" w:ascii="宋体" w:hAnsi="宋体" w:cs="宋体"/>
                <w:sz w:val="24"/>
              </w:rPr>
              <w:t>8、配置18-55mm镜头、存储卡、相机包、防护箱；</w:t>
            </w:r>
          </w:p>
          <w:p w14:paraId="1E706FC2">
            <w:pPr>
              <w:adjustRightInd/>
              <w:jc w:val="left"/>
              <w:rPr>
                <w:rFonts w:ascii="宋体" w:hAnsi="宋体" w:cs="宋体"/>
                <w:sz w:val="24"/>
              </w:rPr>
            </w:pPr>
            <w:r>
              <w:rPr>
                <w:rFonts w:hint="eastAsia" w:ascii="宋体" w:hAnsi="宋体" w:cs="宋体"/>
                <w:sz w:val="24"/>
              </w:rPr>
              <w:t>9、防爆等级不低于：ExibIICT4Gb；Ex ib IIIC T130℃ Db；</w:t>
            </w:r>
          </w:p>
          <w:p w14:paraId="56B99EC2">
            <w:pPr>
              <w:adjustRightInd/>
              <w:jc w:val="left"/>
              <w:rPr>
                <w:rFonts w:ascii="宋体" w:hAnsi="宋体" w:cs="宋体"/>
                <w:sz w:val="24"/>
              </w:rPr>
            </w:pPr>
            <w:r>
              <w:rPr>
                <w:rFonts w:hint="eastAsia" w:ascii="宋体" w:hAnsi="宋体" w:cs="宋体"/>
                <w:sz w:val="24"/>
              </w:rPr>
              <w:t>▲10、防爆证书产品名称需体现红外相机字样；</w:t>
            </w:r>
          </w:p>
        </w:tc>
      </w:tr>
      <w:tr w14:paraId="370BA895">
        <w:tblPrEx>
          <w:tblCellMar>
            <w:top w:w="0" w:type="dxa"/>
            <w:left w:w="108" w:type="dxa"/>
            <w:bottom w:w="0" w:type="dxa"/>
            <w:right w:w="108" w:type="dxa"/>
          </w:tblCellMar>
        </w:tblPrEx>
        <w:trPr>
          <w:trHeight w:val="23" w:hRule="atLeast"/>
          <w:jc w:val="center"/>
        </w:trPr>
        <w:tc>
          <w:tcPr>
            <w:tcW w:w="791" w:type="dxa"/>
            <w:vMerge w:val="continue"/>
            <w:tcBorders>
              <w:left w:val="single" w:color="000000" w:sz="4" w:space="0"/>
              <w:right w:val="single" w:color="000000" w:sz="4" w:space="0"/>
            </w:tcBorders>
            <w:noWrap/>
            <w:vAlign w:val="center"/>
          </w:tcPr>
          <w:p w14:paraId="7183DA6C">
            <w:pPr>
              <w:jc w:val="center"/>
              <w:rPr>
                <w:rFonts w:ascii="宋体" w:hAnsi="宋体" w:cs="宋体"/>
                <w:sz w:val="24"/>
              </w:rPr>
            </w:pP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1EFD4819">
            <w:pPr>
              <w:widowControl/>
              <w:jc w:val="center"/>
              <w:textAlignment w:val="center"/>
              <w:rPr>
                <w:rFonts w:ascii="宋体" w:hAnsi="宋体" w:cs="宋体"/>
                <w:sz w:val="24"/>
              </w:rPr>
            </w:pPr>
            <w:r>
              <w:rPr>
                <w:rFonts w:hint="eastAsia" w:ascii="宋体" w:hAnsi="宋体" w:cs="宋体"/>
                <w:sz w:val="24"/>
              </w:rPr>
              <w:t>18</w:t>
            </w:r>
          </w:p>
        </w:tc>
        <w:tc>
          <w:tcPr>
            <w:tcW w:w="956" w:type="dxa"/>
            <w:gridSpan w:val="2"/>
            <w:tcBorders>
              <w:top w:val="single" w:color="000000" w:sz="4" w:space="0"/>
              <w:left w:val="single" w:color="000000" w:sz="4" w:space="0"/>
              <w:bottom w:val="single" w:color="000000" w:sz="4" w:space="0"/>
              <w:right w:val="single" w:color="000000" w:sz="4" w:space="0"/>
            </w:tcBorders>
            <w:noWrap/>
            <w:vAlign w:val="center"/>
          </w:tcPr>
          <w:p w14:paraId="0CCB9130">
            <w:pPr>
              <w:widowControl/>
              <w:jc w:val="center"/>
              <w:textAlignment w:val="center"/>
              <w:rPr>
                <w:rFonts w:ascii="宋体" w:hAnsi="宋体" w:cs="宋体"/>
                <w:sz w:val="24"/>
              </w:rPr>
            </w:pPr>
            <w:r>
              <w:rPr>
                <w:rFonts w:hint="eastAsia" w:ascii="宋体" w:hAnsi="宋体" w:cs="宋体"/>
                <w:sz w:val="24"/>
              </w:rPr>
              <w:t>便携式笔记本电脑</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39BE9CC8">
            <w:pPr>
              <w:widowControl/>
              <w:textAlignment w:val="center"/>
              <w:rPr>
                <w:rFonts w:ascii="宋体" w:hAnsi="宋体" w:cs="宋体"/>
                <w:sz w:val="24"/>
              </w:rPr>
            </w:pPr>
            <w:r>
              <w:rPr>
                <w:rFonts w:hint="eastAsia" w:ascii="宋体" w:hAnsi="宋体" w:cs="宋体"/>
                <w:sz w:val="24"/>
              </w:rPr>
              <w:t>5</w:t>
            </w:r>
          </w:p>
        </w:tc>
        <w:tc>
          <w:tcPr>
            <w:tcW w:w="6839" w:type="dxa"/>
            <w:tcBorders>
              <w:top w:val="single" w:color="000000" w:sz="4" w:space="0"/>
              <w:left w:val="single" w:color="000000" w:sz="4" w:space="0"/>
              <w:bottom w:val="single" w:color="000000" w:sz="4" w:space="0"/>
              <w:right w:val="single" w:color="000000" w:sz="4" w:space="0"/>
            </w:tcBorders>
            <w:noWrap/>
            <w:vAlign w:val="center"/>
          </w:tcPr>
          <w:p w14:paraId="3B251CF9">
            <w:pPr>
              <w:adjustRightInd/>
              <w:jc w:val="left"/>
              <w:rPr>
                <w:rFonts w:ascii="宋体" w:hAnsi="宋体" w:cs="宋体"/>
                <w:sz w:val="24"/>
              </w:rPr>
            </w:pPr>
            <w:r>
              <w:rPr>
                <w:rFonts w:hint="eastAsia" w:ascii="宋体" w:hAnsi="宋体" w:cs="宋体"/>
                <w:sz w:val="24"/>
              </w:rPr>
              <w:t>1.处理器：英特尔®酷睿™Ultra5-125H处理器。</w:t>
            </w:r>
          </w:p>
          <w:p w14:paraId="6811DC78">
            <w:pPr>
              <w:adjustRightInd/>
              <w:jc w:val="left"/>
              <w:rPr>
                <w:rFonts w:ascii="宋体" w:hAnsi="宋体" w:cs="宋体"/>
                <w:sz w:val="24"/>
              </w:rPr>
            </w:pPr>
            <w:r>
              <w:rPr>
                <w:rFonts w:hint="eastAsia" w:ascii="宋体" w:hAnsi="宋体" w:cs="宋体"/>
                <w:sz w:val="24"/>
              </w:rPr>
              <w:t>2.内存：32GB DDR5</w:t>
            </w:r>
          </w:p>
          <w:p w14:paraId="2DC08A46">
            <w:pPr>
              <w:adjustRightInd/>
              <w:jc w:val="left"/>
              <w:rPr>
                <w:rFonts w:ascii="宋体" w:hAnsi="宋体" w:cs="宋体"/>
                <w:sz w:val="24"/>
              </w:rPr>
            </w:pPr>
            <w:r>
              <w:rPr>
                <w:rFonts w:hint="eastAsia" w:ascii="宋体" w:hAnsi="宋体" w:cs="宋体"/>
                <w:sz w:val="24"/>
              </w:rPr>
              <w:t>3.硬盘：1TB SSD</w:t>
            </w:r>
          </w:p>
          <w:p w14:paraId="5FEE48F4">
            <w:pPr>
              <w:adjustRightInd/>
              <w:jc w:val="left"/>
              <w:rPr>
                <w:rFonts w:ascii="宋体" w:hAnsi="宋体" w:cs="宋体"/>
                <w:sz w:val="24"/>
              </w:rPr>
            </w:pPr>
            <w:r>
              <w:rPr>
                <w:rFonts w:hint="eastAsia" w:ascii="宋体" w:hAnsi="宋体" w:cs="宋体"/>
                <w:sz w:val="24"/>
              </w:rPr>
              <w:t>4.显示屏：≥14英寸OLED屏幕，分辨率2880x1920，刷新率60Hz。</w:t>
            </w:r>
          </w:p>
          <w:p w14:paraId="2CF53206">
            <w:pPr>
              <w:adjustRightInd/>
              <w:jc w:val="left"/>
              <w:rPr>
                <w:rFonts w:ascii="宋体" w:hAnsi="宋体" w:cs="宋体"/>
                <w:sz w:val="24"/>
              </w:rPr>
            </w:pPr>
            <w:r>
              <w:rPr>
                <w:rFonts w:hint="eastAsia" w:ascii="宋体" w:hAnsi="宋体" w:cs="宋体"/>
                <w:sz w:val="24"/>
              </w:rPr>
              <w:t>5.整体重量≤1.31千克，厚度约≥ 14mm。</w:t>
            </w:r>
          </w:p>
          <w:p w14:paraId="282C4BD4">
            <w:pPr>
              <w:adjustRightInd/>
              <w:jc w:val="left"/>
              <w:rPr>
                <w:rFonts w:ascii="宋体" w:hAnsi="宋体" w:cs="宋体"/>
                <w:sz w:val="24"/>
              </w:rPr>
            </w:pPr>
            <w:r>
              <w:rPr>
                <w:rFonts w:hint="eastAsia" w:ascii="宋体" w:hAnsi="宋体" w:cs="宋体"/>
                <w:sz w:val="24"/>
              </w:rPr>
              <w:t>6.电池与续航：内置70Wh电池，支持至高40W的超级快充反向充电4。</w:t>
            </w:r>
          </w:p>
          <w:p w14:paraId="3A5C4440">
            <w:pPr>
              <w:adjustRightInd/>
              <w:jc w:val="left"/>
              <w:rPr>
                <w:rFonts w:ascii="宋体" w:hAnsi="宋体" w:cs="宋体"/>
                <w:sz w:val="24"/>
              </w:rPr>
            </w:pPr>
            <w:r>
              <w:rPr>
                <w:rFonts w:hint="eastAsia" w:ascii="宋体" w:hAnsi="宋体" w:cs="宋体"/>
                <w:sz w:val="24"/>
              </w:rPr>
              <w:t>7.接口：左侧配备1个USB-C接口、1个USB-A 3.2 Gen 1接口、1个HDMI接口、1个3.5mm音频接口；右侧配备1个USB-A 3.2 Gen 1接口2。</w:t>
            </w:r>
          </w:p>
          <w:p w14:paraId="218A1437">
            <w:pPr>
              <w:adjustRightInd/>
              <w:jc w:val="left"/>
              <w:rPr>
                <w:rFonts w:ascii="宋体" w:hAnsi="宋体" w:eastAsia="仿宋" w:cs="宋体"/>
                <w:sz w:val="24"/>
              </w:rPr>
            </w:pPr>
            <w:r>
              <w:rPr>
                <w:rFonts w:hint="eastAsia" w:ascii="宋体" w:hAnsi="宋体" w:cs="宋体"/>
                <w:sz w:val="24"/>
              </w:rPr>
              <w:t>8.操作系统：Windows 11</w:t>
            </w:r>
          </w:p>
        </w:tc>
      </w:tr>
      <w:tr w14:paraId="58F3E436">
        <w:tblPrEx>
          <w:tblCellMar>
            <w:top w:w="0" w:type="dxa"/>
            <w:left w:w="108" w:type="dxa"/>
            <w:bottom w:w="0" w:type="dxa"/>
            <w:right w:w="108" w:type="dxa"/>
          </w:tblCellMar>
        </w:tblPrEx>
        <w:trPr>
          <w:trHeight w:val="23" w:hRule="atLeast"/>
          <w:jc w:val="center"/>
        </w:trPr>
        <w:tc>
          <w:tcPr>
            <w:tcW w:w="791" w:type="dxa"/>
            <w:vMerge w:val="continue"/>
            <w:tcBorders>
              <w:left w:val="single" w:color="000000" w:sz="4" w:space="0"/>
              <w:bottom w:val="single" w:color="000000" w:sz="4" w:space="0"/>
              <w:right w:val="single" w:color="000000" w:sz="4" w:space="0"/>
            </w:tcBorders>
            <w:noWrap/>
            <w:vAlign w:val="center"/>
          </w:tcPr>
          <w:p w14:paraId="6ACCBBE0">
            <w:pPr>
              <w:jc w:val="center"/>
              <w:rPr>
                <w:rFonts w:ascii="宋体" w:hAnsi="宋体" w:cs="宋体"/>
                <w:sz w:val="24"/>
              </w:rPr>
            </w:pP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3A27EB8B">
            <w:pPr>
              <w:widowControl/>
              <w:jc w:val="center"/>
              <w:textAlignment w:val="center"/>
              <w:rPr>
                <w:rFonts w:ascii="宋体" w:hAnsi="宋体" w:cs="宋体"/>
                <w:sz w:val="24"/>
              </w:rPr>
            </w:pPr>
            <w:r>
              <w:rPr>
                <w:rFonts w:hint="eastAsia" w:ascii="宋体" w:hAnsi="宋体" w:cs="宋体"/>
                <w:sz w:val="24"/>
              </w:rPr>
              <w:t>19</w:t>
            </w:r>
          </w:p>
        </w:tc>
        <w:tc>
          <w:tcPr>
            <w:tcW w:w="956" w:type="dxa"/>
            <w:gridSpan w:val="2"/>
            <w:tcBorders>
              <w:top w:val="single" w:color="000000" w:sz="4" w:space="0"/>
              <w:left w:val="single" w:color="000000" w:sz="4" w:space="0"/>
              <w:bottom w:val="single" w:color="000000" w:sz="4" w:space="0"/>
              <w:right w:val="single" w:color="000000" w:sz="4" w:space="0"/>
            </w:tcBorders>
            <w:noWrap/>
            <w:vAlign w:val="center"/>
          </w:tcPr>
          <w:p w14:paraId="5E87859A">
            <w:pPr>
              <w:widowControl/>
              <w:jc w:val="center"/>
              <w:textAlignment w:val="center"/>
              <w:rPr>
                <w:rFonts w:ascii="宋体" w:hAnsi="宋体" w:cs="宋体"/>
                <w:sz w:val="24"/>
              </w:rPr>
            </w:pPr>
            <w:r>
              <w:rPr>
                <w:rFonts w:hint="eastAsia" w:ascii="宋体" w:hAnsi="宋体" w:cs="宋体"/>
                <w:sz w:val="24"/>
              </w:rPr>
              <w:t>执法记录仪</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107E7737">
            <w:pPr>
              <w:widowControl/>
              <w:textAlignment w:val="center"/>
              <w:rPr>
                <w:rFonts w:ascii="宋体" w:hAnsi="宋体" w:cs="宋体"/>
                <w:sz w:val="24"/>
              </w:rPr>
            </w:pPr>
            <w:r>
              <w:rPr>
                <w:rFonts w:hint="eastAsia" w:ascii="宋体" w:hAnsi="宋体" w:cs="宋体"/>
                <w:sz w:val="24"/>
              </w:rPr>
              <w:t>6</w:t>
            </w:r>
          </w:p>
        </w:tc>
        <w:tc>
          <w:tcPr>
            <w:tcW w:w="6839" w:type="dxa"/>
            <w:tcBorders>
              <w:top w:val="single" w:color="000000" w:sz="4" w:space="0"/>
              <w:left w:val="single" w:color="000000" w:sz="4" w:space="0"/>
              <w:bottom w:val="single" w:color="000000" w:sz="4" w:space="0"/>
              <w:right w:val="single" w:color="000000" w:sz="4" w:space="0"/>
            </w:tcBorders>
            <w:noWrap/>
            <w:vAlign w:val="center"/>
          </w:tcPr>
          <w:p w14:paraId="6BB5ABAB">
            <w:pPr>
              <w:adjustRightInd/>
              <w:jc w:val="left"/>
              <w:rPr>
                <w:rFonts w:ascii="宋体" w:hAnsi="宋体" w:cs="宋体"/>
                <w:sz w:val="24"/>
              </w:rPr>
            </w:pPr>
            <w:r>
              <w:rPr>
                <w:rFonts w:hint="eastAsia" w:ascii="宋体" w:hAnsi="宋体" w:cs="宋体"/>
                <w:sz w:val="24"/>
              </w:rPr>
              <w:t>1、执法记录仪外形尺寸（背夹、外接设备除外）应小于或等于85mmX60mmX32mm（长X宽X高）</w:t>
            </w:r>
          </w:p>
          <w:p w14:paraId="1CF9F44A">
            <w:pPr>
              <w:adjustRightInd/>
              <w:jc w:val="left"/>
              <w:rPr>
                <w:rFonts w:ascii="宋体" w:hAnsi="宋体" w:cs="宋体"/>
                <w:sz w:val="24"/>
              </w:rPr>
            </w:pPr>
            <w:r>
              <w:rPr>
                <w:rFonts w:hint="eastAsia" w:ascii="宋体" w:hAnsi="宋体" w:cs="宋体"/>
                <w:sz w:val="24"/>
              </w:rPr>
              <w:t>2、执法记录仪（裸机）质量≤135g</w:t>
            </w:r>
          </w:p>
          <w:p w14:paraId="1D5D4C4B">
            <w:pPr>
              <w:adjustRightInd/>
              <w:jc w:val="left"/>
              <w:rPr>
                <w:rFonts w:ascii="宋体" w:hAnsi="宋体" w:cs="宋体"/>
                <w:sz w:val="24"/>
              </w:rPr>
            </w:pPr>
            <w:r>
              <w:rPr>
                <w:rFonts w:hint="eastAsia" w:ascii="宋体" w:hAnsi="宋体" w:cs="宋体"/>
                <w:sz w:val="24"/>
              </w:rPr>
              <w:t>3、执法记录仪的音频采样频率≥ 48kHz</w:t>
            </w:r>
          </w:p>
          <w:p w14:paraId="0FF00052">
            <w:pPr>
              <w:adjustRightInd/>
              <w:jc w:val="left"/>
              <w:rPr>
                <w:rFonts w:ascii="宋体" w:hAnsi="宋体" w:cs="宋体"/>
                <w:sz w:val="24"/>
              </w:rPr>
            </w:pPr>
            <w:r>
              <w:rPr>
                <w:rFonts w:hint="eastAsia" w:ascii="宋体" w:hAnsi="宋体" w:cs="宋体"/>
                <w:sz w:val="24"/>
              </w:rPr>
              <w:t>4、执法记录仪的音频码率≥128 kbps</w:t>
            </w:r>
          </w:p>
          <w:p w14:paraId="51AD51CC">
            <w:pPr>
              <w:adjustRightInd/>
              <w:jc w:val="left"/>
              <w:rPr>
                <w:rFonts w:ascii="宋体" w:hAnsi="宋体" w:cs="宋体"/>
                <w:sz w:val="24"/>
              </w:rPr>
            </w:pPr>
            <w:r>
              <w:rPr>
                <w:rFonts w:hint="eastAsia" w:ascii="宋体" w:hAnsi="宋体" w:cs="宋体"/>
                <w:sz w:val="24"/>
              </w:rPr>
              <w:t>5、执法记录仪红外补光范围 3m 处应覆盖摄录画面 70%以上面积</w:t>
            </w:r>
          </w:p>
          <w:p w14:paraId="1ED787AB">
            <w:pPr>
              <w:adjustRightInd/>
              <w:jc w:val="left"/>
              <w:rPr>
                <w:rFonts w:ascii="宋体" w:hAnsi="宋体" w:cs="宋体"/>
                <w:sz w:val="24"/>
              </w:rPr>
            </w:pPr>
            <w:r>
              <w:rPr>
                <w:rFonts w:hint="eastAsia" w:ascii="宋体" w:hAnsi="宋体" w:cs="宋体"/>
                <w:sz w:val="24"/>
              </w:rPr>
              <w:t>6、执法记录仪应能在标称最大分辨率下预录触发前大于或等于 120 s 的视音频信息。</w:t>
            </w:r>
          </w:p>
          <w:p w14:paraId="56097297">
            <w:pPr>
              <w:adjustRightInd/>
              <w:jc w:val="left"/>
              <w:rPr>
                <w:rFonts w:ascii="宋体" w:hAnsi="宋体" w:cs="宋体"/>
                <w:sz w:val="24"/>
              </w:rPr>
            </w:pPr>
            <w:r>
              <w:rPr>
                <w:rFonts w:hint="eastAsia" w:ascii="宋体" w:hAnsi="宋体" w:cs="宋体"/>
                <w:sz w:val="24"/>
              </w:rPr>
              <w:t>7、显示屏亮度：执法记录仪应能在回放模式显示全场白测试信号。显示全场白测试信号时的最大亮度≥ 1025cd/m2</w:t>
            </w:r>
          </w:p>
          <w:p w14:paraId="094ED408">
            <w:pPr>
              <w:adjustRightInd/>
              <w:jc w:val="left"/>
              <w:rPr>
                <w:rFonts w:ascii="宋体" w:hAnsi="宋体" w:cs="宋体"/>
                <w:sz w:val="24"/>
              </w:rPr>
            </w:pPr>
            <w:r>
              <w:rPr>
                <w:rFonts w:hint="eastAsia" w:ascii="宋体" w:hAnsi="宋体" w:cs="宋体"/>
                <w:sz w:val="24"/>
              </w:rPr>
              <w:t>8、显示屏对比度：执法记录仪能在回放模式分别显示全场白和全场黑测试信号。全场白和全场黑测试信号亮度值的比大于或等于2530：1</w:t>
            </w:r>
          </w:p>
          <w:p w14:paraId="2B55437C">
            <w:pPr>
              <w:adjustRightInd/>
              <w:jc w:val="left"/>
              <w:rPr>
                <w:rFonts w:ascii="宋体" w:hAnsi="宋体" w:cs="宋体"/>
                <w:sz w:val="24"/>
              </w:rPr>
            </w:pPr>
            <w:r>
              <w:rPr>
                <w:rFonts w:hint="eastAsia" w:ascii="宋体" w:hAnsi="宋体" w:cs="宋体"/>
                <w:sz w:val="24"/>
              </w:rPr>
              <w:t>9、视场角:执法记录仪摄像头的水平视场角在生产厂声明的所有分辨率条件下均≥120°</w:t>
            </w:r>
          </w:p>
          <w:p w14:paraId="5DF1FC06">
            <w:pPr>
              <w:adjustRightInd/>
              <w:jc w:val="left"/>
              <w:rPr>
                <w:rFonts w:ascii="宋体" w:hAnsi="宋体" w:cs="宋体"/>
                <w:sz w:val="24"/>
              </w:rPr>
            </w:pPr>
            <w:r>
              <w:rPr>
                <w:rFonts w:hint="eastAsia" w:ascii="宋体" w:hAnsi="宋体" w:cs="宋体"/>
                <w:sz w:val="24"/>
              </w:rPr>
              <w:t>10、执法记录仪的视频的生产厂声明的所有分辨率条件下几何失真应小于或等于5%</w:t>
            </w:r>
          </w:p>
          <w:p w14:paraId="7EF75E60">
            <w:pPr>
              <w:adjustRightInd/>
              <w:jc w:val="left"/>
              <w:rPr>
                <w:rFonts w:ascii="宋体" w:hAnsi="宋体" w:cs="宋体"/>
                <w:sz w:val="24"/>
              </w:rPr>
            </w:pPr>
            <w:r>
              <w:rPr>
                <w:rFonts w:hint="eastAsia" w:ascii="宋体" w:hAnsi="宋体" w:cs="宋体"/>
                <w:sz w:val="24"/>
              </w:rPr>
              <w:t>11、视频性能：执法记录仪至少有2304x1296、1920x1080、1280x720可选，且在2304x1296条件下，分辨率≥1000线，帧率≥30帧/s</w:t>
            </w:r>
          </w:p>
          <w:p w14:paraId="2918F7DC">
            <w:pPr>
              <w:adjustRightInd/>
              <w:jc w:val="left"/>
              <w:rPr>
                <w:rFonts w:ascii="宋体" w:hAnsi="宋体" w:cs="宋体"/>
                <w:sz w:val="24"/>
              </w:rPr>
            </w:pPr>
            <w:r>
              <w:rPr>
                <w:rFonts w:hint="eastAsia" w:ascii="宋体" w:hAnsi="宋体" w:cs="宋体"/>
                <w:sz w:val="24"/>
              </w:rPr>
              <w:t>12、开机时间：执法记录仪从按下开机键到进入取景预览模式所用时间≤3s</w:t>
            </w:r>
          </w:p>
          <w:p w14:paraId="7F5B1C2E">
            <w:pPr>
              <w:adjustRightInd/>
              <w:jc w:val="left"/>
              <w:rPr>
                <w:rFonts w:ascii="宋体" w:hAnsi="宋体" w:cs="宋体"/>
                <w:sz w:val="24"/>
              </w:rPr>
            </w:pPr>
            <w:r>
              <w:rPr>
                <w:rFonts w:hint="eastAsia" w:ascii="宋体" w:hAnsi="宋体" w:cs="宋体"/>
                <w:sz w:val="24"/>
              </w:rPr>
              <w:t>13、照片分辨力：执法记录仪拍摄的照片分辨力≥ 1200线</w:t>
            </w:r>
          </w:p>
          <w:p w14:paraId="0D9D4382">
            <w:pPr>
              <w:adjustRightInd/>
              <w:jc w:val="left"/>
              <w:rPr>
                <w:rFonts w:ascii="宋体" w:hAnsi="宋体" w:cs="宋体"/>
                <w:sz w:val="24"/>
              </w:rPr>
            </w:pPr>
            <w:r>
              <w:rPr>
                <w:rFonts w:hint="eastAsia" w:ascii="宋体" w:hAnsi="宋体" w:cs="宋体"/>
                <w:sz w:val="24"/>
              </w:rPr>
              <w:t>14、自由跌落：水泥地跌落高度 3200mm，任意面共10次，试验后功能应正常。</w:t>
            </w:r>
          </w:p>
          <w:p w14:paraId="50EA1216">
            <w:pPr>
              <w:adjustRightInd/>
              <w:jc w:val="left"/>
              <w:rPr>
                <w:rFonts w:ascii="宋体" w:hAnsi="宋体" w:cs="宋体"/>
                <w:sz w:val="24"/>
              </w:rPr>
            </w:pPr>
            <w:r>
              <w:rPr>
                <w:rFonts w:hint="eastAsia" w:ascii="宋体" w:hAnsi="宋体" w:cs="宋体"/>
                <w:sz w:val="24"/>
              </w:rPr>
              <w:t>15、执法记录仪采用内置不可更换电池供电，在2304×1296 30帧/s连续摄录时间≥15h；</w:t>
            </w:r>
          </w:p>
          <w:p w14:paraId="17661DBE">
            <w:pPr>
              <w:adjustRightInd/>
              <w:jc w:val="left"/>
              <w:rPr>
                <w:rFonts w:ascii="宋体" w:hAnsi="宋体" w:cs="宋体"/>
                <w:sz w:val="24"/>
              </w:rPr>
            </w:pPr>
            <w:r>
              <w:rPr>
                <w:rFonts w:hint="eastAsia" w:ascii="宋体" w:hAnsi="宋体" w:cs="宋体"/>
                <w:sz w:val="24"/>
              </w:rPr>
              <w:t>16、绝缘电阻：绝缘电阻大于或等于 5000 MΩ。</w:t>
            </w:r>
          </w:p>
          <w:p w14:paraId="6B3CD15D">
            <w:pPr>
              <w:adjustRightInd/>
              <w:jc w:val="left"/>
              <w:rPr>
                <w:rFonts w:ascii="宋体" w:hAnsi="宋体" w:cs="宋体"/>
                <w:sz w:val="24"/>
              </w:rPr>
            </w:pPr>
            <w:r>
              <w:rPr>
                <w:rFonts w:hint="eastAsia" w:ascii="宋体" w:hAnsi="宋体" w:cs="宋体"/>
                <w:sz w:val="24"/>
              </w:rPr>
              <w:t>17、泄漏电流：具有充电器接口的执法记录仪泄漏电流≤ 0.01mA</w:t>
            </w:r>
          </w:p>
          <w:p w14:paraId="7806C8D4">
            <w:pPr>
              <w:adjustRightInd/>
              <w:jc w:val="left"/>
              <w:rPr>
                <w:rFonts w:ascii="宋体" w:hAnsi="宋体" w:cs="宋体"/>
                <w:sz w:val="24"/>
              </w:rPr>
            </w:pPr>
            <w:r>
              <w:rPr>
                <w:rFonts w:hint="eastAsia" w:ascii="宋体" w:hAnsi="宋体" w:cs="宋体"/>
                <w:sz w:val="24"/>
              </w:rPr>
              <w:t xml:space="preserve">18、防护等级：执法记录仪防护等级 IP 68 </w:t>
            </w:r>
          </w:p>
          <w:p w14:paraId="6AB1C304">
            <w:pPr>
              <w:adjustRightInd/>
              <w:jc w:val="left"/>
              <w:rPr>
                <w:rFonts w:ascii="宋体" w:hAnsi="宋体" w:cs="宋体"/>
                <w:sz w:val="24"/>
              </w:rPr>
            </w:pPr>
            <w:r>
              <w:rPr>
                <w:rFonts w:hint="eastAsia" w:ascii="宋体" w:hAnsi="宋体" w:cs="宋体"/>
                <w:sz w:val="24"/>
              </w:rPr>
              <w:t>19、执法记录仪具有防抖功能，支持菜单开启/关闭防抖功能</w:t>
            </w:r>
          </w:p>
          <w:p w14:paraId="2659D0F7">
            <w:pPr>
              <w:adjustRightInd/>
              <w:jc w:val="left"/>
              <w:rPr>
                <w:rFonts w:ascii="宋体" w:hAnsi="宋体" w:cs="宋体"/>
                <w:sz w:val="24"/>
              </w:rPr>
            </w:pPr>
            <w:r>
              <w:rPr>
                <w:rFonts w:hint="eastAsia" w:ascii="宋体" w:hAnsi="宋体" w:cs="宋体"/>
                <w:sz w:val="24"/>
              </w:rPr>
              <w:t>20、一键切换功能：执法记录仪应能在摄录时按下录音键保存当前录像文件后开始录音，在录音时按下摄录键保存当前录音文件后开始摄录。</w:t>
            </w:r>
          </w:p>
          <w:p w14:paraId="28F4B980">
            <w:pPr>
              <w:adjustRightInd/>
              <w:jc w:val="left"/>
              <w:rPr>
                <w:rFonts w:ascii="宋体" w:hAnsi="宋体" w:cs="宋体"/>
                <w:sz w:val="24"/>
              </w:rPr>
            </w:pPr>
            <w:r>
              <w:rPr>
                <w:rFonts w:hint="eastAsia" w:ascii="宋体" w:hAnsi="宋体" w:cs="宋体"/>
                <w:sz w:val="24"/>
              </w:rPr>
              <w:t>21、最低可用照度功能 输出图像的中心水平分辨力下降到标称亮度条件下分辨力的70%时，目标景物上的照度应＜3.0 lx</w:t>
            </w:r>
          </w:p>
          <w:p w14:paraId="5393B4D4">
            <w:pPr>
              <w:adjustRightInd/>
              <w:jc w:val="left"/>
              <w:rPr>
                <w:rFonts w:ascii="宋体" w:hAnsi="宋体" w:cs="宋体"/>
                <w:sz w:val="24"/>
              </w:rPr>
            </w:pPr>
            <w:r>
              <w:rPr>
                <w:rFonts w:hint="eastAsia" w:ascii="宋体" w:hAnsi="宋体" w:cs="宋体"/>
                <w:sz w:val="24"/>
              </w:rPr>
              <w:t xml:space="preserve"> 按键功能具有：开关键、录像键、拍照键、录音键、菜单键、回放键、F键多功能键、前置快捷键；</w:t>
            </w:r>
          </w:p>
          <w:p w14:paraId="4697F95A">
            <w:pPr>
              <w:adjustRightInd/>
              <w:jc w:val="left"/>
              <w:rPr>
                <w:rFonts w:ascii="宋体" w:hAnsi="宋体" w:cs="宋体"/>
                <w:sz w:val="24"/>
              </w:rPr>
            </w:pPr>
            <w:r>
              <w:rPr>
                <w:rFonts w:hint="eastAsia" w:ascii="宋体" w:hAnsi="宋体" w:cs="宋体"/>
                <w:sz w:val="24"/>
              </w:rPr>
              <w:t>提供公安部《GA/T 947-2015 单警执法视音频记录系统》检测报告</w:t>
            </w:r>
          </w:p>
        </w:tc>
      </w:tr>
      <w:tr w14:paraId="3F974147">
        <w:tblPrEx>
          <w:tblCellMar>
            <w:top w:w="0" w:type="dxa"/>
            <w:left w:w="108" w:type="dxa"/>
            <w:bottom w:w="0" w:type="dxa"/>
            <w:right w:w="108" w:type="dxa"/>
          </w:tblCellMar>
        </w:tblPrEx>
        <w:trPr>
          <w:trHeight w:val="23" w:hRule="atLeast"/>
          <w:jc w:val="center"/>
        </w:trPr>
        <w:tc>
          <w:tcPr>
            <w:tcW w:w="791" w:type="dxa"/>
            <w:vMerge w:val="restart"/>
            <w:tcBorders>
              <w:top w:val="single" w:color="000000" w:sz="4" w:space="0"/>
              <w:left w:val="single" w:color="000000" w:sz="4" w:space="0"/>
              <w:right w:val="single" w:color="000000" w:sz="4" w:space="0"/>
            </w:tcBorders>
            <w:noWrap/>
            <w:vAlign w:val="center"/>
          </w:tcPr>
          <w:p w14:paraId="3F8165FA">
            <w:pPr>
              <w:jc w:val="center"/>
              <w:rPr>
                <w:rFonts w:ascii="宋体" w:hAnsi="宋体" w:cs="宋体"/>
                <w:sz w:val="24"/>
              </w:rPr>
            </w:pPr>
            <w:r>
              <w:rPr>
                <w:rFonts w:hint="eastAsia" w:ascii="宋体" w:hAnsi="宋体" w:cs="宋体"/>
                <w:sz w:val="24"/>
              </w:rPr>
              <w:t>监测预警类</w:t>
            </w: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5E457848">
            <w:pPr>
              <w:widowControl/>
              <w:jc w:val="center"/>
              <w:textAlignment w:val="center"/>
              <w:rPr>
                <w:rFonts w:ascii="宋体" w:hAnsi="宋体" w:cs="宋体"/>
                <w:sz w:val="24"/>
              </w:rPr>
            </w:pPr>
            <w:r>
              <w:rPr>
                <w:rFonts w:hint="eastAsia" w:ascii="宋体" w:hAnsi="宋体" w:cs="宋体"/>
                <w:sz w:val="24"/>
              </w:rPr>
              <w:t>20</w:t>
            </w:r>
          </w:p>
        </w:tc>
        <w:tc>
          <w:tcPr>
            <w:tcW w:w="956" w:type="dxa"/>
            <w:gridSpan w:val="2"/>
            <w:tcBorders>
              <w:top w:val="single" w:color="000000" w:sz="4" w:space="0"/>
              <w:left w:val="single" w:color="000000" w:sz="4" w:space="0"/>
              <w:bottom w:val="single" w:color="000000" w:sz="4" w:space="0"/>
              <w:right w:val="single" w:color="000000" w:sz="4" w:space="0"/>
            </w:tcBorders>
            <w:noWrap/>
            <w:vAlign w:val="center"/>
          </w:tcPr>
          <w:p w14:paraId="54DB6E9C">
            <w:pPr>
              <w:widowControl/>
              <w:jc w:val="center"/>
              <w:textAlignment w:val="center"/>
              <w:rPr>
                <w:rFonts w:ascii="宋体" w:hAnsi="宋体" w:cs="宋体"/>
                <w:sz w:val="24"/>
              </w:rPr>
            </w:pPr>
            <w:r>
              <w:rPr>
                <w:rFonts w:hint="eastAsia" w:ascii="宋体" w:hAnsi="宋体" w:cs="宋体"/>
                <w:sz w:val="24"/>
              </w:rPr>
              <w:t>手摇报警器</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4154D01F">
            <w:pPr>
              <w:widowControl/>
              <w:textAlignment w:val="center"/>
              <w:rPr>
                <w:rFonts w:ascii="宋体" w:hAnsi="宋体" w:cs="宋体"/>
                <w:sz w:val="24"/>
              </w:rPr>
            </w:pPr>
            <w:r>
              <w:rPr>
                <w:rFonts w:hint="eastAsia" w:ascii="宋体" w:hAnsi="宋体" w:cs="宋体"/>
                <w:sz w:val="24"/>
              </w:rPr>
              <w:t>10</w:t>
            </w:r>
          </w:p>
        </w:tc>
        <w:tc>
          <w:tcPr>
            <w:tcW w:w="6839" w:type="dxa"/>
            <w:tcBorders>
              <w:top w:val="single" w:color="000000" w:sz="4" w:space="0"/>
              <w:left w:val="single" w:color="000000" w:sz="4" w:space="0"/>
              <w:bottom w:val="single" w:color="000000" w:sz="4" w:space="0"/>
              <w:right w:val="single" w:color="000000" w:sz="4" w:space="0"/>
            </w:tcBorders>
            <w:noWrap/>
            <w:vAlign w:val="center"/>
          </w:tcPr>
          <w:p w14:paraId="320350EB">
            <w:pPr>
              <w:adjustRightInd/>
              <w:jc w:val="left"/>
              <w:rPr>
                <w:rFonts w:ascii="宋体" w:hAnsi="宋体" w:cs="宋体"/>
                <w:sz w:val="24"/>
              </w:rPr>
            </w:pPr>
            <w:r>
              <w:rPr>
                <w:rFonts w:hint="eastAsia" w:ascii="宋体" w:hAnsi="宋体" w:cs="宋体"/>
                <w:sz w:val="24"/>
              </w:rPr>
              <w:t>传送距离1000米，声压级110分贝，音响频率550赫兹，铝合金外壳，顺时针手摇方向</w:t>
            </w:r>
          </w:p>
        </w:tc>
      </w:tr>
      <w:tr w14:paraId="3293908C">
        <w:tblPrEx>
          <w:tblCellMar>
            <w:top w:w="0" w:type="dxa"/>
            <w:left w:w="108" w:type="dxa"/>
            <w:bottom w:w="0" w:type="dxa"/>
            <w:right w:w="108" w:type="dxa"/>
          </w:tblCellMar>
        </w:tblPrEx>
        <w:trPr>
          <w:trHeight w:val="23" w:hRule="atLeast"/>
          <w:jc w:val="center"/>
        </w:trPr>
        <w:tc>
          <w:tcPr>
            <w:tcW w:w="791" w:type="dxa"/>
            <w:vMerge w:val="continue"/>
            <w:tcBorders>
              <w:left w:val="single" w:color="000000" w:sz="4" w:space="0"/>
              <w:right w:val="single" w:color="000000" w:sz="4" w:space="0"/>
            </w:tcBorders>
            <w:noWrap/>
            <w:vAlign w:val="center"/>
          </w:tcPr>
          <w:p w14:paraId="4F20FBB6">
            <w:pPr>
              <w:jc w:val="center"/>
              <w:rPr>
                <w:rFonts w:ascii="宋体" w:hAnsi="宋体" w:cs="宋体"/>
                <w:sz w:val="24"/>
              </w:rPr>
            </w:pP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43DBACC3">
            <w:pPr>
              <w:widowControl/>
              <w:jc w:val="center"/>
              <w:textAlignment w:val="center"/>
              <w:rPr>
                <w:rFonts w:ascii="宋体" w:hAnsi="宋体" w:cs="宋体"/>
                <w:sz w:val="24"/>
              </w:rPr>
            </w:pPr>
            <w:r>
              <w:rPr>
                <w:rFonts w:hint="eastAsia" w:ascii="宋体" w:hAnsi="宋体" w:cs="宋体"/>
                <w:sz w:val="24"/>
              </w:rPr>
              <w:t>21</w:t>
            </w:r>
          </w:p>
        </w:tc>
        <w:tc>
          <w:tcPr>
            <w:tcW w:w="956" w:type="dxa"/>
            <w:gridSpan w:val="2"/>
            <w:tcBorders>
              <w:top w:val="single" w:color="000000" w:sz="4" w:space="0"/>
              <w:left w:val="single" w:color="000000" w:sz="4" w:space="0"/>
              <w:bottom w:val="single" w:color="000000" w:sz="4" w:space="0"/>
              <w:right w:val="single" w:color="000000" w:sz="4" w:space="0"/>
            </w:tcBorders>
            <w:noWrap/>
            <w:vAlign w:val="center"/>
          </w:tcPr>
          <w:p w14:paraId="41573E52">
            <w:pPr>
              <w:widowControl/>
              <w:jc w:val="center"/>
              <w:textAlignment w:val="center"/>
              <w:rPr>
                <w:rFonts w:ascii="宋体" w:hAnsi="宋体" w:cs="宋体"/>
                <w:sz w:val="24"/>
              </w:rPr>
            </w:pPr>
            <w:r>
              <w:rPr>
                <w:rFonts w:hint="eastAsia" w:ascii="宋体" w:hAnsi="宋体" w:cs="宋体"/>
                <w:sz w:val="24"/>
              </w:rPr>
              <w:t>望远镜</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1175061C">
            <w:pPr>
              <w:widowControl/>
              <w:textAlignment w:val="center"/>
              <w:rPr>
                <w:rFonts w:ascii="宋体" w:hAnsi="宋体" w:cs="宋体"/>
                <w:sz w:val="24"/>
              </w:rPr>
            </w:pPr>
            <w:r>
              <w:rPr>
                <w:rFonts w:hint="eastAsia" w:ascii="宋体" w:hAnsi="宋体" w:cs="宋体"/>
                <w:sz w:val="24"/>
              </w:rPr>
              <w:t>3</w:t>
            </w:r>
          </w:p>
        </w:tc>
        <w:tc>
          <w:tcPr>
            <w:tcW w:w="6839" w:type="dxa"/>
            <w:tcBorders>
              <w:top w:val="single" w:color="000000" w:sz="4" w:space="0"/>
              <w:left w:val="single" w:color="000000" w:sz="4" w:space="0"/>
              <w:bottom w:val="single" w:color="000000" w:sz="4" w:space="0"/>
              <w:right w:val="single" w:color="000000" w:sz="4" w:space="0"/>
            </w:tcBorders>
            <w:noWrap/>
            <w:vAlign w:val="center"/>
          </w:tcPr>
          <w:p w14:paraId="46B8153C">
            <w:pPr>
              <w:adjustRightInd/>
              <w:jc w:val="left"/>
              <w:rPr>
                <w:rFonts w:ascii="宋体" w:hAnsi="宋体" w:cs="宋体"/>
                <w:sz w:val="24"/>
              </w:rPr>
            </w:pPr>
            <w:r>
              <w:rPr>
                <w:rFonts w:hint="eastAsia" w:ascii="宋体" w:hAnsi="宋体" w:cs="宋体"/>
                <w:sz w:val="24"/>
              </w:rPr>
              <w:t>1.有效倍率：≥10X (高清防抖观测)</w:t>
            </w:r>
          </w:p>
          <w:p w14:paraId="38176B6F">
            <w:pPr>
              <w:adjustRightInd/>
              <w:jc w:val="left"/>
              <w:rPr>
                <w:rFonts w:ascii="宋体" w:hAnsi="宋体" w:cs="宋体"/>
                <w:sz w:val="24"/>
              </w:rPr>
            </w:pPr>
            <w:r>
              <w:rPr>
                <w:rFonts w:hint="eastAsia" w:ascii="宋体" w:hAnsi="宋体" w:cs="宋体"/>
                <w:sz w:val="24"/>
              </w:rPr>
              <w:t xml:space="preserve">2.物镜直径：≥50mm </w:t>
            </w:r>
          </w:p>
          <w:p w14:paraId="00E5AAD3">
            <w:pPr>
              <w:adjustRightInd/>
              <w:jc w:val="left"/>
              <w:rPr>
                <w:rFonts w:ascii="宋体" w:hAnsi="宋体" w:cs="宋体"/>
                <w:sz w:val="24"/>
              </w:rPr>
            </w:pPr>
            <w:r>
              <w:rPr>
                <w:rFonts w:hint="eastAsia" w:ascii="宋体" w:hAnsi="宋体" w:cs="宋体"/>
                <w:sz w:val="24"/>
              </w:rPr>
              <w:t>3.棱镜材质：≥高透光 BAK4 全介质保罗棱镜</w:t>
            </w:r>
          </w:p>
          <w:p w14:paraId="5D31E65B">
            <w:pPr>
              <w:adjustRightInd/>
              <w:jc w:val="left"/>
              <w:rPr>
                <w:rFonts w:ascii="宋体" w:hAnsi="宋体" w:cs="宋体"/>
                <w:sz w:val="24"/>
              </w:rPr>
            </w:pPr>
            <w:r>
              <w:rPr>
                <w:rFonts w:hint="eastAsia" w:ascii="宋体" w:hAnsi="宋体" w:cs="宋体"/>
                <w:sz w:val="24"/>
              </w:rPr>
              <w:t>4.镜片结构：8 片 6 组专业消色差光学透镜组</w:t>
            </w:r>
          </w:p>
          <w:p w14:paraId="4D43D25E">
            <w:pPr>
              <w:adjustRightInd/>
              <w:jc w:val="left"/>
              <w:rPr>
                <w:rFonts w:ascii="宋体" w:hAnsi="宋体" w:cs="宋体"/>
                <w:sz w:val="24"/>
              </w:rPr>
            </w:pPr>
            <w:r>
              <w:rPr>
                <w:rFonts w:hint="eastAsia" w:ascii="宋体" w:hAnsi="宋体" w:cs="宋体"/>
                <w:sz w:val="24"/>
              </w:rPr>
              <w:t>5.镀膜工艺：全表面多层宽带增透 FMC 全镀膜</w:t>
            </w:r>
          </w:p>
          <w:p w14:paraId="7120E52A">
            <w:pPr>
              <w:adjustRightInd/>
              <w:jc w:val="left"/>
              <w:rPr>
                <w:rFonts w:ascii="宋体" w:hAnsi="宋体" w:cs="宋体"/>
                <w:sz w:val="24"/>
              </w:rPr>
            </w:pPr>
            <w:r>
              <w:rPr>
                <w:rFonts w:hint="eastAsia" w:ascii="宋体" w:hAnsi="宋体" w:cs="宋体"/>
                <w:sz w:val="24"/>
              </w:rPr>
              <w:t>6.出瞳直径：≥5.05mm</w:t>
            </w:r>
          </w:p>
          <w:p w14:paraId="6D99D24F">
            <w:pPr>
              <w:adjustRightInd/>
              <w:jc w:val="left"/>
              <w:rPr>
                <w:rFonts w:ascii="宋体" w:hAnsi="宋体" w:cs="宋体"/>
                <w:sz w:val="24"/>
              </w:rPr>
            </w:pPr>
            <w:r>
              <w:rPr>
                <w:rFonts w:hint="eastAsia" w:ascii="宋体" w:hAnsi="宋体" w:cs="宋体"/>
                <w:sz w:val="24"/>
              </w:rPr>
              <w:t xml:space="preserve">7.出瞳距离：≥17mm </w:t>
            </w:r>
          </w:p>
          <w:p w14:paraId="132AAD60">
            <w:pPr>
              <w:adjustRightInd/>
              <w:jc w:val="left"/>
              <w:rPr>
                <w:rFonts w:ascii="宋体" w:hAnsi="宋体" w:cs="宋体"/>
                <w:sz w:val="24"/>
              </w:rPr>
            </w:pPr>
            <w:r>
              <w:rPr>
                <w:rFonts w:hint="eastAsia" w:ascii="宋体" w:hAnsi="宋体" w:cs="宋体"/>
                <w:sz w:val="24"/>
              </w:rPr>
              <w:t xml:space="preserve">8.视场角：≥5.5° </w:t>
            </w:r>
          </w:p>
          <w:p w14:paraId="2C8FA99B">
            <w:pPr>
              <w:adjustRightInd/>
              <w:jc w:val="left"/>
              <w:rPr>
                <w:rFonts w:ascii="宋体" w:hAnsi="宋体" w:cs="宋体"/>
                <w:sz w:val="24"/>
              </w:rPr>
            </w:pPr>
            <w:r>
              <w:rPr>
                <w:rFonts w:hint="eastAsia" w:ascii="宋体" w:hAnsi="宋体" w:cs="宋体"/>
                <w:sz w:val="24"/>
              </w:rPr>
              <w:t>9.千米视野：≥110m</w:t>
            </w:r>
          </w:p>
          <w:p w14:paraId="2F9A9F4E">
            <w:pPr>
              <w:adjustRightInd/>
              <w:jc w:val="left"/>
              <w:rPr>
                <w:rFonts w:ascii="宋体" w:hAnsi="宋体" w:cs="宋体"/>
                <w:sz w:val="24"/>
              </w:rPr>
            </w:pPr>
            <w:r>
              <w:rPr>
                <w:rFonts w:hint="eastAsia" w:ascii="宋体" w:hAnsi="宋体" w:cs="宋体"/>
                <w:sz w:val="24"/>
              </w:rPr>
              <w:t xml:space="preserve">10.最近对焦：≤3m </w:t>
            </w:r>
          </w:p>
          <w:p w14:paraId="08F8E071">
            <w:pPr>
              <w:adjustRightInd/>
              <w:jc w:val="left"/>
              <w:rPr>
                <w:rFonts w:ascii="宋体" w:hAnsi="宋体" w:cs="宋体"/>
                <w:sz w:val="24"/>
              </w:rPr>
            </w:pPr>
            <w:r>
              <w:rPr>
                <w:rFonts w:hint="eastAsia" w:ascii="宋体" w:hAnsi="宋体" w:cs="宋体"/>
                <w:sz w:val="24"/>
              </w:rPr>
              <w:t>11.相对亮度：≥27.56</w:t>
            </w:r>
          </w:p>
          <w:p w14:paraId="68970FD0">
            <w:pPr>
              <w:adjustRightInd/>
              <w:jc w:val="left"/>
              <w:rPr>
                <w:rFonts w:ascii="宋体" w:hAnsi="宋体" w:cs="宋体"/>
                <w:sz w:val="24"/>
              </w:rPr>
            </w:pPr>
            <w:r>
              <w:rPr>
                <w:rFonts w:hint="eastAsia" w:ascii="宋体" w:hAnsi="宋体" w:cs="宋体"/>
                <w:sz w:val="24"/>
              </w:rPr>
              <w:t>12.黄昏指数：≥18.33</w:t>
            </w:r>
          </w:p>
          <w:p w14:paraId="39EB3884">
            <w:pPr>
              <w:adjustRightInd/>
              <w:jc w:val="left"/>
              <w:rPr>
                <w:rFonts w:ascii="宋体" w:hAnsi="宋体" w:cs="宋体"/>
                <w:sz w:val="24"/>
              </w:rPr>
            </w:pPr>
            <w:r>
              <w:rPr>
                <w:rFonts w:hint="eastAsia" w:ascii="宋体" w:hAnsi="宋体" w:cs="宋体"/>
                <w:sz w:val="24"/>
              </w:rPr>
              <w:t xml:space="preserve">13.屈光度调节：±5° </w:t>
            </w:r>
          </w:p>
          <w:p w14:paraId="17542C0B">
            <w:pPr>
              <w:adjustRightInd/>
              <w:jc w:val="left"/>
              <w:rPr>
                <w:rFonts w:ascii="宋体" w:hAnsi="宋体" w:cs="宋体"/>
                <w:sz w:val="24"/>
              </w:rPr>
            </w:pPr>
            <w:r>
              <w:rPr>
                <w:rFonts w:hint="eastAsia" w:ascii="宋体" w:hAnsi="宋体" w:cs="宋体"/>
                <w:sz w:val="24"/>
              </w:rPr>
              <w:t>14.目镜间距：58mm～76mm</w:t>
            </w:r>
          </w:p>
          <w:p w14:paraId="62B373AE">
            <w:pPr>
              <w:adjustRightInd/>
              <w:jc w:val="left"/>
              <w:rPr>
                <w:rFonts w:ascii="宋体" w:hAnsi="宋体" w:cs="宋体"/>
                <w:sz w:val="24"/>
              </w:rPr>
            </w:pPr>
            <w:r>
              <w:rPr>
                <w:rFonts w:hint="eastAsia" w:ascii="宋体" w:hAnsi="宋体" w:cs="宋体"/>
                <w:sz w:val="24"/>
              </w:rPr>
              <w:t>▲15.调焦方式：中调INJIE系统</w:t>
            </w:r>
          </w:p>
          <w:p w14:paraId="3D7407B6">
            <w:pPr>
              <w:adjustRightInd/>
              <w:jc w:val="left"/>
              <w:rPr>
                <w:rFonts w:ascii="宋体" w:hAnsi="宋体" w:cs="宋体"/>
                <w:sz w:val="24"/>
              </w:rPr>
            </w:pPr>
            <w:r>
              <w:rPr>
                <w:rFonts w:hint="eastAsia" w:ascii="宋体" w:hAnsi="宋体" w:cs="宋体"/>
                <w:sz w:val="24"/>
              </w:rPr>
              <w:t>16.重量：≤770g</w:t>
            </w:r>
          </w:p>
          <w:p w14:paraId="1FCF786B">
            <w:pPr>
              <w:adjustRightInd/>
              <w:jc w:val="left"/>
              <w:rPr>
                <w:rFonts w:ascii="宋体" w:hAnsi="宋体" w:cs="宋体"/>
                <w:sz w:val="24"/>
              </w:rPr>
            </w:pPr>
            <w:r>
              <w:rPr>
                <w:rFonts w:hint="eastAsia" w:ascii="宋体" w:hAnsi="宋体" w:cs="宋体"/>
                <w:sz w:val="24"/>
              </w:rPr>
              <w:t>▲提供检测机构出具的有效检测报告复印件。</w:t>
            </w:r>
          </w:p>
        </w:tc>
      </w:tr>
      <w:tr w14:paraId="3A58389C">
        <w:tblPrEx>
          <w:tblCellMar>
            <w:top w:w="0" w:type="dxa"/>
            <w:left w:w="108" w:type="dxa"/>
            <w:bottom w:w="0" w:type="dxa"/>
            <w:right w:w="108" w:type="dxa"/>
          </w:tblCellMar>
        </w:tblPrEx>
        <w:trPr>
          <w:trHeight w:val="23" w:hRule="atLeast"/>
          <w:jc w:val="center"/>
        </w:trPr>
        <w:tc>
          <w:tcPr>
            <w:tcW w:w="791" w:type="dxa"/>
            <w:vMerge w:val="continue"/>
            <w:tcBorders>
              <w:left w:val="single" w:color="000000" w:sz="4" w:space="0"/>
              <w:bottom w:val="single" w:color="000000" w:sz="4" w:space="0"/>
              <w:right w:val="single" w:color="000000" w:sz="4" w:space="0"/>
            </w:tcBorders>
            <w:noWrap/>
            <w:vAlign w:val="center"/>
          </w:tcPr>
          <w:p w14:paraId="7BCF68C4">
            <w:pPr>
              <w:jc w:val="center"/>
              <w:rPr>
                <w:rFonts w:ascii="宋体" w:hAnsi="宋体" w:cs="宋体"/>
                <w:sz w:val="24"/>
              </w:rPr>
            </w:pP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7DA53DE3">
            <w:pPr>
              <w:widowControl/>
              <w:jc w:val="center"/>
              <w:textAlignment w:val="center"/>
              <w:rPr>
                <w:rFonts w:ascii="宋体" w:hAnsi="宋体" w:cs="宋体"/>
                <w:sz w:val="24"/>
              </w:rPr>
            </w:pPr>
            <w:r>
              <w:rPr>
                <w:rFonts w:hint="eastAsia" w:ascii="宋体" w:hAnsi="宋体" w:cs="宋体"/>
                <w:sz w:val="24"/>
              </w:rPr>
              <w:t>22</w:t>
            </w:r>
          </w:p>
        </w:tc>
        <w:tc>
          <w:tcPr>
            <w:tcW w:w="956" w:type="dxa"/>
            <w:gridSpan w:val="2"/>
            <w:tcBorders>
              <w:top w:val="single" w:color="000000" w:sz="4" w:space="0"/>
              <w:left w:val="single" w:color="000000" w:sz="4" w:space="0"/>
              <w:bottom w:val="single" w:color="000000" w:sz="4" w:space="0"/>
              <w:right w:val="single" w:color="000000" w:sz="4" w:space="0"/>
            </w:tcBorders>
            <w:noWrap/>
            <w:vAlign w:val="center"/>
          </w:tcPr>
          <w:p w14:paraId="6881A4B2">
            <w:pPr>
              <w:widowControl/>
              <w:jc w:val="center"/>
              <w:textAlignment w:val="center"/>
              <w:rPr>
                <w:rFonts w:ascii="宋体" w:hAnsi="宋体" w:cs="宋体"/>
                <w:sz w:val="24"/>
              </w:rPr>
            </w:pPr>
            <w:r>
              <w:rPr>
                <w:rFonts w:hint="eastAsia" w:ascii="宋体" w:hAnsi="宋体" w:cs="宋体"/>
                <w:sz w:val="24"/>
              </w:rPr>
              <w:t>红外热成像夜视仪</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13A8F91D">
            <w:pPr>
              <w:widowControl/>
              <w:textAlignment w:val="center"/>
              <w:rPr>
                <w:rFonts w:ascii="宋体" w:hAnsi="宋体" w:cs="宋体"/>
                <w:sz w:val="24"/>
              </w:rPr>
            </w:pPr>
            <w:r>
              <w:rPr>
                <w:rFonts w:hint="eastAsia" w:ascii="宋体" w:hAnsi="宋体" w:cs="宋体"/>
                <w:sz w:val="24"/>
              </w:rPr>
              <w:t>4</w:t>
            </w:r>
          </w:p>
        </w:tc>
        <w:tc>
          <w:tcPr>
            <w:tcW w:w="6839" w:type="dxa"/>
            <w:tcBorders>
              <w:top w:val="single" w:color="000000" w:sz="4" w:space="0"/>
              <w:left w:val="single" w:color="000000" w:sz="4" w:space="0"/>
              <w:bottom w:val="single" w:color="000000" w:sz="4" w:space="0"/>
              <w:right w:val="single" w:color="000000" w:sz="4" w:space="0"/>
            </w:tcBorders>
            <w:noWrap/>
            <w:vAlign w:val="center"/>
          </w:tcPr>
          <w:p w14:paraId="024B40E7">
            <w:pPr>
              <w:adjustRightInd/>
              <w:jc w:val="left"/>
              <w:rPr>
                <w:rFonts w:ascii="宋体" w:hAnsi="宋体" w:cs="宋体"/>
                <w:sz w:val="24"/>
              </w:rPr>
            </w:pPr>
            <w:r>
              <w:rPr>
                <w:rFonts w:hint="eastAsia" w:ascii="宋体" w:hAnsi="宋体" w:cs="宋体"/>
                <w:sz w:val="24"/>
              </w:rPr>
              <w:t>1.用于隐患火点探测；</w:t>
            </w:r>
          </w:p>
          <w:p w14:paraId="1C70AAD2">
            <w:pPr>
              <w:adjustRightInd/>
              <w:jc w:val="left"/>
              <w:rPr>
                <w:rFonts w:ascii="宋体" w:hAnsi="宋体" w:cs="宋体"/>
                <w:sz w:val="24"/>
              </w:rPr>
            </w:pPr>
            <w:r>
              <w:rPr>
                <w:rFonts w:hint="eastAsia" w:ascii="宋体" w:hAnsi="宋体" w:cs="宋体"/>
                <w:sz w:val="24"/>
              </w:rPr>
              <w:t>2.显示屏≥2.4英寸，分辨率≥320×240；</w:t>
            </w:r>
          </w:p>
          <w:p w14:paraId="3F07A3C7">
            <w:pPr>
              <w:adjustRightInd/>
              <w:jc w:val="left"/>
              <w:rPr>
                <w:rFonts w:ascii="宋体" w:hAnsi="宋体" w:cs="宋体"/>
                <w:sz w:val="24"/>
              </w:rPr>
            </w:pPr>
            <w:r>
              <w:rPr>
                <w:rFonts w:hint="eastAsia" w:ascii="宋体" w:hAnsi="宋体" w:cs="宋体"/>
                <w:sz w:val="24"/>
              </w:rPr>
              <w:t>3.测温范围:-20°C~550°C; 精度：±2%或±2℃</w:t>
            </w:r>
          </w:p>
          <w:p w14:paraId="57DF8BF9">
            <w:pPr>
              <w:adjustRightInd/>
              <w:jc w:val="left"/>
              <w:rPr>
                <w:rFonts w:ascii="宋体" w:hAnsi="宋体" w:cs="宋体"/>
                <w:sz w:val="24"/>
              </w:rPr>
            </w:pPr>
            <w:r>
              <w:rPr>
                <w:rFonts w:hint="eastAsia" w:ascii="宋体" w:hAnsi="宋体" w:cs="宋体"/>
                <w:sz w:val="24"/>
              </w:rPr>
              <w:t>4.探测器分辨率：≥96*96</w:t>
            </w:r>
          </w:p>
          <w:p w14:paraId="28DE0A14">
            <w:pPr>
              <w:adjustRightInd/>
              <w:jc w:val="left"/>
              <w:rPr>
                <w:rFonts w:ascii="宋体" w:hAnsi="宋体" w:cs="宋体"/>
                <w:sz w:val="24"/>
              </w:rPr>
            </w:pPr>
            <w:r>
              <w:rPr>
                <w:rFonts w:hint="eastAsia" w:ascii="宋体" w:hAnsi="宋体" w:cs="宋体"/>
                <w:sz w:val="24"/>
              </w:rPr>
              <w:t>5.视场角：≥50°×50°</w:t>
            </w:r>
          </w:p>
          <w:p w14:paraId="20E76ADA">
            <w:pPr>
              <w:adjustRightInd/>
              <w:jc w:val="left"/>
              <w:rPr>
                <w:rFonts w:ascii="宋体" w:hAnsi="宋体" w:cs="宋体"/>
                <w:sz w:val="24"/>
              </w:rPr>
            </w:pPr>
            <w:r>
              <w:rPr>
                <w:rFonts w:hint="eastAsia" w:ascii="宋体" w:hAnsi="宋体" w:cs="宋体"/>
                <w:sz w:val="24"/>
              </w:rPr>
              <w:t>6.噪声等效温差：≤50MK</w:t>
            </w:r>
          </w:p>
          <w:p w14:paraId="36F5C613">
            <w:pPr>
              <w:adjustRightInd/>
              <w:jc w:val="left"/>
              <w:rPr>
                <w:rFonts w:ascii="宋体" w:hAnsi="宋体" w:cs="宋体"/>
                <w:sz w:val="24"/>
              </w:rPr>
            </w:pPr>
            <w:r>
              <w:rPr>
                <w:rFonts w:hint="eastAsia" w:ascii="宋体" w:hAnsi="宋体" w:cs="宋体"/>
                <w:sz w:val="24"/>
              </w:rPr>
              <w:t>7.伪彩模式：白热、黑热、铁红、彩虹、凸显、红热、融合;</w:t>
            </w:r>
          </w:p>
          <w:p w14:paraId="306E5795">
            <w:pPr>
              <w:adjustRightInd/>
              <w:jc w:val="left"/>
              <w:rPr>
                <w:rFonts w:ascii="宋体" w:hAnsi="宋体" w:cs="宋体"/>
                <w:sz w:val="24"/>
              </w:rPr>
            </w:pPr>
            <w:r>
              <w:rPr>
                <w:rFonts w:hint="eastAsia" w:ascii="宋体" w:hAnsi="宋体" w:cs="宋体"/>
                <w:sz w:val="24"/>
              </w:rPr>
              <w:t>8.图像格式：带有测温信息的JPEG图像，支持客户端离线分析；;</w:t>
            </w:r>
          </w:p>
          <w:p w14:paraId="1AE2D708">
            <w:pPr>
              <w:adjustRightInd/>
              <w:jc w:val="left"/>
              <w:rPr>
                <w:rFonts w:ascii="宋体" w:hAnsi="宋体" w:cs="宋体"/>
                <w:sz w:val="24"/>
              </w:rPr>
            </w:pPr>
            <w:r>
              <w:rPr>
                <w:rFonts w:hint="eastAsia" w:ascii="宋体" w:hAnsi="宋体" w:cs="宋体"/>
                <w:sz w:val="24"/>
              </w:rPr>
              <w:t>9.支持高温、低温报警模式，温度范围可设置为手动或自动模式。</w:t>
            </w:r>
          </w:p>
          <w:p w14:paraId="4BEA959C">
            <w:pPr>
              <w:adjustRightInd/>
              <w:jc w:val="left"/>
              <w:rPr>
                <w:rFonts w:ascii="宋体" w:hAnsi="宋体" w:cs="宋体"/>
                <w:sz w:val="24"/>
              </w:rPr>
            </w:pPr>
            <w:r>
              <w:rPr>
                <w:rFonts w:hint="eastAsia" w:ascii="宋体" w:hAnsi="宋体" w:cs="宋体"/>
                <w:sz w:val="24"/>
              </w:rPr>
              <w:t>10.图像显示模式：热成像、融合、可见光</w:t>
            </w:r>
          </w:p>
          <w:p w14:paraId="2BE87188">
            <w:pPr>
              <w:adjustRightInd/>
              <w:jc w:val="left"/>
              <w:rPr>
                <w:rFonts w:ascii="宋体" w:hAnsi="宋体" w:cs="宋体"/>
                <w:sz w:val="24"/>
              </w:rPr>
            </w:pPr>
            <w:r>
              <w:rPr>
                <w:rFonts w:hint="eastAsia" w:ascii="宋体" w:hAnsi="宋体" w:cs="宋体"/>
                <w:sz w:val="24"/>
              </w:rPr>
              <w:t>11.激光指示：支持</w:t>
            </w:r>
          </w:p>
          <w:p w14:paraId="036B4011">
            <w:pPr>
              <w:adjustRightInd/>
              <w:jc w:val="left"/>
              <w:rPr>
                <w:rFonts w:ascii="宋体" w:hAnsi="宋体" w:cs="宋体"/>
                <w:sz w:val="24"/>
              </w:rPr>
            </w:pPr>
            <w:r>
              <w:rPr>
                <w:rFonts w:hint="eastAsia" w:ascii="宋体" w:hAnsi="宋体" w:cs="宋体"/>
                <w:sz w:val="24"/>
              </w:rPr>
              <w:t>▲12.投屏：支持</w:t>
            </w:r>
          </w:p>
          <w:p w14:paraId="1B8BFC18">
            <w:pPr>
              <w:adjustRightInd/>
              <w:jc w:val="left"/>
              <w:rPr>
                <w:rFonts w:ascii="宋体" w:hAnsi="宋体" w:cs="宋体"/>
                <w:sz w:val="24"/>
              </w:rPr>
            </w:pPr>
            <w:r>
              <w:rPr>
                <w:rFonts w:hint="eastAsia" w:ascii="宋体" w:hAnsi="宋体" w:cs="宋体"/>
                <w:sz w:val="24"/>
              </w:rPr>
              <w:t>13.电池续航：≥5h;</w:t>
            </w:r>
          </w:p>
          <w:p w14:paraId="0093CD9F">
            <w:pPr>
              <w:adjustRightInd/>
              <w:jc w:val="left"/>
              <w:rPr>
                <w:rFonts w:ascii="宋体" w:hAnsi="宋体" w:cs="宋体"/>
                <w:sz w:val="24"/>
              </w:rPr>
            </w:pPr>
            <w:r>
              <w:rPr>
                <w:rFonts w:hint="eastAsia" w:ascii="宋体" w:hAnsi="宋体" w:cs="宋体"/>
                <w:sz w:val="24"/>
              </w:rPr>
              <w:t>14.存储：≥4GB;</w:t>
            </w:r>
          </w:p>
          <w:p w14:paraId="321F6F9F">
            <w:pPr>
              <w:adjustRightInd/>
              <w:jc w:val="left"/>
              <w:rPr>
                <w:rFonts w:ascii="宋体" w:hAnsi="宋体" w:cs="宋体"/>
                <w:sz w:val="24"/>
              </w:rPr>
            </w:pPr>
            <w:r>
              <w:rPr>
                <w:rFonts w:hint="eastAsia" w:ascii="宋体" w:hAnsi="宋体" w:cs="宋体"/>
                <w:sz w:val="24"/>
              </w:rPr>
              <w:t>▲15.含电池：≤450g；</w:t>
            </w:r>
          </w:p>
          <w:p w14:paraId="569366BA">
            <w:pPr>
              <w:adjustRightInd/>
              <w:jc w:val="left"/>
              <w:rPr>
                <w:rFonts w:ascii="宋体" w:hAnsi="宋体" w:cs="宋体"/>
                <w:sz w:val="24"/>
              </w:rPr>
            </w:pPr>
            <w:bookmarkStart w:id="31" w:name="OLE_LINK2"/>
            <w:bookmarkStart w:id="32" w:name="OLE_LINK1"/>
            <w:r>
              <w:rPr>
                <w:rFonts w:hint="eastAsia" w:ascii="宋体" w:hAnsi="宋体" w:cs="宋体"/>
                <w:sz w:val="24"/>
              </w:rPr>
              <w:t>▲</w:t>
            </w:r>
            <w:bookmarkEnd w:id="31"/>
            <w:bookmarkEnd w:id="32"/>
            <w:r>
              <w:rPr>
                <w:rFonts w:hint="eastAsia" w:ascii="宋体" w:hAnsi="宋体" w:cs="宋体"/>
                <w:sz w:val="24"/>
              </w:rPr>
              <w:t>提供检测机构出具的有效检测报告复印件</w:t>
            </w:r>
          </w:p>
        </w:tc>
      </w:tr>
      <w:tr w14:paraId="42F421A1">
        <w:tblPrEx>
          <w:tblCellMar>
            <w:top w:w="0" w:type="dxa"/>
            <w:left w:w="108" w:type="dxa"/>
            <w:bottom w:w="0" w:type="dxa"/>
            <w:right w:w="108" w:type="dxa"/>
          </w:tblCellMar>
        </w:tblPrEx>
        <w:trPr>
          <w:trHeight w:val="23" w:hRule="atLeast"/>
          <w:jc w:val="center"/>
        </w:trPr>
        <w:tc>
          <w:tcPr>
            <w:tcW w:w="791" w:type="dxa"/>
            <w:vMerge w:val="restart"/>
            <w:tcBorders>
              <w:top w:val="single" w:color="000000" w:sz="4" w:space="0"/>
              <w:left w:val="single" w:color="000000" w:sz="4" w:space="0"/>
              <w:right w:val="single" w:color="000000" w:sz="4" w:space="0"/>
            </w:tcBorders>
            <w:noWrap/>
            <w:vAlign w:val="center"/>
          </w:tcPr>
          <w:p w14:paraId="73EA0490">
            <w:pPr>
              <w:jc w:val="center"/>
              <w:rPr>
                <w:rFonts w:ascii="宋体" w:hAnsi="宋体" w:cs="宋体"/>
                <w:sz w:val="24"/>
              </w:rPr>
            </w:pPr>
            <w:r>
              <w:rPr>
                <w:rFonts w:hint="eastAsia" w:ascii="宋体" w:hAnsi="宋体" w:cs="宋体"/>
                <w:sz w:val="24"/>
              </w:rPr>
              <w:t>救援类</w:t>
            </w: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41C52EA2">
            <w:pPr>
              <w:widowControl/>
              <w:jc w:val="center"/>
              <w:textAlignment w:val="center"/>
              <w:rPr>
                <w:rFonts w:ascii="宋体" w:hAnsi="宋体" w:cs="宋体"/>
                <w:sz w:val="24"/>
              </w:rPr>
            </w:pPr>
            <w:r>
              <w:rPr>
                <w:rFonts w:hint="eastAsia" w:ascii="宋体" w:hAnsi="宋体" w:cs="宋体"/>
                <w:sz w:val="24"/>
              </w:rPr>
              <w:t>23</w:t>
            </w:r>
          </w:p>
        </w:tc>
        <w:tc>
          <w:tcPr>
            <w:tcW w:w="956" w:type="dxa"/>
            <w:gridSpan w:val="2"/>
            <w:tcBorders>
              <w:top w:val="single" w:color="000000" w:sz="4" w:space="0"/>
              <w:left w:val="single" w:color="000000" w:sz="4" w:space="0"/>
              <w:bottom w:val="single" w:color="000000" w:sz="4" w:space="0"/>
              <w:right w:val="single" w:color="000000" w:sz="4" w:space="0"/>
            </w:tcBorders>
            <w:noWrap/>
            <w:vAlign w:val="center"/>
          </w:tcPr>
          <w:p w14:paraId="456178F1">
            <w:pPr>
              <w:widowControl/>
              <w:jc w:val="center"/>
              <w:textAlignment w:val="center"/>
              <w:rPr>
                <w:rFonts w:ascii="宋体" w:hAnsi="宋体" w:cs="宋体"/>
                <w:sz w:val="24"/>
              </w:rPr>
            </w:pPr>
            <w:r>
              <w:rPr>
                <w:rFonts w:hint="eastAsia" w:ascii="宋体" w:hAnsi="宋体" w:cs="宋体"/>
                <w:sz w:val="24"/>
              </w:rPr>
              <w:t>内燃机液压破拆工具组或电动液压破拆工具组（液压机动泵、液压剪扩器、撑顶器、液压管）</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41D0AF01">
            <w:pPr>
              <w:widowControl/>
              <w:textAlignment w:val="center"/>
              <w:rPr>
                <w:rFonts w:ascii="宋体" w:hAnsi="宋体" w:cs="宋体"/>
                <w:sz w:val="24"/>
              </w:rPr>
            </w:pPr>
            <w:r>
              <w:rPr>
                <w:rFonts w:hint="eastAsia" w:ascii="宋体" w:hAnsi="宋体" w:cs="宋体"/>
                <w:sz w:val="24"/>
              </w:rPr>
              <w:t>2</w:t>
            </w:r>
          </w:p>
        </w:tc>
        <w:tc>
          <w:tcPr>
            <w:tcW w:w="6839" w:type="dxa"/>
            <w:tcBorders>
              <w:top w:val="single" w:color="000000" w:sz="4" w:space="0"/>
              <w:left w:val="single" w:color="000000" w:sz="4" w:space="0"/>
              <w:bottom w:val="single" w:color="000000" w:sz="4" w:space="0"/>
              <w:right w:val="single" w:color="000000" w:sz="4" w:space="0"/>
            </w:tcBorders>
            <w:noWrap/>
            <w:vAlign w:val="center"/>
          </w:tcPr>
          <w:p w14:paraId="4555C9AE">
            <w:pPr>
              <w:adjustRightInd/>
              <w:jc w:val="left"/>
              <w:rPr>
                <w:rFonts w:ascii="宋体" w:hAnsi="宋体" w:cs="宋体"/>
                <w:sz w:val="24"/>
              </w:rPr>
            </w:pPr>
            <w:r>
              <w:rPr>
                <w:rFonts w:hint="eastAsia" w:ascii="宋体" w:hAnsi="宋体" w:cs="宋体"/>
                <w:sz w:val="24"/>
              </w:rPr>
              <w:t>1.检测依据：《消防应急救援装备 液压破拆工具通用技术条件》（GB/T 17906-2021）标准要求。</w:t>
            </w:r>
          </w:p>
          <w:p w14:paraId="680BD43D">
            <w:pPr>
              <w:adjustRightInd/>
              <w:jc w:val="left"/>
              <w:rPr>
                <w:rFonts w:ascii="宋体" w:hAnsi="宋体" w:cs="宋体"/>
                <w:sz w:val="24"/>
              </w:rPr>
            </w:pPr>
            <w:r>
              <w:rPr>
                <w:rFonts w:hint="eastAsia" w:ascii="宋体" w:hAnsi="宋体" w:cs="宋体"/>
                <w:sz w:val="24"/>
              </w:rPr>
              <w:t>2.工具组包含液压机动泵1台、液压剪扩器1套、液压扩张器1套、液压剪切器1套、双级液压顶杆1套。★整套设备为同一品牌，能配套使用。</w:t>
            </w:r>
          </w:p>
          <w:p w14:paraId="61429443">
            <w:pPr>
              <w:adjustRightInd/>
              <w:jc w:val="left"/>
              <w:rPr>
                <w:rFonts w:ascii="宋体" w:hAnsi="宋体" w:cs="宋体"/>
                <w:sz w:val="24"/>
              </w:rPr>
            </w:pPr>
            <w:r>
              <w:rPr>
                <w:rFonts w:hint="eastAsia" w:ascii="宋体" w:hAnsi="宋体" w:cs="宋体"/>
                <w:sz w:val="24"/>
              </w:rPr>
              <w:t>检测报告要求：具有“检测依据”检测资质的检测机构出具的检测报告,标有“</w:t>
            </w:r>
            <w:bookmarkStart w:id="33" w:name="OLE_LINK10"/>
            <w:bookmarkStart w:id="34" w:name="OLE_LINK9"/>
            <w:r>
              <w:rPr>
                <w:rFonts w:hint="eastAsia" w:ascii="宋体" w:hAnsi="宋体" w:cs="宋体"/>
                <w:sz w:val="24"/>
              </w:rPr>
              <w:t>★</w:t>
            </w:r>
            <w:bookmarkEnd w:id="33"/>
            <w:bookmarkEnd w:id="34"/>
            <w:r>
              <w:rPr>
                <w:rFonts w:hint="eastAsia" w:ascii="宋体" w:hAnsi="宋体" w:cs="宋体"/>
                <w:sz w:val="24"/>
              </w:rPr>
              <w:t>”的为实质性要求，必须要满足；标有“</w:t>
            </w:r>
            <w:bookmarkStart w:id="35" w:name="OLE_LINK12"/>
            <w:bookmarkStart w:id="36" w:name="OLE_LINK11"/>
            <w:r>
              <w:rPr>
                <w:rFonts w:hint="eastAsia" w:ascii="宋体" w:hAnsi="宋体" w:cs="宋体"/>
                <w:sz w:val="24"/>
              </w:rPr>
              <w:t>▲</w:t>
            </w:r>
            <w:bookmarkEnd w:id="35"/>
            <w:bookmarkEnd w:id="36"/>
            <w:r>
              <w:rPr>
                <w:rFonts w:hint="eastAsia" w:ascii="宋体" w:hAnsi="宋体" w:cs="宋体"/>
                <w:sz w:val="24"/>
              </w:rPr>
              <w:t>”符号的参数需要在检测报告内体现。</w:t>
            </w:r>
          </w:p>
          <w:p w14:paraId="4E09F99B">
            <w:pPr>
              <w:adjustRightInd/>
              <w:jc w:val="left"/>
              <w:rPr>
                <w:rFonts w:ascii="宋体" w:hAnsi="宋体" w:cs="宋体"/>
                <w:sz w:val="24"/>
              </w:rPr>
            </w:pPr>
            <w:r>
              <w:rPr>
                <w:rFonts w:hint="eastAsia" w:ascii="宋体" w:hAnsi="宋体" w:cs="宋体"/>
                <w:sz w:val="24"/>
              </w:rPr>
              <w:t>3.液压机动泵：</w:t>
            </w:r>
          </w:p>
          <w:p w14:paraId="3389F8FA">
            <w:pPr>
              <w:adjustRightInd/>
              <w:jc w:val="left"/>
              <w:rPr>
                <w:rFonts w:ascii="宋体" w:hAnsi="宋体" w:cs="宋体"/>
                <w:sz w:val="24"/>
              </w:rPr>
            </w:pPr>
            <w:r>
              <w:rPr>
                <w:rFonts w:hint="eastAsia" w:ascii="宋体" w:hAnsi="宋体" w:cs="宋体"/>
                <w:sz w:val="24"/>
              </w:rPr>
              <w:t>3.1三级轴向四冲程汽油机。</w:t>
            </w:r>
          </w:p>
          <w:p w14:paraId="369BFEC9">
            <w:pPr>
              <w:adjustRightInd/>
              <w:jc w:val="left"/>
              <w:rPr>
                <w:rFonts w:ascii="宋体" w:hAnsi="宋体" w:cs="宋体"/>
                <w:sz w:val="24"/>
              </w:rPr>
            </w:pPr>
            <w:r>
              <w:rPr>
                <w:rFonts w:hint="eastAsia" w:ascii="宋体" w:hAnsi="宋体" w:cs="宋体"/>
                <w:sz w:val="24"/>
              </w:rPr>
              <w:t>▲3.2功率≥2.2kW，燃油油缸容量≥1700ml。</w:t>
            </w:r>
          </w:p>
          <w:p w14:paraId="7956975A">
            <w:pPr>
              <w:adjustRightInd/>
              <w:jc w:val="left"/>
              <w:rPr>
                <w:rFonts w:ascii="宋体" w:hAnsi="宋体" w:cs="宋体"/>
                <w:sz w:val="24"/>
              </w:rPr>
            </w:pPr>
            <w:r>
              <w:rPr>
                <w:rFonts w:hint="eastAsia" w:ascii="宋体" w:hAnsi="宋体" w:cs="宋体"/>
                <w:sz w:val="24"/>
              </w:rPr>
              <w:t>▲3.3液压油油缸容量≥4300ml，设有液压油位指示器。</w:t>
            </w:r>
          </w:p>
          <w:p w14:paraId="3A3FECA8">
            <w:pPr>
              <w:adjustRightInd/>
              <w:jc w:val="left"/>
              <w:rPr>
                <w:rFonts w:ascii="宋体" w:hAnsi="宋体" w:cs="宋体"/>
                <w:sz w:val="24"/>
              </w:rPr>
            </w:pPr>
            <w:r>
              <w:rPr>
                <w:rFonts w:hint="eastAsia" w:ascii="宋体" w:hAnsi="宋体" w:cs="宋体"/>
                <w:sz w:val="24"/>
              </w:rPr>
              <w:t>3.4第一级输出：≥2×2800ml/min。</w:t>
            </w:r>
          </w:p>
          <w:p w14:paraId="6C7BE83C">
            <w:pPr>
              <w:adjustRightInd/>
              <w:jc w:val="left"/>
              <w:rPr>
                <w:rFonts w:ascii="宋体" w:hAnsi="宋体" w:cs="宋体"/>
                <w:sz w:val="24"/>
              </w:rPr>
            </w:pPr>
            <w:r>
              <w:rPr>
                <w:rFonts w:hint="eastAsia" w:ascii="宋体" w:hAnsi="宋体" w:cs="宋体"/>
                <w:sz w:val="24"/>
              </w:rPr>
              <w:t>3.5第二级输出：≥2×1250ml/min。</w:t>
            </w:r>
          </w:p>
          <w:p w14:paraId="0AFC7867">
            <w:pPr>
              <w:adjustRightInd/>
              <w:jc w:val="left"/>
              <w:rPr>
                <w:rFonts w:ascii="宋体" w:hAnsi="宋体" w:cs="宋体"/>
                <w:sz w:val="24"/>
              </w:rPr>
            </w:pPr>
            <w:r>
              <w:rPr>
                <w:rFonts w:hint="eastAsia" w:ascii="宋体" w:hAnsi="宋体" w:cs="宋体"/>
                <w:sz w:val="24"/>
              </w:rPr>
              <w:t>3.6第三级输出：≥2×525ml/min。</w:t>
            </w:r>
          </w:p>
          <w:p w14:paraId="48BB8AB7">
            <w:pPr>
              <w:adjustRightInd/>
              <w:jc w:val="left"/>
              <w:rPr>
                <w:rFonts w:ascii="宋体" w:hAnsi="宋体" w:cs="宋体"/>
                <w:sz w:val="24"/>
              </w:rPr>
            </w:pPr>
            <w:r>
              <w:rPr>
                <w:rFonts w:hint="eastAsia" w:ascii="宋体" w:hAnsi="宋体" w:cs="宋体"/>
                <w:sz w:val="24"/>
              </w:rPr>
              <w:t>3.7自动锁单管系统，可接驳两套工具同时使用。</w:t>
            </w:r>
          </w:p>
          <w:p w14:paraId="32FF8D50">
            <w:pPr>
              <w:adjustRightInd/>
              <w:jc w:val="left"/>
              <w:rPr>
                <w:rFonts w:ascii="宋体" w:hAnsi="宋体" w:cs="宋体"/>
                <w:sz w:val="24"/>
              </w:rPr>
            </w:pPr>
            <w:r>
              <w:rPr>
                <w:rFonts w:hint="eastAsia" w:ascii="宋体" w:hAnsi="宋体" w:cs="宋体"/>
                <w:sz w:val="24"/>
              </w:rPr>
              <w:t>3.8可在工作状态下带压任意快速连接和插拔。</w:t>
            </w:r>
          </w:p>
          <w:p w14:paraId="2300672C">
            <w:pPr>
              <w:adjustRightInd/>
              <w:jc w:val="left"/>
              <w:rPr>
                <w:rFonts w:ascii="宋体" w:hAnsi="宋体" w:cs="宋体"/>
                <w:sz w:val="24"/>
              </w:rPr>
            </w:pPr>
            <w:r>
              <w:rPr>
                <w:rFonts w:hint="eastAsia" w:ascii="宋体" w:hAnsi="宋体" w:cs="宋体"/>
                <w:sz w:val="24"/>
              </w:rPr>
              <w:t>3.9工作压力：≥70MPa。</w:t>
            </w:r>
          </w:p>
          <w:p w14:paraId="57BD6CF9">
            <w:pPr>
              <w:adjustRightInd/>
              <w:jc w:val="left"/>
              <w:rPr>
                <w:rFonts w:ascii="宋体" w:hAnsi="宋体" w:cs="宋体"/>
                <w:sz w:val="24"/>
              </w:rPr>
            </w:pPr>
            <w:r>
              <w:rPr>
                <w:rFonts w:hint="eastAsia" w:ascii="宋体" w:hAnsi="宋体" w:cs="宋体"/>
                <w:sz w:val="24"/>
              </w:rPr>
              <w:t>3.10质量：≤25kg。</w:t>
            </w:r>
          </w:p>
          <w:p w14:paraId="44F01EF9">
            <w:pPr>
              <w:adjustRightInd/>
              <w:jc w:val="left"/>
              <w:rPr>
                <w:rFonts w:ascii="宋体" w:hAnsi="宋体" w:cs="宋体"/>
                <w:sz w:val="24"/>
              </w:rPr>
            </w:pPr>
            <w:r>
              <w:rPr>
                <w:rFonts w:hint="eastAsia" w:ascii="宋体" w:hAnsi="宋体" w:cs="宋体"/>
                <w:sz w:val="24"/>
              </w:rPr>
              <w:t>4.液压油管：</w:t>
            </w:r>
          </w:p>
          <w:p w14:paraId="2092FD5F">
            <w:pPr>
              <w:adjustRightInd/>
              <w:jc w:val="left"/>
              <w:rPr>
                <w:rFonts w:ascii="宋体" w:hAnsi="宋体" w:cs="宋体"/>
                <w:sz w:val="24"/>
              </w:rPr>
            </w:pPr>
            <w:r>
              <w:rPr>
                <w:rFonts w:hint="eastAsia" w:ascii="宋体" w:hAnsi="宋体" w:cs="宋体"/>
                <w:sz w:val="24"/>
              </w:rPr>
              <w:t>4.1配液压油管两根，液压管材质为凯芙拉纤维、接口可在工作状态下带压任意快速连接和插拔，使用不扭曲、不打结、不漏油、内管最大工作压力≥70MPa，液压管长度≥10m。</w:t>
            </w:r>
          </w:p>
          <w:p w14:paraId="4EBB980A">
            <w:pPr>
              <w:adjustRightInd/>
              <w:jc w:val="left"/>
              <w:rPr>
                <w:rFonts w:ascii="宋体" w:hAnsi="宋体" w:cs="宋体"/>
                <w:sz w:val="24"/>
              </w:rPr>
            </w:pPr>
            <w:r>
              <w:rPr>
                <w:rFonts w:hint="eastAsia" w:ascii="宋体" w:hAnsi="宋体" w:cs="宋体"/>
                <w:sz w:val="24"/>
              </w:rPr>
              <w:t>5.液压剪扩器：</w:t>
            </w:r>
          </w:p>
          <w:p w14:paraId="008CA6C3">
            <w:pPr>
              <w:adjustRightInd/>
              <w:jc w:val="left"/>
              <w:rPr>
                <w:rFonts w:ascii="宋体" w:hAnsi="宋体" w:cs="宋体"/>
                <w:sz w:val="24"/>
              </w:rPr>
            </w:pPr>
            <w:r>
              <w:rPr>
                <w:rFonts w:hint="eastAsia" w:ascii="宋体" w:hAnsi="宋体" w:cs="宋体"/>
                <w:sz w:val="24"/>
              </w:rPr>
              <w:t>5.1自动锁单管系统、可带压操作、可拆卸式扩张头、把手处有照明系统。</w:t>
            </w:r>
          </w:p>
          <w:p w14:paraId="65237DC6">
            <w:pPr>
              <w:adjustRightInd/>
              <w:jc w:val="left"/>
              <w:rPr>
                <w:rFonts w:ascii="宋体" w:hAnsi="宋体" w:cs="宋体"/>
                <w:sz w:val="24"/>
              </w:rPr>
            </w:pPr>
            <w:r>
              <w:rPr>
                <w:rFonts w:hint="eastAsia" w:ascii="宋体" w:hAnsi="宋体" w:cs="宋体"/>
                <w:sz w:val="24"/>
              </w:rPr>
              <w:t>▲5.2最大扩张距离≥400mm，最大扩张力≥800KN，刃端最大扩张距≥300mm。</w:t>
            </w:r>
          </w:p>
          <w:p w14:paraId="522BD1D0">
            <w:pPr>
              <w:adjustRightInd/>
              <w:jc w:val="left"/>
              <w:rPr>
                <w:rFonts w:ascii="宋体" w:hAnsi="宋体" w:cs="宋体"/>
                <w:sz w:val="24"/>
              </w:rPr>
            </w:pPr>
            <w:r>
              <w:rPr>
                <w:rFonts w:hint="eastAsia" w:ascii="宋体" w:hAnsi="宋体" w:cs="宋体"/>
                <w:sz w:val="24"/>
              </w:rPr>
              <w:t>▲5.3剪切力：≥650KN、挤压力≥80KN。</w:t>
            </w:r>
          </w:p>
          <w:p w14:paraId="3F1B12B4">
            <w:pPr>
              <w:adjustRightInd/>
              <w:jc w:val="left"/>
              <w:rPr>
                <w:rFonts w:ascii="宋体" w:hAnsi="宋体" w:cs="宋体"/>
                <w:sz w:val="24"/>
              </w:rPr>
            </w:pPr>
            <w:r>
              <w:rPr>
                <w:rFonts w:hint="eastAsia" w:ascii="宋体" w:hAnsi="宋体" w:cs="宋体"/>
                <w:sz w:val="24"/>
              </w:rPr>
              <w:t>▲5.4牵引距离：≥250mm、牵引力：≥100KN。</w:t>
            </w:r>
          </w:p>
          <w:p w14:paraId="65B1B65B">
            <w:pPr>
              <w:adjustRightInd/>
              <w:jc w:val="left"/>
              <w:rPr>
                <w:rFonts w:ascii="宋体" w:hAnsi="宋体" w:cs="宋体"/>
                <w:sz w:val="24"/>
              </w:rPr>
            </w:pPr>
            <w:r>
              <w:rPr>
                <w:rFonts w:hint="eastAsia" w:ascii="宋体" w:hAnsi="宋体" w:cs="宋体"/>
                <w:sz w:val="24"/>
              </w:rPr>
              <w:t>5.5剪切圆钢直径≥36mm、剪切板材尺寸≥50×15mm。</w:t>
            </w:r>
          </w:p>
          <w:p w14:paraId="25F25935">
            <w:pPr>
              <w:adjustRightInd/>
              <w:jc w:val="left"/>
              <w:rPr>
                <w:rFonts w:ascii="宋体" w:hAnsi="宋体" w:cs="宋体"/>
                <w:sz w:val="24"/>
              </w:rPr>
            </w:pPr>
            <w:r>
              <w:rPr>
                <w:rFonts w:hint="eastAsia" w:ascii="宋体" w:hAnsi="宋体" w:cs="宋体"/>
                <w:sz w:val="24"/>
              </w:rPr>
              <w:t>5.6工作压力≥70MPa，工作温度：—20℃～+55℃。</w:t>
            </w:r>
          </w:p>
          <w:p w14:paraId="65E46E95">
            <w:pPr>
              <w:adjustRightInd/>
              <w:jc w:val="left"/>
              <w:rPr>
                <w:rFonts w:ascii="宋体" w:hAnsi="宋体" w:cs="宋体"/>
                <w:sz w:val="24"/>
              </w:rPr>
            </w:pPr>
            <w:r>
              <w:rPr>
                <w:rFonts w:hint="eastAsia" w:ascii="宋体" w:hAnsi="宋体" w:cs="宋体"/>
                <w:sz w:val="24"/>
              </w:rPr>
              <w:t>5.7质量≤15kg。</w:t>
            </w:r>
          </w:p>
          <w:p w14:paraId="501C85FE">
            <w:pPr>
              <w:adjustRightInd/>
              <w:jc w:val="left"/>
              <w:rPr>
                <w:rFonts w:ascii="宋体" w:hAnsi="宋体" w:cs="宋体"/>
                <w:sz w:val="24"/>
              </w:rPr>
            </w:pPr>
            <w:r>
              <w:rPr>
                <w:rFonts w:hint="eastAsia" w:ascii="宋体" w:hAnsi="宋体" w:cs="宋体"/>
                <w:sz w:val="24"/>
              </w:rPr>
              <w:t>6.液压扩张器：</w:t>
            </w:r>
          </w:p>
          <w:p w14:paraId="6271B48D">
            <w:pPr>
              <w:adjustRightInd/>
              <w:jc w:val="left"/>
              <w:rPr>
                <w:rFonts w:ascii="宋体" w:hAnsi="宋体" w:cs="宋体"/>
                <w:sz w:val="24"/>
              </w:rPr>
            </w:pPr>
            <w:r>
              <w:rPr>
                <w:rFonts w:hint="eastAsia" w:ascii="宋体" w:hAnsi="宋体" w:cs="宋体"/>
                <w:sz w:val="24"/>
              </w:rPr>
              <w:t>6.1平头自动锁单管系统、可带压操作，把手配有LED照明灯。</w:t>
            </w:r>
          </w:p>
          <w:p w14:paraId="4C4A9C50">
            <w:pPr>
              <w:adjustRightInd/>
              <w:jc w:val="left"/>
              <w:rPr>
                <w:rFonts w:ascii="宋体" w:hAnsi="宋体" w:cs="宋体"/>
                <w:sz w:val="24"/>
              </w:rPr>
            </w:pPr>
            <w:r>
              <w:rPr>
                <w:rFonts w:hint="eastAsia" w:ascii="宋体" w:hAnsi="宋体" w:cs="宋体"/>
                <w:sz w:val="24"/>
              </w:rPr>
              <w:t>6.2扩张距离≥720mm，最大扩张力≥600KN，最小扩张力≥50KN。</w:t>
            </w:r>
          </w:p>
          <w:p w14:paraId="4EB748A9">
            <w:pPr>
              <w:adjustRightInd/>
              <w:jc w:val="left"/>
              <w:rPr>
                <w:rFonts w:ascii="宋体" w:hAnsi="宋体" w:cs="宋体"/>
                <w:sz w:val="24"/>
              </w:rPr>
            </w:pPr>
            <w:r>
              <w:rPr>
                <w:rFonts w:hint="eastAsia" w:ascii="宋体" w:hAnsi="宋体" w:cs="宋体"/>
                <w:sz w:val="24"/>
              </w:rPr>
              <w:t>▲6.3挤压力≥100KN，牵引力≥56KN，牵引距离≥610mm。</w:t>
            </w:r>
          </w:p>
          <w:p w14:paraId="695AAF73">
            <w:pPr>
              <w:adjustRightInd/>
              <w:jc w:val="left"/>
              <w:rPr>
                <w:rFonts w:ascii="宋体" w:hAnsi="宋体" w:cs="宋体"/>
                <w:sz w:val="24"/>
              </w:rPr>
            </w:pPr>
            <w:r>
              <w:rPr>
                <w:rFonts w:hint="eastAsia" w:ascii="宋体" w:hAnsi="宋体" w:cs="宋体"/>
                <w:sz w:val="24"/>
              </w:rPr>
              <w:t>6.4工作压力≥70MPa，工作温度：—20℃～+55℃。</w:t>
            </w:r>
          </w:p>
          <w:p w14:paraId="27570B96">
            <w:pPr>
              <w:adjustRightInd/>
              <w:jc w:val="left"/>
              <w:rPr>
                <w:rFonts w:ascii="宋体" w:hAnsi="宋体" w:cs="宋体"/>
                <w:sz w:val="24"/>
              </w:rPr>
            </w:pPr>
            <w:r>
              <w:rPr>
                <w:rFonts w:hint="eastAsia" w:ascii="宋体" w:hAnsi="宋体" w:cs="宋体"/>
                <w:sz w:val="24"/>
              </w:rPr>
              <w:t>▲6.5质量：≤15kg。</w:t>
            </w:r>
          </w:p>
          <w:p w14:paraId="1BC297E9">
            <w:pPr>
              <w:adjustRightInd/>
              <w:jc w:val="left"/>
              <w:rPr>
                <w:rFonts w:ascii="宋体" w:hAnsi="宋体" w:cs="宋体"/>
                <w:sz w:val="24"/>
              </w:rPr>
            </w:pPr>
            <w:r>
              <w:rPr>
                <w:rFonts w:hint="eastAsia" w:ascii="宋体" w:hAnsi="宋体" w:cs="宋体"/>
                <w:sz w:val="24"/>
              </w:rPr>
              <w:t>7.液压剪切器：</w:t>
            </w:r>
          </w:p>
          <w:p w14:paraId="689BDB9A">
            <w:pPr>
              <w:adjustRightInd/>
              <w:jc w:val="left"/>
              <w:rPr>
                <w:rFonts w:ascii="宋体" w:hAnsi="宋体" w:cs="宋体"/>
                <w:sz w:val="24"/>
              </w:rPr>
            </w:pPr>
            <w:r>
              <w:rPr>
                <w:rFonts w:hint="eastAsia" w:ascii="宋体" w:hAnsi="宋体" w:cs="宋体"/>
                <w:sz w:val="24"/>
              </w:rPr>
              <w:t>7.1自动锁单管系统、可带压操作、倾斜型U型剪切钳、把手处有照明系统。</w:t>
            </w:r>
          </w:p>
          <w:p w14:paraId="5C335C07">
            <w:pPr>
              <w:adjustRightInd/>
              <w:jc w:val="left"/>
              <w:rPr>
                <w:rFonts w:ascii="宋体" w:hAnsi="宋体" w:cs="宋体"/>
                <w:sz w:val="24"/>
              </w:rPr>
            </w:pPr>
            <w:r>
              <w:rPr>
                <w:rFonts w:hint="eastAsia" w:ascii="宋体" w:hAnsi="宋体" w:cs="宋体"/>
                <w:sz w:val="24"/>
              </w:rPr>
              <w:t>▲7.2最大剪切开口≥170mm，最大剪切力≥800KN。</w:t>
            </w:r>
          </w:p>
          <w:p w14:paraId="61D96CAC">
            <w:pPr>
              <w:adjustRightInd/>
              <w:jc w:val="left"/>
              <w:rPr>
                <w:rFonts w:ascii="宋体" w:hAnsi="宋体" w:cs="宋体"/>
                <w:sz w:val="24"/>
              </w:rPr>
            </w:pPr>
            <w:r>
              <w:rPr>
                <w:rFonts w:hint="eastAsia" w:ascii="宋体" w:hAnsi="宋体" w:cs="宋体"/>
                <w:sz w:val="24"/>
              </w:rPr>
              <w:t>7.3剪切圆钢直径：≥36mm。</w:t>
            </w:r>
          </w:p>
          <w:p w14:paraId="04B98FB1">
            <w:pPr>
              <w:adjustRightInd/>
              <w:jc w:val="left"/>
              <w:rPr>
                <w:rFonts w:ascii="宋体" w:hAnsi="宋体" w:cs="宋体"/>
                <w:sz w:val="24"/>
              </w:rPr>
            </w:pPr>
            <w:r>
              <w:rPr>
                <w:rFonts w:hint="eastAsia" w:ascii="宋体" w:hAnsi="宋体" w:cs="宋体"/>
                <w:sz w:val="24"/>
              </w:rPr>
              <w:t>7.4工作压力≥70MPa，工作温度：—20℃～+55℃。</w:t>
            </w:r>
          </w:p>
          <w:p w14:paraId="42CBE5BA">
            <w:pPr>
              <w:adjustRightInd/>
              <w:jc w:val="left"/>
              <w:rPr>
                <w:rFonts w:ascii="宋体" w:hAnsi="宋体" w:cs="宋体"/>
                <w:sz w:val="24"/>
              </w:rPr>
            </w:pPr>
            <w:r>
              <w:rPr>
                <w:rFonts w:hint="eastAsia" w:ascii="宋体" w:hAnsi="宋体" w:cs="宋体"/>
                <w:sz w:val="24"/>
              </w:rPr>
              <w:t>▲7.5质量≤15kg。</w:t>
            </w:r>
          </w:p>
          <w:p w14:paraId="7931DAA9">
            <w:pPr>
              <w:adjustRightInd/>
              <w:jc w:val="left"/>
              <w:rPr>
                <w:rFonts w:ascii="宋体" w:hAnsi="宋体" w:cs="宋体"/>
                <w:sz w:val="24"/>
              </w:rPr>
            </w:pPr>
            <w:r>
              <w:rPr>
                <w:rFonts w:hint="eastAsia" w:ascii="宋体" w:hAnsi="宋体" w:cs="宋体"/>
                <w:sz w:val="24"/>
              </w:rPr>
              <w:t>8.双级液压顶杆：</w:t>
            </w:r>
          </w:p>
          <w:p w14:paraId="6B6642B3">
            <w:pPr>
              <w:adjustRightInd/>
              <w:jc w:val="left"/>
              <w:rPr>
                <w:rFonts w:ascii="宋体" w:hAnsi="宋体" w:cs="宋体"/>
                <w:sz w:val="24"/>
              </w:rPr>
            </w:pPr>
            <w:r>
              <w:rPr>
                <w:rFonts w:hint="eastAsia" w:ascii="宋体" w:hAnsi="宋体" w:cs="宋体"/>
                <w:sz w:val="24"/>
              </w:rPr>
              <w:t>8.1带LED照明系统。端头为旋转十字头、顶杆头内集成激光定位灯，手柄带自动归位功能。</w:t>
            </w:r>
          </w:p>
          <w:p w14:paraId="20AED2C4">
            <w:pPr>
              <w:adjustRightInd/>
              <w:jc w:val="left"/>
              <w:rPr>
                <w:rFonts w:ascii="宋体" w:hAnsi="宋体" w:cs="宋体"/>
                <w:sz w:val="24"/>
              </w:rPr>
            </w:pPr>
            <w:r>
              <w:rPr>
                <w:rFonts w:hint="eastAsia" w:ascii="宋体" w:hAnsi="宋体" w:cs="宋体"/>
                <w:sz w:val="24"/>
              </w:rPr>
              <w:t>▲8.2一级活塞最大支撑力≥240KN，二级活塞最大支撑力≥120KN。</w:t>
            </w:r>
          </w:p>
          <w:p w14:paraId="41E51700">
            <w:pPr>
              <w:adjustRightInd/>
              <w:jc w:val="left"/>
              <w:rPr>
                <w:rFonts w:ascii="宋体" w:hAnsi="宋体" w:cs="宋体"/>
                <w:sz w:val="24"/>
              </w:rPr>
            </w:pPr>
            <w:r>
              <w:rPr>
                <w:rFonts w:hint="eastAsia" w:ascii="宋体" w:hAnsi="宋体" w:cs="宋体"/>
                <w:sz w:val="24"/>
              </w:rPr>
              <w:t>8.3二级支撑高度≥350mm；一级支撑高度≥370mm。</w:t>
            </w:r>
          </w:p>
          <w:p w14:paraId="6A95149C">
            <w:pPr>
              <w:adjustRightInd/>
              <w:jc w:val="left"/>
              <w:rPr>
                <w:rFonts w:ascii="宋体" w:hAnsi="宋体" w:cs="宋体"/>
                <w:sz w:val="24"/>
              </w:rPr>
            </w:pPr>
            <w:r>
              <w:rPr>
                <w:rFonts w:hint="eastAsia" w:ascii="宋体" w:hAnsi="宋体" w:cs="宋体"/>
                <w:sz w:val="24"/>
              </w:rPr>
              <w:t>▲8.4，最大支撑高度≥1280mm。</w:t>
            </w:r>
          </w:p>
          <w:p w14:paraId="50BFEE08">
            <w:pPr>
              <w:adjustRightInd/>
              <w:jc w:val="left"/>
              <w:rPr>
                <w:rFonts w:ascii="宋体" w:hAnsi="宋体" w:cs="宋体"/>
                <w:sz w:val="24"/>
              </w:rPr>
            </w:pPr>
            <w:r>
              <w:rPr>
                <w:rFonts w:hint="eastAsia" w:ascii="宋体" w:hAnsi="宋体" w:cs="宋体"/>
                <w:sz w:val="24"/>
              </w:rPr>
              <w:t>8.5收缩长度≤560mm。</w:t>
            </w:r>
          </w:p>
          <w:p w14:paraId="3B21F23C">
            <w:pPr>
              <w:adjustRightInd/>
              <w:jc w:val="left"/>
              <w:rPr>
                <w:rFonts w:ascii="宋体" w:hAnsi="宋体" w:cs="宋体"/>
                <w:sz w:val="24"/>
              </w:rPr>
            </w:pPr>
            <w:r>
              <w:rPr>
                <w:rFonts w:hint="eastAsia" w:ascii="宋体" w:hAnsi="宋体" w:cs="宋体"/>
                <w:sz w:val="24"/>
              </w:rPr>
              <w:t>8.6工作压力≥70MPa，工作温度：—20℃～+55℃。</w:t>
            </w:r>
          </w:p>
          <w:p w14:paraId="6503D9A7">
            <w:pPr>
              <w:adjustRightInd/>
              <w:jc w:val="left"/>
              <w:rPr>
                <w:rFonts w:ascii="宋体" w:hAnsi="宋体" w:cs="宋体"/>
                <w:sz w:val="24"/>
              </w:rPr>
            </w:pPr>
            <w:r>
              <w:rPr>
                <w:rFonts w:hint="eastAsia" w:ascii="宋体" w:hAnsi="宋体" w:cs="宋体"/>
                <w:sz w:val="24"/>
              </w:rPr>
              <w:t>▲8.7质量≤15kg。</w:t>
            </w:r>
          </w:p>
        </w:tc>
      </w:tr>
      <w:tr w14:paraId="5FFE4971">
        <w:tblPrEx>
          <w:tblCellMar>
            <w:top w:w="0" w:type="dxa"/>
            <w:left w:w="108" w:type="dxa"/>
            <w:bottom w:w="0" w:type="dxa"/>
            <w:right w:w="108" w:type="dxa"/>
          </w:tblCellMar>
        </w:tblPrEx>
        <w:trPr>
          <w:trHeight w:val="23" w:hRule="atLeast"/>
          <w:jc w:val="center"/>
        </w:trPr>
        <w:tc>
          <w:tcPr>
            <w:tcW w:w="791" w:type="dxa"/>
            <w:vMerge w:val="continue"/>
            <w:tcBorders>
              <w:left w:val="single" w:color="000000" w:sz="4" w:space="0"/>
              <w:right w:val="single" w:color="000000" w:sz="4" w:space="0"/>
            </w:tcBorders>
            <w:noWrap/>
            <w:vAlign w:val="center"/>
          </w:tcPr>
          <w:p w14:paraId="42249350">
            <w:pPr>
              <w:jc w:val="center"/>
              <w:rPr>
                <w:rFonts w:ascii="宋体" w:hAnsi="宋体" w:cs="宋体"/>
                <w:sz w:val="24"/>
              </w:rPr>
            </w:pP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215FC1F2">
            <w:pPr>
              <w:widowControl/>
              <w:jc w:val="center"/>
              <w:textAlignment w:val="center"/>
              <w:rPr>
                <w:rFonts w:ascii="宋体" w:hAnsi="宋体" w:cs="宋体"/>
                <w:sz w:val="24"/>
              </w:rPr>
            </w:pPr>
            <w:r>
              <w:rPr>
                <w:rFonts w:hint="eastAsia" w:ascii="宋体" w:hAnsi="宋体" w:cs="宋体"/>
                <w:sz w:val="24"/>
              </w:rPr>
              <w:t>24</w:t>
            </w:r>
          </w:p>
        </w:tc>
        <w:tc>
          <w:tcPr>
            <w:tcW w:w="956" w:type="dxa"/>
            <w:gridSpan w:val="2"/>
            <w:tcBorders>
              <w:top w:val="single" w:color="000000" w:sz="4" w:space="0"/>
              <w:left w:val="single" w:color="000000" w:sz="4" w:space="0"/>
              <w:bottom w:val="single" w:color="000000" w:sz="4" w:space="0"/>
              <w:right w:val="single" w:color="000000" w:sz="4" w:space="0"/>
            </w:tcBorders>
            <w:noWrap/>
            <w:vAlign w:val="center"/>
          </w:tcPr>
          <w:p w14:paraId="2AAF4B60">
            <w:pPr>
              <w:widowControl/>
              <w:jc w:val="center"/>
              <w:textAlignment w:val="center"/>
              <w:rPr>
                <w:rFonts w:ascii="宋体" w:hAnsi="宋体" w:cs="宋体"/>
                <w:sz w:val="24"/>
              </w:rPr>
            </w:pPr>
            <w:r>
              <w:rPr>
                <w:rFonts w:hint="eastAsia" w:ascii="宋体" w:hAnsi="宋体" w:cs="宋体"/>
                <w:sz w:val="24"/>
              </w:rPr>
              <w:t>正压式消防空气呼吸器（6.8L）</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363C186F">
            <w:pPr>
              <w:widowControl/>
              <w:textAlignment w:val="center"/>
              <w:rPr>
                <w:rFonts w:ascii="宋体" w:hAnsi="宋体" w:cs="宋体"/>
                <w:sz w:val="24"/>
              </w:rPr>
            </w:pPr>
            <w:r>
              <w:rPr>
                <w:rFonts w:hint="eastAsia" w:ascii="宋体" w:hAnsi="宋体" w:cs="宋体"/>
                <w:sz w:val="24"/>
              </w:rPr>
              <w:t>15</w:t>
            </w:r>
          </w:p>
        </w:tc>
        <w:tc>
          <w:tcPr>
            <w:tcW w:w="6839" w:type="dxa"/>
            <w:tcBorders>
              <w:top w:val="single" w:color="000000" w:sz="4" w:space="0"/>
              <w:left w:val="single" w:color="000000" w:sz="4" w:space="0"/>
              <w:bottom w:val="single" w:color="000000" w:sz="4" w:space="0"/>
              <w:right w:val="single" w:color="000000" w:sz="4" w:space="0"/>
            </w:tcBorders>
            <w:noWrap/>
            <w:vAlign w:val="center"/>
          </w:tcPr>
          <w:p w14:paraId="7DE61484">
            <w:pPr>
              <w:adjustRightInd/>
              <w:jc w:val="left"/>
              <w:rPr>
                <w:rFonts w:ascii="宋体" w:hAnsi="宋体" w:cs="宋体"/>
                <w:sz w:val="24"/>
              </w:rPr>
            </w:pPr>
            <w:r>
              <w:rPr>
                <w:rFonts w:hint="eastAsia" w:ascii="宋体" w:hAnsi="宋体" w:cs="宋体"/>
                <w:sz w:val="24"/>
              </w:rPr>
              <w:t>1、产品符合XF124-2013《正压式消防空气呼吸器》标准。提供国家消防装备质量监督检验中心检验报告。主要核心部件由全面罩、供气阀、减压器、警报器、背架组成。且所有核心部件为同呼吸器厂家同一品牌。</w:t>
            </w:r>
          </w:p>
          <w:p w14:paraId="2F91850C">
            <w:pPr>
              <w:adjustRightInd/>
              <w:jc w:val="left"/>
              <w:rPr>
                <w:rFonts w:ascii="宋体" w:hAnsi="宋体" w:cs="宋体"/>
                <w:sz w:val="24"/>
              </w:rPr>
            </w:pPr>
            <w:r>
              <w:rPr>
                <w:rFonts w:hint="eastAsia" w:ascii="宋体" w:hAnsi="宋体" w:cs="宋体"/>
                <w:sz w:val="24"/>
              </w:rPr>
              <w:t>▲2、碳纤维气瓶，气瓶水容积：6.8L，全缠绕式碳纤维复合材料；内胆采用高强度、经防腐处理、铝合金材料，气瓶重量≤3.9KG。额定工作压力 30Mpa，水压试验压力：50MPa，爆破压力：102MPa。气瓶瓶阀接口螺纹规格为 G5/8，气瓶阀为方便右手使用设计，开启方向为逆时针，安全膜片爆破压力为37MPa～45MPa，气瓶瓶阀的输出端螺纹为内螺纹，气瓶瓶阀带有指针式压力显示装置。。</w:t>
            </w:r>
          </w:p>
          <w:p w14:paraId="218D4273">
            <w:pPr>
              <w:adjustRightInd/>
              <w:jc w:val="left"/>
              <w:rPr>
                <w:rFonts w:ascii="宋体" w:hAnsi="宋体" w:cs="宋体"/>
                <w:sz w:val="24"/>
              </w:rPr>
            </w:pPr>
            <w:r>
              <w:rPr>
                <w:rFonts w:hint="eastAsia" w:ascii="宋体" w:hAnsi="宋体" w:cs="宋体"/>
                <w:sz w:val="24"/>
              </w:rPr>
              <w:t>3、阻燃性能：背具、背具带、带扣、气瓶防护套、全面罩、中压导气管、供气阀、他救接口等部件均阻燃，续燃时间≤0S。</w:t>
            </w:r>
          </w:p>
          <w:p w14:paraId="053600F1">
            <w:pPr>
              <w:adjustRightInd/>
              <w:jc w:val="left"/>
              <w:rPr>
                <w:rFonts w:ascii="宋体" w:hAnsi="宋体" w:cs="宋体"/>
                <w:sz w:val="24"/>
              </w:rPr>
            </w:pPr>
            <w:r>
              <w:rPr>
                <w:rFonts w:hint="eastAsia" w:ascii="宋体" w:hAnsi="宋体" w:cs="宋体"/>
                <w:sz w:val="24"/>
              </w:rPr>
              <w:t>4、佩戴质量：≤11kg。</w:t>
            </w:r>
          </w:p>
          <w:p w14:paraId="644FCED7">
            <w:pPr>
              <w:adjustRightInd/>
              <w:jc w:val="left"/>
              <w:rPr>
                <w:rFonts w:ascii="宋体" w:hAnsi="宋体" w:cs="宋体"/>
                <w:sz w:val="24"/>
              </w:rPr>
            </w:pPr>
            <w:r>
              <w:rPr>
                <w:rFonts w:hint="eastAsia" w:ascii="宋体" w:hAnsi="宋体" w:cs="宋体"/>
                <w:sz w:val="24"/>
              </w:rPr>
              <w:t>5、整机气密性能：在气密性能试验后，其压力表的压力指示值在1min内的下降0MPa。</w:t>
            </w:r>
          </w:p>
          <w:p w14:paraId="6E5DB03D">
            <w:pPr>
              <w:adjustRightInd/>
              <w:jc w:val="left"/>
              <w:rPr>
                <w:rFonts w:ascii="宋体" w:hAnsi="宋体" w:cs="宋体"/>
                <w:sz w:val="24"/>
              </w:rPr>
            </w:pPr>
            <w:r>
              <w:rPr>
                <w:rFonts w:hint="eastAsia" w:ascii="宋体" w:hAnsi="宋体" w:cs="宋体"/>
                <w:sz w:val="24"/>
              </w:rPr>
              <w:t>▲6、动态呼吸阻力：气瓶压力30～2MP，呼吸量40×2.5L/min：吸气阻力≤385、呼气阻力≤630Pa。气瓶压力2～1MP，呼吸量25×2L/min：吸气阻力≤250Pa、呼气阻力≤560Pa。</w:t>
            </w:r>
          </w:p>
          <w:p w14:paraId="4F7A5DA0">
            <w:pPr>
              <w:adjustRightInd/>
              <w:jc w:val="left"/>
              <w:rPr>
                <w:rFonts w:ascii="宋体" w:hAnsi="宋体" w:cs="宋体"/>
                <w:sz w:val="24"/>
              </w:rPr>
            </w:pPr>
            <w:r>
              <w:rPr>
                <w:rFonts w:hint="eastAsia" w:ascii="宋体" w:hAnsi="宋体" w:cs="宋体"/>
                <w:sz w:val="24"/>
              </w:rPr>
              <w:t>▲7、耐高温性能：呼气阻力≤740Pa；耐低温性能：呼气阻力≤280Pa；耐辐射热性能：吸气阻力≤160Pa；呼气阻力≤600Pa。</w:t>
            </w:r>
          </w:p>
          <w:p w14:paraId="09F66566">
            <w:pPr>
              <w:adjustRightInd/>
              <w:jc w:val="left"/>
              <w:rPr>
                <w:rFonts w:ascii="宋体" w:hAnsi="宋体" w:cs="宋体"/>
                <w:sz w:val="24"/>
              </w:rPr>
            </w:pPr>
            <w:r>
              <w:rPr>
                <w:rFonts w:hint="eastAsia" w:ascii="宋体" w:hAnsi="宋体" w:cs="宋体"/>
                <w:sz w:val="24"/>
              </w:rPr>
              <w:t>▲8、静态压力：静态压力≤200Pa。</w:t>
            </w:r>
          </w:p>
          <w:p w14:paraId="16457099">
            <w:pPr>
              <w:adjustRightInd/>
              <w:jc w:val="left"/>
              <w:rPr>
                <w:rFonts w:ascii="宋体" w:hAnsi="宋体" w:cs="宋体"/>
                <w:sz w:val="24"/>
              </w:rPr>
            </w:pPr>
            <w:r>
              <w:rPr>
                <w:rFonts w:hint="eastAsia" w:ascii="宋体" w:hAnsi="宋体" w:cs="宋体"/>
                <w:sz w:val="24"/>
              </w:rPr>
              <w:t>9、警报器性能：报警压力：5.5±0.5MPa，连续声响时间：以90dB以上的声强持续报警时间＞15s；警报器具备声光一体化报警、跌倒报警等功能。警报器通过国家防爆检验中心检验合格并获取防爆证书。防爆性能：防爆等级≥Ex ia IIC T4 Ga.</w:t>
            </w:r>
          </w:p>
          <w:p w14:paraId="11F8FCD6">
            <w:pPr>
              <w:adjustRightInd/>
              <w:jc w:val="left"/>
              <w:rPr>
                <w:rFonts w:ascii="宋体" w:hAnsi="宋体" w:cs="宋体"/>
                <w:sz w:val="24"/>
              </w:rPr>
            </w:pPr>
            <w:r>
              <w:rPr>
                <w:rFonts w:hint="eastAsia" w:ascii="宋体" w:hAnsi="宋体" w:cs="宋体"/>
                <w:sz w:val="24"/>
              </w:rPr>
              <w:t>▲10、面罩总视野保留率≥80%，双目视野保留率≥65%，镜片透光率≥93%，吸入气体中CO2含量≤0.88%。面罩有防雾功能；面罩内配有HUD压力平视显示装置，内置无线蓝牙接收装置。发射装置位于使用者胸前和机械压力表一体化设计，作用是将气瓶内剩余气体量，反馈到接收装置中。采用精密压力传感器，可准确检测气瓶实时压力，压力和电源指示由不少于四个灯分项独立指示，气瓶压力10～30MPa时绿灯亮，6～10MPa时黄灯亮，0至5MPa时红灯亮，电池使用时间≥24小时；更换面罩时无需重新配对。</w:t>
            </w:r>
          </w:p>
          <w:p w14:paraId="2F28E2D4">
            <w:pPr>
              <w:adjustRightInd/>
              <w:jc w:val="left"/>
              <w:rPr>
                <w:rFonts w:ascii="宋体" w:hAnsi="宋体" w:cs="宋体"/>
                <w:sz w:val="24"/>
              </w:rPr>
            </w:pPr>
            <w:r>
              <w:rPr>
                <w:rFonts w:hint="eastAsia" w:ascii="宋体" w:hAnsi="宋体" w:cs="宋体"/>
                <w:sz w:val="24"/>
              </w:rPr>
              <w:t>11、供气阀结构简单、功能性强、输出流量大、体积小。气管不妨碍佩戴者工作和头部自由活动，且不干扰供气阀同面罩的连接，当中压导气管弯曲、变形时，中压导气管不产生通气障碍，中压导管快插接口应符合XF124-2013《正压式消防空气呼吸器》统一标准尺寸。</w:t>
            </w:r>
          </w:p>
          <w:p w14:paraId="7E36B7D7">
            <w:pPr>
              <w:adjustRightInd/>
              <w:jc w:val="left"/>
              <w:rPr>
                <w:rFonts w:ascii="宋体" w:hAnsi="宋体" w:cs="宋体"/>
                <w:sz w:val="24"/>
              </w:rPr>
            </w:pPr>
            <w:r>
              <w:rPr>
                <w:rFonts w:hint="eastAsia" w:ascii="宋体" w:hAnsi="宋体" w:cs="宋体"/>
                <w:sz w:val="24"/>
              </w:rPr>
              <w:t>▲12、减压器性能：减压器输出压力在0.6-0.9MPa。报警哨性能：报警哨压力5.5±0.5Mpa,连续声响时间≥90dB(A)的声强持续≥15秒。报警器继续报警符合标准。</w:t>
            </w:r>
          </w:p>
          <w:p w14:paraId="727240FA">
            <w:pPr>
              <w:adjustRightInd/>
              <w:jc w:val="left"/>
              <w:rPr>
                <w:rFonts w:ascii="宋体" w:hAnsi="宋体" w:cs="宋体"/>
                <w:sz w:val="24"/>
              </w:rPr>
            </w:pPr>
            <w:r>
              <w:rPr>
                <w:rFonts w:hint="eastAsia" w:ascii="宋体" w:hAnsi="宋体" w:cs="宋体"/>
                <w:sz w:val="24"/>
              </w:rPr>
              <w:t>13、安全阀性能：关闭压力≥1.0MPa</w:t>
            </w:r>
          </w:p>
          <w:p w14:paraId="471F01CB">
            <w:pPr>
              <w:adjustRightInd/>
              <w:jc w:val="left"/>
              <w:rPr>
                <w:rFonts w:ascii="宋体" w:hAnsi="宋体" w:cs="宋体"/>
                <w:sz w:val="24"/>
              </w:rPr>
            </w:pPr>
            <w:r>
              <w:rPr>
                <w:rFonts w:hint="eastAsia" w:ascii="宋体" w:hAnsi="宋体" w:cs="宋体"/>
                <w:sz w:val="24"/>
              </w:rPr>
              <w:t>14、压力表性能：经24h水下1m的浸泡后，压力表内不应有水。漏气量≤13L/min。</w:t>
            </w:r>
          </w:p>
          <w:p w14:paraId="3B18B47D">
            <w:pPr>
              <w:adjustRightInd/>
              <w:jc w:val="left"/>
              <w:rPr>
                <w:rFonts w:ascii="宋体" w:hAnsi="宋体" w:cs="宋体"/>
                <w:sz w:val="24"/>
              </w:rPr>
            </w:pPr>
            <w:r>
              <w:rPr>
                <w:rFonts w:hint="eastAsia" w:ascii="宋体" w:hAnsi="宋体" w:cs="宋体"/>
                <w:sz w:val="24"/>
              </w:rPr>
              <w:t>15、空呼背板按照人体工程学原理设计，符合亚洲人体型，与人体背部贴合，佩戴空呼时减轻肩部负重，有利于火灾现场实施救援活动。织带与面料均采用芳纶阻燃材料制作，3M反光条，保证了夜间救援的可视性。</w:t>
            </w:r>
          </w:p>
        </w:tc>
      </w:tr>
      <w:tr w14:paraId="1708536F">
        <w:tblPrEx>
          <w:tblCellMar>
            <w:top w:w="0" w:type="dxa"/>
            <w:left w:w="108" w:type="dxa"/>
            <w:bottom w:w="0" w:type="dxa"/>
            <w:right w:w="108" w:type="dxa"/>
          </w:tblCellMar>
        </w:tblPrEx>
        <w:trPr>
          <w:trHeight w:val="23" w:hRule="atLeast"/>
          <w:jc w:val="center"/>
        </w:trPr>
        <w:tc>
          <w:tcPr>
            <w:tcW w:w="791" w:type="dxa"/>
            <w:vMerge w:val="continue"/>
            <w:tcBorders>
              <w:left w:val="single" w:color="000000" w:sz="4" w:space="0"/>
              <w:right w:val="single" w:color="000000" w:sz="4" w:space="0"/>
            </w:tcBorders>
            <w:noWrap/>
            <w:vAlign w:val="center"/>
          </w:tcPr>
          <w:p w14:paraId="5195711C">
            <w:pPr>
              <w:jc w:val="center"/>
              <w:rPr>
                <w:rFonts w:ascii="宋体" w:hAnsi="宋体" w:cs="宋体"/>
                <w:sz w:val="24"/>
              </w:rPr>
            </w:pP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53CE7377">
            <w:pPr>
              <w:widowControl/>
              <w:jc w:val="center"/>
              <w:textAlignment w:val="center"/>
              <w:rPr>
                <w:rFonts w:ascii="宋体" w:hAnsi="宋体" w:cs="宋体"/>
                <w:sz w:val="24"/>
              </w:rPr>
            </w:pPr>
            <w:r>
              <w:rPr>
                <w:rFonts w:hint="eastAsia" w:ascii="宋体" w:hAnsi="宋体" w:cs="宋体"/>
                <w:sz w:val="24"/>
              </w:rPr>
              <w:t>25</w:t>
            </w:r>
          </w:p>
        </w:tc>
        <w:tc>
          <w:tcPr>
            <w:tcW w:w="956" w:type="dxa"/>
            <w:gridSpan w:val="2"/>
            <w:tcBorders>
              <w:top w:val="single" w:color="000000" w:sz="4" w:space="0"/>
              <w:left w:val="single" w:color="000000" w:sz="4" w:space="0"/>
              <w:bottom w:val="single" w:color="000000" w:sz="4" w:space="0"/>
              <w:right w:val="single" w:color="000000" w:sz="4" w:space="0"/>
            </w:tcBorders>
            <w:noWrap/>
            <w:vAlign w:val="center"/>
          </w:tcPr>
          <w:p w14:paraId="72EEFAEA">
            <w:pPr>
              <w:widowControl/>
              <w:jc w:val="center"/>
              <w:textAlignment w:val="center"/>
              <w:rPr>
                <w:rFonts w:ascii="宋体" w:hAnsi="宋体" w:cs="宋体"/>
                <w:sz w:val="24"/>
              </w:rPr>
            </w:pPr>
            <w:r>
              <w:rPr>
                <w:rFonts w:hint="eastAsia" w:ascii="宋体" w:hAnsi="宋体" w:cs="宋体"/>
                <w:sz w:val="24"/>
              </w:rPr>
              <w:t>防盗窗破拆用角磨机</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4BEE4A9D">
            <w:pPr>
              <w:widowControl/>
              <w:textAlignment w:val="center"/>
              <w:rPr>
                <w:rFonts w:ascii="宋体" w:hAnsi="宋体" w:cs="宋体"/>
                <w:sz w:val="24"/>
              </w:rPr>
            </w:pPr>
            <w:r>
              <w:rPr>
                <w:rFonts w:hint="eastAsia" w:ascii="宋体" w:hAnsi="宋体" w:cs="宋体"/>
                <w:sz w:val="24"/>
              </w:rPr>
              <w:t>2</w:t>
            </w:r>
          </w:p>
        </w:tc>
        <w:tc>
          <w:tcPr>
            <w:tcW w:w="6839" w:type="dxa"/>
            <w:tcBorders>
              <w:top w:val="single" w:color="000000" w:sz="4" w:space="0"/>
              <w:left w:val="single" w:color="000000" w:sz="4" w:space="0"/>
              <w:bottom w:val="single" w:color="000000" w:sz="4" w:space="0"/>
              <w:right w:val="single" w:color="000000" w:sz="4" w:space="0"/>
            </w:tcBorders>
            <w:noWrap/>
            <w:vAlign w:val="center"/>
          </w:tcPr>
          <w:p w14:paraId="5B5B2D7F">
            <w:pPr>
              <w:adjustRightInd/>
              <w:jc w:val="left"/>
              <w:rPr>
                <w:rFonts w:ascii="宋体" w:hAnsi="宋体" w:cs="宋体"/>
                <w:sz w:val="24"/>
              </w:rPr>
            </w:pPr>
            <w:r>
              <w:rPr>
                <w:rFonts w:hint="eastAsia" w:ascii="宋体" w:hAnsi="宋体" w:cs="宋体"/>
                <w:sz w:val="24"/>
              </w:rPr>
              <w:t>检测依据: 角磨机试验大纲、GB/T 2423.1-2008 (低温试验)、GB/T 2423.2-2008 (高温试验)</w:t>
            </w:r>
          </w:p>
          <w:p w14:paraId="462D65BF">
            <w:pPr>
              <w:adjustRightInd/>
              <w:jc w:val="left"/>
              <w:rPr>
                <w:rFonts w:ascii="宋体" w:hAnsi="宋体" w:cs="宋体"/>
                <w:sz w:val="24"/>
              </w:rPr>
            </w:pPr>
            <w:r>
              <w:rPr>
                <w:rFonts w:hint="eastAsia" w:ascii="宋体" w:hAnsi="宋体" w:cs="宋体"/>
                <w:sz w:val="24"/>
              </w:rPr>
              <w:t xml:space="preserve">标称最大输出功率: ≥1kW </w:t>
            </w:r>
          </w:p>
          <w:p w14:paraId="730EE1B2">
            <w:pPr>
              <w:adjustRightInd/>
              <w:jc w:val="left"/>
              <w:rPr>
                <w:rFonts w:ascii="宋体" w:hAnsi="宋体" w:cs="宋体"/>
                <w:sz w:val="24"/>
              </w:rPr>
            </w:pPr>
            <w:r>
              <w:rPr>
                <w:rFonts w:hint="eastAsia" w:ascii="宋体" w:hAnsi="宋体" w:cs="宋体"/>
                <w:sz w:val="24"/>
              </w:rPr>
              <w:t xml:space="preserve">额定转速: ≥9000 r/min </w:t>
            </w:r>
          </w:p>
          <w:p w14:paraId="1C139016">
            <w:pPr>
              <w:adjustRightInd/>
              <w:jc w:val="left"/>
              <w:rPr>
                <w:rFonts w:ascii="宋体" w:hAnsi="宋体" w:cs="宋体"/>
                <w:sz w:val="24"/>
              </w:rPr>
            </w:pPr>
            <w:r>
              <w:rPr>
                <w:rFonts w:hint="eastAsia" w:ascii="宋体" w:hAnsi="宋体" w:cs="宋体"/>
                <w:sz w:val="24"/>
              </w:rPr>
              <w:t>电池配置: 标配2块电池，标称容量为6Ah</w:t>
            </w:r>
          </w:p>
          <w:p w14:paraId="1AC43749">
            <w:pPr>
              <w:adjustRightInd/>
              <w:jc w:val="left"/>
              <w:rPr>
                <w:rFonts w:ascii="宋体" w:hAnsi="宋体" w:cs="宋体"/>
                <w:sz w:val="24"/>
              </w:rPr>
            </w:pPr>
            <w:r>
              <w:rPr>
                <w:rFonts w:hint="eastAsia" w:ascii="宋体" w:hAnsi="宋体" w:cs="宋体"/>
                <w:sz w:val="24"/>
              </w:rPr>
              <w:t xml:space="preserve">设备净重:≤2.2 kg </w:t>
            </w:r>
          </w:p>
          <w:p w14:paraId="67C341D7">
            <w:pPr>
              <w:adjustRightInd/>
              <w:jc w:val="left"/>
              <w:rPr>
                <w:rFonts w:ascii="宋体" w:hAnsi="宋体" w:cs="宋体"/>
                <w:sz w:val="24"/>
              </w:rPr>
            </w:pPr>
            <w:r>
              <w:rPr>
                <w:rFonts w:hint="eastAsia" w:ascii="宋体" w:hAnsi="宋体" w:cs="宋体"/>
                <w:sz w:val="24"/>
              </w:rPr>
              <w:t>外观特征: 带有金属头壳、轴锁按钮、辅助手柄，速度可调</w:t>
            </w:r>
          </w:p>
          <w:p w14:paraId="48CE1734">
            <w:pPr>
              <w:adjustRightInd/>
              <w:jc w:val="left"/>
              <w:rPr>
                <w:rFonts w:ascii="宋体" w:hAnsi="宋体" w:cs="宋体"/>
                <w:sz w:val="24"/>
              </w:rPr>
            </w:pPr>
            <w:r>
              <w:rPr>
                <w:rFonts w:hint="eastAsia" w:ascii="宋体" w:hAnsi="宋体" w:cs="宋体"/>
                <w:sz w:val="24"/>
              </w:rPr>
              <w:t>高温试验: 在50℃环境下保持2小时，设备无损坏或变形，电气性能正常。</w:t>
            </w:r>
          </w:p>
          <w:p w14:paraId="5FE9A967">
            <w:pPr>
              <w:adjustRightInd/>
              <w:jc w:val="left"/>
              <w:rPr>
                <w:rFonts w:ascii="宋体" w:hAnsi="宋体" w:cs="宋体"/>
                <w:sz w:val="24"/>
              </w:rPr>
            </w:pPr>
            <w:r>
              <w:rPr>
                <w:rFonts w:hint="eastAsia" w:ascii="宋体" w:hAnsi="宋体" w:cs="宋体"/>
                <w:sz w:val="24"/>
              </w:rPr>
              <w:t>低温试验: 在-10℃环境下保持2小时，设备无损坏或变形，电气性能正常。</w:t>
            </w:r>
          </w:p>
          <w:p w14:paraId="503527E9">
            <w:pPr>
              <w:adjustRightInd/>
              <w:jc w:val="left"/>
              <w:rPr>
                <w:rFonts w:ascii="宋体" w:hAnsi="宋体" w:cs="宋体"/>
                <w:sz w:val="24"/>
              </w:rPr>
            </w:pPr>
            <w:r>
              <w:rPr>
                <w:rFonts w:hint="eastAsia" w:ascii="宋体" w:hAnsi="宋体" w:cs="宋体"/>
                <w:sz w:val="24"/>
              </w:rPr>
              <w:t>配件：工程塑料工具箱：1个，砂轮切割片：10片，石材锯片：5片，木材锯片：5片，电器：1个</w:t>
            </w:r>
          </w:p>
        </w:tc>
      </w:tr>
      <w:tr w14:paraId="52E03C31">
        <w:tblPrEx>
          <w:tblCellMar>
            <w:top w:w="0" w:type="dxa"/>
            <w:left w:w="108" w:type="dxa"/>
            <w:bottom w:w="0" w:type="dxa"/>
            <w:right w:w="108" w:type="dxa"/>
          </w:tblCellMar>
        </w:tblPrEx>
        <w:trPr>
          <w:trHeight w:val="23" w:hRule="atLeast"/>
          <w:jc w:val="center"/>
        </w:trPr>
        <w:tc>
          <w:tcPr>
            <w:tcW w:w="791" w:type="dxa"/>
            <w:vMerge w:val="continue"/>
            <w:tcBorders>
              <w:left w:val="single" w:color="000000" w:sz="4" w:space="0"/>
              <w:bottom w:val="single" w:color="000000" w:sz="4" w:space="0"/>
              <w:right w:val="single" w:color="000000" w:sz="4" w:space="0"/>
            </w:tcBorders>
            <w:noWrap/>
            <w:vAlign w:val="center"/>
          </w:tcPr>
          <w:p w14:paraId="1143BE95">
            <w:pPr>
              <w:jc w:val="center"/>
              <w:rPr>
                <w:rFonts w:ascii="宋体" w:hAnsi="宋体" w:cs="宋体"/>
                <w:sz w:val="24"/>
              </w:rPr>
            </w:pP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77D2451F">
            <w:pPr>
              <w:widowControl/>
              <w:jc w:val="center"/>
              <w:textAlignment w:val="center"/>
              <w:rPr>
                <w:rFonts w:ascii="宋体" w:hAnsi="宋体" w:cs="宋体"/>
                <w:sz w:val="24"/>
              </w:rPr>
            </w:pPr>
            <w:r>
              <w:rPr>
                <w:rFonts w:hint="eastAsia" w:ascii="宋体" w:hAnsi="宋体" w:cs="宋体"/>
                <w:sz w:val="24"/>
              </w:rPr>
              <w:t>26</w:t>
            </w:r>
          </w:p>
        </w:tc>
        <w:tc>
          <w:tcPr>
            <w:tcW w:w="956" w:type="dxa"/>
            <w:gridSpan w:val="2"/>
            <w:tcBorders>
              <w:top w:val="single" w:color="000000" w:sz="4" w:space="0"/>
              <w:left w:val="single" w:color="000000" w:sz="4" w:space="0"/>
              <w:bottom w:val="single" w:color="000000" w:sz="4" w:space="0"/>
              <w:right w:val="single" w:color="000000" w:sz="4" w:space="0"/>
            </w:tcBorders>
            <w:noWrap/>
            <w:vAlign w:val="center"/>
          </w:tcPr>
          <w:p w14:paraId="4C5BCD26">
            <w:pPr>
              <w:widowControl/>
              <w:jc w:val="center"/>
              <w:textAlignment w:val="center"/>
              <w:rPr>
                <w:rFonts w:ascii="宋体" w:hAnsi="宋体" w:cs="宋体"/>
                <w:sz w:val="24"/>
              </w:rPr>
            </w:pPr>
            <w:r>
              <w:rPr>
                <w:rFonts w:hint="eastAsia" w:ascii="宋体" w:hAnsi="宋体" w:cs="宋体"/>
                <w:sz w:val="24"/>
              </w:rPr>
              <w:t>机动消防泵</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0B4812B3">
            <w:pPr>
              <w:widowControl/>
              <w:textAlignment w:val="center"/>
              <w:rPr>
                <w:rFonts w:ascii="宋体" w:hAnsi="宋体" w:cs="宋体"/>
                <w:sz w:val="24"/>
              </w:rPr>
            </w:pPr>
            <w:r>
              <w:rPr>
                <w:rFonts w:hint="eastAsia" w:ascii="宋体" w:hAnsi="宋体" w:cs="宋体"/>
                <w:sz w:val="24"/>
              </w:rPr>
              <w:t>5</w:t>
            </w:r>
          </w:p>
        </w:tc>
        <w:tc>
          <w:tcPr>
            <w:tcW w:w="6839" w:type="dxa"/>
            <w:tcBorders>
              <w:top w:val="single" w:color="000000" w:sz="4" w:space="0"/>
              <w:left w:val="single" w:color="000000" w:sz="4" w:space="0"/>
              <w:bottom w:val="single" w:color="000000" w:sz="4" w:space="0"/>
              <w:right w:val="single" w:color="000000" w:sz="4" w:space="0"/>
            </w:tcBorders>
            <w:noWrap/>
            <w:vAlign w:val="center"/>
          </w:tcPr>
          <w:p w14:paraId="6AC84BC7">
            <w:pPr>
              <w:adjustRightInd/>
              <w:jc w:val="left"/>
              <w:rPr>
                <w:rFonts w:ascii="宋体" w:hAnsi="宋体" w:cs="宋体"/>
                <w:sz w:val="24"/>
              </w:rPr>
            </w:pPr>
            <w:r>
              <w:rPr>
                <w:rFonts w:hint="eastAsia" w:ascii="宋体" w:hAnsi="宋体" w:cs="宋体"/>
                <w:sz w:val="24"/>
              </w:rPr>
              <w:t>采用水冷散热器方式，在气缸周围以清水（不冻液）冷却，解决了原来水冷发动机的缺点。实现了引擎在无放水状态下的空运转以往水冷引擎不能做到的无放水状态下的运转，现在可以维持约15分钟。可以像风冷引擎一样保养。采用了根据发动机负载不同，而随时改变最佳混合比的调速器联动分离供油方式。根据使用负载所对应的混合比，自动控制。根据喷嘴放水压力的变化而自动调整，可以保证稳定的放水，并且可以减轻对发动机的负担。</w:t>
            </w:r>
          </w:p>
          <w:p w14:paraId="56BBF826">
            <w:pPr>
              <w:adjustRightInd/>
              <w:jc w:val="left"/>
              <w:rPr>
                <w:rFonts w:ascii="宋体" w:hAnsi="宋体" w:cs="宋体"/>
                <w:sz w:val="24"/>
              </w:rPr>
            </w:pPr>
            <w:r>
              <w:rPr>
                <w:rFonts w:hint="eastAsia" w:ascii="宋体" w:hAnsi="宋体" w:cs="宋体"/>
                <w:sz w:val="24"/>
              </w:rPr>
              <w:t>1、符合国家GB 6245-2006 《消防泵》的标准要求，并提供国家消防装备质量监督检验中心出具的检验报告复印件；</w:t>
            </w:r>
          </w:p>
          <w:p w14:paraId="18515707">
            <w:pPr>
              <w:adjustRightInd/>
              <w:jc w:val="left"/>
              <w:rPr>
                <w:rFonts w:ascii="宋体" w:hAnsi="宋体" w:cs="宋体"/>
                <w:sz w:val="24"/>
              </w:rPr>
            </w:pPr>
            <w:r>
              <w:rPr>
                <w:rFonts w:hint="eastAsia" w:ascii="宋体" w:hAnsi="宋体" w:cs="宋体"/>
                <w:sz w:val="24"/>
              </w:rPr>
              <w:t>2、发动机类型：卧式、电动，双缸、水冷，冷却水还流式二冲程汽油机；</w:t>
            </w:r>
          </w:p>
          <w:p w14:paraId="0B228E3D">
            <w:pPr>
              <w:adjustRightInd/>
              <w:jc w:val="left"/>
              <w:rPr>
                <w:rFonts w:ascii="宋体" w:hAnsi="宋体" w:cs="宋体"/>
                <w:sz w:val="24"/>
              </w:rPr>
            </w:pPr>
            <w:r>
              <w:rPr>
                <w:rFonts w:hint="eastAsia" w:ascii="宋体" w:hAnsi="宋体" w:cs="宋体"/>
                <w:sz w:val="24"/>
              </w:rPr>
              <w:t>3、水泵类型：单泵单程离心泵，碳纤维活片无油式真空泵；</w:t>
            </w:r>
          </w:p>
          <w:p w14:paraId="0BAB3597">
            <w:pPr>
              <w:adjustRightInd/>
              <w:jc w:val="left"/>
              <w:rPr>
                <w:rFonts w:ascii="宋体" w:hAnsi="宋体" w:cs="宋体"/>
                <w:sz w:val="24"/>
              </w:rPr>
            </w:pPr>
            <w:r>
              <w:rPr>
                <w:rFonts w:hint="eastAsia" w:ascii="宋体" w:hAnsi="宋体" w:cs="宋体"/>
                <w:sz w:val="24"/>
              </w:rPr>
              <w:t>4、手动操作吸水，最大吸程9米；</w:t>
            </w:r>
          </w:p>
          <w:p w14:paraId="1A9F0E21">
            <w:pPr>
              <w:adjustRightInd/>
              <w:jc w:val="left"/>
              <w:rPr>
                <w:rFonts w:ascii="宋体" w:hAnsi="宋体" w:cs="宋体"/>
                <w:sz w:val="24"/>
              </w:rPr>
            </w:pPr>
            <w:r>
              <w:rPr>
                <w:rFonts w:hint="eastAsia" w:ascii="宋体" w:hAnsi="宋体" w:cs="宋体"/>
                <w:sz w:val="24"/>
              </w:rPr>
              <w:t>5、发动机需带有过热保护功能，燃油应采用自动混合比例供应；</w:t>
            </w:r>
          </w:p>
          <w:p w14:paraId="55998E8E">
            <w:pPr>
              <w:adjustRightInd/>
              <w:jc w:val="left"/>
              <w:rPr>
                <w:rFonts w:ascii="宋体" w:hAnsi="宋体" w:cs="宋体"/>
                <w:sz w:val="24"/>
              </w:rPr>
            </w:pPr>
            <w:r>
              <w:rPr>
                <w:rFonts w:hint="eastAsia" w:ascii="宋体" w:hAnsi="宋体" w:cs="宋体"/>
                <w:sz w:val="24"/>
              </w:rPr>
              <w:t>6、启动方式：电启动/自回式手拉绳启动；</w:t>
            </w:r>
          </w:p>
          <w:p w14:paraId="7BCEFECF">
            <w:pPr>
              <w:adjustRightInd/>
              <w:jc w:val="left"/>
              <w:rPr>
                <w:rFonts w:ascii="宋体" w:hAnsi="宋体" w:cs="宋体"/>
                <w:sz w:val="24"/>
              </w:rPr>
            </w:pPr>
            <w:r>
              <w:rPr>
                <w:rFonts w:hint="eastAsia" w:ascii="宋体" w:hAnsi="宋体" w:cs="宋体"/>
                <w:sz w:val="24"/>
              </w:rPr>
              <w:t>7、主轴转速5200转/分钟；</w:t>
            </w:r>
          </w:p>
          <w:p w14:paraId="2FA5B16B">
            <w:pPr>
              <w:adjustRightInd/>
              <w:jc w:val="left"/>
              <w:rPr>
                <w:rFonts w:ascii="宋体" w:hAnsi="宋体" w:cs="宋体"/>
                <w:sz w:val="24"/>
              </w:rPr>
            </w:pPr>
            <w:r>
              <w:rPr>
                <w:rFonts w:hint="eastAsia" w:ascii="宋体" w:hAnsi="宋体" w:cs="宋体"/>
                <w:sz w:val="24"/>
              </w:rPr>
              <w:t>8、最大输出功率46PS=34KW；</w:t>
            </w:r>
          </w:p>
          <w:p w14:paraId="6ECB8860">
            <w:pPr>
              <w:adjustRightInd/>
              <w:jc w:val="left"/>
              <w:rPr>
                <w:rFonts w:ascii="宋体" w:hAnsi="宋体" w:cs="宋体"/>
                <w:sz w:val="24"/>
              </w:rPr>
            </w:pPr>
            <w:r>
              <w:rPr>
                <w:rFonts w:hint="eastAsia" w:ascii="宋体" w:hAnsi="宋体" w:cs="宋体"/>
                <w:sz w:val="24"/>
              </w:rPr>
              <w:t>9、进水口Ø80mm，</w:t>
            </w:r>
          </w:p>
          <w:p w14:paraId="35410D03">
            <w:pPr>
              <w:adjustRightInd/>
              <w:jc w:val="left"/>
              <w:rPr>
                <w:rFonts w:ascii="宋体" w:hAnsi="宋体" w:cs="宋体"/>
                <w:sz w:val="24"/>
              </w:rPr>
            </w:pPr>
            <w:r>
              <w:rPr>
                <w:rFonts w:hint="eastAsia" w:ascii="宋体" w:hAnsi="宋体" w:cs="宋体"/>
                <w:sz w:val="24"/>
              </w:rPr>
              <w:t>10、出水口Ø65mm，可转动180度。</w:t>
            </w:r>
          </w:p>
          <w:p w14:paraId="5E4942AD">
            <w:pPr>
              <w:adjustRightInd/>
              <w:jc w:val="left"/>
              <w:rPr>
                <w:rFonts w:ascii="宋体" w:hAnsi="宋体" w:cs="宋体"/>
                <w:sz w:val="24"/>
              </w:rPr>
            </w:pPr>
            <w:r>
              <w:rPr>
                <w:rFonts w:hint="eastAsia" w:ascii="宋体" w:hAnsi="宋体" w:cs="宋体"/>
                <w:sz w:val="24"/>
              </w:rPr>
              <w:t>11、引水时间9.99秒</w:t>
            </w:r>
          </w:p>
          <w:p w14:paraId="475EF30E">
            <w:pPr>
              <w:adjustRightInd/>
              <w:jc w:val="left"/>
              <w:rPr>
                <w:rFonts w:ascii="宋体" w:hAnsi="宋体" w:cs="宋体"/>
                <w:sz w:val="24"/>
              </w:rPr>
            </w:pPr>
            <w:r>
              <w:rPr>
                <w:rFonts w:hint="eastAsia" w:ascii="宋体" w:hAnsi="宋体" w:cs="宋体"/>
                <w:sz w:val="24"/>
              </w:rPr>
              <w:t>12、吸深3m时，标准水量时 流量/压力≧25.83 L/s/0.5Mpa；</w:t>
            </w:r>
          </w:p>
          <w:p w14:paraId="68BD1CA3">
            <w:pPr>
              <w:adjustRightInd/>
              <w:jc w:val="left"/>
              <w:rPr>
                <w:rFonts w:ascii="宋体" w:hAnsi="宋体" w:cs="宋体"/>
                <w:sz w:val="24"/>
              </w:rPr>
            </w:pPr>
            <w:r>
              <w:rPr>
                <w:rFonts w:hint="eastAsia" w:ascii="宋体" w:hAnsi="宋体" w:cs="宋体"/>
                <w:sz w:val="24"/>
              </w:rPr>
              <w:t>13、整机体积为700mm×620mm×730mm；</w:t>
            </w:r>
          </w:p>
          <w:p w14:paraId="496868E2">
            <w:pPr>
              <w:adjustRightInd/>
              <w:jc w:val="left"/>
              <w:rPr>
                <w:rFonts w:ascii="宋体" w:hAnsi="宋体" w:cs="宋体"/>
                <w:sz w:val="24"/>
              </w:rPr>
            </w:pPr>
            <w:r>
              <w:rPr>
                <w:rFonts w:hint="eastAsia" w:ascii="宋体" w:hAnsi="宋体" w:cs="宋体"/>
                <w:sz w:val="24"/>
              </w:rPr>
              <w:t>14、油箱容积18升，标准耗油量每小时约9升。</w:t>
            </w:r>
          </w:p>
          <w:p w14:paraId="0A02E05D">
            <w:pPr>
              <w:adjustRightInd/>
              <w:jc w:val="left"/>
              <w:rPr>
                <w:rFonts w:ascii="宋体" w:hAnsi="宋体" w:cs="宋体"/>
                <w:sz w:val="24"/>
              </w:rPr>
            </w:pPr>
            <w:r>
              <w:rPr>
                <w:rFonts w:hint="eastAsia" w:ascii="宋体" w:hAnsi="宋体" w:cs="宋体"/>
                <w:sz w:val="24"/>
              </w:rPr>
              <w:t>15、重量85公斤                                                                                                                                                                                16、蓄电池12V，18Ah/5h</w:t>
            </w:r>
          </w:p>
        </w:tc>
      </w:tr>
      <w:tr w14:paraId="11E72E2E">
        <w:tblPrEx>
          <w:tblCellMar>
            <w:top w:w="0" w:type="dxa"/>
            <w:left w:w="108" w:type="dxa"/>
            <w:bottom w:w="0" w:type="dxa"/>
            <w:right w:w="108" w:type="dxa"/>
          </w:tblCellMar>
        </w:tblPrEx>
        <w:trPr>
          <w:trHeight w:val="23" w:hRule="atLeast"/>
          <w:jc w:val="center"/>
        </w:trPr>
        <w:tc>
          <w:tcPr>
            <w:tcW w:w="791" w:type="dxa"/>
            <w:vMerge w:val="restart"/>
            <w:tcBorders>
              <w:top w:val="single" w:color="000000" w:sz="4" w:space="0"/>
              <w:left w:val="single" w:color="000000" w:sz="4" w:space="0"/>
              <w:right w:val="single" w:color="000000" w:sz="4" w:space="0"/>
            </w:tcBorders>
            <w:noWrap/>
            <w:vAlign w:val="center"/>
          </w:tcPr>
          <w:p w14:paraId="62466728">
            <w:pPr>
              <w:jc w:val="center"/>
              <w:rPr>
                <w:rFonts w:ascii="宋体" w:hAnsi="宋体" w:cs="宋体"/>
                <w:sz w:val="24"/>
              </w:rPr>
            </w:pPr>
            <w:r>
              <w:rPr>
                <w:rFonts w:hint="eastAsia" w:ascii="宋体" w:hAnsi="宋体" w:cs="宋体"/>
                <w:sz w:val="24"/>
              </w:rPr>
              <w:t>侦检类</w:t>
            </w: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43704EA4">
            <w:pPr>
              <w:widowControl/>
              <w:jc w:val="center"/>
              <w:textAlignment w:val="center"/>
              <w:rPr>
                <w:rFonts w:ascii="宋体" w:hAnsi="宋体" w:cs="宋体"/>
                <w:sz w:val="24"/>
              </w:rPr>
            </w:pPr>
            <w:r>
              <w:rPr>
                <w:rFonts w:hint="eastAsia" w:ascii="宋体" w:hAnsi="宋体" w:cs="宋体"/>
                <w:sz w:val="24"/>
              </w:rPr>
              <w:t>27</w:t>
            </w:r>
          </w:p>
        </w:tc>
        <w:tc>
          <w:tcPr>
            <w:tcW w:w="956" w:type="dxa"/>
            <w:gridSpan w:val="2"/>
            <w:tcBorders>
              <w:top w:val="single" w:color="000000" w:sz="4" w:space="0"/>
              <w:left w:val="single" w:color="000000" w:sz="4" w:space="0"/>
              <w:bottom w:val="single" w:color="000000" w:sz="4" w:space="0"/>
              <w:right w:val="single" w:color="000000" w:sz="4" w:space="0"/>
            </w:tcBorders>
            <w:noWrap/>
            <w:vAlign w:val="center"/>
          </w:tcPr>
          <w:p w14:paraId="00729BA7">
            <w:pPr>
              <w:widowControl/>
              <w:jc w:val="center"/>
              <w:textAlignment w:val="center"/>
              <w:rPr>
                <w:rFonts w:ascii="宋体" w:hAnsi="宋体" w:cs="宋体"/>
                <w:sz w:val="24"/>
              </w:rPr>
            </w:pPr>
            <w:r>
              <w:rPr>
                <w:rFonts w:hint="eastAsia" w:ascii="宋体" w:hAnsi="宋体" w:cs="宋体"/>
                <w:sz w:val="24"/>
              </w:rPr>
              <w:t>有毒有害气体检测仪</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4D375A24">
            <w:pPr>
              <w:widowControl/>
              <w:textAlignment w:val="center"/>
              <w:rPr>
                <w:rFonts w:ascii="宋体" w:hAnsi="宋体" w:cs="宋体"/>
                <w:sz w:val="24"/>
              </w:rPr>
            </w:pPr>
            <w:r>
              <w:rPr>
                <w:rFonts w:hint="eastAsia" w:ascii="宋体" w:hAnsi="宋体" w:cs="宋体"/>
                <w:sz w:val="24"/>
              </w:rPr>
              <w:t>2</w:t>
            </w:r>
          </w:p>
        </w:tc>
        <w:tc>
          <w:tcPr>
            <w:tcW w:w="6839" w:type="dxa"/>
            <w:tcBorders>
              <w:top w:val="single" w:color="000000" w:sz="4" w:space="0"/>
              <w:left w:val="single" w:color="000000" w:sz="4" w:space="0"/>
              <w:bottom w:val="single" w:color="000000" w:sz="4" w:space="0"/>
              <w:right w:val="single" w:color="000000" w:sz="4" w:space="0"/>
            </w:tcBorders>
            <w:noWrap/>
            <w:vAlign w:val="center"/>
          </w:tcPr>
          <w:p w14:paraId="72F4C069">
            <w:pPr>
              <w:adjustRightInd/>
              <w:jc w:val="left"/>
              <w:rPr>
                <w:rFonts w:ascii="宋体" w:hAnsi="宋体" w:cs="宋体"/>
                <w:sz w:val="24"/>
              </w:rPr>
            </w:pPr>
            <w:r>
              <w:rPr>
                <w:rFonts w:hint="eastAsia" w:ascii="宋体" w:hAnsi="宋体" w:cs="宋体"/>
                <w:sz w:val="24"/>
              </w:rPr>
              <w:t>▲可同时检测1~4种气体，采用高精度传感器检测可燃气、氧气、一氧化碳、硫化氢</w:t>
            </w:r>
          </w:p>
          <w:p w14:paraId="7B4EEC14">
            <w:pPr>
              <w:adjustRightInd/>
              <w:jc w:val="left"/>
              <w:rPr>
                <w:rFonts w:ascii="宋体" w:hAnsi="宋体" w:cs="宋体"/>
                <w:sz w:val="24"/>
              </w:rPr>
            </w:pPr>
            <w:r>
              <w:rPr>
                <w:rFonts w:hint="eastAsia" w:ascii="宋体" w:hAnsi="宋体" w:cs="宋体"/>
                <w:sz w:val="24"/>
              </w:rPr>
              <w:t>▲扩散式/泵吸式测量，外置泵与仪器连接为嵌入一体式，流量可调;</w:t>
            </w:r>
          </w:p>
          <w:p w14:paraId="585210D3">
            <w:pPr>
              <w:adjustRightInd/>
              <w:jc w:val="left"/>
              <w:rPr>
                <w:rFonts w:ascii="宋体" w:hAnsi="宋体" w:cs="宋体"/>
                <w:sz w:val="24"/>
              </w:rPr>
            </w:pPr>
            <w:r>
              <w:rPr>
                <w:rFonts w:hint="eastAsia" w:ascii="宋体" w:hAnsi="宋体" w:cs="宋体"/>
                <w:sz w:val="24"/>
              </w:rPr>
              <w:t>▲泵堵塞报警;跌倒报警;</w:t>
            </w:r>
          </w:p>
          <w:p w14:paraId="5301E095">
            <w:pPr>
              <w:adjustRightInd/>
              <w:jc w:val="left"/>
              <w:rPr>
                <w:rFonts w:ascii="宋体" w:hAnsi="宋体" w:cs="宋体"/>
                <w:sz w:val="24"/>
              </w:rPr>
            </w:pPr>
            <w:r>
              <w:rPr>
                <w:rFonts w:hint="eastAsia" w:ascii="宋体" w:hAnsi="宋体" w:cs="宋体"/>
                <w:sz w:val="24"/>
              </w:rPr>
              <w:t>▲防火防静电抗高频辐射;</w:t>
            </w:r>
          </w:p>
          <w:p w14:paraId="48925E65">
            <w:pPr>
              <w:adjustRightInd/>
              <w:jc w:val="left"/>
              <w:rPr>
                <w:rFonts w:ascii="宋体" w:hAnsi="宋体" w:cs="宋体"/>
                <w:sz w:val="24"/>
              </w:rPr>
            </w:pPr>
            <w:r>
              <w:rPr>
                <w:rFonts w:hint="eastAsia" w:ascii="宋体" w:hAnsi="宋体" w:cs="宋体"/>
                <w:sz w:val="24"/>
              </w:rPr>
              <w:t>▲充电方式：座充，TYPE-C快充接口;</w:t>
            </w:r>
          </w:p>
          <w:p w14:paraId="38093078">
            <w:pPr>
              <w:adjustRightInd/>
              <w:jc w:val="left"/>
              <w:rPr>
                <w:rFonts w:ascii="宋体" w:hAnsi="宋体" w:cs="宋体"/>
                <w:sz w:val="24"/>
              </w:rPr>
            </w:pPr>
            <w:r>
              <w:rPr>
                <w:rFonts w:hint="eastAsia" w:ascii="宋体" w:hAnsi="宋体" w:cs="宋体"/>
                <w:sz w:val="24"/>
              </w:rPr>
              <w:t>▲单位切换，单位可选：umol/mol、ppm、mg/m3、%Vol、%LEL;</w:t>
            </w:r>
          </w:p>
          <w:p w14:paraId="43A8A63E">
            <w:pPr>
              <w:adjustRightInd/>
              <w:jc w:val="left"/>
              <w:rPr>
                <w:rFonts w:ascii="宋体" w:hAnsi="宋体" w:cs="宋体"/>
                <w:sz w:val="24"/>
              </w:rPr>
            </w:pPr>
            <w:r>
              <w:rPr>
                <w:rFonts w:hint="eastAsia" w:ascii="宋体" w:hAnsi="宋体" w:cs="宋体"/>
                <w:sz w:val="24"/>
              </w:rPr>
              <w:t>▲大容量数据存储功能，大于20万条数据存储容量;</w:t>
            </w:r>
          </w:p>
          <w:p w14:paraId="114724B8">
            <w:pPr>
              <w:adjustRightInd/>
              <w:jc w:val="left"/>
              <w:rPr>
                <w:rFonts w:ascii="宋体" w:hAnsi="宋体" w:cs="宋体"/>
                <w:sz w:val="24"/>
              </w:rPr>
            </w:pPr>
            <w:r>
              <w:rPr>
                <w:rFonts w:hint="eastAsia" w:ascii="宋体" w:hAnsi="宋体" w:cs="宋体"/>
                <w:sz w:val="24"/>
              </w:rPr>
              <w:t>▲无线传输(选配)：LORA、蓝牙(可连接外置蓝牙打印机、移动终端等)、NB-IOT;</w:t>
            </w:r>
          </w:p>
          <w:p w14:paraId="094EC65B">
            <w:pPr>
              <w:adjustRightInd/>
              <w:jc w:val="left"/>
              <w:rPr>
                <w:rFonts w:ascii="宋体" w:hAnsi="宋体" w:cs="宋体"/>
                <w:sz w:val="24"/>
              </w:rPr>
            </w:pPr>
            <w:r>
              <w:rPr>
                <w:rFonts w:hint="eastAsia" w:ascii="宋体" w:hAnsi="宋体" w:cs="宋体"/>
                <w:sz w:val="24"/>
              </w:rPr>
              <w:t>▲数据恢复功能 ，可部分或全部恢复出厂数据;</w:t>
            </w:r>
          </w:p>
          <w:p w14:paraId="7650B660">
            <w:pPr>
              <w:adjustRightInd/>
              <w:jc w:val="left"/>
              <w:rPr>
                <w:rFonts w:ascii="宋体" w:hAnsi="宋体" w:cs="宋体"/>
                <w:sz w:val="24"/>
              </w:rPr>
            </w:pPr>
            <w:r>
              <w:rPr>
                <w:rFonts w:hint="eastAsia" w:ascii="宋体" w:hAnsi="宋体" w:cs="宋体"/>
                <w:sz w:val="24"/>
              </w:rPr>
              <w:t>▲可显示最大值、最小值、加权平均值;</w:t>
            </w:r>
          </w:p>
          <w:p w14:paraId="117867C1">
            <w:pPr>
              <w:adjustRightInd/>
              <w:jc w:val="left"/>
              <w:rPr>
                <w:rFonts w:ascii="宋体" w:hAnsi="宋体" w:cs="宋体"/>
                <w:sz w:val="24"/>
              </w:rPr>
            </w:pPr>
            <w:r>
              <w:rPr>
                <w:rFonts w:hint="eastAsia" w:ascii="宋体" w:hAnsi="宋体" w:cs="宋体"/>
                <w:sz w:val="24"/>
              </w:rPr>
              <w:t>▲多种报警方式报警模式设置，报警时多方位立体指示报警状态;</w:t>
            </w:r>
          </w:p>
          <w:p w14:paraId="60F981FB">
            <w:pPr>
              <w:adjustRightInd/>
              <w:jc w:val="left"/>
              <w:rPr>
                <w:rFonts w:ascii="宋体" w:hAnsi="宋体" w:cs="宋体"/>
                <w:sz w:val="24"/>
              </w:rPr>
            </w:pPr>
            <w:r>
              <w:rPr>
                <w:rFonts w:hint="eastAsia" w:ascii="宋体" w:hAnsi="宋体" w:cs="宋体"/>
                <w:sz w:val="24"/>
              </w:rPr>
              <w:t>报警方式：声光报警、震动报警;</w:t>
            </w:r>
          </w:p>
          <w:p w14:paraId="3F4086B6">
            <w:pPr>
              <w:adjustRightInd/>
              <w:jc w:val="left"/>
              <w:rPr>
                <w:rFonts w:ascii="宋体" w:hAnsi="宋体" w:cs="宋体"/>
                <w:sz w:val="24"/>
              </w:rPr>
            </w:pPr>
            <w:r>
              <w:rPr>
                <w:rFonts w:hint="eastAsia" w:ascii="宋体" w:hAnsi="宋体" w:cs="宋体"/>
                <w:sz w:val="24"/>
              </w:rPr>
              <w:t>报警种类：浓度报警、欠压报警、故障报警、泵堵塞报警;</w:t>
            </w:r>
          </w:p>
          <w:p w14:paraId="1DE63BD6">
            <w:pPr>
              <w:adjustRightInd/>
              <w:jc w:val="left"/>
              <w:rPr>
                <w:rFonts w:ascii="宋体" w:hAnsi="宋体" w:cs="宋体"/>
                <w:sz w:val="24"/>
              </w:rPr>
            </w:pPr>
            <w:r>
              <w:rPr>
                <w:rFonts w:hint="eastAsia" w:ascii="宋体" w:hAnsi="宋体" w:cs="宋体"/>
                <w:sz w:val="24"/>
              </w:rPr>
              <w:t>报警模式：低报警、高报警、区间报警、加权平均值报警;</w:t>
            </w:r>
          </w:p>
          <w:p w14:paraId="74F5B223">
            <w:pPr>
              <w:adjustRightInd/>
              <w:jc w:val="left"/>
              <w:rPr>
                <w:rFonts w:ascii="宋体" w:hAnsi="宋体" w:cs="宋体"/>
                <w:sz w:val="24"/>
              </w:rPr>
            </w:pPr>
            <w:r>
              <w:rPr>
                <w:rFonts w:hint="eastAsia" w:ascii="宋体" w:hAnsi="宋体" w:cs="宋体"/>
                <w:sz w:val="24"/>
              </w:rPr>
              <w:t>▲零点自动跟踪，避免零点漂移;</w:t>
            </w:r>
          </w:p>
          <w:p w14:paraId="7D70DAB1">
            <w:pPr>
              <w:adjustRightInd/>
              <w:jc w:val="left"/>
              <w:rPr>
                <w:rFonts w:ascii="宋体" w:hAnsi="宋体" w:cs="宋体"/>
                <w:sz w:val="24"/>
              </w:rPr>
            </w:pPr>
            <w:r>
              <w:rPr>
                <w:rFonts w:hint="eastAsia" w:ascii="宋体" w:hAnsi="宋体" w:cs="宋体"/>
                <w:sz w:val="24"/>
              </w:rPr>
              <w:t>▲防护等级≥IP66，防雨淋和浸泡、防尘、防腐;</w:t>
            </w:r>
          </w:p>
        </w:tc>
      </w:tr>
      <w:tr w14:paraId="01727F40">
        <w:tblPrEx>
          <w:tblCellMar>
            <w:top w:w="0" w:type="dxa"/>
            <w:left w:w="108" w:type="dxa"/>
            <w:bottom w:w="0" w:type="dxa"/>
            <w:right w:w="108" w:type="dxa"/>
          </w:tblCellMar>
        </w:tblPrEx>
        <w:trPr>
          <w:trHeight w:val="23" w:hRule="atLeast"/>
          <w:jc w:val="center"/>
        </w:trPr>
        <w:tc>
          <w:tcPr>
            <w:tcW w:w="791" w:type="dxa"/>
            <w:vMerge w:val="continue"/>
            <w:tcBorders>
              <w:left w:val="single" w:color="000000" w:sz="4" w:space="0"/>
              <w:right w:val="single" w:color="000000" w:sz="4" w:space="0"/>
            </w:tcBorders>
            <w:noWrap/>
            <w:vAlign w:val="center"/>
          </w:tcPr>
          <w:p w14:paraId="34D74308">
            <w:pPr>
              <w:jc w:val="center"/>
              <w:rPr>
                <w:rFonts w:ascii="宋体" w:hAnsi="宋体" w:cs="宋体"/>
                <w:sz w:val="24"/>
              </w:rPr>
            </w:pP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6F8C9B01">
            <w:pPr>
              <w:widowControl/>
              <w:jc w:val="center"/>
              <w:textAlignment w:val="center"/>
              <w:rPr>
                <w:rFonts w:ascii="宋体" w:hAnsi="宋体" w:cs="宋体"/>
                <w:sz w:val="24"/>
              </w:rPr>
            </w:pPr>
            <w:r>
              <w:rPr>
                <w:rFonts w:hint="eastAsia" w:ascii="宋体" w:hAnsi="宋体" w:cs="宋体"/>
                <w:sz w:val="24"/>
              </w:rPr>
              <w:t>28</w:t>
            </w:r>
          </w:p>
        </w:tc>
        <w:tc>
          <w:tcPr>
            <w:tcW w:w="956" w:type="dxa"/>
            <w:gridSpan w:val="2"/>
            <w:tcBorders>
              <w:top w:val="single" w:color="000000" w:sz="4" w:space="0"/>
              <w:left w:val="single" w:color="000000" w:sz="4" w:space="0"/>
              <w:bottom w:val="single" w:color="000000" w:sz="4" w:space="0"/>
              <w:right w:val="single" w:color="000000" w:sz="4" w:space="0"/>
            </w:tcBorders>
            <w:noWrap/>
            <w:vAlign w:val="center"/>
          </w:tcPr>
          <w:p w14:paraId="5F60F6F0">
            <w:pPr>
              <w:widowControl/>
              <w:jc w:val="center"/>
              <w:textAlignment w:val="center"/>
              <w:rPr>
                <w:rFonts w:ascii="宋体" w:hAnsi="宋体" w:cs="宋体"/>
                <w:sz w:val="24"/>
              </w:rPr>
            </w:pPr>
            <w:r>
              <w:rPr>
                <w:rFonts w:hint="eastAsia" w:ascii="宋体" w:hAnsi="宋体" w:cs="宋体"/>
                <w:sz w:val="24"/>
              </w:rPr>
              <w:t>漏电检测仪</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74A40962">
            <w:pPr>
              <w:widowControl/>
              <w:textAlignment w:val="center"/>
              <w:rPr>
                <w:rFonts w:ascii="宋体" w:hAnsi="宋体" w:cs="宋体"/>
                <w:sz w:val="24"/>
              </w:rPr>
            </w:pPr>
            <w:r>
              <w:rPr>
                <w:rFonts w:hint="eastAsia" w:ascii="宋体" w:hAnsi="宋体" w:cs="宋体"/>
                <w:sz w:val="24"/>
              </w:rPr>
              <w:t>2</w:t>
            </w:r>
          </w:p>
        </w:tc>
        <w:tc>
          <w:tcPr>
            <w:tcW w:w="6839" w:type="dxa"/>
            <w:tcBorders>
              <w:top w:val="single" w:color="000000" w:sz="4" w:space="0"/>
              <w:left w:val="single" w:color="000000" w:sz="4" w:space="0"/>
              <w:bottom w:val="single" w:color="000000" w:sz="4" w:space="0"/>
              <w:right w:val="single" w:color="000000" w:sz="4" w:space="0"/>
            </w:tcBorders>
            <w:noWrap/>
            <w:vAlign w:val="center"/>
          </w:tcPr>
          <w:p w14:paraId="71AA6E94">
            <w:pPr>
              <w:adjustRightInd/>
              <w:jc w:val="left"/>
              <w:rPr>
                <w:rFonts w:ascii="宋体" w:hAnsi="宋体" w:cs="宋体"/>
                <w:sz w:val="24"/>
              </w:rPr>
            </w:pPr>
            <w:r>
              <w:rPr>
                <w:rFonts w:hint="eastAsia" w:ascii="宋体" w:hAnsi="宋体" w:cs="宋体"/>
                <w:sz w:val="24"/>
              </w:rPr>
              <w:t>探测范围或敏感度由TAC手杖和电线导体之间的距离决定，将电线导体放在不同位置以确定最大范围。信号“探测"表示为每两秒“哔哔”的警告声至少响起一次。频率范围交流电压:20Hz至100Hz</w:t>
            </w:r>
          </w:p>
          <w:p w14:paraId="57228227">
            <w:pPr>
              <w:adjustRightInd/>
              <w:jc w:val="left"/>
              <w:rPr>
                <w:rFonts w:ascii="宋体" w:hAnsi="宋体" w:cs="宋体"/>
                <w:sz w:val="24"/>
              </w:rPr>
            </w:pPr>
            <w:r>
              <w:rPr>
                <w:rFonts w:hint="eastAsia" w:ascii="宋体" w:hAnsi="宋体" w:cs="宋体"/>
                <w:sz w:val="24"/>
              </w:rPr>
              <w:t>防水能力可承受飞溅的水滴(但不能浸没在水里温度范围:操作时为-40至70摄氏度;保存运输时为-40至70摄氏度 尺寸:直径45毫米x 长度521毫米</w:t>
            </w:r>
          </w:p>
          <w:p w14:paraId="6C739222">
            <w:pPr>
              <w:adjustRightInd/>
              <w:jc w:val="left"/>
              <w:rPr>
                <w:rFonts w:ascii="宋体" w:hAnsi="宋体" w:cs="宋体"/>
                <w:sz w:val="24"/>
              </w:rPr>
            </w:pPr>
            <w:r>
              <w:rPr>
                <w:rFonts w:hint="eastAsia" w:ascii="宋体" w:hAnsi="宋体" w:cs="宋体"/>
                <w:sz w:val="24"/>
              </w:rPr>
              <w:t>重量:带电池共重570克，附带件:标准便携袋，说明书。</w:t>
            </w:r>
          </w:p>
          <w:p w14:paraId="729A6D23">
            <w:pPr>
              <w:adjustRightInd/>
              <w:jc w:val="left"/>
              <w:rPr>
                <w:rFonts w:ascii="宋体" w:hAnsi="宋体" w:cs="宋体"/>
                <w:sz w:val="24"/>
              </w:rPr>
            </w:pPr>
            <w:r>
              <w:rPr>
                <w:rFonts w:hint="eastAsia" w:ascii="宋体" w:hAnsi="宋体" w:cs="宋体"/>
                <w:sz w:val="24"/>
              </w:rPr>
              <w:t>二、基本操作:</w:t>
            </w:r>
          </w:p>
          <w:p w14:paraId="31E1BD53">
            <w:pPr>
              <w:adjustRightInd/>
              <w:jc w:val="left"/>
              <w:rPr>
                <w:rFonts w:ascii="宋体" w:hAnsi="宋体" w:cs="宋体"/>
                <w:sz w:val="24"/>
              </w:rPr>
            </w:pPr>
            <w:r>
              <w:rPr>
                <w:rFonts w:hint="eastAsia" w:ascii="宋体" w:hAnsi="宋体" w:cs="宋体"/>
                <w:sz w:val="24"/>
              </w:rPr>
              <w:t>将皮带套在手臂上，用手握住有横纹的地方，前端红色条纹区域为感应区;</w:t>
            </w:r>
          </w:p>
          <w:p w14:paraId="51732DF1">
            <w:pPr>
              <w:adjustRightInd/>
              <w:jc w:val="left"/>
              <w:rPr>
                <w:rFonts w:ascii="宋体" w:hAnsi="宋体" w:cs="宋体"/>
                <w:sz w:val="24"/>
              </w:rPr>
            </w:pPr>
            <w:r>
              <w:rPr>
                <w:rFonts w:hint="eastAsia" w:ascii="宋体" w:hAnsi="宋体" w:cs="宋体"/>
                <w:sz w:val="24"/>
              </w:rPr>
              <w:t>开启装置:旋转套环，旋转至高灵敏度(HIGH SENSITIVITY)设置区:</w:t>
            </w:r>
          </w:p>
          <w:p w14:paraId="4C3AD987">
            <w:pPr>
              <w:adjustRightInd/>
              <w:jc w:val="left"/>
              <w:rPr>
                <w:rFonts w:ascii="宋体" w:hAnsi="宋体" w:cs="宋体"/>
                <w:sz w:val="24"/>
              </w:rPr>
            </w:pPr>
            <w:r>
              <w:rPr>
                <w:rFonts w:hint="eastAsia" w:ascii="宋体" w:hAnsi="宋体" w:cs="宋体"/>
                <w:sz w:val="24"/>
              </w:rPr>
              <w:t>让装置进行如下自检:将旋转套环旋转至高灵敏度(HIGHSENSITIVITY)设置区后，等待装置完成自检(至少 3秒钟);听嘟嘟声和查看指示灯闪烁;如果没有听到嘟嘟声，没有看到指示灯闪烁，或听到沉稳的声音或喳喳声，则不要使用该装置，请参考故障处理来查看相应问题:在自检结束后，慢慢地将检测器在四周检测一遍;始终使用高灵敏度(HIGH SENSITIVITY)设置区进行检测，直到交流电压区的大体位置和方向被确定;当检测器接近漏电区域时，该检测器将发出嘟嘟声并LED灯开始闪烁。</w:t>
            </w:r>
          </w:p>
        </w:tc>
      </w:tr>
      <w:tr w14:paraId="29694C26">
        <w:tblPrEx>
          <w:tblCellMar>
            <w:top w:w="0" w:type="dxa"/>
            <w:left w:w="108" w:type="dxa"/>
            <w:bottom w:w="0" w:type="dxa"/>
            <w:right w:w="108" w:type="dxa"/>
          </w:tblCellMar>
        </w:tblPrEx>
        <w:trPr>
          <w:trHeight w:val="23" w:hRule="atLeast"/>
          <w:jc w:val="center"/>
        </w:trPr>
        <w:tc>
          <w:tcPr>
            <w:tcW w:w="791" w:type="dxa"/>
            <w:vMerge w:val="continue"/>
            <w:tcBorders>
              <w:left w:val="single" w:color="000000" w:sz="4" w:space="0"/>
              <w:bottom w:val="single" w:color="000000" w:sz="4" w:space="0"/>
              <w:right w:val="single" w:color="000000" w:sz="4" w:space="0"/>
            </w:tcBorders>
            <w:noWrap/>
            <w:vAlign w:val="center"/>
          </w:tcPr>
          <w:p w14:paraId="48EC35F7">
            <w:pPr>
              <w:jc w:val="center"/>
              <w:rPr>
                <w:rFonts w:ascii="宋体" w:hAnsi="宋体" w:cs="宋体"/>
                <w:sz w:val="24"/>
              </w:rPr>
            </w:pP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74577B9E">
            <w:pPr>
              <w:widowControl/>
              <w:jc w:val="center"/>
              <w:textAlignment w:val="center"/>
              <w:rPr>
                <w:rFonts w:ascii="宋体" w:hAnsi="宋体" w:cs="宋体"/>
                <w:sz w:val="24"/>
              </w:rPr>
            </w:pPr>
            <w:r>
              <w:rPr>
                <w:rFonts w:hint="eastAsia" w:ascii="宋体" w:hAnsi="宋体" w:cs="宋体"/>
                <w:sz w:val="24"/>
              </w:rPr>
              <w:t>29</w:t>
            </w:r>
          </w:p>
        </w:tc>
        <w:tc>
          <w:tcPr>
            <w:tcW w:w="956" w:type="dxa"/>
            <w:gridSpan w:val="2"/>
            <w:tcBorders>
              <w:top w:val="single" w:color="000000" w:sz="4" w:space="0"/>
              <w:left w:val="single" w:color="000000" w:sz="4" w:space="0"/>
              <w:bottom w:val="single" w:color="000000" w:sz="4" w:space="0"/>
              <w:right w:val="single" w:color="000000" w:sz="4" w:space="0"/>
            </w:tcBorders>
            <w:noWrap/>
            <w:vAlign w:val="center"/>
          </w:tcPr>
          <w:p w14:paraId="3EE7C349">
            <w:pPr>
              <w:widowControl/>
              <w:jc w:val="center"/>
              <w:textAlignment w:val="center"/>
              <w:rPr>
                <w:rFonts w:ascii="宋体" w:hAnsi="宋体" w:cs="宋体"/>
                <w:sz w:val="24"/>
              </w:rPr>
            </w:pPr>
            <w:r>
              <w:rPr>
                <w:rFonts w:hint="eastAsia" w:ascii="宋体" w:hAnsi="宋体" w:cs="宋体"/>
                <w:sz w:val="24"/>
              </w:rPr>
              <w:t>消防用红外热成像仪</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336C2634">
            <w:pPr>
              <w:widowControl/>
              <w:textAlignment w:val="center"/>
              <w:rPr>
                <w:rFonts w:ascii="宋体" w:hAnsi="宋体" w:cs="宋体"/>
                <w:sz w:val="24"/>
              </w:rPr>
            </w:pPr>
            <w:r>
              <w:rPr>
                <w:rFonts w:hint="eastAsia" w:ascii="宋体" w:hAnsi="宋体" w:cs="宋体"/>
                <w:sz w:val="24"/>
              </w:rPr>
              <w:t>3</w:t>
            </w:r>
          </w:p>
        </w:tc>
        <w:tc>
          <w:tcPr>
            <w:tcW w:w="6839" w:type="dxa"/>
            <w:tcBorders>
              <w:top w:val="single" w:color="000000" w:sz="4" w:space="0"/>
              <w:left w:val="single" w:color="000000" w:sz="4" w:space="0"/>
              <w:bottom w:val="single" w:color="000000" w:sz="4" w:space="0"/>
              <w:right w:val="single" w:color="000000" w:sz="4" w:space="0"/>
            </w:tcBorders>
            <w:noWrap/>
            <w:vAlign w:val="center"/>
          </w:tcPr>
          <w:p w14:paraId="52FD166A">
            <w:pPr>
              <w:adjustRightInd/>
              <w:jc w:val="left"/>
              <w:rPr>
                <w:rFonts w:ascii="宋体" w:hAnsi="宋体" w:cs="宋体"/>
                <w:sz w:val="24"/>
              </w:rPr>
            </w:pPr>
            <w:r>
              <w:rPr>
                <w:rFonts w:hint="eastAsia" w:ascii="宋体" w:hAnsi="宋体" w:cs="宋体"/>
                <w:sz w:val="24"/>
              </w:rPr>
              <w:t>1、热像仪应符合XF/T635-2023《消防用红外热像仪》标准，并提供由国家认可的第三方级权威机构出具的符合CMA或CNAS认证的检验检测报告；</w:t>
            </w:r>
          </w:p>
          <w:p w14:paraId="518013BC">
            <w:pPr>
              <w:adjustRightInd/>
              <w:jc w:val="left"/>
              <w:rPr>
                <w:rFonts w:ascii="宋体" w:hAnsi="宋体" w:cs="宋体"/>
                <w:sz w:val="24"/>
              </w:rPr>
            </w:pPr>
            <w:r>
              <w:rPr>
                <w:rFonts w:hint="eastAsia" w:ascii="宋体" w:hAnsi="宋体" w:cs="宋体"/>
                <w:sz w:val="24"/>
              </w:rPr>
              <w:t>2、应具备可见光和热成像双光融合功能，热成像分辨率应≥320×240，工作波段7-14μm，NETD≤30mk，视场角≥56°×42°</w:t>
            </w:r>
          </w:p>
          <w:p w14:paraId="24CD3DCD">
            <w:pPr>
              <w:adjustRightInd/>
              <w:jc w:val="left"/>
              <w:rPr>
                <w:rFonts w:ascii="宋体" w:hAnsi="宋体" w:cs="宋体"/>
                <w:sz w:val="24"/>
              </w:rPr>
            </w:pPr>
            <w:r>
              <w:rPr>
                <w:rFonts w:hint="eastAsia" w:ascii="宋体" w:hAnsi="宋体" w:cs="宋体"/>
                <w:sz w:val="24"/>
              </w:rPr>
              <w:t>3、应具黑热、白热、彩虹、热点区域标红、融合、画中画等不少于13种成像模式，并可通过单个按键快速切换图像模式；</w:t>
            </w:r>
          </w:p>
          <w:p w14:paraId="526FC2B9">
            <w:pPr>
              <w:adjustRightInd/>
              <w:jc w:val="left"/>
              <w:rPr>
                <w:rFonts w:ascii="宋体" w:hAnsi="宋体" w:cs="宋体"/>
                <w:sz w:val="24"/>
              </w:rPr>
            </w:pPr>
            <w:r>
              <w:rPr>
                <w:rFonts w:hint="eastAsia" w:ascii="宋体" w:hAnsi="宋体" w:cs="宋体"/>
                <w:sz w:val="24"/>
              </w:rPr>
              <w:t>4、应具备1x、2x、3x、4x数字放大功能；</w:t>
            </w:r>
          </w:p>
          <w:p w14:paraId="28E7A36C">
            <w:pPr>
              <w:adjustRightInd/>
              <w:jc w:val="left"/>
              <w:rPr>
                <w:rFonts w:ascii="宋体" w:hAnsi="宋体" w:cs="宋体"/>
                <w:sz w:val="24"/>
              </w:rPr>
            </w:pPr>
            <w:r>
              <w:rPr>
                <w:rFonts w:hint="eastAsia" w:ascii="宋体" w:hAnsi="宋体" w:cs="宋体"/>
                <w:sz w:val="24"/>
              </w:rPr>
              <w:t>6、应具备温度测量功能，测温范围-40℃～+2100℃；</w:t>
            </w:r>
          </w:p>
          <w:p w14:paraId="43546A30">
            <w:pPr>
              <w:adjustRightInd/>
              <w:jc w:val="left"/>
              <w:rPr>
                <w:rFonts w:ascii="宋体" w:hAnsi="宋体" w:cs="宋体"/>
                <w:sz w:val="24"/>
              </w:rPr>
            </w:pPr>
            <w:r>
              <w:rPr>
                <w:rFonts w:hint="eastAsia" w:ascii="宋体" w:hAnsi="宋体" w:cs="宋体"/>
                <w:sz w:val="24"/>
              </w:rPr>
              <w:t>7、具备指南针定向功能、激光指示器，内置激光定位器十字分化功能，可发射激光，指示危险区域及被测目标位置功能，支持多模定位。</w:t>
            </w:r>
          </w:p>
          <w:p w14:paraId="64737247">
            <w:pPr>
              <w:adjustRightInd/>
              <w:jc w:val="left"/>
              <w:rPr>
                <w:rFonts w:ascii="宋体" w:hAnsi="宋体" w:cs="宋体"/>
                <w:sz w:val="24"/>
              </w:rPr>
            </w:pPr>
            <w:r>
              <w:rPr>
                <w:rFonts w:hint="eastAsia" w:ascii="宋体" w:hAnsi="宋体" w:cs="宋体"/>
                <w:sz w:val="24"/>
              </w:rPr>
              <w:t>8、显示屏幕应≥3.5寸，分辨率≥640×480 ；</w:t>
            </w:r>
          </w:p>
          <w:p w14:paraId="6E1FAF8C">
            <w:pPr>
              <w:adjustRightInd/>
              <w:jc w:val="left"/>
              <w:rPr>
                <w:rFonts w:ascii="宋体" w:hAnsi="宋体" w:cs="宋体"/>
                <w:sz w:val="24"/>
              </w:rPr>
            </w:pPr>
            <w:r>
              <w:rPr>
                <w:rFonts w:hint="eastAsia" w:ascii="宋体" w:hAnsi="宋体" w:cs="宋体"/>
                <w:sz w:val="24"/>
              </w:rPr>
              <w:t>9、应具备无线双向WiFi功能，可实时传输图像，可在手机app上显示实时画面，可连接MESH自组网电台；</w:t>
            </w:r>
          </w:p>
          <w:p w14:paraId="774AEF81">
            <w:pPr>
              <w:adjustRightInd/>
              <w:jc w:val="left"/>
              <w:rPr>
                <w:rFonts w:ascii="宋体" w:hAnsi="宋体" w:cs="宋体"/>
                <w:sz w:val="24"/>
              </w:rPr>
            </w:pPr>
            <w:r>
              <w:rPr>
                <w:rFonts w:hint="eastAsia" w:ascii="宋体" w:hAnsi="宋体" w:cs="宋体"/>
                <w:sz w:val="24"/>
              </w:rPr>
              <w:t>10、▲具备正常自检及无故障（绿色常亮）和故障提示（黄色常亮）和充电提示（红色常亮）功能，在低电量时可闪烁黄色与红色呼吸灯提示；</w:t>
            </w:r>
          </w:p>
          <w:p w14:paraId="7A1CF4EA">
            <w:pPr>
              <w:adjustRightInd/>
              <w:jc w:val="left"/>
              <w:rPr>
                <w:rFonts w:ascii="宋体" w:hAnsi="宋体" w:cs="宋体"/>
                <w:sz w:val="24"/>
              </w:rPr>
            </w:pPr>
            <w:r>
              <w:rPr>
                <w:rFonts w:hint="eastAsia" w:ascii="宋体" w:hAnsi="宋体" w:cs="宋体"/>
                <w:sz w:val="24"/>
              </w:rPr>
              <w:t>11. 支持终端实时监测温度，支持设置报警阈值，超过设定报警温度值时可发出图像提示警告。app支持设置超温报警阈值,超过设定报警温度值时可弹出高温报警图标和声音提示警告。</w:t>
            </w:r>
          </w:p>
          <w:p w14:paraId="4EB2169F">
            <w:pPr>
              <w:adjustRightInd/>
              <w:jc w:val="left"/>
              <w:rPr>
                <w:rFonts w:ascii="宋体" w:hAnsi="宋体" w:cs="宋体"/>
                <w:sz w:val="24"/>
              </w:rPr>
            </w:pPr>
            <w:r>
              <w:rPr>
                <w:rFonts w:hint="eastAsia" w:ascii="宋体" w:hAnsi="宋体" w:cs="宋体"/>
                <w:sz w:val="24"/>
              </w:rPr>
              <w:t>12、应具备拍照和录像功能，屏幕可显示存储卡剩余容量；</w:t>
            </w:r>
          </w:p>
          <w:p w14:paraId="1EB010C1">
            <w:pPr>
              <w:adjustRightInd/>
              <w:jc w:val="left"/>
              <w:rPr>
                <w:rFonts w:ascii="宋体" w:hAnsi="宋体" w:cs="宋体"/>
                <w:sz w:val="24"/>
              </w:rPr>
            </w:pPr>
            <w:r>
              <w:rPr>
                <w:rFonts w:hint="eastAsia" w:ascii="宋体" w:hAnsi="宋体" w:cs="宋体"/>
                <w:sz w:val="24"/>
              </w:rPr>
              <w:t>13、特定环境温度持续工作时间：+80℃连续工作≥30min；+120℃连续工作≥10min；+260℃连续工作≥5min；</w:t>
            </w:r>
          </w:p>
          <w:p w14:paraId="35831379">
            <w:pPr>
              <w:adjustRightInd/>
              <w:jc w:val="left"/>
              <w:rPr>
                <w:rFonts w:ascii="宋体" w:hAnsi="宋体" w:cs="宋体"/>
                <w:sz w:val="24"/>
              </w:rPr>
            </w:pPr>
            <w:r>
              <w:rPr>
                <w:rFonts w:hint="eastAsia" w:ascii="宋体" w:hAnsi="宋体" w:cs="宋体"/>
                <w:sz w:val="24"/>
              </w:rPr>
              <w:t>14、应具备具备火场中全屏高温、低温，冷热点指针自动搜索功能，并能同时显示高温、低温、中心点实际温度值，将实时测量温度数值显示在屏幕上；</w:t>
            </w:r>
          </w:p>
          <w:p w14:paraId="68DFB9C5">
            <w:pPr>
              <w:adjustRightInd/>
              <w:jc w:val="left"/>
              <w:rPr>
                <w:rFonts w:ascii="宋体" w:hAnsi="宋体" w:cs="宋体"/>
                <w:sz w:val="24"/>
              </w:rPr>
            </w:pPr>
            <w:r>
              <w:rPr>
                <w:rFonts w:hint="eastAsia" w:ascii="宋体" w:hAnsi="宋体" w:cs="宋体"/>
                <w:sz w:val="24"/>
              </w:rPr>
              <w:t>15、▲超轻设计重量应≤1000g（含电池），防护等级应≥IP68，2米高度跌落，试验后样机应能正常工作；</w:t>
            </w:r>
          </w:p>
          <w:p w14:paraId="33031A98">
            <w:pPr>
              <w:adjustRightInd/>
              <w:jc w:val="left"/>
              <w:rPr>
                <w:rFonts w:ascii="宋体" w:hAnsi="宋体" w:cs="宋体"/>
                <w:sz w:val="24"/>
              </w:rPr>
            </w:pPr>
            <w:r>
              <w:rPr>
                <w:rFonts w:hint="eastAsia" w:ascii="宋体" w:hAnsi="宋体" w:cs="宋体"/>
                <w:sz w:val="24"/>
              </w:rPr>
              <w:t>16、▲电池可充电次数≥5000次，电池具备USB Type-C接口，电池耗电量比例可在屏幕上显示；</w:t>
            </w:r>
          </w:p>
          <w:p w14:paraId="4F70536D">
            <w:pPr>
              <w:adjustRightInd/>
              <w:jc w:val="left"/>
              <w:rPr>
                <w:rFonts w:ascii="宋体" w:hAnsi="宋体" w:cs="宋体"/>
                <w:sz w:val="24"/>
              </w:rPr>
            </w:pPr>
            <w:r>
              <w:rPr>
                <w:rFonts w:hint="eastAsia" w:ascii="宋体" w:hAnsi="宋体" w:cs="宋体"/>
                <w:sz w:val="24"/>
              </w:rPr>
              <w:t>17、体积尺寸应≤260×120×115mm（±5mm），</w:t>
            </w:r>
          </w:p>
        </w:tc>
      </w:tr>
      <w:tr w14:paraId="4C679E7A">
        <w:tblPrEx>
          <w:tblCellMar>
            <w:top w:w="0" w:type="dxa"/>
            <w:left w:w="108" w:type="dxa"/>
            <w:bottom w:w="0" w:type="dxa"/>
            <w:right w:w="108" w:type="dxa"/>
          </w:tblCellMar>
        </w:tblPrEx>
        <w:trPr>
          <w:trHeight w:val="23" w:hRule="atLeast"/>
          <w:jc w:val="center"/>
        </w:trPr>
        <w:tc>
          <w:tcPr>
            <w:tcW w:w="791" w:type="dxa"/>
            <w:vMerge w:val="restart"/>
            <w:tcBorders>
              <w:top w:val="single" w:color="000000" w:sz="4" w:space="0"/>
              <w:left w:val="single" w:color="000000" w:sz="4" w:space="0"/>
              <w:right w:val="single" w:color="000000" w:sz="4" w:space="0"/>
            </w:tcBorders>
            <w:noWrap/>
            <w:vAlign w:val="center"/>
          </w:tcPr>
          <w:p w14:paraId="4A131CED">
            <w:pPr>
              <w:jc w:val="center"/>
              <w:rPr>
                <w:rFonts w:ascii="宋体" w:hAnsi="宋体" w:cs="宋体"/>
                <w:sz w:val="24"/>
              </w:rPr>
            </w:pPr>
            <w:r>
              <w:rPr>
                <w:rFonts w:hint="eastAsia" w:ascii="宋体" w:hAnsi="宋体" w:cs="宋体"/>
                <w:sz w:val="24"/>
              </w:rPr>
              <w:t>通讯类</w:t>
            </w: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2817ADAE">
            <w:pPr>
              <w:widowControl/>
              <w:jc w:val="center"/>
              <w:textAlignment w:val="center"/>
              <w:rPr>
                <w:rFonts w:ascii="宋体" w:hAnsi="宋体" w:cs="宋体"/>
                <w:sz w:val="24"/>
              </w:rPr>
            </w:pPr>
            <w:r>
              <w:rPr>
                <w:rFonts w:hint="eastAsia" w:ascii="宋体" w:hAnsi="宋体" w:cs="宋体"/>
                <w:sz w:val="24"/>
              </w:rPr>
              <w:t>30</w:t>
            </w:r>
          </w:p>
        </w:tc>
        <w:tc>
          <w:tcPr>
            <w:tcW w:w="956" w:type="dxa"/>
            <w:gridSpan w:val="2"/>
            <w:tcBorders>
              <w:top w:val="single" w:color="000000" w:sz="4" w:space="0"/>
              <w:left w:val="single" w:color="000000" w:sz="4" w:space="0"/>
              <w:bottom w:val="single" w:color="000000" w:sz="4" w:space="0"/>
              <w:right w:val="single" w:color="000000" w:sz="4" w:space="0"/>
            </w:tcBorders>
            <w:noWrap/>
            <w:vAlign w:val="center"/>
          </w:tcPr>
          <w:p w14:paraId="65753195">
            <w:pPr>
              <w:widowControl/>
              <w:jc w:val="center"/>
              <w:textAlignment w:val="center"/>
              <w:rPr>
                <w:rFonts w:ascii="宋体" w:hAnsi="宋体" w:cs="宋体"/>
                <w:sz w:val="24"/>
              </w:rPr>
            </w:pPr>
            <w:r>
              <w:rPr>
                <w:rFonts w:hint="eastAsia" w:ascii="宋体" w:hAnsi="宋体" w:cs="宋体"/>
                <w:sz w:val="24"/>
              </w:rPr>
              <w:t>对讲机</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477590CF">
            <w:pPr>
              <w:widowControl/>
              <w:textAlignment w:val="center"/>
              <w:rPr>
                <w:rFonts w:ascii="宋体" w:hAnsi="宋体" w:cs="宋体"/>
                <w:sz w:val="24"/>
              </w:rPr>
            </w:pPr>
            <w:r>
              <w:rPr>
                <w:rFonts w:hint="eastAsia" w:ascii="宋体" w:hAnsi="宋体" w:cs="宋体"/>
                <w:sz w:val="24"/>
              </w:rPr>
              <w:t>42</w:t>
            </w:r>
          </w:p>
        </w:tc>
        <w:tc>
          <w:tcPr>
            <w:tcW w:w="6839" w:type="dxa"/>
            <w:tcBorders>
              <w:top w:val="single" w:color="000000" w:sz="4" w:space="0"/>
              <w:left w:val="single" w:color="000000" w:sz="4" w:space="0"/>
              <w:bottom w:val="single" w:color="000000" w:sz="4" w:space="0"/>
              <w:right w:val="single" w:color="000000" w:sz="4" w:space="0"/>
            </w:tcBorders>
            <w:noWrap/>
            <w:vAlign w:val="center"/>
          </w:tcPr>
          <w:p w14:paraId="3A1214EC">
            <w:pPr>
              <w:adjustRightInd/>
              <w:jc w:val="left"/>
              <w:rPr>
                <w:rFonts w:ascii="宋体" w:hAnsi="宋体" w:cs="宋体"/>
                <w:sz w:val="24"/>
              </w:rPr>
            </w:pPr>
            <w:r>
              <w:rPr>
                <w:rFonts w:hint="eastAsia" w:ascii="宋体" w:hAnsi="宋体" w:cs="宋体"/>
                <w:sz w:val="24"/>
              </w:rPr>
              <w:t>1、对讲机应具有《无线电发射设备型号核准证》（型号核准证证书必须在有效期内），须提供证书复印件；</w:t>
            </w:r>
          </w:p>
          <w:p w14:paraId="46B60E9F">
            <w:pPr>
              <w:adjustRightInd/>
              <w:jc w:val="left"/>
              <w:rPr>
                <w:rFonts w:ascii="宋体" w:hAnsi="宋体" w:cs="宋体"/>
                <w:sz w:val="24"/>
              </w:rPr>
            </w:pPr>
            <w:r>
              <w:rPr>
                <w:rFonts w:hint="eastAsia" w:ascii="宋体" w:hAnsi="宋体" w:cs="宋体"/>
                <w:sz w:val="24"/>
              </w:rPr>
              <w:t>2、对讲机须具备良好的防水防尘功能，防尘防水等级≥IP68，须提供第三方检测机构出具的检测报告。</w:t>
            </w:r>
          </w:p>
          <w:p w14:paraId="2604E854">
            <w:pPr>
              <w:adjustRightInd/>
              <w:jc w:val="left"/>
              <w:rPr>
                <w:rFonts w:ascii="宋体" w:hAnsi="宋体" w:cs="宋体"/>
                <w:sz w:val="24"/>
              </w:rPr>
            </w:pPr>
            <w:r>
              <w:rPr>
                <w:rFonts w:hint="eastAsia" w:ascii="宋体" w:hAnsi="宋体" w:cs="宋体"/>
                <w:sz w:val="24"/>
              </w:rPr>
              <w:t xml:space="preserve">3、对讲机须支持多种工作模式，能够在不同的网络制式下正常使用，适应不同的应用场景，至少支持模拟常规、数字常规和数字集群3种工作模式，同时在对讲机切换工作模式时，无须重启对讲机； </w:t>
            </w:r>
          </w:p>
          <w:p w14:paraId="1ACC068E">
            <w:pPr>
              <w:adjustRightInd/>
              <w:jc w:val="left"/>
              <w:rPr>
                <w:rFonts w:ascii="宋体" w:hAnsi="宋体" w:cs="宋体"/>
                <w:sz w:val="24"/>
              </w:rPr>
            </w:pPr>
            <w:r>
              <w:rPr>
                <w:rFonts w:hint="eastAsia" w:ascii="宋体" w:hAnsi="宋体" w:cs="宋体"/>
                <w:sz w:val="24"/>
              </w:rPr>
              <w:t xml:space="preserve">4、▲对讲机须内置蓝牙模块，蓝牙协议版本不低于Bluetooth V5.0，须提供第三方检测机构出具的检测报告； </w:t>
            </w:r>
          </w:p>
          <w:p w14:paraId="5E419B13">
            <w:pPr>
              <w:adjustRightInd/>
              <w:jc w:val="left"/>
              <w:rPr>
                <w:rFonts w:ascii="宋体" w:hAnsi="宋体" w:cs="宋体"/>
                <w:sz w:val="24"/>
              </w:rPr>
            </w:pPr>
            <w:r>
              <w:rPr>
                <w:rFonts w:hint="eastAsia" w:ascii="宋体" w:hAnsi="宋体" w:cs="宋体"/>
                <w:sz w:val="24"/>
              </w:rPr>
              <w:t xml:space="preserve">5、▲对讲机须支持喇叭导水功能，因雨天环境或其他因素导致对讲机音腔存在积水时，现场工作人员无需甩动对讲机，水就能正常导出，保证对讲机音质清晰、声音响亮，须提供第三方检测机构出具的检测报告； </w:t>
            </w:r>
          </w:p>
          <w:p w14:paraId="09C8B58F">
            <w:pPr>
              <w:adjustRightInd/>
              <w:jc w:val="left"/>
              <w:rPr>
                <w:rFonts w:ascii="宋体" w:hAnsi="宋体" w:cs="宋体"/>
                <w:sz w:val="24"/>
              </w:rPr>
            </w:pPr>
            <w:r>
              <w:rPr>
                <w:rFonts w:hint="eastAsia" w:ascii="宋体" w:hAnsi="宋体" w:cs="宋体"/>
                <w:sz w:val="24"/>
              </w:rPr>
              <w:t xml:space="preserve">6、▲对讲机须支持智能消噪功能，不限于噪音源的方向，能保证对讲机在各种嘈杂环境下都能提供清晰的语音，保障每一条声音的清晰传达，提高沟通效率。噪声抑制能力不小于30dB，须提供第三方检测机构出具的检测报告； </w:t>
            </w:r>
          </w:p>
          <w:p w14:paraId="7B8F238F">
            <w:pPr>
              <w:adjustRightInd/>
              <w:jc w:val="left"/>
              <w:rPr>
                <w:rFonts w:ascii="宋体" w:hAnsi="宋体" w:cs="宋体"/>
                <w:sz w:val="24"/>
              </w:rPr>
            </w:pPr>
            <w:r>
              <w:rPr>
                <w:rFonts w:hint="eastAsia" w:ascii="宋体" w:hAnsi="宋体" w:cs="宋体"/>
                <w:sz w:val="24"/>
              </w:rPr>
              <w:t xml:space="preserve">7、▲对讲机须内置定位模块，定位模块仅使用国产的定位模块，须提供第三方检测机构出具的检测报告； </w:t>
            </w:r>
          </w:p>
          <w:p w14:paraId="41FD5646">
            <w:pPr>
              <w:adjustRightInd/>
              <w:jc w:val="left"/>
              <w:rPr>
                <w:rFonts w:ascii="宋体" w:hAnsi="宋体" w:cs="宋体"/>
                <w:sz w:val="24"/>
              </w:rPr>
            </w:pPr>
            <w:r>
              <w:rPr>
                <w:rFonts w:hint="eastAsia" w:ascii="宋体" w:hAnsi="宋体" w:cs="宋体"/>
                <w:sz w:val="24"/>
              </w:rPr>
              <w:t>8、在直通模式下，对讲机在近距离1.2米时通话，彼此不会产生信号干扰。</w:t>
            </w:r>
          </w:p>
          <w:p w14:paraId="25651620">
            <w:pPr>
              <w:adjustRightInd/>
              <w:jc w:val="left"/>
              <w:rPr>
                <w:rFonts w:ascii="宋体" w:hAnsi="宋体" w:cs="宋体"/>
                <w:sz w:val="24"/>
              </w:rPr>
            </w:pPr>
            <w:r>
              <w:rPr>
                <w:rFonts w:hint="eastAsia" w:ascii="宋体" w:hAnsi="宋体" w:cs="宋体"/>
                <w:sz w:val="24"/>
              </w:rPr>
              <w:t xml:space="preserve">9、对讲机须具有大屏显示，屏幕尺寸≥2.4英寸，须提供第三方检测机构出具的检测报告； </w:t>
            </w:r>
          </w:p>
          <w:p w14:paraId="33912898">
            <w:pPr>
              <w:adjustRightInd/>
              <w:jc w:val="left"/>
              <w:rPr>
                <w:rFonts w:ascii="宋体" w:hAnsi="宋体" w:cs="宋体"/>
                <w:sz w:val="24"/>
              </w:rPr>
            </w:pPr>
            <w:r>
              <w:rPr>
                <w:rFonts w:hint="eastAsia" w:ascii="宋体" w:hAnsi="宋体" w:cs="宋体"/>
                <w:sz w:val="24"/>
              </w:rPr>
              <w:t>10、▲为保证对讲机良好的接收性能，对讲机数字静态接收灵敏度须≤-124dBm（或≤0.14μV）（BER5%），须提供PDT空口一致性检测报告检测报告。</w:t>
            </w:r>
          </w:p>
          <w:p w14:paraId="78F6A126">
            <w:pPr>
              <w:adjustRightInd/>
              <w:jc w:val="left"/>
              <w:rPr>
                <w:rFonts w:ascii="宋体" w:hAnsi="宋体" w:cs="宋体"/>
                <w:sz w:val="24"/>
              </w:rPr>
            </w:pPr>
            <w:r>
              <w:rPr>
                <w:rFonts w:hint="eastAsia" w:ascii="宋体" w:hAnsi="宋体" w:cs="宋体"/>
                <w:sz w:val="24"/>
              </w:rPr>
              <w:t>11、频率范围：350-400MHz</w:t>
            </w:r>
          </w:p>
          <w:p w14:paraId="0951B822">
            <w:pPr>
              <w:adjustRightInd/>
              <w:jc w:val="left"/>
              <w:rPr>
                <w:rFonts w:ascii="宋体" w:hAnsi="宋体" w:cs="宋体"/>
                <w:sz w:val="24"/>
              </w:rPr>
            </w:pPr>
            <w:r>
              <w:rPr>
                <w:rFonts w:hint="eastAsia" w:ascii="宋体" w:hAnsi="宋体" w:cs="宋体"/>
                <w:sz w:val="24"/>
              </w:rPr>
              <w:t>12、信道容量：≥1024</w:t>
            </w:r>
          </w:p>
          <w:p w14:paraId="4CE8996E">
            <w:pPr>
              <w:adjustRightInd/>
              <w:jc w:val="left"/>
              <w:rPr>
                <w:rFonts w:ascii="宋体" w:hAnsi="宋体" w:cs="宋体"/>
                <w:sz w:val="24"/>
              </w:rPr>
            </w:pPr>
            <w:r>
              <w:rPr>
                <w:rFonts w:hint="eastAsia" w:ascii="宋体" w:hAnsi="宋体" w:cs="宋体"/>
                <w:sz w:val="24"/>
              </w:rPr>
              <w:t>13、尺寸（标配电池不含天线）：≤135*55 *30mm</w:t>
            </w:r>
          </w:p>
          <w:p w14:paraId="6599BC4A">
            <w:pPr>
              <w:adjustRightInd/>
              <w:jc w:val="left"/>
              <w:rPr>
                <w:rFonts w:ascii="宋体" w:hAnsi="宋体" w:cs="宋体"/>
                <w:sz w:val="24"/>
              </w:rPr>
            </w:pPr>
            <w:r>
              <w:rPr>
                <w:rFonts w:hint="eastAsia" w:ascii="宋体" w:hAnsi="宋体" w:cs="宋体"/>
                <w:sz w:val="24"/>
              </w:rPr>
              <w:t>14、组群：≥64（每组群≥128个组）</w:t>
            </w:r>
          </w:p>
          <w:p w14:paraId="00F53DE7">
            <w:pPr>
              <w:adjustRightInd/>
              <w:jc w:val="left"/>
              <w:rPr>
                <w:rFonts w:ascii="宋体" w:hAnsi="宋体" w:cs="宋体"/>
                <w:sz w:val="24"/>
              </w:rPr>
            </w:pPr>
            <w:r>
              <w:rPr>
                <w:rFonts w:hint="eastAsia" w:ascii="宋体" w:hAnsi="宋体" w:cs="宋体"/>
                <w:sz w:val="24"/>
              </w:rPr>
              <w:t>15、信道间隔：12.5KHz/20KHz/25KHz</w:t>
            </w:r>
          </w:p>
          <w:p w14:paraId="4BCA7FFB">
            <w:pPr>
              <w:adjustRightInd/>
              <w:jc w:val="left"/>
              <w:rPr>
                <w:rFonts w:ascii="宋体" w:hAnsi="宋体" w:cs="宋体"/>
                <w:sz w:val="24"/>
              </w:rPr>
            </w:pPr>
            <w:r>
              <w:rPr>
                <w:rFonts w:hint="eastAsia" w:ascii="宋体" w:hAnsi="宋体" w:cs="宋体"/>
                <w:sz w:val="24"/>
              </w:rPr>
              <w:t>16、电池容量：≥2400mAh</w:t>
            </w:r>
          </w:p>
          <w:p w14:paraId="7280727F">
            <w:pPr>
              <w:adjustRightInd/>
              <w:jc w:val="left"/>
              <w:rPr>
                <w:rFonts w:ascii="宋体" w:hAnsi="宋体" w:cs="宋体"/>
                <w:sz w:val="24"/>
              </w:rPr>
            </w:pPr>
            <w:r>
              <w:rPr>
                <w:rFonts w:hint="eastAsia" w:ascii="宋体" w:hAnsi="宋体" w:cs="宋体"/>
                <w:sz w:val="24"/>
              </w:rPr>
              <w:t>17、频率稳定度：≤±0.5ppm</w:t>
            </w:r>
          </w:p>
          <w:p w14:paraId="5F6E02A9">
            <w:pPr>
              <w:adjustRightInd/>
              <w:jc w:val="left"/>
              <w:rPr>
                <w:rFonts w:ascii="宋体" w:hAnsi="宋体" w:cs="宋体"/>
                <w:sz w:val="24"/>
              </w:rPr>
            </w:pPr>
            <w:r>
              <w:rPr>
                <w:rFonts w:hint="eastAsia" w:ascii="宋体" w:hAnsi="宋体" w:cs="宋体"/>
                <w:sz w:val="24"/>
              </w:rPr>
              <w:t>18、重量（带标配电池和天线）：≤315g</w:t>
            </w:r>
          </w:p>
        </w:tc>
      </w:tr>
      <w:tr w14:paraId="0A4B8EE5">
        <w:tblPrEx>
          <w:tblCellMar>
            <w:top w:w="0" w:type="dxa"/>
            <w:left w:w="108" w:type="dxa"/>
            <w:bottom w:w="0" w:type="dxa"/>
            <w:right w:w="108" w:type="dxa"/>
          </w:tblCellMar>
        </w:tblPrEx>
        <w:trPr>
          <w:trHeight w:val="23" w:hRule="atLeast"/>
          <w:jc w:val="center"/>
        </w:trPr>
        <w:tc>
          <w:tcPr>
            <w:tcW w:w="791" w:type="dxa"/>
            <w:vMerge w:val="continue"/>
            <w:tcBorders>
              <w:left w:val="single" w:color="000000" w:sz="4" w:space="0"/>
              <w:bottom w:val="single" w:color="000000" w:sz="4" w:space="0"/>
              <w:right w:val="single" w:color="000000" w:sz="4" w:space="0"/>
            </w:tcBorders>
            <w:noWrap/>
            <w:vAlign w:val="center"/>
          </w:tcPr>
          <w:p w14:paraId="51D52690">
            <w:pPr>
              <w:jc w:val="center"/>
              <w:rPr>
                <w:rFonts w:ascii="宋体" w:hAnsi="宋体" w:cs="宋体"/>
                <w:sz w:val="24"/>
              </w:rPr>
            </w:pP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44B66240">
            <w:pPr>
              <w:widowControl/>
              <w:jc w:val="center"/>
              <w:textAlignment w:val="center"/>
              <w:rPr>
                <w:rFonts w:ascii="宋体" w:hAnsi="宋体" w:cs="宋体"/>
                <w:sz w:val="24"/>
              </w:rPr>
            </w:pPr>
            <w:r>
              <w:rPr>
                <w:rFonts w:hint="eastAsia" w:ascii="宋体" w:hAnsi="宋体" w:cs="宋体"/>
                <w:sz w:val="24"/>
              </w:rPr>
              <w:t>31</w:t>
            </w:r>
          </w:p>
        </w:tc>
        <w:tc>
          <w:tcPr>
            <w:tcW w:w="956" w:type="dxa"/>
            <w:gridSpan w:val="2"/>
            <w:tcBorders>
              <w:top w:val="single" w:color="000000" w:sz="4" w:space="0"/>
              <w:left w:val="single" w:color="000000" w:sz="4" w:space="0"/>
              <w:bottom w:val="single" w:color="000000" w:sz="4" w:space="0"/>
              <w:right w:val="single" w:color="000000" w:sz="4" w:space="0"/>
            </w:tcBorders>
            <w:noWrap/>
            <w:vAlign w:val="center"/>
          </w:tcPr>
          <w:p w14:paraId="592691DB">
            <w:pPr>
              <w:widowControl/>
              <w:jc w:val="center"/>
              <w:textAlignment w:val="center"/>
              <w:rPr>
                <w:rFonts w:ascii="宋体" w:hAnsi="宋体" w:cs="宋体"/>
                <w:sz w:val="24"/>
              </w:rPr>
            </w:pPr>
            <w:r>
              <w:rPr>
                <w:rFonts w:hint="eastAsia" w:ascii="宋体" w:hAnsi="宋体" w:cs="宋体"/>
                <w:sz w:val="24"/>
              </w:rPr>
              <w:t>网络对讲机</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30575F30">
            <w:pPr>
              <w:widowControl/>
              <w:textAlignment w:val="center"/>
              <w:rPr>
                <w:rFonts w:ascii="宋体" w:hAnsi="宋体" w:cs="宋体"/>
                <w:sz w:val="24"/>
              </w:rPr>
            </w:pPr>
            <w:r>
              <w:rPr>
                <w:rFonts w:hint="eastAsia" w:ascii="宋体" w:hAnsi="宋体" w:cs="宋体"/>
                <w:sz w:val="24"/>
              </w:rPr>
              <w:t>2</w:t>
            </w:r>
          </w:p>
        </w:tc>
        <w:tc>
          <w:tcPr>
            <w:tcW w:w="6839" w:type="dxa"/>
            <w:tcBorders>
              <w:top w:val="single" w:color="000000" w:sz="4" w:space="0"/>
              <w:left w:val="single" w:color="000000" w:sz="4" w:space="0"/>
              <w:bottom w:val="single" w:color="000000" w:sz="4" w:space="0"/>
              <w:right w:val="single" w:color="000000" w:sz="4" w:space="0"/>
            </w:tcBorders>
            <w:noWrap/>
            <w:vAlign w:val="center"/>
          </w:tcPr>
          <w:p w14:paraId="0B31EBFD">
            <w:pPr>
              <w:adjustRightInd/>
              <w:jc w:val="left"/>
              <w:rPr>
                <w:rFonts w:ascii="宋体" w:hAnsi="宋体" w:cs="宋体"/>
                <w:sz w:val="24"/>
              </w:rPr>
            </w:pPr>
            <w:r>
              <w:rPr>
                <w:rFonts w:hint="eastAsia" w:ascii="宋体" w:hAnsi="宋体" w:cs="宋体"/>
                <w:sz w:val="24"/>
              </w:rPr>
              <w:t>1.终端设备能够在不同网络制式下正常使用，须支持频段：4G/3G/2G</w:t>
            </w:r>
          </w:p>
          <w:p w14:paraId="369ECA56">
            <w:pPr>
              <w:adjustRightInd/>
              <w:jc w:val="left"/>
              <w:rPr>
                <w:rFonts w:ascii="宋体" w:hAnsi="宋体" w:cs="宋体"/>
                <w:sz w:val="24"/>
              </w:rPr>
            </w:pPr>
            <w:r>
              <w:rPr>
                <w:rFonts w:hint="eastAsia" w:ascii="宋体" w:hAnsi="宋体" w:cs="宋体"/>
                <w:sz w:val="24"/>
              </w:rPr>
              <w:t>2.终端设备须满足长时间使用需求，须配备≥4000mAh电池，可在不借助辅助工具的情况下快速完成电池更换；</w:t>
            </w:r>
          </w:p>
          <w:p w14:paraId="04A64C1F">
            <w:pPr>
              <w:adjustRightInd/>
              <w:jc w:val="left"/>
              <w:rPr>
                <w:rFonts w:ascii="宋体" w:hAnsi="宋体" w:cs="宋体"/>
                <w:sz w:val="24"/>
              </w:rPr>
            </w:pPr>
            <w:r>
              <w:rPr>
                <w:rFonts w:hint="eastAsia" w:ascii="宋体" w:hAnsi="宋体" w:cs="宋体"/>
                <w:sz w:val="24"/>
              </w:rPr>
              <w:t>3.终端设备须快速响应语音呼叫，须安卓12及以上操作系统；</w:t>
            </w:r>
          </w:p>
          <w:p w14:paraId="394E4278">
            <w:pPr>
              <w:adjustRightInd/>
              <w:jc w:val="left"/>
              <w:rPr>
                <w:rFonts w:ascii="宋体" w:hAnsi="宋体" w:cs="宋体"/>
                <w:sz w:val="24"/>
              </w:rPr>
            </w:pPr>
            <w:r>
              <w:rPr>
                <w:rFonts w:hint="eastAsia" w:ascii="宋体" w:hAnsi="宋体" w:cs="宋体"/>
                <w:sz w:val="24"/>
              </w:rPr>
              <w:t>4.终端设备须在待机界面清晰显示当前守候群组和本机别名，须配备彩色显示屏，尺寸≥2.4英寸，分辨率不低于320*240；</w:t>
            </w:r>
          </w:p>
          <w:p w14:paraId="535651E4">
            <w:pPr>
              <w:adjustRightInd/>
              <w:jc w:val="left"/>
              <w:rPr>
                <w:rFonts w:ascii="宋体" w:hAnsi="宋体" w:cs="宋体"/>
                <w:sz w:val="24"/>
              </w:rPr>
            </w:pPr>
            <w:r>
              <w:rPr>
                <w:rFonts w:hint="eastAsia" w:ascii="宋体" w:hAnsi="宋体" w:cs="宋体"/>
                <w:sz w:val="24"/>
              </w:rPr>
              <w:t>5.终端设备须小巧便携，能够方便地佩挂在肩带或腰带上，终端设备尺寸≤135*65*25mm，重量≤210g；</w:t>
            </w:r>
          </w:p>
          <w:p w14:paraId="375DAF6D">
            <w:pPr>
              <w:adjustRightInd/>
              <w:jc w:val="left"/>
              <w:rPr>
                <w:rFonts w:ascii="宋体" w:hAnsi="宋体" w:cs="宋体"/>
                <w:sz w:val="24"/>
              </w:rPr>
            </w:pPr>
            <w:r>
              <w:rPr>
                <w:rFonts w:hint="eastAsia" w:ascii="宋体" w:hAnsi="宋体" w:cs="宋体"/>
                <w:sz w:val="24"/>
              </w:rPr>
              <w:t>6.终端设备须配备独立醒目的大尺寸PTT按键和顶部紧急告警按键，以满足日常语音对讲的需求。</w:t>
            </w:r>
          </w:p>
          <w:p w14:paraId="393ECE6E">
            <w:pPr>
              <w:adjustRightInd/>
              <w:jc w:val="left"/>
              <w:rPr>
                <w:rFonts w:ascii="宋体" w:hAnsi="宋体" w:cs="宋体"/>
                <w:sz w:val="24"/>
              </w:rPr>
            </w:pPr>
            <w:r>
              <w:rPr>
                <w:rFonts w:hint="eastAsia" w:ascii="宋体" w:hAnsi="宋体" w:cs="宋体"/>
                <w:sz w:val="24"/>
              </w:rPr>
              <w:t>7.终端设备须在按下PTT键开始呼叫时、结束呼叫时有声音提示；</w:t>
            </w:r>
          </w:p>
          <w:p w14:paraId="10ABFC83">
            <w:pPr>
              <w:adjustRightInd/>
              <w:jc w:val="left"/>
              <w:rPr>
                <w:rFonts w:ascii="宋体" w:hAnsi="宋体" w:cs="宋体"/>
                <w:sz w:val="24"/>
              </w:rPr>
            </w:pPr>
            <w:r>
              <w:rPr>
                <w:rFonts w:hint="eastAsia" w:ascii="宋体" w:hAnsi="宋体" w:cs="宋体"/>
                <w:sz w:val="24"/>
              </w:rPr>
              <w:t>8.终端设备须支持单北斗定位功能，并提供单北斗检测报告；</w:t>
            </w:r>
          </w:p>
          <w:p w14:paraId="11FCCFFA">
            <w:pPr>
              <w:adjustRightInd/>
              <w:jc w:val="left"/>
              <w:rPr>
                <w:rFonts w:ascii="宋体" w:hAnsi="宋体" w:cs="宋体"/>
                <w:sz w:val="24"/>
              </w:rPr>
            </w:pPr>
            <w:r>
              <w:rPr>
                <w:rFonts w:hint="eastAsia" w:ascii="宋体" w:hAnsi="宋体" w:cs="宋体"/>
                <w:sz w:val="24"/>
              </w:rPr>
              <w:t>9.终端须支持数字键盘；</w:t>
            </w:r>
          </w:p>
          <w:p w14:paraId="69895AF4">
            <w:pPr>
              <w:adjustRightInd/>
              <w:jc w:val="left"/>
              <w:rPr>
                <w:rFonts w:ascii="宋体" w:hAnsi="宋体" w:cs="宋体"/>
                <w:sz w:val="24"/>
              </w:rPr>
            </w:pPr>
            <w:r>
              <w:rPr>
                <w:rFonts w:hint="eastAsia" w:ascii="宋体" w:hAnsi="宋体" w:cs="宋体"/>
                <w:sz w:val="24"/>
              </w:rPr>
              <w:t>▲10.终端设备须坚固耐用，防护等级不低于IP68，抗跌落高度不低于1.5米（须提供检测报告扫描件）；</w:t>
            </w:r>
          </w:p>
          <w:p w14:paraId="4E4188F8">
            <w:pPr>
              <w:adjustRightInd/>
              <w:jc w:val="left"/>
              <w:rPr>
                <w:rFonts w:ascii="宋体" w:hAnsi="宋体" w:cs="宋体"/>
                <w:sz w:val="24"/>
              </w:rPr>
            </w:pPr>
            <w:r>
              <w:rPr>
                <w:rFonts w:hint="eastAsia" w:ascii="宋体" w:hAnsi="宋体" w:cs="宋体"/>
                <w:sz w:val="24"/>
              </w:rPr>
              <w:t>▲11.终端设备须具有无线电发射设备型号核准证（SRRC）（须提供证书扫描件）；</w:t>
            </w:r>
          </w:p>
          <w:p w14:paraId="505D3844">
            <w:pPr>
              <w:adjustRightInd/>
              <w:jc w:val="left"/>
              <w:rPr>
                <w:rFonts w:ascii="宋体" w:hAnsi="宋体" w:cs="宋体"/>
                <w:b/>
                <w:bCs/>
                <w:sz w:val="24"/>
              </w:rPr>
            </w:pPr>
            <w:r>
              <w:rPr>
                <w:rFonts w:hint="eastAsia" w:ascii="宋体" w:hAnsi="宋体" w:cs="宋体"/>
                <w:b/>
                <w:bCs/>
                <w:sz w:val="24"/>
              </w:rPr>
              <w:t>12.终端设备必须通过中国强制性产品认证（CCC）（须提供证书扫描件）；</w:t>
            </w:r>
          </w:p>
          <w:p w14:paraId="13F663ED">
            <w:pPr>
              <w:adjustRightInd/>
              <w:jc w:val="left"/>
              <w:rPr>
                <w:rFonts w:ascii="宋体" w:hAnsi="宋体" w:cs="宋体"/>
                <w:sz w:val="24"/>
              </w:rPr>
            </w:pPr>
            <w:r>
              <w:rPr>
                <w:rFonts w:hint="eastAsia" w:ascii="宋体" w:hAnsi="宋体" w:cs="宋体"/>
                <w:sz w:val="24"/>
              </w:rPr>
              <w:t>▲13.终端须支持直接无缝接入绍兴市应急局公专融合系统，实现与现网终端共用一套调度系统、网管系统，</w:t>
            </w:r>
            <w:r>
              <w:rPr>
                <w:rFonts w:hint="eastAsia" w:ascii="宋体" w:hAnsi="宋体" w:cs="宋体"/>
                <w:b/>
                <w:bCs/>
                <w:sz w:val="24"/>
              </w:rPr>
              <w:t>提供投标人承诺函并加盖投标人公章。</w:t>
            </w:r>
          </w:p>
        </w:tc>
      </w:tr>
      <w:tr w14:paraId="02BAA9F1">
        <w:tblPrEx>
          <w:tblCellMar>
            <w:top w:w="0" w:type="dxa"/>
            <w:left w:w="108" w:type="dxa"/>
            <w:bottom w:w="0" w:type="dxa"/>
            <w:right w:w="108" w:type="dxa"/>
          </w:tblCellMar>
        </w:tblPrEx>
        <w:trPr>
          <w:trHeight w:val="23" w:hRule="atLeast"/>
          <w:jc w:val="center"/>
        </w:trPr>
        <w:tc>
          <w:tcPr>
            <w:tcW w:w="791" w:type="dxa"/>
            <w:vMerge w:val="restart"/>
            <w:tcBorders>
              <w:top w:val="single" w:color="000000" w:sz="4" w:space="0"/>
              <w:left w:val="single" w:color="000000" w:sz="4" w:space="0"/>
              <w:right w:val="single" w:color="000000" w:sz="4" w:space="0"/>
            </w:tcBorders>
            <w:noWrap/>
            <w:vAlign w:val="center"/>
          </w:tcPr>
          <w:p w14:paraId="6BC77307">
            <w:pPr>
              <w:jc w:val="center"/>
              <w:rPr>
                <w:rFonts w:ascii="宋体" w:hAnsi="宋体" w:cs="宋体"/>
                <w:sz w:val="24"/>
              </w:rPr>
            </w:pPr>
            <w:r>
              <w:rPr>
                <w:rFonts w:hint="eastAsia" w:ascii="宋体" w:hAnsi="宋体" w:cs="宋体"/>
                <w:sz w:val="24"/>
              </w:rPr>
              <w:t>消防车（随车装备）</w:t>
            </w: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3A3F45C0">
            <w:pPr>
              <w:widowControl/>
              <w:jc w:val="center"/>
              <w:textAlignment w:val="center"/>
              <w:rPr>
                <w:rFonts w:ascii="宋体" w:hAnsi="宋体" w:cs="宋体"/>
                <w:sz w:val="24"/>
              </w:rPr>
            </w:pPr>
            <w:r>
              <w:rPr>
                <w:rFonts w:hint="eastAsia" w:ascii="宋体" w:hAnsi="宋体" w:cs="宋体"/>
                <w:sz w:val="24"/>
              </w:rPr>
              <w:t>32</w:t>
            </w:r>
          </w:p>
        </w:tc>
        <w:tc>
          <w:tcPr>
            <w:tcW w:w="956" w:type="dxa"/>
            <w:gridSpan w:val="2"/>
            <w:tcBorders>
              <w:top w:val="single" w:color="000000" w:sz="4" w:space="0"/>
              <w:left w:val="single" w:color="000000" w:sz="4" w:space="0"/>
              <w:bottom w:val="single" w:color="000000" w:sz="4" w:space="0"/>
              <w:right w:val="single" w:color="000000" w:sz="4" w:space="0"/>
            </w:tcBorders>
            <w:noWrap/>
            <w:vAlign w:val="center"/>
          </w:tcPr>
          <w:p w14:paraId="5D917C72">
            <w:pPr>
              <w:widowControl/>
              <w:jc w:val="center"/>
              <w:textAlignment w:val="center"/>
              <w:rPr>
                <w:rFonts w:ascii="宋体" w:hAnsi="宋体" w:cs="宋体"/>
                <w:sz w:val="24"/>
              </w:rPr>
            </w:pPr>
            <w:r>
              <w:rPr>
                <w:rFonts w:hint="eastAsia" w:ascii="宋体" w:hAnsi="宋体" w:cs="宋体"/>
                <w:sz w:val="24"/>
              </w:rPr>
              <w:t>水带护桥</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52842239">
            <w:pPr>
              <w:widowControl/>
              <w:textAlignment w:val="center"/>
              <w:rPr>
                <w:rFonts w:ascii="宋体" w:hAnsi="宋体" w:cs="宋体"/>
                <w:sz w:val="24"/>
              </w:rPr>
            </w:pPr>
            <w:r>
              <w:rPr>
                <w:rFonts w:hint="eastAsia" w:ascii="宋体" w:hAnsi="宋体" w:cs="宋体"/>
                <w:sz w:val="24"/>
              </w:rPr>
              <w:t>8</w:t>
            </w:r>
          </w:p>
        </w:tc>
        <w:tc>
          <w:tcPr>
            <w:tcW w:w="6839" w:type="dxa"/>
            <w:tcBorders>
              <w:top w:val="single" w:color="000000" w:sz="4" w:space="0"/>
              <w:left w:val="single" w:color="000000" w:sz="4" w:space="0"/>
              <w:bottom w:val="single" w:color="000000" w:sz="4" w:space="0"/>
              <w:right w:val="single" w:color="000000" w:sz="4" w:space="0"/>
            </w:tcBorders>
            <w:noWrap/>
            <w:vAlign w:val="center"/>
          </w:tcPr>
          <w:p w14:paraId="458EB403">
            <w:pPr>
              <w:adjustRightInd/>
              <w:jc w:val="left"/>
              <w:rPr>
                <w:rFonts w:ascii="宋体" w:hAnsi="宋体" w:cs="宋体"/>
                <w:sz w:val="24"/>
              </w:rPr>
            </w:pPr>
            <w:r>
              <w:rPr>
                <w:rFonts w:hint="eastAsia" w:ascii="宋体" w:hAnsi="宋体" w:cs="宋体"/>
                <w:sz w:val="24"/>
              </w:rPr>
              <w:t>1.紧固连接件采用优质的不锈钢 304 材质 ，防生锈，抗腐蚀性能强 ；</w:t>
            </w:r>
          </w:p>
          <w:p w14:paraId="37DFAC7F">
            <w:pPr>
              <w:adjustRightInd/>
              <w:jc w:val="left"/>
              <w:rPr>
                <w:rFonts w:ascii="宋体" w:hAnsi="宋体" w:cs="宋体"/>
                <w:sz w:val="24"/>
              </w:rPr>
            </w:pPr>
            <w:r>
              <w:rPr>
                <w:rFonts w:hint="eastAsia" w:ascii="宋体" w:hAnsi="宋体" w:cs="宋体"/>
                <w:sz w:val="24"/>
              </w:rPr>
              <w:t>2.橡胶水带护桥的正面与侧面安装有夜光反光标识 ；</w:t>
            </w:r>
          </w:p>
          <w:p w14:paraId="0BBE02E5">
            <w:pPr>
              <w:adjustRightInd/>
              <w:jc w:val="left"/>
              <w:rPr>
                <w:rFonts w:ascii="宋体" w:hAnsi="宋体" w:cs="宋体"/>
                <w:sz w:val="24"/>
              </w:rPr>
            </w:pPr>
            <w:r>
              <w:rPr>
                <w:rFonts w:hint="eastAsia" w:ascii="宋体" w:hAnsi="宋体" w:cs="宋体"/>
                <w:sz w:val="24"/>
              </w:rPr>
              <w:t>3.水带护桥可正反面两用 ，带便携式手把 ；</w:t>
            </w:r>
          </w:p>
          <w:p w14:paraId="617CD8DC">
            <w:pPr>
              <w:adjustRightInd/>
              <w:jc w:val="left"/>
              <w:rPr>
                <w:rFonts w:ascii="宋体" w:hAnsi="宋体" w:cs="宋体"/>
                <w:sz w:val="24"/>
              </w:rPr>
            </w:pPr>
            <w:r>
              <w:rPr>
                <w:rFonts w:hint="eastAsia" w:ascii="宋体" w:hAnsi="宋体" w:cs="宋体"/>
                <w:sz w:val="24"/>
              </w:rPr>
              <w:t>4.技术参数 ：尺寸≥长 460mmХ宽 680mmХ高 80mm ；</w:t>
            </w:r>
          </w:p>
          <w:p w14:paraId="2933C4CA">
            <w:pPr>
              <w:adjustRightInd/>
              <w:jc w:val="left"/>
              <w:rPr>
                <w:rFonts w:ascii="宋体" w:hAnsi="宋体" w:cs="宋体"/>
                <w:sz w:val="24"/>
              </w:rPr>
            </w:pPr>
            <w:r>
              <w:rPr>
                <w:rFonts w:hint="eastAsia" w:ascii="宋体" w:hAnsi="宋体" w:cs="宋体"/>
                <w:sz w:val="24"/>
              </w:rPr>
              <w:t>5.承重能力≥50t ；单侧护桥承载能力≥15t ；</w:t>
            </w:r>
          </w:p>
          <w:p w14:paraId="71878312">
            <w:pPr>
              <w:adjustRightInd/>
              <w:jc w:val="left"/>
              <w:rPr>
                <w:rFonts w:ascii="宋体" w:hAnsi="宋体" w:cs="宋体"/>
                <w:sz w:val="24"/>
              </w:rPr>
            </w:pPr>
            <w:r>
              <w:rPr>
                <w:rFonts w:hint="eastAsia" w:ascii="宋体" w:hAnsi="宋体" w:cs="宋体"/>
                <w:sz w:val="24"/>
              </w:rPr>
              <w:t>6.产品重量≤8kg。</w:t>
            </w:r>
          </w:p>
        </w:tc>
      </w:tr>
      <w:tr w14:paraId="6C5B7D3C">
        <w:tblPrEx>
          <w:tblCellMar>
            <w:top w:w="0" w:type="dxa"/>
            <w:left w:w="108" w:type="dxa"/>
            <w:bottom w:w="0" w:type="dxa"/>
            <w:right w:w="108" w:type="dxa"/>
          </w:tblCellMar>
        </w:tblPrEx>
        <w:trPr>
          <w:trHeight w:val="23" w:hRule="atLeast"/>
          <w:jc w:val="center"/>
        </w:trPr>
        <w:tc>
          <w:tcPr>
            <w:tcW w:w="791" w:type="dxa"/>
            <w:vMerge w:val="continue"/>
            <w:tcBorders>
              <w:left w:val="single" w:color="000000" w:sz="4" w:space="0"/>
              <w:right w:val="single" w:color="000000" w:sz="4" w:space="0"/>
            </w:tcBorders>
            <w:noWrap/>
            <w:vAlign w:val="center"/>
          </w:tcPr>
          <w:p w14:paraId="3CAEC17F">
            <w:pPr>
              <w:jc w:val="center"/>
              <w:rPr>
                <w:rFonts w:ascii="宋体" w:hAnsi="宋体" w:cs="宋体"/>
                <w:sz w:val="24"/>
              </w:rPr>
            </w:pP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4B498BA5">
            <w:pPr>
              <w:widowControl/>
              <w:jc w:val="center"/>
              <w:textAlignment w:val="center"/>
              <w:rPr>
                <w:rFonts w:ascii="宋体" w:hAnsi="宋体" w:cs="宋体"/>
                <w:sz w:val="24"/>
              </w:rPr>
            </w:pPr>
            <w:r>
              <w:rPr>
                <w:rFonts w:hint="eastAsia" w:ascii="宋体" w:hAnsi="宋体" w:cs="宋体"/>
                <w:sz w:val="24"/>
              </w:rPr>
              <w:t>33</w:t>
            </w:r>
          </w:p>
        </w:tc>
        <w:tc>
          <w:tcPr>
            <w:tcW w:w="956" w:type="dxa"/>
            <w:gridSpan w:val="2"/>
            <w:tcBorders>
              <w:top w:val="single" w:color="000000" w:sz="4" w:space="0"/>
              <w:left w:val="single" w:color="000000" w:sz="4" w:space="0"/>
              <w:bottom w:val="single" w:color="000000" w:sz="4" w:space="0"/>
              <w:right w:val="single" w:color="000000" w:sz="4" w:space="0"/>
            </w:tcBorders>
            <w:noWrap/>
            <w:vAlign w:val="center"/>
          </w:tcPr>
          <w:p w14:paraId="115D1D00">
            <w:pPr>
              <w:widowControl/>
              <w:jc w:val="center"/>
              <w:textAlignment w:val="center"/>
              <w:rPr>
                <w:rFonts w:ascii="宋体" w:hAnsi="宋体" w:cs="宋体"/>
                <w:sz w:val="24"/>
              </w:rPr>
            </w:pPr>
            <w:r>
              <w:rPr>
                <w:rFonts w:hint="eastAsia" w:ascii="宋体" w:hAnsi="宋体" w:cs="宋体"/>
                <w:sz w:val="24"/>
              </w:rPr>
              <w:t>6米拉梯</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0E8EF939">
            <w:pPr>
              <w:widowControl/>
              <w:textAlignment w:val="center"/>
              <w:rPr>
                <w:rFonts w:ascii="宋体" w:hAnsi="宋体" w:cs="宋体"/>
                <w:sz w:val="24"/>
              </w:rPr>
            </w:pPr>
            <w:r>
              <w:rPr>
                <w:rFonts w:hint="eastAsia" w:ascii="宋体" w:hAnsi="宋体" w:cs="宋体"/>
                <w:sz w:val="24"/>
              </w:rPr>
              <w:t>1</w:t>
            </w:r>
          </w:p>
        </w:tc>
        <w:tc>
          <w:tcPr>
            <w:tcW w:w="6839" w:type="dxa"/>
            <w:tcBorders>
              <w:top w:val="single" w:color="000000" w:sz="4" w:space="0"/>
              <w:left w:val="single" w:color="000000" w:sz="4" w:space="0"/>
              <w:bottom w:val="single" w:color="000000" w:sz="4" w:space="0"/>
              <w:right w:val="single" w:color="000000" w:sz="4" w:space="0"/>
            </w:tcBorders>
            <w:noWrap/>
            <w:vAlign w:val="center"/>
          </w:tcPr>
          <w:p w14:paraId="171C6241">
            <w:pPr>
              <w:adjustRightInd/>
              <w:jc w:val="left"/>
              <w:rPr>
                <w:rFonts w:ascii="宋体" w:hAnsi="宋体" w:cs="宋体"/>
                <w:sz w:val="24"/>
              </w:rPr>
            </w:pPr>
            <w:r>
              <w:rPr>
                <w:rFonts w:hint="eastAsia" w:ascii="宋体" w:hAnsi="宋体" w:cs="宋体"/>
                <w:sz w:val="24"/>
              </w:rPr>
              <w:t>符合XF137-2007《消防梯》标准。 并通过国家消防装备质量监督检测中心检测。</w:t>
            </w:r>
          </w:p>
          <w:p w14:paraId="09B22570">
            <w:pPr>
              <w:adjustRightInd/>
              <w:jc w:val="left"/>
              <w:rPr>
                <w:rFonts w:ascii="宋体" w:hAnsi="宋体" w:cs="宋体"/>
                <w:sz w:val="24"/>
              </w:rPr>
            </w:pPr>
            <w:r>
              <w:rPr>
                <w:rFonts w:hint="eastAsia" w:ascii="宋体" w:hAnsi="宋体" w:cs="宋体"/>
                <w:sz w:val="24"/>
              </w:rPr>
              <w:t>1、总体要求：二节拉梯，主体竹质。</w:t>
            </w:r>
          </w:p>
          <w:p w14:paraId="0FA6610B">
            <w:pPr>
              <w:adjustRightInd/>
              <w:jc w:val="left"/>
              <w:rPr>
                <w:rFonts w:ascii="宋体" w:hAnsi="宋体" w:cs="宋体"/>
                <w:sz w:val="24"/>
              </w:rPr>
            </w:pPr>
            <w:r>
              <w:rPr>
                <w:rFonts w:hint="eastAsia" w:ascii="宋体" w:hAnsi="宋体" w:cs="宋体"/>
                <w:sz w:val="24"/>
              </w:rPr>
              <w:t>2、工作长度：6±0.2m。</w:t>
            </w:r>
          </w:p>
          <w:p w14:paraId="36BF0F4B">
            <w:pPr>
              <w:adjustRightInd/>
              <w:jc w:val="left"/>
              <w:rPr>
                <w:rFonts w:ascii="宋体" w:hAnsi="宋体" w:cs="宋体"/>
                <w:sz w:val="24"/>
              </w:rPr>
            </w:pPr>
            <w:r>
              <w:rPr>
                <w:rFonts w:hint="eastAsia" w:ascii="宋体" w:hAnsi="宋体" w:cs="宋体"/>
                <w:sz w:val="24"/>
              </w:rPr>
              <w:t>3、最小梯宽：300±3mm。</w:t>
            </w:r>
          </w:p>
          <w:p w14:paraId="7E31AAB2">
            <w:pPr>
              <w:adjustRightInd/>
              <w:jc w:val="left"/>
              <w:rPr>
                <w:rFonts w:ascii="宋体" w:hAnsi="宋体" w:cs="宋体"/>
                <w:sz w:val="24"/>
              </w:rPr>
            </w:pPr>
            <w:r>
              <w:rPr>
                <w:rFonts w:hint="eastAsia" w:ascii="宋体" w:hAnsi="宋体" w:cs="宋体"/>
                <w:sz w:val="24"/>
              </w:rPr>
              <w:t>4、梯蹬间距：280±2mm。</w:t>
            </w:r>
          </w:p>
          <w:p w14:paraId="4AAC3C83">
            <w:pPr>
              <w:adjustRightInd/>
              <w:jc w:val="left"/>
              <w:rPr>
                <w:rFonts w:ascii="宋体" w:hAnsi="宋体" w:cs="宋体"/>
                <w:sz w:val="24"/>
              </w:rPr>
            </w:pPr>
            <w:r>
              <w:rPr>
                <w:rFonts w:hint="eastAsia" w:ascii="宋体" w:hAnsi="宋体" w:cs="宋体"/>
                <w:sz w:val="24"/>
              </w:rPr>
              <w:t xml:space="preserve">5、整梯质量：≤30Kg                                                                        6、水平弯曲残余变形比值≤0.05%。                                                                   </w:t>
            </w:r>
          </w:p>
          <w:p w14:paraId="0D3C5D29">
            <w:pPr>
              <w:adjustRightInd/>
              <w:jc w:val="left"/>
              <w:rPr>
                <w:rFonts w:ascii="宋体" w:hAnsi="宋体" w:cs="宋体"/>
                <w:sz w:val="24"/>
              </w:rPr>
            </w:pPr>
            <w:r>
              <w:rPr>
                <w:rFonts w:hint="eastAsia" w:ascii="宋体" w:hAnsi="宋体" w:cs="宋体"/>
                <w:sz w:val="24"/>
              </w:rPr>
              <w:t>7、单撑脚载荷试验后，撑脚及联接件无松动、损伤及变形。</w:t>
            </w:r>
          </w:p>
          <w:p w14:paraId="02E09083">
            <w:pPr>
              <w:adjustRightInd/>
              <w:jc w:val="left"/>
              <w:rPr>
                <w:rFonts w:ascii="宋体" w:hAnsi="宋体" w:cs="宋体"/>
                <w:sz w:val="24"/>
              </w:rPr>
            </w:pPr>
            <w:r>
              <w:rPr>
                <w:rFonts w:hint="eastAsia" w:ascii="宋体" w:hAnsi="宋体" w:cs="宋体"/>
                <w:sz w:val="24"/>
              </w:rPr>
              <w:t>8、抗冲击性能：试验时撑脚支撑功能始终正常，试验后撑脚及梯蹬无明显变形或损坏。</w:t>
            </w:r>
          </w:p>
        </w:tc>
      </w:tr>
      <w:tr w14:paraId="25120BCB">
        <w:tblPrEx>
          <w:tblCellMar>
            <w:top w:w="0" w:type="dxa"/>
            <w:left w:w="108" w:type="dxa"/>
            <w:bottom w:w="0" w:type="dxa"/>
            <w:right w:w="108" w:type="dxa"/>
          </w:tblCellMar>
        </w:tblPrEx>
        <w:trPr>
          <w:trHeight w:val="23" w:hRule="atLeast"/>
          <w:jc w:val="center"/>
        </w:trPr>
        <w:tc>
          <w:tcPr>
            <w:tcW w:w="791" w:type="dxa"/>
            <w:vMerge w:val="continue"/>
            <w:tcBorders>
              <w:left w:val="single" w:color="000000" w:sz="4" w:space="0"/>
              <w:bottom w:val="single" w:color="000000" w:sz="4" w:space="0"/>
              <w:right w:val="single" w:color="000000" w:sz="4" w:space="0"/>
            </w:tcBorders>
            <w:noWrap/>
            <w:vAlign w:val="center"/>
          </w:tcPr>
          <w:p w14:paraId="3A412178">
            <w:pPr>
              <w:jc w:val="center"/>
              <w:rPr>
                <w:rFonts w:ascii="宋体" w:hAnsi="宋体" w:cs="宋体"/>
                <w:sz w:val="24"/>
              </w:rPr>
            </w:pP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30A363B9">
            <w:pPr>
              <w:widowControl/>
              <w:jc w:val="center"/>
              <w:textAlignment w:val="center"/>
              <w:rPr>
                <w:rFonts w:ascii="宋体" w:hAnsi="宋体" w:cs="宋体"/>
                <w:sz w:val="24"/>
              </w:rPr>
            </w:pPr>
            <w:r>
              <w:rPr>
                <w:rFonts w:hint="eastAsia" w:ascii="宋体" w:hAnsi="宋体" w:cs="宋体"/>
                <w:sz w:val="24"/>
              </w:rPr>
              <w:t>34</w:t>
            </w:r>
          </w:p>
        </w:tc>
        <w:tc>
          <w:tcPr>
            <w:tcW w:w="956" w:type="dxa"/>
            <w:gridSpan w:val="2"/>
            <w:tcBorders>
              <w:top w:val="single" w:color="000000" w:sz="4" w:space="0"/>
              <w:left w:val="single" w:color="000000" w:sz="4" w:space="0"/>
              <w:bottom w:val="single" w:color="000000" w:sz="4" w:space="0"/>
              <w:right w:val="single" w:color="000000" w:sz="4" w:space="0"/>
            </w:tcBorders>
            <w:noWrap/>
            <w:vAlign w:val="center"/>
          </w:tcPr>
          <w:p w14:paraId="5162675B">
            <w:pPr>
              <w:widowControl/>
              <w:jc w:val="center"/>
              <w:textAlignment w:val="center"/>
              <w:rPr>
                <w:rFonts w:ascii="宋体" w:hAnsi="宋体" w:cs="宋体"/>
                <w:sz w:val="24"/>
              </w:rPr>
            </w:pPr>
            <w:r>
              <w:rPr>
                <w:rFonts w:hint="eastAsia" w:ascii="宋体" w:hAnsi="宋体" w:cs="宋体"/>
                <w:sz w:val="24"/>
              </w:rPr>
              <w:t>单杠梯</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32BF9A95">
            <w:pPr>
              <w:widowControl/>
              <w:textAlignment w:val="center"/>
              <w:rPr>
                <w:rFonts w:ascii="宋体" w:hAnsi="宋体" w:cs="宋体"/>
                <w:sz w:val="24"/>
              </w:rPr>
            </w:pPr>
            <w:r>
              <w:rPr>
                <w:rFonts w:hint="eastAsia" w:ascii="宋体" w:hAnsi="宋体" w:cs="宋体"/>
                <w:sz w:val="24"/>
              </w:rPr>
              <w:t>2</w:t>
            </w:r>
          </w:p>
        </w:tc>
        <w:tc>
          <w:tcPr>
            <w:tcW w:w="6839" w:type="dxa"/>
            <w:tcBorders>
              <w:top w:val="single" w:color="000000" w:sz="4" w:space="0"/>
              <w:left w:val="single" w:color="000000" w:sz="4" w:space="0"/>
              <w:bottom w:val="single" w:color="000000" w:sz="4" w:space="0"/>
              <w:right w:val="single" w:color="000000" w:sz="4" w:space="0"/>
            </w:tcBorders>
            <w:noWrap/>
            <w:vAlign w:val="center"/>
          </w:tcPr>
          <w:p w14:paraId="7E59CD78">
            <w:pPr>
              <w:adjustRightInd/>
              <w:jc w:val="left"/>
              <w:rPr>
                <w:rFonts w:ascii="宋体" w:hAnsi="宋体" w:cs="宋体"/>
                <w:sz w:val="24"/>
              </w:rPr>
            </w:pPr>
            <w:r>
              <w:rPr>
                <w:rFonts w:hint="eastAsia" w:ascii="宋体" w:hAnsi="宋体" w:cs="宋体"/>
                <w:sz w:val="24"/>
              </w:rPr>
              <w:t>符合XF137-2007《消防梯》标准。 并通过国家消防装备质量监督检测中心检测。</w:t>
            </w:r>
          </w:p>
          <w:p w14:paraId="424A59D4">
            <w:pPr>
              <w:adjustRightInd/>
              <w:jc w:val="left"/>
              <w:rPr>
                <w:rFonts w:ascii="宋体" w:hAnsi="宋体" w:cs="宋体"/>
                <w:sz w:val="24"/>
              </w:rPr>
            </w:pPr>
            <w:r>
              <w:rPr>
                <w:rFonts w:hint="eastAsia" w:ascii="宋体" w:hAnsi="宋体" w:cs="宋体"/>
                <w:sz w:val="24"/>
              </w:rPr>
              <w:t>1、总体要求：单杠梯，主体铝合金材质。</w:t>
            </w:r>
          </w:p>
          <w:p w14:paraId="65A5407E">
            <w:pPr>
              <w:adjustRightInd/>
              <w:jc w:val="left"/>
              <w:rPr>
                <w:rFonts w:ascii="宋体" w:hAnsi="宋体" w:cs="宋体"/>
                <w:sz w:val="24"/>
              </w:rPr>
            </w:pPr>
            <w:r>
              <w:rPr>
                <w:rFonts w:hint="eastAsia" w:ascii="宋体" w:hAnsi="宋体" w:cs="宋体"/>
                <w:sz w:val="24"/>
              </w:rPr>
              <w:t>2、工作长度：3±0.1m。</w:t>
            </w:r>
          </w:p>
          <w:p w14:paraId="7CC92D33">
            <w:pPr>
              <w:adjustRightInd/>
              <w:jc w:val="left"/>
              <w:rPr>
                <w:rFonts w:ascii="宋体" w:hAnsi="宋体" w:cs="宋体"/>
                <w:sz w:val="24"/>
              </w:rPr>
            </w:pPr>
            <w:r>
              <w:rPr>
                <w:rFonts w:hint="eastAsia" w:ascii="宋体" w:hAnsi="宋体" w:cs="宋体"/>
                <w:sz w:val="24"/>
              </w:rPr>
              <w:t>3、最小梯宽：250±2mm。</w:t>
            </w:r>
          </w:p>
          <w:p w14:paraId="249310F5">
            <w:pPr>
              <w:adjustRightInd/>
              <w:jc w:val="left"/>
              <w:rPr>
                <w:rFonts w:ascii="宋体" w:hAnsi="宋体" w:cs="宋体"/>
                <w:sz w:val="24"/>
              </w:rPr>
            </w:pPr>
            <w:r>
              <w:rPr>
                <w:rFonts w:hint="eastAsia" w:ascii="宋体" w:hAnsi="宋体" w:cs="宋体"/>
                <w:sz w:val="24"/>
              </w:rPr>
              <w:t>4、梯蹬间距：340±2mm。</w:t>
            </w:r>
          </w:p>
          <w:p w14:paraId="3D0C0D9C">
            <w:pPr>
              <w:adjustRightInd/>
              <w:jc w:val="left"/>
              <w:rPr>
                <w:rFonts w:ascii="宋体" w:hAnsi="宋体" w:cs="宋体"/>
                <w:sz w:val="24"/>
              </w:rPr>
            </w:pPr>
            <w:r>
              <w:rPr>
                <w:rFonts w:hint="eastAsia" w:ascii="宋体" w:hAnsi="宋体" w:cs="宋体"/>
                <w:sz w:val="24"/>
              </w:rPr>
              <w:t>5、整梯质量：(6.5±0.5)Kg                                                                       6、水平弯曲残余变形比值≤0.06%。</w:t>
            </w:r>
          </w:p>
          <w:p w14:paraId="45453A49">
            <w:pPr>
              <w:adjustRightInd/>
              <w:jc w:val="left"/>
              <w:rPr>
                <w:rFonts w:ascii="宋体" w:hAnsi="宋体" w:cs="宋体"/>
                <w:sz w:val="24"/>
              </w:rPr>
            </w:pPr>
            <w:r>
              <w:rPr>
                <w:rFonts w:hint="eastAsia" w:ascii="宋体" w:hAnsi="宋体" w:cs="宋体"/>
                <w:sz w:val="24"/>
              </w:rPr>
              <w:t>7、梯蹬弯曲残余变形比值≤0.08%。</w:t>
            </w:r>
          </w:p>
          <w:p w14:paraId="5CDED09E">
            <w:pPr>
              <w:adjustRightInd/>
              <w:jc w:val="left"/>
              <w:rPr>
                <w:rFonts w:ascii="宋体" w:hAnsi="宋体" w:cs="宋体"/>
                <w:sz w:val="24"/>
              </w:rPr>
            </w:pPr>
            <w:r>
              <w:rPr>
                <w:rFonts w:hint="eastAsia" w:ascii="宋体" w:hAnsi="宋体" w:cs="宋体"/>
                <w:sz w:val="24"/>
              </w:rPr>
              <w:t>8、梯蹬剪切强度：梯蹬与侧板的连接处和梯蹬本身无任何断裂迹象。</w:t>
            </w:r>
          </w:p>
          <w:p w14:paraId="06C1D8BD">
            <w:pPr>
              <w:adjustRightInd/>
              <w:jc w:val="left"/>
              <w:rPr>
                <w:rFonts w:ascii="宋体" w:hAnsi="宋体" w:cs="宋体"/>
                <w:sz w:val="24"/>
              </w:rPr>
            </w:pPr>
            <w:r>
              <w:rPr>
                <w:rFonts w:hint="eastAsia" w:ascii="宋体" w:hAnsi="宋体" w:cs="宋体"/>
                <w:sz w:val="24"/>
              </w:rPr>
              <w:t>9、翘曲试验时，任一梯脚均不离地。</w:t>
            </w:r>
          </w:p>
          <w:p w14:paraId="35F4151B">
            <w:pPr>
              <w:adjustRightInd/>
              <w:jc w:val="left"/>
              <w:rPr>
                <w:rFonts w:ascii="宋体" w:hAnsi="宋体" w:cs="宋体"/>
                <w:sz w:val="24"/>
              </w:rPr>
            </w:pPr>
            <w:r>
              <w:rPr>
                <w:rFonts w:hint="eastAsia" w:ascii="宋体" w:hAnsi="宋体" w:cs="宋体"/>
                <w:sz w:val="24"/>
              </w:rPr>
              <w:t>10、梯节扭转角为：α顺：≤6.5°、α逆：≤6.0°。</w:t>
            </w:r>
          </w:p>
          <w:p w14:paraId="1C970928">
            <w:pPr>
              <w:adjustRightInd/>
              <w:jc w:val="left"/>
              <w:rPr>
                <w:rFonts w:ascii="宋体" w:hAnsi="宋体" w:cs="宋体"/>
                <w:sz w:val="24"/>
              </w:rPr>
            </w:pPr>
            <w:r>
              <w:rPr>
                <w:rFonts w:hint="eastAsia" w:ascii="宋体" w:hAnsi="宋体" w:cs="宋体"/>
                <w:sz w:val="24"/>
              </w:rPr>
              <w:t>11、滑移试验时，各梯脚在整个试验表面上无位移现象。</w:t>
            </w:r>
          </w:p>
          <w:p w14:paraId="252588EF">
            <w:pPr>
              <w:adjustRightInd/>
              <w:jc w:val="left"/>
              <w:rPr>
                <w:rFonts w:ascii="宋体" w:hAnsi="宋体" w:cs="宋体"/>
                <w:sz w:val="24"/>
              </w:rPr>
            </w:pPr>
            <w:r>
              <w:rPr>
                <w:rFonts w:hint="eastAsia" w:ascii="宋体" w:hAnsi="宋体" w:cs="宋体"/>
                <w:sz w:val="24"/>
              </w:rPr>
              <w:t>12、单撑脚载荷试验后，撑脚及联接件无松动、损伤及变形。</w:t>
            </w:r>
          </w:p>
          <w:p w14:paraId="716B0315">
            <w:pPr>
              <w:adjustRightInd/>
              <w:jc w:val="left"/>
              <w:rPr>
                <w:rFonts w:ascii="宋体" w:hAnsi="宋体" w:cs="宋体"/>
                <w:sz w:val="24"/>
              </w:rPr>
            </w:pPr>
            <w:r>
              <w:rPr>
                <w:rFonts w:hint="eastAsia" w:ascii="宋体" w:hAnsi="宋体" w:cs="宋体"/>
                <w:sz w:val="24"/>
              </w:rPr>
              <w:t>13、侧板悬臂弯曲最大变形值：内弯曲≤1.0mm、外弯曲≤0.8mm。</w:t>
            </w:r>
          </w:p>
          <w:p w14:paraId="22BE32C7">
            <w:pPr>
              <w:adjustRightInd/>
              <w:jc w:val="left"/>
              <w:rPr>
                <w:rFonts w:ascii="宋体" w:hAnsi="宋体" w:cs="宋体"/>
                <w:sz w:val="24"/>
              </w:rPr>
            </w:pPr>
            <w:r>
              <w:rPr>
                <w:rFonts w:hint="eastAsia" w:ascii="宋体" w:hAnsi="宋体" w:cs="宋体"/>
                <w:sz w:val="24"/>
              </w:rPr>
              <w:t>14、侧摇摆试验残余变形比值≤0.04%                                                            15、梯蹬与侧板紧密吻合，无松动、加楔；金属梯蹬有防滑措施，紧固件垂直旋紧，无突出的钉头锋口和毛刺等缺陷。铆钉紧固并呈平整半圆头。消防梯外表面光滑无毛刺。</w:t>
            </w:r>
          </w:p>
          <w:p w14:paraId="673B9DF5">
            <w:pPr>
              <w:adjustRightInd/>
              <w:jc w:val="left"/>
              <w:rPr>
                <w:rFonts w:ascii="宋体" w:hAnsi="宋体" w:cs="宋体"/>
                <w:sz w:val="24"/>
              </w:rPr>
            </w:pPr>
            <w:r>
              <w:rPr>
                <w:rFonts w:hint="eastAsia" w:ascii="宋体" w:hAnsi="宋体" w:cs="宋体"/>
                <w:sz w:val="24"/>
              </w:rPr>
              <w:t>16、单杠梯展开后，目测梯蹬与侧板的夹角应为直角，折合后两侧板应无翘曲和歪斜。</w:t>
            </w:r>
          </w:p>
        </w:tc>
      </w:tr>
      <w:tr w14:paraId="79139116">
        <w:tblPrEx>
          <w:tblCellMar>
            <w:top w:w="0" w:type="dxa"/>
            <w:left w:w="108" w:type="dxa"/>
            <w:bottom w:w="0" w:type="dxa"/>
            <w:right w:w="108" w:type="dxa"/>
          </w:tblCellMar>
        </w:tblPrEx>
        <w:trPr>
          <w:trHeight w:val="23" w:hRule="atLeast"/>
          <w:jc w:val="center"/>
        </w:trPr>
        <w:tc>
          <w:tcPr>
            <w:tcW w:w="791" w:type="dxa"/>
            <w:vMerge w:val="restart"/>
            <w:tcBorders>
              <w:top w:val="single" w:color="000000" w:sz="4" w:space="0"/>
              <w:left w:val="single" w:color="000000" w:sz="4" w:space="0"/>
              <w:right w:val="single" w:color="000000" w:sz="4" w:space="0"/>
            </w:tcBorders>
            <w:noWrap/>
            <w:vAlign w:val="center"/>
          </w:tcPr>
          <w:p w14:paraId="40B0D1E9">
            <w:pPr>
              <w:jc w:val="center"/>
              <w:rPr>
                <w:rFonts w:ascii="宋体" w:hAnsi="宋体" w:cs="宋体"/>
                <w:sz w:val="24"/>
              </w:rPr>
            </w:pPr>
            <w:r>
              <w:rPr>
                <w:rFonts w:hint="eastAsia" w:ascii="宋体" w:hAnsi="宋体" w:cs="宋体"/>
                <w:sz w:val="24"/>
              </w:rPr>
              <w:t>防护类</w:t>
            </w: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78CAC392">
            <w:pPr>
              <w:widowControl/>
              <w:jc w:val="center"/>
              <w:textAlignment w:val="center"/>
              <w:rPr>
                <w:rFonts w:ascii="宋体" w:hAnsi="宋体" w:cs="宋体"/>
                <w:sz w:val="24"/>
              </w:rPr>
            </w:pPr>
            <w:r>
              <w:rPr>
                <w:rFonts w:hint="eastAsia" w:ascii="宋体" w:hAnsi="宋体" w:cs="宋体"/>
                <w:sz w:val="24"/>
              </w:rPr>
              <w:t>35</w:t>
            </w:r>
          </w:p>
        </w:tc>
        <w:tc>
          <w:tcPr>
            <w:tcW w:w="956" w:type="dxa"/>
            <w:gridSpan w:val="2"/>
            <w:tcBorders>
              <w:top w:val="single" w:color="000000" w:sz="4" w:space="0"/>
              <w:left w:val="single" w:color="000000" w:sz="4" w:space="0"/>
              <w:bottom w:val="single" w:color="000000" w:sz="4" w:space="0"/>
              <w:right w:val="single" w:color="000000" w:sz="4" w:space="0"/>
            </w:tcBorders>
            <w:noWrap/>
            <w:vAlign w:val="center"/>
          </w:tcPr>
          <w:p w14:paraId="596DA9CB">
            <w:pPr>
              <w:widowControl/>
              <w:jc w:val="center"/>
              <w:textAlignment w:val="center"/>
              <w:rPr>
                <w:rFonts w:ascii="宋体" w:hAnsi="宋体" w:cs="宋体"/>
                <w:sz w:val="24"/>
              </w:rPr>
            </w:pPr>
            <w:r>
              <w:rPr>
                <w:rFonts w:hint="eastAsia" w:ascii="宋体" w:hAnsi="宋体" w:cs="宋体"/>
                <w:sz w:val="24"/>
              </w:rPr>
              <w:t>激流救生衣</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30ED90EA">
            <w:pPr>
              <w:jc w:val="center"/>
              <w:rPr>
                <w:rFonts w:ascii="宋体" w:hAnsi="宋体" w:cs="宋体"/>
                <w:sz w:val="18"/>
                <w:szCs w:val="18"/>
                <w:highlight w:val="none"/>
              </w:rPr>
            </w:pPr>
            <w:r>
              <w:rPr>
                <w:rFonts w:hint="eastAsia" w:ascii="宋体" w:hAnsi="宋体" w:cs="宋体"/>
                <w:sz w:val="18"/>
                <w:szCs w:val="18"/>
                <w:highlight w:val="none"/>
              </w:rPr>
              <w:t>15</w:t>
            </w:r>
          </w:p>
        </w:tc>
        <w:tc>
          <w:tcPr>
            <w:tcW w:w="6839" w:type="dxa"/>
            <w:tcBorders>
              <w:top w:val="single" w:color="000000" w:sz="4" w:space="0"/>
              <w:left w:val="single" w:color="000000" w:sz="4" w:space="0"/>
              <w:bottom w:val="single" w:color="000000" w:sz="4" w:space="0"/>
              <w:right w:val="single" w:color="000000" w:sz="4" w:space="0"/>
            </w:tcBorders>
            <w:noWrap/>
            <w:vAlign w:val="center"/>
          </w:tcPr>
          <w:p w14:paraId="0F8B3B26">
            <w:pPr>
              <w:adjustRightInd/>
              <w:jc w:val="left"/>
              <w:rPr>
                <w:rFonts w:hint="eastAsia" w:ascii="宋体" w:hAnsi="宋体" w:cs="宋体"/>
                <w:sz w:val="24"/>
                <w:highlight w:val="none"/>
              </w:rPr>
            </w:pPr>
            <w:r>
              <w:rPr>
                <w:rFonts w:hint="eastAsia" w:ascii="宋体" w:hAnsi="宋体" w:cs="宋体"/>
                <w:sz w:val="24"/>
                <w:highlight w:val="none"/>
              </w:rPr>
              <w:t>▲1.浮力：≥120N、＜155N；</w:t>
            </w:r>
          </w:p>
          <w:p w14:paraId="121D8DF9">
            <w:pPr>
              <w:adjustRightInd/>
              <w:jc w:val="left"/>
              <w:rPr>
                <w:rFonts w:hint="eastAsia" w:ascii="宋体" w:hAnsi="宋体" w:cs="宋体"/>
                <w:sz w:val="24"/>
                <w:highlight w:val="none"/>
              </w:rPr>
            </w:pPr>
            <w:r>
              <w:rPr>
                <w:rFonts w:hint="eastAsia" w:ascii="宋体" w:hAnsi="宋体" w:cs="宋体"/>
                <w:sz w:val="24"/>
                <w:highlight w:val="none"/>
              </w:rPr>
              <w:t>2.救生衣在淡水中浸泡≥24h后，其浮力损失≤3.7%；</w:t>
            </w:r>
          </w:p>
          <w:p w14:paraId="27923267">
            <w:pPr>
              <w:adjustRightInd/>
              <w:jc w:val="left"/>
              <w:rPr>
                <w:rFonts w:hint="eastAsia" w:ascii="宋体" w:hAnsi="宋体" w:cs="宋体"/>
                <w:sz w:val="24"/>
                <w:highlight w:val="none"/>
              </w:rPr>
            </w:pPr>
            <w:r>
              <w:rPr>
                <w:rFonts w:hint="eastAsia" w:ascii="宋体" w:hAnsi="宋体" w:cs="宋体"/>
                <w:sz w:val="24"/>
                <w:highlight w:val="none"/>
              </w:rPr>
              <w:t>3.救生衣自配活饵快速解脱装备，可在受困时快速解脱，同时可与绳索系统做分离；</w:t>
            </w:r>
          </w:p>
          <w:p w14:paraId="7ED90CB6">
            <w:pPr>
              <w:adjustRightInd/>
              <w:jc w:val="left"/>
              <w:rPr>
                <w:rFonts w:hint="eastAsia" w:ascii="宋体" w:hAnsi="宋体" w:cs="宋体"/>
                <w:sz w:val="24"/>
                <w:highlight w:val="none"/>
              </w:rPr>
            </w:pPr>
            <w:r>
              <w:rPr>
                <w:rFonts w:hint="eastAsia" w:ascii="宋体" w:hAnsi="宋体" w:cs="宋体"/>
                <w:sz w:val="24"/>
                <w:highlight w:val="none"/>
              </w:rPr>
              <w:t>4.包布撕破强力：经向≥350N，纬向≥250N；包布断裂强力：经向≥3000N，纬向≥1500N；</w:t>
            </w:r>
          </w:p>
          <w:p w14:paraId="77C9F876">
            <w:pPr>
              <w:adjustRightInd/>
              <w:jc w:val="left"/>
              <w:rPr>
                <w:rFonts w:hint="eastAsia" w:ascii="宋体" w:hAnsi="宋体" w:cs="宋体"/>
                <w:sz w:val="24"/>
                <w:highlight w:val="none"/>
              </w:rPr>
            </w:pPr>
            <w:r>
              <w:rPr>
                <w:rFonts w:hint="eastAsia" w:ascii="宋体" w:hAnsi="宋体" w:cs="宋体"/>
                <w:sz w:val="24"/>
                <w:highlight w:val="none"/>
              </w:rPr>
              <w:t>▲5.强度：救生衣衣身能承受≥3200N的作用力10min而不损坏；救生衣肩部能承受≥900N的作用力5min而不损坏；救生衣裆带与救生衣衣体之间能承受≥900N的作用力而不发生脱离或损坏；</w:t>
            </w:r>
          </w:p>
          <w:p w14:paraId="2DC1DE2B">
            <w:pPr>
              <w:adjustRightInd/>
              <w:jc w:val="left"/>
              <w:rPr>
                <w:rFonts w:hint="eastAsia" w:ascii="宋体" w:hAnsi="宋体" w:cs="宋体"/>
                <w:sz w:val="24"/>
                <w:highlight w:val="none"/>
              </w:rPr>
            </w:pPr>
            <w:r>
              <w:rPr>
                <w:rFonts w:hint="eastAsia" w:ascii="宋体" w:hAnsi="宋体" w:cs="宋体"/>
                <w:sz w:val="24"/>
                <w:highlight w:val="none"/>
              </w:rPr>
              <w:t>6.水中姿态：试验人员穿着救生衣在水中全身放松，人体能够处于直立姿态，且人嘴高出水面≥120mm；</w:t>
            </w:r>
          </w:p>
          <w:p w14:paraId="69B62B20">
            <w:pPr>
              <w:adjustRightInd/>
              <w:jc w:val="left"/>
              <w:rPr>
                <w:rFonts w:hint="eastAsia" w:ascii="宋体" w:hAnsi="宋体" w:cs="宋体"/>
                <w:sz w:val="24"/>
                <w:highlight w:val="none"/>
              </w:rPr>
            </w:pPr>
            <w:r>
              <w:rPr>
                <w:rFonts w:hint="eastAsia" w:ascii="宋体" w:hAnsi="宋体" w:cs="宋体"/>
                <w:sz w:val="24"/>
                <w:highlight w:val="none"/>
              </w:rPr>
              <w:t>7.织带部分：腰侧，腰部左右两侧各车逢2组调节扣，并车缝宽2.5cm以上尼龙织带调整松紧；</w:t>
            </w:r>
          </w:p>
          <w:p w14:paraId="48348F73">
            <w:pPr>
              <w:adjustRightInd/>
              <w:jc w:val="left"/>
              <w:rPr>
                <w:rFonts w:hint="eastAsia" w:ascii="宋体" w:hAnsi="宋体" w:cs="宋体"/>
                <w:sz w:val="24"/>
                <w:highlight w:val="none"/>
              </w:rPr>
            </w:pPr>
            <w:r>
              <w:rPr>
                <w:rFonts w:hint="eastAsia" w:ascii="宋体" w:hAnsi="宋体" w:cs="宋体"/>
                <w:sz w:val="24"/>
                <w:highlight w:val="none"/>
              </w:rPr>
              <w:t>8.胸前共8条织带可搭配不同产品；D型扣件≥4个；</w:t>
            </w:r>
          </w:p>
          <w:p w14:paraId="5A1CD3E8">
            <w:pPr>
              <w:adjustRightInd/>
              <w:jc w:val="left"/>
              <w:rPr>
                <w:rFonts w:hint="eastAsia" w:ascii="宋体" w:hAnsi="宋体" w:cs="宋体"/>
                <w:sz w:val="24"/>
                <w:highlight w:val="none"/>
              </w:rPr>
            </w:pPr>
            <w:r>
              <w:rPr>
                <w:rFonts w:hint="eastAsia" w:ascii="宋体" w:hAnsi="宋体" w:cs="宋体"/>
                <w:sz w:val="24"/>
                <w:highlight w:val="none"/>
              </w:rPr>
              <w:t>9.环绕腰部设置一条活饵带快速释放装置，宽≤5cm的尼龙织带，使用一组不锈钢日型环及塑钢（扣件）固定于车缝布上，配牛尾绳（不使用时置于肩带上），割绳刀，提示灯，救援口哨，方位灯（位于肩带上），档带、2个快速挂钩、；</w:t>
            </w:r>
          </w:p>
          <w:p w14:paraId="7F89D965">
            <w:pPr>
              <w:adjustRightInd/>
              <w:jc w:val="left"/>
              <w:rPr>
                <w:rFonts w:hint="eastAsia" w:ascii="宋体" w:hAnsi="宋体" w:cs="宋体"/>
                <w:sz w:val="24"/>
                <w:highlight w:val="none"/>
              </w:rPr>
            </w:pPr>
            <w:r>
              <w:rPr>
                <w:rFonts w:hint="eastAsia" w:ascii="宋体" w:hAnsi="宋体" w:cs="宋体"/>
                <w:sz w:val="24"/>
                <w:highlight w:val="none"/>
              </w:rPr>
              <w:t>10.二个可拆卸前置弹性口袋+后背可拆卸置物袋+信号识别灯挂点；弓形提手。</w:t>
            </w:r>
          </w:p>
          <w:p w14:paraId="5B28458A">
            <w:pPr>
              <w:adjustRightInd/>
              <w:jc w:val="left"/>
              <w:rPr>
                <w:rFonts w:ascii="宋体" w:hAnsi="宋体" w:cs="宋体"/>
                <w:sz w:val="24"/>
                <w:highlight w:val="none"/>
              </w:rPr>
            </w:pPr>
            <w:r>
              <w:rPr>
                <w:rFonts w:hint="eastAsia" w:ascii="宋体" w:hAnsi="宋体" w:cs="宋体"/>
                <w:sz w:val="24"/>
                <w:highlight w:val="none"/>
              </w:rPr>
              <w:t>按照用户单位尺码供货，外观标识经用户单位确认后印制。提供国家认可的第三方检测机构出具的检验/检测报告</w:t>
            </w:r>
          </w:p>
        </w:tc>
      </w:tr>
      <w:tr w14:paraId="24BE2C2F">
        <w:tblPrEx>
          <w:tblCellMar>
            <w:top w:w="0" w:type="dxa"/>
            <w:left w:w="108" w:type="dxa"/>
            <w:bottom w:w="0" w:type="dxa"/>
            <w:right w:w="108" w:type="dxa"/>
          </w:tblCellMar>
        </w:tblPrEx>
        <w:trPr>
          <w:trHeight w:val="23" w:hRule="atLeast"/>
          <w:jc w:val="center"/>
        </w:trPr>
        <w:tc>
          <w:tcPr>
            <w:tcW w:w="791" w:type="dxa"/>
            <w:vMerge w:val="continue"/>
            <w:tcBorders>
              <w:left w:val="single" w:color="000000" w:sz="4" w:space="0"/>
              <w:right w:val="single" w:color="000000" w:sz="4" w:space="0"/>
            </w:tcBorders>
            <w:noWrap/>
            <w:vAlign w:val="center"/>
          </w:tcPr>
          <w:p w14:paraId="4CD5B2C4">
            <w:pPr>
              <w:jc w:val="center"/>
              <w:rPr>
                <w:rFonts w:ascii="宋体" w:hAnsi="宋体" w:cs="宋体"/>
                <w:sz w:val="24"/>
              </w:rPr>
            </w:pP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3B80B714">
            <w:pPr>
              <w:widowControl/>
              <w:jc w:val="center"/>
              <w:textAlignment w:val="center"/>
              <w:rPr>
                <w:rFonts w:ascii="宋体" w:hAnsi="宋体" w:cs="宋体"/>
                <w:sz w:val="24"/>
              </w:rPr>
            </w:pPr>
            <w:r>
              <w:rPr>
                <w:rFonts w:hint="eastAsia" w:ascii="宋体" w:hAnsi="宋体" w:cs="宋体"/>
                <w:sz w:val="24"/>
              </w:rPr>
              <w:t>36</w:t>
            </w:r>
          </w:p>
        </w:tc>
        <w:tc>
          <w:tcPr>
            <w:tcW w:w="956" w:type="dxa"/>
            <w:gridSpan w:val="2"/>
            <w:tcBorders>
              <w:top w:val="single" w:color="000000" w:sz="4" w:space="0"/>
              <w:left w:val="single" w:color="000000" w:sz="4" w:space="0"/>
              <w:bottom w:val="single" w:color="000000" w:sz="4" w:space="0"/>
              <w:right w:val="single" w:color="000000" w:sz="4" w:space="0"/>
            </w:tcBorders>
            <w:noWrap/>
            <w:vAlign w:val="center"/>
          </w:tcPr>
          <w:p w14:paraId="2942D18D">
            <w:pPr>
              <w:widowControl/>
              <w:jc w:val="center"/>
              <w:textAlignment w:val="center"/>
              <w:rPr>
                <w:rFonts w:ascii="宋体" w:hAnsi="宋体" w:cs="宋体"/>
                <w:sz w:val="24"/>
              </w:rPr>
            </w:pPr>
            <w:r>
              <w:rPr>
                <w:rFonts w:hint="eastAsia" w:ascii="宋体" w:hAnsi="宋体" w:cs="宋体"/>
                <w:sz w:val="24"/>
              </w:rPr>
              <w:t>水域救援头盔</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3812EBC5">
            <w:pPr>
              <w:jc w:val="center"/>
              <w:rPr>
                <w:rFonts w:ascii="宋体" w:hAnsi="宋体" w:cs="宋体"/>
                <w:sz w:val="18"/>
                <w:szCs w:val="18"/>
                <w:highlight w:val="none"/>
              </w:rPr>
            </w:pPr>
            <w:r>
              <w:rPr>
                <w:rFonts w:hint="eastAsia" w:ascii="宋体" w:hAnsi="宋体" w:cs="宋体"/>
                <w:sz w:val="18"/>
                <w:szCs w:val="18"/>
                <w:highlight w:val="none"/>
              </w:rPr>
              <w:t>15</w:t>
            </w:r>
          </w:p>
        </w:tc>
        <w:tc>
          <w:tcPr>
            <w:tcW w:w="6839" w:type="dxa"/>
            <w:tcBorders>
              <w:top w:val="single" w:color="000000" w:sz="4" w:space="0"/>
              <w:left w:val="single" w:color="000000" w:sz="4" w:space="0"/>
              <w:bottom w:val="single" w:color="000000" w:sz="4" w:space="0"/>
              <w:right w:val="single" w:color="000000" w:sz="4" w:space="0"/>
            </w:tcBorders>
            <w:noWrap/>
            <w:vAlign w:val="center"/>
          </w:tcPr>
          <w:p w14:paraId="0D711828">
            <w:pPr>
              <w:adjustRightInd/>
              <w:jc w:val="left"/>
              <w:rPr>
                <w:rFonts w:hint="eastAsia" w:ascii="宋体" w:hAnsi="宋体" w:cs="宋体"/>
                <w:sz w:val="24"/>
                <w:highlight w:val="none"/>
              </w:rPr>
            </w:pPr>
            <w:r>
              <w:rPr>
                <w:rFonts w:hint="eastAsia" w:ascii="宋体" w:hAnsi="宋体" w:cs="宋体"/>
                <w:sz w:val="24"/>
                <w:highlight w:val="none"/>
              </w:rPr>
              <w:t>1.结构要求</w:t>
            </w:r>
          </w:p>
          <w:p w14:paraId="53068B2B">
            <w:pPr>
              <w:adjustRightInd/>
              <w:jc w:val="left"/>
              <w:rPr>
                <w:rFonts w:hint="eastAsia" w:ascii="宋体" w:hAnsi="宋体" w:cs="宋体"/>
                <w:sz w:val="24"/>
                <w:highlight w:val="none"/>
              </w:rPr>
            </w:pPr>
            <w:r>
              <w:rPr>
                <w:rFonts w:hint="eastAsia" w:ascii="宋体" w:hAnsi="宋体" w:cs="宋体"/>
                <w:sz w:val="24"/>
                <w:highlight w:val="none"/>
              </w:rPr>
              <w:t>1.1头盔采用3/4盔结构设计，由外壳、缓冲层、舒适衬垫、下颏带、锁紧装置和外壳辅件组成。外壳辅件由其外壳上装配的墨鱼干、导轨、反光贴组成，导轨包含左导轨、右导轨，互为镜像，头盔颜色为红色；</w:t>
            </w:r>
          </w:p>
          <w:p w14:paraId="30CC365C">
            <w:pPr>
              <w:adjustRightInd/>
              <w:jc w:val="left"/>
              <w:rPr>
                <w:rFonts w:hint="eastAsia" w:ascii="宋体" w:hAnsi="宋体" w:cs="宋体"/>
                <w:sz w:val="24"/>
                <w:highlight w:val="none"/>
              </w:rPr>
            </w:pPr>
            <w:r>
              <w:rPr>
                <w:rFonts w:hint="eastAsia" w:ascii="宋体" w:hAnsi="宋体" w:cs="宋体"/>
                <w:sz w:val="24"/>
                <w:highlight w:val="none"/>
              </w:rPr>
              <w:t>1.2排水透气孔≥8个，具有透气、减重及排水功能；</w:t>
            </w:r>
          </w:p>
          <w:p w14:paraId="736A80C0">
            <w:pPr>
              <w:adjustRightInd/>
              <w:jc w:val="left"/>
              <w:rPr>
                <w:rFonts w:hint="eastAsia" w:ascii="宋体" w:hAnsi="宋体" w:cs="宋体"/>
                <w:sz w:val="24"/>
                <w:highlight w:val="none"/>
              </w:rPr>
            </w:pPr>
            <w:r>
              <w:rPr>
                <w:rFonts w:hint="eastAsia" w:ascii="宋体" w:hAnsi="宋体" w:cs="宋体"/>
                <w:sz w:val="24"/>
                <w:highlight w:val="none"/>
              </w:rPr>
              <w:t>1.3下颌带为插口式，下颚带护垫快速调节带，可快速调节至适合尺寸；</w:t>
            </w:r>
          </w:p>
          <w:p w14:paraId="70389BAD">
            <w:pPr>
              <w:adjustRightInd/>
              <w:jc w:val="left"/>
              <w:rPr>
                <w:rFonts w:hint="eastAsia" w:ascii="宋体" w:hAnsi="宋体" w:cs="宋体"/>
                <w:sz w:val="24"/>
                <w:highlight w:val="none"/>
              </w:rPr>
            </w:pPr>
            <w:r>
              <w:rPr>
                <w:rFonts w:hint="eastAsia" w:ascii="宋体" w:hAnsi="宋体" w:cs="宋体"/>
                <w:sz w:val="24"/>
                <w:highlight w:val="none"/>
              </w:rPr>
              <w:t>1.4头围具有可调节功能，可调节范围为52cm（±2cm）～65cm（±2cm），能快速调节；</w:t>
            </w:r>
          </w:p>
          <w:p w14:paraId="1AF399DE">
            <w:pPr>
              <w:adjustRightInd/>
              <w:jc w:val="left"/>
              <w:rPr>
                <w:rFonts w:hint="eastAsia" w:ascii="宋体" w:hAnsi="宋体" w:cs="宋体"/>
                <w:sz w:val="24"/>
                <w:highlight w:val="none"/>
              </w:rPr>
            </w:pPr>
            <w:r>
              <w:rPr>
                <w:rFonts w:hint="eastAsia" w:ascii="宋体" w:hAnsi="宋体" w:cs="宋体"/>
                <w:sz w:val="24"/>
                <w:highlight w:val="none"/>
              </w:rPr>
              <w:t>1.5质量≤550g。</w:t>
            </w:r>
          </w:p>
          <w:p w14:paraId="54626DF0">
            <w:pPr>
              <w:adjustRightInd/>
              <w:jc w:val="left"/>
              <w:rPr>
                <w:rFonts w:hint="eastAsia" w:ascii="宋体" w:hAnsi="宋体" w:cs="宋体"/>
                <w:sz w:val="24"/>
                <w:highlight w:val="none"/>
              </w:rPr>
            </w:pPr>
            <w:r>
              <w:rPr>
                <w:rFonts w:hint="eastAsia" w:ascii="宋体" w:hAnsi="宋体" w:cs="宋体"/>
                <w:sz w:val="24"/>
                <w:highlight w:val="none"/>
              </w:rPr>
              <w:t>2.材料要求</w:t>
            </w:r>
          </w:p>
          <w:p w14:paraId="0CCBABCD">
            <w:pPr>
              <w:adjustRightInd/>
              <w:jc w:val="left"/>
              <w:rPr>
                <w:rFonts w:hint="eastAsia" w:ascii="宋体" w:hAnsi="宋体" w:cs="宋体"/>
                <w:sz w:val="24"/>
                <w:highlight w:val="none"/>
              </w:rPr>
            </w:pPr>
            <w:r>
              <w:rPr>
                <w:rFonts w:hint="eastAsia" w:ascii="宋体" w:hAnsi="宋体" w:cs="宋体"/>
                <w:sz w:val="24"/>
                <w:highlight w:val="none"/>
              </w:rPr>
              <w:t>★2.1盔壳由ABS复合材料制成；</w:t>
            </w:r>
          </w:p>
          <w:p w14:paraId="53EF0859">
            <w:pPr>
              <w:adjustRightInd/>
              <w:jc w:val="left"/>
              <w:rPr>
                <w:rFonts w:hint="eastAsia" w:ascii="宋体" w:hAnsi="宋体" w:cs="宋体"/>
                <w:sz w:val="24"/>
                <w:highlight w:val="none"/>
              </w:rPr>
            </w:pPr>
            <w:r>
              <w:rPr>
                <w:rFonts w:hint="eastAsia" w:ascii="宋体" w:hAnsi="宋体" w:cs="宋体"/>
                <w:sz w:val="24"/>
                <w:highlight w:val="none"/>
              </w:rPr>
              <w:t>2.2缓冲层由 EPP、EPS 材料制成；</w:t>
            </w:r>
          </w:p>
          <w:p w14:paraId="2A20D6D9">
            <w:pPr>
              <w:adjustRightInd/>
              <w:jc w:val="left"/>
              <w:rPr>
                <w:rFonts w:hint="eastAsia" w:ascii="宋体" w:hAnsi="宋体" w:cs="宋体"/>
                <w:sz w:val="24"/>
                <w:highlight w:val="none"/>
              </w:rPr>
            </w:pPr>
            <w:r>
              <w:rPr>
                <w:rFonts w:hint="eastAsia" w:ascii="宋体" w:hAnsi="宋体" w:cs="宋体"/>
                <w:sz w:val="24"/>
                <w:highlight w:val="none"/>
              </w:rPr>
              <w:t>2.3舒适衬垫由 EVA 材料，表面光洁无吸水性。</w:t>
            </w:r>
          </w:p>
          <w:p w14:paraId="54F0B96D">
            <w:pPr>
              <w:adjustRightInd/>
              <w:jc w:val="left"/>
              <w:rPr>
                <w:rFonts w:hint="eastAsia" w:ascii="宋体" w:hAnsi="宋体" w:cs="宋体"/>
                <w:sz w:val="24"/>
                <w:highlight w:val="none"/>
              </w:rPr>
            </w:pPr>
            <w:r>
              <w:rPr>
                <w:rFonts w:hint="eastAsia" w:ascii="宋体" w:hAnsi="宋体" w:cs="宋体"/>
                <w:sz w:val="24"/>
                <w:highlight w:val="none"/>
              </w:rPr>
              <w:t>3.性能要求</w:t>
            </w:r>
          </w:p>
          <w:p w14:paraId="01E866CB">
            <w:pPr>
              <w:adjustRightInd/>
              <w:jc w:val="left"/>
              <w:rPr>
                <w:rFonts w:hint="eastAsia" w:ascii="宋体" w:hAnsi="宋体" w:cs="宋体"/>
                <w:sz w:val="24"/>
                <w:highlight w:val="none"/>
              </w:rPr>
            </w:pPr>
            <w:r>
              <w:rPr>
                <w:rFonts w:hint="eastAsia" w:ascii="宋体" w:hAnsi="宋体" w:cs="宋体"/>
                <w:sz w:val="24"/>
                <w:highlight w:val="none"/>
              </w:rPr>
              <w:t>3.1漂浮性能：在常温下浸泡≥48h不下沉；</w:t>
            </w:r>
          </w:p>
          <w:p w14:paraId="2143ED04">
            <w:pPr>
              <w:adjustRightInd/>
              <w:jc w:val="left"/>
              <w:rPr>
                <w:rFonts w:hint="eastAsia" w:ascii="宋体" w:hAnsi="宋体" w:cs="宋体"/>
                <w:sz w:val="24"/>
                <w:highlight w:val="none"/>
              </w:rPr>
            </w:pPr>
            <w:r>
              <w:rPr>
                <w:rFonts w:hint="eastAsia" w:ascii="宋体" w:hAnsi="宋体" w:cs="宋体"/>
                <w:sz w:val="24"/>
                <w:highlight w:val="none"/>
              </w:rPr>
              <w:t>▲3.2冲击吸收性能：头模所受到的最大冲击力≤3600N，帽壳无碎片脱落；</w:t>
            </w:r>
          </w:p>
          <w:p w14:paraId="34D28F54">
            <w:pPr>
              <w:adjustRightInd/>
              <w:jc w:val="left"/>
              <w:rPr>
                <w:rFonts w:ascii="宋体" w:hAnsi="宋体" w:cs="宋体"/>
                <w:sz w:val="24"/>
                <w:highlight w:val="none"/>
              </w:rPr>
            </w:pPr>
            <w:r>
              <w:rPr>
                <w:rFonts w:hint="eastAsia" w:ascii="宋体" w:hAnsi="宋体" w:cs="宋体"/>
                <w:sz w:val="24"/>
                <w:highlight w:val="none"/>
              </w:rPr>
              <w:t>3.3提供国家认可的第三方检测机构出具的检验/检测报告</w:t>
            </w:r>
          </w:p>
        </w:tc>
      </w:tr>
      <w:tr w14:paraId="6BCC9398">
        <w:tblPrEx>
          <w:tblCellMar>
            <w:top w:w="0" w:type="dxa"/>
            <w:left w:w="108" w:type="dxa"/>
            <w:bottom w:w="0" w:type="dxa"/>
            <w:right w:w="108" w:type="dxa"/>
          </w:tblCellMar>
        </w:tblPrEx>
        <w:trPr>
          <w:trHeight w:val="23" w:hRule="atLeast"/>
          <w:jc w:val="center"/>
        </w:trPr>
        <w:tc>
          <w:tcPr>
            <w:tcW w:w="791" w:type="dxa"/>
            <w:vMerge w:val="continue"/>
            <w:tcBorders>
              <w:left w:val="single" w:color="000000" w:sz="4" w:space="0"/>
              <w:right w:val="single" w:color="000000" w:sz="4" w:space="0"/>
            </w:tcBorders>
            <w:noWrap/>
            <w:vAlign w:val="center"/>
          </w:tcPr>
          <w:p w14:paraId="3176384E">
            <w:pPr>
              <w:jc w:val="center"/>
              <w:rPr>
                <w:rFonts w:ascii="宋体" w:hAnsi="宋体" w:cs="宋体"/>
                <w:sz w:val="24"/>
              </w:rPr>
            </w:pP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2297104A">
            <w:pPr>
              <w:widowControl/>
              <w:jc w:val="center"/>
              <w:textAlignment w:val="center"/>
              <w:rPr>
                <w:rFonts w:ascii="宋体" w:hAnsi="宋体" w:cs="宋体"/>
                <w:sz w:val="24"/>
              </w:rPr>
            </w:pPr>
            <w:r>
              <w:rPr>
                <w:rFonts w:hint="eastAsia" w:ascii="宋体" w:hAnsi="宋体" w:cs="宋体"/>
                <w:sz w:val="24"/>
              </w:rPr>
              <w:t>37</w:t>
            </w:r>
          </w:p>
        </w:tc>
        <w:tc>
          <w:tcPr>
            <w:tcW w:w="956" w:type="dxa"/>
            <w:gridSpan w:val="2"/>
            <w:tcBorders>
              <w:top w:val="single" w:color="000000" w:sz="4" w:space="0"/>
              <w:left w:val="single" w:color="000000" w:sz="4" w:space="0"/>
              <w:bottom w:val="single" w:color="000000" w:sz="4" w:space="0"/>
              <w:right w:val="single" w:color="000000" w:sz="4" w:space="0"/>
            </w:tcBorders>
            <w:noWrap/>
            <w:vAlign w:val="center"/>
          </w:tcPr>
          <w:p w14:paraId="5904BB28">
            <w:pPr>
              <w:widowControl/>
              <w:jc w:val="center"/>
              <w:textAlignment w:val="center"/>
              <w:rPr>
                <w:rFonts w:ascii="宋体" w:hAnsi="宋体" w:cs="宋体"/>
                <w:sz w:val="24"/>
              </w:rPr>
            </w:pPr>
            <w:r>
              <w:rPr>
                <w:rFonts w:hint="eastAsia" w:ascii="宋体" w:hAnsi="宋体" w:cs="宋体"/>
                <w:sz w:val="24"/>
              </w:rPr>
              <w:t>消防手套</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2CB7B3E7">
            <w:pPr>
              <w:widowControl/>
              <w:jc w:val="center"/>
              <w:textAlignment w:val="center"/>
              <w:rPr>
                <w:rFonts w:ascii="宋体" w:hAnsi="宋体" w:cs="宋体"/>
                <w:sz w:val="24"/>
              </w:rPr>
            </w:pPr>
            <w:r>
              <w:rPr>
                <w:rFonts w:hint="eastAsia" w:ascii="宋体" w:hAnsi="宋体" w:cs="宋体"/>
                <w:sz w:val="24"/>
              </w:rPr>
              <w:t>49</w:t>
            </w:r>
          </w:p>
        </w:tc>
        <w:tc>
          <w:tcPr>
            <w:tcW w:w="6839" w:type="dxa"/>
            <w:tcBorders>
              <w:top w:val="single" w:color="000000" w:sz="4" w:space="0"/>
              <w:left w:val="single" w:color="000000" w:sz="4" w:space="0"/>
              <w:bottom w:val="single" w:color="000000" w:sz="4" w:space="0"/>
              <w:right w:val="single" w:color="000000" w:sz="4" w:space="0"/>
            </w:tcBorders>
            <w:noWrap/>
            <w:vAlign w:val="center"/>
          </w:tcPr>
          <w:p w14:paraId="1903818C">
            <w:pPr>
              <w:widowControl/>
              <w:jc w:val="left"/>
              <w:textAlignment w:val="center"/>
              <w:rPr>
                <w:rFonts w:ascii="宋体" w:hAnsi="宋体" w:cs="宋体"/>
                <w:sz w:val="24"/>
              </w:rPr>
            </w:pPr>
            <w:r>
              <w:rPr>
                <w:rFonts w:hint="eastAsia" w:ascii="宋体" w:hAnsi="宋体" w:cs="宋体"/>
                <w:sz w:val="24"/>
              </w:rPr>
              <w:t>1、产品符合XF7-2004《消防手套》、</w:t>
            </w:r>
          </w:p>
          <w:p w14:paraId="62B7F01F">
            <w:pPr>
              <w:widowControl/>
              <w:jc w:val="left"/>
              <w:textAlignment w:val="center"/>
              <w:rPr>
                <w:rFonts w:ascii="宋体" w:hAnsi="宋体" w:cs="宋体"/>
                <w:sz w:val="24"/>
              </w:rPr>
            </w:pPr>
            <w:r>
              <w:rPr>
                <w:rFonts w:hint="eastAsia" w:ascii="宋体" w:hAnsi="宋体" w:cs="宋体"/>
                <w:sz w:val="24"/>
              </w:rPr>
              <w:t>TFRI-ZY-16:2020《消防产品自愿性认证实施规则消防员个人防护装备产品》标准要求；</w:t>
            </w:r>
          </w:p>
          <w:p w14:paraId="0D4EBF3B">
            <w:pPr>
              <w:widowControl/>
              <w:jc w:val="left"/>
              <w:textAlignment w:val="center"/>
              <w:rPr>
                <w:rFonts w:ascii="宋体" w:hAnsi="宋体" w:cs="宋体"/>
                <w:sz w:val="24"/>
              </w:rPr>
            </w:pPr>
            <w:r>
              <w:rPr>
                <w:rFonts w:hint="eastAsia" w:ascii="宋体" w:hAnsi="宋体" w:cs="宋体"/>
                <w:sz w:val="24"/>
              </w:rPr>
              <w:t>2、外层阻燃性能：手套掌心面经、纬向续燃时间≤2s，阴燃时间≤2s，损毁长度≤10mm，且不应有熔融、滴落现象；</w:t>
            </w:r>
          </w:p>
          <w:p w14:paraId="2535A7FB">
            <w:pPr>
              <w:widowControl/>
              <w:jc w:val="left"/>
              <w:textAlignment w:val="center"/>
              <w:rPr>
                <w:rFonts w:ascii="宋体" w:hAnsi="宋体" w:cs="宋体"/>
                <w:sz w:val="24"/>
              </w:rPr>
            </w:pPr>
            <w:r>
              <w:rPr>
                <w:rFonts w:hint="eastAsia" w:ascii="宋体" w:hAnsi="宋体" w:cs="宋体"/>
                <w:sz w:val="24"/>
              </w:rPr>
              <w:t>3、外层阻燃性能：手套背面经、纬向续燃时间≤2s，阴燃时间≤2s，损毁长度≤50mm，且不应有熔融、滴落现象；</w:t>
            </w:r>
          </w:p>
          <w:p w14:paraId="06E3BC22">
            <w:pPr>
              <w:widowControl/>
              <w:jc w:val="left"/>
              <w:textAlignment w:val="center"/>
              <w:rPr>
                <w:rFonts w:ascii="宋体" w:hAnsi="宋体" w:cs="宋体"/>
                <w:sz w:val="24"/>
              </w:rPr>
            </w:pPr>
            <w:r>
              <w:rPr>
                <w:rFonts w:hint="eastAsia" w:ascii="宋体" w:hAnsi="宋体" w:cs="宋体"/>
                <w:sz w:val="24"/>
              </w:rPr>
              <w:t>4、隔热层阻燃性能：手套掌心面、背面经、纬向续燃时间≤2s，阴燃时间≤2s，损毁长度≤50mm，且不应有熔融、滴落现象；</w:t>
            </w:r>
          </w:p>
          <w:p w14:paraId="538C95C7">
            <w:pPr>
              <w:widowControl/>
              <w:jc w:val="left"/>
              <w:textAlignment w:val="center"/>
              <w:rPr>
                <w:rFonts w:ascii="宋体" w:hAnsi="宋体" w:cs="宋体"/>
                <w:sz w:val="24"/>
              </w:rPr>
            </w:pPr>
            <w:r>
              <w:rPr>
                <w:rFonts w:hint="eastAsia" w:ascii="宋体" w:hAnsi="宋体" w:cs="宋体"/>
                <w:sz w:val="24"/>
              </w:rPr>
              <w:t>5、整体热防护性能（cal/cm²）：掌心面、背面1类≥20.0；2类≥28.0；3类≥35.0；</w:t>
            </w:r>
          </w:p>
          <w:p w14:paraId="02492E53">
            <w:pPr>
              <w:widowControl/>
              <w:jc w:val="left"/>
              <w:textAlignment w:val="center"/>
              <w:rPr>
                <w:rFonts w:ascii="宋体" w:hAnsi="宋体" w:cs="宋体"/>
                <w:sz w:val="24"/>
              </w:rPr>
            </w:pPr>
            <w:r>
              <w:rPr>
                <w:rFonts w:hint="eastAsia" w:ascii="宋体" w:hAnsi="宋体" w:cs="宋体"/>
                <w:sz w:val="24"/>
              </w:rPr>
              <w:t>6、耐热性能：手套收缩率（%）长度、宽度方向上1类、2类≤5，3 类≤8，试验表面无明显变化，且无熔融、脱离和燃烧现象；</w:t>
            </w:r>
          </w:p>
          <w:p w14:paraId="47CDA289">
            <w:pPr>
              <w:widowControl/>
              <w:jc w:val="left"/>
              <w:textAlignment w:val="center"/>
              <w:rPr>
                <w:rFonts w:ascii="宋体" w:hAnsi="宋体" w:cs="宋体"/>
                <w:sz w:val="24"/>
              </w:rPr>
            </w:pPr>
            <w:r>
              <w:rPr>
                <w:rFonts w:hint="eastAsia" w:ascii="宋体" w:hAnsi="宋体" w:cs="宋体"/>
                <w:sz w:val="24"/>
              </w:rPr>
              <w:t>7、耐热性能：衬里收缩率（%）经、纬向1类、2类≤5，3 类≤8，试验表面无明显变化，且无熔融、脱离和燃烧现象；</w:t>
            </w:r>
          </w:p>
          <w:p w14:paraId="3E66B32C">
            <w:pPr>
              <w:widowControl/>
              <w:jc w:val="left"/>
              <w:textAlignment w:val="center"/>
              <w:rPr>
                <w:rFonts w:ascii="宋体" w:hAnsi="宋体" w:cs="宋体"/>
                <w:sz w:val="24"/>
              </w:rPr>
            </w:pPr>
            <w:r>
              <w:rPr>
                <w:rFonts w:hint="eastAsia" w:ascii="宋体" w:hAnsi="宋体" w:cs="宋体"/>
                <w:sz w:val="24"/>
              </w:rPr>
              <w:t>8、耐磨性能（循环次数）：掌心面、背面1类、2类≥2000，3 类≥8000；</w:t>
            </w:r>
          </w:p>
          <w:p w14:paraId="6D1C842C">
            <w:pPr>
              <w:widowControl/>
              <w:jc w:val="left"/>
              <w:textAlignment w:val="center"/>
              <w:rPr>
                <w:rFonts w:ascii="宋体" w:hAnsi="宋体" w:cs="宋体"/>
                <w:sz w:val="24"/>
              </w:rPr>
            </w:pPr>
            <w:r>
              <w:rPr>
                <w:rFonts w:hint="eastAsia" w:ascii="宋体" w:hAnsi="宋体" w:cs="宋体"/>
                <w:sz w:val="24"/>
              </w:rPr>
              <w:t>9、割破力（N）：掌心面、背面1类、2类≥2.0，3 类≥4.0；</w:t>
            </w:r>
          </w:p>
          <w:p w14:paraId="078325B6">
            <w:pPr>
              <w:widowControl/>
              <w:jc w:val="left"/>
              <w:textAlignment w:val="center"/>
              <w:rPr>
                <w:rFonts w:ascii="宋体" w:hAnsi="宋体" w:cs="宋体"/>
                <w:sz w:val="24"/>
              </w:rPr>
            </w:pPr>
            <w:r>
              <w:rPr>
                <w:rFonts w:hint="eastAsia" w:ascii="宋体" w:hAnsi="宋体" w:cs="宋体"/>
                <w:sz w:val="24"/>
              </w:rPr>
              <w:t>10、撕破强力（N）：掌心面、背面1类、2类≥50，3 类≥100；</w:t>
            </w:r>
          </w:p>
          <w:p w14:paraId="1F462A09">
            <w:pPr>
              <w:widowControl/>
              <w:jc w:val="left"/>
              <w:textAlignment w:val="center"/>
              <w:rPr>
                <w:rFonts w:ascii="宋体" w:hAnsi="宋体" w:cs="宋体"/>
                <w:sz w:val="24"/>
              </w:rPr>
            </w:pPr>
            <w:r>
              <w:rPr>
                <w:rFonts w:hint="eastAsia" w:ascii="宋体" w:hAnsi="宋体" w:cs="宋体"/>
                <w:sz w:val="24"/>
              </w:rPr>
              <w:t>11、穿刺力（N）：掌心面、背面1类、2类≥60，3 类≥120；</w:t>
            </w:r>
          </w:p>
          <w:p w14:paraId="47B89262">
            <w:pPr>
              <w:widowControl/>
              <w:jc w:val="left"/>
              <w:textAlignment w:val="center"/>
              <w:rPr>
                <w:rFonts w:ascii="宋体" w:hAnsi="宋体" w:cs="宋体"/>
                <w:sz w:val="24"/>
              </w:rPr>
            </w:pPr>
            <w:r>
              <w:rPr>
                <w:rFonts w:hint="eastAsia" w:ascii="宋体" w:hAnsi="宋体" w:cs="宋体"/>
                <w:sz w:val="24"/>
              </w:rPr>
              <w:t>12、耐静水压性能：手套防水层和其线缝在静水压7kPa下试验5min后，不出现水滴；</w:t>
            </w:r>
          </w:p>
          <w:p w14:paraId="65CE0134">
            <w:pPr>
              <w:widowControl/>
              <w:jc w:val="left"/>
              <w:textAlignment w:val="center"/>
              <w:rPr>
                <w:rFonts w:ascii="宋体" w:hAnsi="宋体" w:cs="宋体"/>
                <w:sz w:val="24"/>
              </w:rPr>
            </w:pPr>
            <w:r>
              <w:rPr>
                <w:rFonts w:hint="eastAsia" w:ascii="宋体" w:hAnsi="宋体" w:cs="宋体"/>
                <w:sz w:val="24"/>
              </w:rPr>
              <w:t>13、灵巧性能(级)：≥1；</w:t>
            </w:r>
          </w:p>
          <w:p w14:paraId="5EBF1867">
            <w:pPr>
              <w:widowControl/>
              <w:jc w:val="left"/>
              <w:textAlignment w:val="center"/>
              <w:rPr>
                <w:rFonts w:ascii="宋体" w:hAnsi="宋体" w:cs="宋体"/>
                <w:sz w:val="24"/>
              </w:rPr>
            </w:pPr>
            <w:r>
              <w:rPr>
                <w:rFonts w:hint="eastAsia" w:ascii="宋体" w:hAnsi="宋体" w:cs="宋体"/>
                <w:sz w:val="24"/>
              </w:rPr>
              <w:t>14、握紧性能拉重比(%)：≥80；</w:t>
            </w:r>
          </w:p>
          <w:p w14:paraId="406FA019">
            <w:pPr>
              <w:widowControl/>
              <w:jc w:val="left"/>
              <w:textAlignment w:val="center"/>
              <w:rPr>
                <w:rFonts w:ascii="宋体" w:hAnsi="宋体" w:cs="宋体"/>
                <w:sz w:val="24"/>
              </w:rPr>
            </w:pPr>
            <w:r>
              <w:rPr>
                <w:rFonts w:hint="eastAsia" w:ascii="宋体" w:hAnsi="宋体" w:cs="宋体"/>
                <w:sz w:val="24"/>
              </w:rPr>
              <w:t>15、穿戴性能穿戴时间(s)：≤5；</w:t>
            </w:r>
          </w:p>
        </w:tc>
      </w:tr>
      <w:tr w14:paraId="071D1090">
        <w:tblPrEx>
          <w:tblCellMar>
            <w:top w:w="0" w:type="dxa"/>
            <w:left w:w="108" w:type="dxa"/>
            <w:bottom w:w="0" w:type="dxa"/>
            <w:right w:w="108" w:type="dxa"/>
          </w:tblCellMar>
        </w:tblPrEx>
        <w:trPr>
          <w:trHeight w:val="23" w:hRule="atLeast"/>
          <w:jc w:val="center"/>
        </w:trPr>
        <w:tc>
          <w:tcPr>
            <w:tcW w:w="791" w:type="dxa"/>
            <w:vMerge w:val="continue"/>
            <w:tcBorders>
              <w:left w:val="single" w:color="000000" w:sz="4" w:space="0"/>
              <w:right w:val="single" w:color="000000" w:sz="4" w:space="0"/>
            </w:tcBorders>
            <w:noWrap/>
            <w:vAlign w:val="center"/>
          </w:tcPr>
          <w:p w14:paraId="05129292">
            <w:pPr>
              <w:jc w:val="center"/>
              <w:rPr>
                <w:rFonts w:ascii="宋体" w:hAnsi="宋体" w:cs="宋体"/>
                <w:sz w:val="24"/>
              </w:rPr>
            </w:pP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497E6F66">
            <w:pPr>
              <w:widowControl/>
              <w:jc w:val="center"/>
              <w:textAlignment w:val="center"/>
              <w:rPr>
                <w:rFonts w:ascii="宋体" w:hAnsi="宋体" w:cs="宋体"/>
                <w:sz w:val="24"/>
              </w:rPr>
            </w:pPr>
            <w:r>
              <w:rPr>
                <w:rFonts w:hint="eastAsia" w:ascii="宋体" w:hAnsi="宋体" w:cs="宋体"/>
                <w:sz w:val="24"/>
              </w:rPr>
              <w:t>38</w:t>
            </w:r>
          </w:p>
        </w:tc>
        <w:tc>
          <w:tcPr>
            <w:tcW w:w="956" w:type="dxa"/>
            <w:gridSpan w:val="2"/>
            <w:tcBorders>
              <w:top w:val="single" w:color="000000" w:sz="4" w:space="0"/>
              <w:left w:val="single" w:color="000000" w:sz="4" w:space="0"/>
              <w:bottom w:val="single" w:color="000000" w:sz="4" w:space="0"/>
              <w:right w:val="single" w:color="000000" w:sz="4" w:space="0"/>
            </w:tcBorders>
            <w:noWrap/>
            <w:vAlign w:val="center"/>
          </w:tcPr>
          <w:p w14:paraId="0532ABAD">
            <w:pPr>
              <w:widowControl/>
              <w:jc w:val="center"/>
              <w:textAlignment w:val="center"/>
              <w:rPr>
                <w:rFonts w:ascii="宋体" w:hAnsi="宋体" w:cs="宋体"/>
                <w:sz w:val="24"/>
              </w:rPr>
            </w:pPr>
            <w:r>
              <w:rPr>
                <w:rFonts w:hint="eastAsia" w:ascii="宋体" w:hAnsi="宋体" w:cs="宋体"/>
                <w:sz w:val="24"/>
              </w:rPr>
              <w:t>消防安全腰带</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2431AFDB">
            <w:pPr>
              <w:widowControl/>
              <w:jc w:val="center"/>
              <w:textAlignment w:val="center"/>
              <w:rPr>
                <w:rFonts w:ascii="宋体" w:hAnsi="宋体" w:cs="宋体"/>
                <w:sz w:val="24"/>
              </w:rPr>
            </w:pPr>
            <w:r>
              <w:rPr>
                <w:rFonts w:hint="eastAsia" w:ascii="宋体" w:hAnsi="宋体" w:cs="宋体"/>
                <w:sz w:val="24"/>
              </w:rPr>
              <w:t>29</w:t>
            </w:r>
          </w:p>
        </w:tc>
        <w:tc>
          <w:tcPr>
            <w:tcW w:w="6839" w:type="dxa"/>
            <w:tcBorders>
              <w:top w:val="single" w:color="000000" w:sz="4" w:space="0"/>
              <w:left w:val="single" w:color="000000" w:sz="4" w:space="0"/>
              <w:bottom w:val="single" w:color="000000" w:sz="4" w:space="0"/>
              <w:right w:val="single" w:color="000000" w:sz="4" w:space="0"/>
            </w:tcBorders>
            <w:noWrap/>
            <w:vAlign w:val="center"/>
          </w:tcPr>
          <w:p w14:paraId="468C8D06">
            <w:pPr>
              <w:widowControl/>
              <w:jc w:val="left"/>
              <w:textAlignment w:val="center"/>
              <w:rPr>
                <w:rFonts w:ascii="宋体" w:hAnsi="宋体" w:cs="宋体"/>
                <w:sz w:val="24"/>
              </w:rPr>
            </w:pPr>
            <w:r>
              <w:rPr>
                <w:rFonts w:hint="eastAsia" w:ascii="宋体" w:hAnsi="宋体" w:cs="宋体"/>
                <w:sz w:val="24"/>
              </w:rPr>
              <w:t>1.符合国家GA494-2004《消防用防坠落装备》标准要求，提供国家认可的第三方检验检测机构出具的检测报告复印件，报告应具有CMA和CNAS认证标志。</w:t>
            </w:r>
          </w:p>
          <w:p w14:paraId="1EA0171A">
            <w:pPr>
              <w:widowControl/>
              <w:jc w:val="left"/>
              <w:textAlignment w:val="center"/>
              <w:rPr>
                <w:rFonts w:ascii="宋体" w:hAnsi="宋体" w:cs="宋体"/>
                <w:sz w:val="24"/>
              </w:rPr>
            </w:pPr>
            <w:r>
              <w:rPr>
                <w:rFonts w:hint="eastAsia" w:ascii="宋体" w:hAnsi="宋体" w:cs="宋体"/>
                <w:sz w:val="24"/>
              </w:rPr>
              <w:t>2.腰带由织带、2个D型环、双排插杆外带扣、带双排插孔的带尾等组成。织带由高强聚酰胺纤维制成，金属拉环材质为铝合金7075。</w:t>
            </w:r>
          </w:p>
          <w:p w14:paraId="7517D2B5">
            <w:pPr>
              <w:widowControl/>
              <w:jc w:val="left"/>
              <w:textAlignment w:val="center"/>
              <w:rPr>
                <w:rFonts w:ascii="宋体" w:hAnsi="宋体" w:cs="宋体"/>
                <w:sz w:val="24"/>
              </w:rPr>
            </w:pPr>
            <w:r>
              <w:rPr>
                <w:rFonts w:hint="eastAsia" w:ascii="宋体" w:hAnsi="宋体" w:cs="宋体"/>
                <w:sz w:val="24"/>
              </w:rPr>
              <w:t>3.外观：产品织带为一整根，没有接缝。拉环无焊接，拉环与带扣无棱角、毛刺。</w:t>
            </w:r>
          </w:p>
          <w:p w14:paraId="79F403CE">
            <w:pPr>
              <w:widowControl/>
              <w:jc w:val="left"/>
              <w:textAlignment w:val="center"/>
              <w:rPr>
                <w:rFonts w:ascii="宋体" w:hAnsi="宋体" w:cs="宋体"/>
                <w:sz w:val="24"/>
              </w:rPr>
            </w:pPr>
            <w:r>
              <w:rPr>
                <w:rFonts w:hint="eastAsia" w:ascii="宋体" w:hAnsi="宋体" w:cs="宋体"/>
                <w:sz w:val="24"/>
              </w:rPr>
              <w:t>4.带宽70±1mm，织带厚度3±0.3mm，拉环厚度9±0.2mm，正立方向静拉力≥13 KN。</w:t>
            </w:r>
          </w:p>
        </w:tc>
      </w:tr>
      <w:tr w14:paraId="7F2E9EE3">
        <w:tblPrEx>
          <w:tblCellMar>
            <w:top w:w="0" w:type="dxa"/>
            <w:left w:w="108" w:type="dxa"/>
            <w:bottom w:w="0" w:type="dxa"/>
            <w:right w:w="108" w:type="dxa"/>
          </w:tblCellMar>
        </w:tblPrEx>
        <w:trPr>
          <w:trHeight w:val="23" w:hRule="atLeast"/>
          <w:jc w:val="center"/>
        </w:trPr>
        <w:tc>
          <w:tcPr>
            <w:tcW w:w="791" w:type="dxa"/>
            <w:vMerge w:val="continue"/>
            <w:tcBorders>
              <w:left w:val="single" w:color="000000" w:sz="4" w:space="0"/>
              <w:right w:val="single" w:color="000000" w:sz="4" w:space="0"/>
            </w:tcBorders>
            <w:noWrap/>
            <w:vAlign w:val="center"/>
          </w:tcPr>
          <w:p w14:paraId="4EC0BC89">
            <w:pPr>
              <w:jc w:val="center"/>
              <w:rPr>
                <w:rFonts w:ascii="宋体" w:hAnsi="宋体" w:cs="宋体"/>
                <w:sz w:val="24"/>
              </w:rPr>
            </w:pP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4B4F5D1C">
            <w:pPr>
              <w:widowControl/>
              <w:jc w:val="center"/>
              <w:textAlignment w:val="center"/>
              <w:rPr>
                <w:rFonts w:ascii="宋体" w:hAnsi="宋体" w:cs="宋体"/>
                <w:sz w:val="24"/>
              </w:rPr>
            </w:pPr>
            <w:r>
              <w:rPr>
                <w:rFonts w:hint="eastAsia" w:ascii="宋体" w:hAnsi="宋体" w:cs="宋体"/>
                <w:sz w:val="24"/>
              </w:rPr>
              <w:t>39</w:t>
            </w:r>
          </w:p>
        </w:tc>
        <w:tc>
          <w:tcPr>
            <w:tcW w:w="956" w:type="dxa"/>
            <w:gridSpan w:val="2"/>
            <w:tcBorders>
              <w:top w:val="single" w:color="000000" w:sz="4" w:space="0"/>
              <w:left w:val="single" w:color="000000" w:sz="4" w:space="0"/>
              <w:bottom w:val="single" w:color="000000" w:sz="4" w:space="0"/>
              <w:right w:val="single" w:color="000000" w:sz="4" w:space="0"/>
            </w:tcBorders>
            <w:noWrap/>
            <w:vAlign w:val="center"/>
          </w:tcPr>
          <w:p w14:paraId="09098612">
            <w:pPr>
              <w:widowControl/>
              <w:jc w:val="center"/>
              <w:textAlignment w:val="center"/>
              <w:rPr>
                <w:rFonts w:ascii="宋体" w:hAnsi="宋体" w:cs="宋体"/>
                <w:sz w:val="24"/>
              </w:rPr>
            </w:pPr>
            <w:r>
              <w:rPr>
                <w:rFonts w:hint="eastAsia" w:ascii="宋体" w:hAnsi="宋体" w:cs="宋体"/>
                <w:sz w:val="24"/>
              </w:rPr>
              <w:t>消防员灭火防护靴</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72CDFF62">
            <w:pPr>
              <w:widowControl/>
              <w:jc w:val="center"/>
              <w:textAlignment w:val="center"/>
              <w:rPr>
                <w:rFonts w:ascii="宋体" w:hAnsi="宋体" w:cs="宋体"/>
                <w:sz w:val="24"/>
              </w:rPr>
            </w:pPr>
            <w:r>
              <w:rPr>
                <w:rFonts w:hint="eastAsia" w:ascii="宋体" w:hAnsi="宋体" w:cs="宋体"/>
                <w:sz w:val="24"/>
              </w:rPr>
              <w:t>41</w:t>
            </w:r>
          </w:p>
        </w:tc>
        <w:tc>
          <w:tcPr>
            <w:tcW w:w="6839" w:type="dxa"/>
            <w:tcBorders>
              <w:top w:val="single" w:color="000000" w:sz="4" w:space="0"/>
              <w:left w:val="single" w:color="000000" w:sz="4" w:space="0"/>
              <w:bottom w:val="single" w:color="000000" w:sz="4" w:space="0"/>
              <w:right w:val="single" w:color="000000" w:sz="4" w:space="0"/>
            </w:tcBorders>
            <w:noWrap/>
            <w:vAlign w:val="center"/>
          </w:tcPr>
          <w:p w14:paraId="61459D13">
            <w:pPr>
              <w:widowControl/>
              <w:jc w:val="left"/>
              <w:textAlignment w:val="center"/>
              <w:rPr>
                <w:rFonts w:ascii="宋体" w:hAnsi="宋体" w:cs="宋体"/>
                <w:sz w:val="24"/>
              </w:rPr>
            </w:pPr>
            <w:r>
              <w:rPr>
                <w:rFonts w:hint="eastAsia" w:ascii="宋体" w:hAnsi="宋体" w:cs="宋体"/>
                <w:sz w:val="24"/>
              </w:rPr>
              <w:t>1、符合XF6-2004《消防员灭火防护靴》标准。</w:t>
            </w:r>
          </w:p>
          <w:p w14:paraId="4A00FA23">
            <w:pPr>
              <w:widowControl/>
              <w:jc w:val="left"/>
              <w:textAlignment w:val="center"/>
              <w:rPr>
                <w:rFonts w:ascii="宋体" w:hAnsi="宋体" w:cs="宋体"/>
                <w:sz w:val="24"/>
              </w:rPr>
            </w:pPr>
            <w:r>
              <w:rPr>
                <w:rFonts w:hint="eastAsia" w:ascii="宋体" w:hAnsi="宋体" w:cs="宋体"/>
                <w:sz w:val="24"/>
              </w:rPr>
              <w:t>（二）结构要求</w:t>
            </w:r>
          </w:p>
          <w:p w14:paraId="46D42028">
            <w:pPr>
              <w:widowControl/>
              <w:jc w:val="left"/>
              <w:textAlignment w:val="center"/>
              <w:rPr>
                <w:rFonts w:ascii="宋体" w:hAnsi="宋体" w:cs="宋体"/>
                <w:sz w:val="24"/>
              </w:rPr>
            </w:pPr>
            <w:r>
              <w:rPr>
                <w:rFonts w:hint="eastAsia" w:ascii="宋体" w:hAnsi="宋体" w:cs="宋体"/>
                <w:sz w:val="24"/>
              </w:rPr>
              <w:t>1、整体结构。靴帮由外到里分为帮面、防切割层和隔热舒适层三层结构，隔热舒适层无突出针脚、尖角边，靴口柔软，穿着舒适。靴底由上到下分为隔热舒适层、防穿刺层和靴大底三层结构。靴头部位设有保护包头。内衬具有保暖衬里。</w:t>
            </w:r>
          </w:p>
          <w:p w14:paraId="63528255">
            <w:pPr>
              <w:widowControl/>
              <w:jc w:val="left"/>
              <w:textAlignment w:val="center"/>
              <w:rPr>
                <w:rFonts w:ascii="宋体" w:hAnsi="宋体" w:cs="宋体"/>
                <w:sz w:val="24"/>
              </w:rPr>
            </w:pPr>
            <w:r>
              <w:rPr>
                <w:rFonts w:hint="eastAsia" w:ascii="宋体" w:hAnsi="宋体" w:cs="宋体"/>
                <w:sz w:val="24"/>
              </w:rPr>
              <w:t>2、从靴内跟底部至靴帮后部筒口最低处的高度为(300mm±5mm)；靴筒口采用倾斜式设计，由前往后向下倾斜，前后高差(20mm±2mm)；靴帮上设有胫骨、踝骨和跖骨保护层，靴后跟部设有反光标识，筒口和靴底各设围条。</w:t>
            </w:r>
          </w:p>
          <w:p w14:paraId="7E28C992">
            <w:pPr>
              <w:widowControl/>
              <w:jc w:val="left"/>
              <w:textAlignment w:val="center"/>
              <w:rPr>
                <w:rFonts w:ascii="宋体" w:hAnsi="宋体" w:cs="宋体"/>
                <w:sz w:val="24"/>
              </w:rPr>
            </w:pPr>
            <w:r>
              <w:rPr>
                <w:rFonts w:hint="eastAsia" w:ascii="宋体" w:hAnsi="宋体" w:cs="宋体"/>
                <w:sz w:val="24"/>
              </w:rPr>
              <w:t>3、靴帮采用筒面和外头皮拼接结构，材质为耐高温阻燃耐酸碱橡胶。</w:t>
            </w:r>
          </w:p>
          <w:p w14:paraId="3ED28E99">
            <w:pPr>
              <w:widowControl/>
              <w:jc w:val="left"/>
              <w:textAlignment w:val="center"/>
              <w:rPr>
                <w:rFonts w:ascii="宋体" w:hAnsi="宋体" w:cs="宋体"/>
                <w:sz w:val="24"/>
              </w:rPr>
            </w:pPr>
            <w:r>
              <w:rPr>
                <w:rFonts w:hint="eastAsia" w:ascii="宋体" w:hAnsi="宋体" w:cs="宋体"/>
                <w:sz w:val="24"/>
              </w:rPr>
              <w:t>4、靴帮防切割层采用经2纬3棉帆布，经2用21S双股标准全棉，纬3用7S单股标准全棉（相同或优于的性能材料）</w:t>
            </w:r>
          </w:p>
          <w:p w14:paraId="0AA7381B">
            <w:pPr>
              <w:widowControl/>
              <w:jc w:val="left"/>
              <w:textAlignment w:val="center"/>
              <w:rPr>
                <w:rFonts w:ascii="宋体" w:hAnsi="宋体" w:cs="宋体"/>
                <w:sz w:val="24"/>
              </w:rPr>
            </w:pPr>
            <w:r>
              <w:rPr>
                <w:rFonts w:hint="eastAsia" w:ascii="宋体" w:hAnsi="宋体" w:cs="宋体"/>
                <w:sz w:val="24"/>
              </w:rPr>
              <w:t>5、靴帮和靴底隔热舒适层（俗称靴内衬）采用棉布和氯丁橡胶发泡海绵复合面料（相同或优于的性能材料）。</w:t>
            </w:r>
          </w:p>
          <w:p w14:paraId="20795194">
            <w:pPr>
              <w:widowControl/>
              <w:jc w:val="left"/>
              <w:textAlignment w:val="center"/>
              <w:rPr>
                <w:rFonts w:ascii="宋体" w:hAnsi="宋体" w:cs="宋体"/>
                <w:sz w:val="24"/>
              </w:rPr>
            </w:pPr>
            <w:r>
              <w:rPr>
                <w:rFonts w:hint="eastAsia" w:ascii="宋体" w:hAnsi="宋体" w:cs="宋体"/>
                <w:sz w:val="24"/>
              </w:rPr>
              <w:t>6、靴底防穿刺层采用抗穿刺材料。</w:t>
            </w:r>
          </w:p>
          <w:p w14:paraId="0360976F">
            <w:pPr>
              <w:widowControl/>
              <w:jc w:val="left"/>
              <w:textAlignment w:val="center"/>
              <w:rPr>
                <w:rFonts w:ascii="宋体" w:hAnsi="宋体" w:cs="宋体"/>
                <w:sz w:val="24"/>
              </w:rPr>
            </w:pPr>
            <w:r>
              <w:rPr>
                <w:rFonts w:hint="eastAsia" w:ascii="宋体" w:hAnsi="宋体" w:cs="宋体"/>
                <w:sz w:val="24"/>
              </w:rPr>
              <w:t>7、靴大底采用耐高温、阻燃、耐酸碱、耐磨防滑橡胶，啮合止滑纹路设计，提高防滑性能。</w:t>
            </w:r>
          </w:p>
          <w:p w14:paraId="5DAD4000">
            <w:pPr>
              <w:widowControl/>
              <w:jc w:val="left"/>
              <w:textAlignment w:val="center"/>
              <w:rPr>
                <w:rFonts w:ascii="宋体" w:hAnsi="宋体" w:cs="宋体"/>
                <w:sz w:val="24"/>
              </w:rPr>
            </w:pPr>
            <w:r>
              <w:rPr>
                <w:rFonts w:hint="eastAsia" w:ascii="宋体" w:hAnsi="宋体" w:cs="宋体"/>
                <w:sz w:val="24"/>
              </w:rPr>
              <w:t>8、鞋垫符合人体工学设计，具有减震缓冲排汗抗菌功能，舒适性好，不磨脚。</w:t>
            </w:r>
          </w:p>
          <w:p w14:paraId="64C51D27">
            <w:pPr>
              <w:widowControl/>
              <w:jc w:val="left"/>
              <w:textAlignment w:val="center"/>
              <w:rPr>
                <w:rFonts w:ascii="宋体" w:hAnsi="宋体" w:cs="宋体"/>
                <w:sz w:val="24"/>
              </w:rPr>
            </w:pPr>
            <w:r>
              <w:rPr>
                <w:rFonts w:hint="eastAsia" w:ascii="宋体" w:hAnsi="宋体" w:cs="宋体"/>
                <w:sz w:val="24"/>
              </w:rPr>
              <w:t>9、保护包头采用轻质铝合金或非金属复合材料。</w:t>
            </w:r>
          </w:p>
          <w:p w14:paraId="4A62BAF3">
            <w:pPr>
              <w:widowControl/>
              <w:jc w:val="left"/>
              <w:textAlignment w:val="center"/>
              <w:rPr>
                <w:rFonts w:ascii="宋体" w:hAnsi="宋体" w:cs="宋体"/>
                <w:sz w:val="24"/>
              </w:rPr>
            </w:pPr>
            <w:r>
              <w:rPr>
                <w:rFonts w:hint="eastAsia" w:ascii="宋体" w:hAnsi="宋体" w:cs="宋体"/>
                <w:sz w:val="24"/>
              </w:rPr>
              <w:t>10、反光标识。靴后跟设有在耐高温、阻燃、耐酸碱橡胶块上，复合的银色三角形阻燃反光标志带。</w:t>
            </w:r>
          </w:p>
          <w:p w14:paraId="6325465E">
            <w:pPr>
              <w:widowControl/>
              <w:jc w:val="left"/>
              <w:textAlignment w:val="center"/>
              <w:rPr>
                <w:rFonts w:ascii="宋体" w:hAnsi="宋体" w:cs="宋体"/>
                <w:sz w:val="24"/>
              </w:rPr>
            </w:pPr>
            <w:r>
              <w:rPr>
                <w:rFonts w:hint="eastAsia" w:ascii="宋体" w:hAnsi="宋体" w:cs="宋体"/>
                <w:sz w:val="24"/>
              </w:rPr>
              <w:t>11、鞋跟跟腱处设计弧度，使灭火救援靴在行走过程中更加贴合。</w:t>
            </w:r>
          </w:p>
          <w:p w14:paraId="2C8C6AA0">
            <w:pPr>
              <w:widowControl/>
              <w:jc w:val="left"/>
              <w:textAlignment w:val="center"/>
              <w:rPr>
                <w:rFonts w:ascii="宋体" w:hAnsi="宋体" w:cs="宋体"/>
                <w:sz w:val="24"/>
              </w:rPr>
            </w:pPr>
            <w:r>
              <w:rPr>
                <w:rFonts w:hint="eastAsia" w:ascii="宋体" w:hAnsi="宋体" w:cs="宋体"/>
                <w:sz w:val="24"/>
              </w:rPr>
              <w:t>12、主体颜色为黑色和黄色，黑色潘通色号为PANTONE</w:t>
            </w:r>
          </w:p>
          <w:p w14:paraId="20302EF5">
            <w:pPr>
              <w:widowControl/>
              <w:jc w:val="left"/>
              <w:textAlignment w:val="center"/>
              <w:rPr>
                <w:rFonts w:ascii="宋体" w:hAnsi="宋体" w:cs="宋体"/>
                <w:sz w:val="24"/>
              </w:rPr>
            </w:pPr>
            <w:r>
              <w:rPr>
                <w:rFonts w:hint="eastAsia" w:ascii="宋体" w:hAnsi="宋体" w:cs="宋体"/>
                <w:sz w:val="24"/>
              </w:rPr>
              <w:t>Black 6C，黄色潘通色号为PANTONE 7408C，靴跟银色反光标识潘通色号为PANTONE Cool Gray 8C。色差≥3级。</w:t>
            </w:r>
          </w:p>
          <w:p w14:paraId="5DEF48FD">
            <w:pPr>
              <w:widowControl/>
              <w:jc w:val="left"/>
              <w:textAlignment w:val="center"/>
              <w:rPr>
                <w:rFonts w:ascii="宋体" w:hAnsi="宋体" w:cs="宋体"/>
                <w:sz w:val="24"/>
              </w:rPr>
            </w:pPr>
            <w:r>
              <w:rPr>
                <w:rFonts w:hint="eastAsia" w:ascii="宋体" w:hAnsi="宋体" w:cs="宋体"/>
                <w:sz w:val="24"/>
              </w:rPr>
              <w:t>13、鞋帮上方无拎靴用挂耳。</w:t>
            </w:r>
          </w:p>
          <w:p w14:paraId="75C2ACDC">
            <w:pPr>
              <w:widowControl/>
              <w:jc w:val="left"/>
              <w:textAlignment w:val="center"/>
              <w:rPr>
                <w:rFonts w:ascii="宋体" w:hAnsi="宋体" w:cs="宋体"/>
                <w:sz w:val="24"/>
              </w:rPr>
            </w:pPr>
            <w:r>
              <w:rPr>
                <w:rFonts w:hint="eastAsia" w:ascii="宋体" w:hAnsi="宋体" w:cs="宋体"/>
                <w:sz w:val="24"/>
              </w:rPr>
              <w:t>14、鞋帮口径大于同规格夏季靴尺寸。</w:t>
            </w:r>
          </w:p>
          <w:p w14:paraId="6B0D4138">
            <w:pPr>
              <w:widowControl/>
              <w:jc w:val="left"/>
              <w:textAlignment w:val="center"/>
              <w:rPr>
                <w:rFonts w:ascii="宋体" w:hAnsi="宋体" w:cs="宋体"/>
                <w:sz w:val="24"/>
              </w:rPr>
            </w:pPr>
            <w:r>
              <w:rPr>
                <w:rFonts w:hint="eastAsia" w:ascii="宋体" w:hAnsi="宋体" w:cs="宋体"/>
                <w:sz w:val="24"/>
              </w:rPr>
              <w:t>（三）用途</w:t>
            </w:r>
          </w:p>
          <w:p w14:paraId="2766000F">
            <w:pPr>
              <w:widowControl/>
              <w:jc w:val="left"/>
              <w:textAlignment w:val="center"/>
              <w:rPr>
                <w:rFonts w:ascii="宋体" w:hAnsi="宋体" w:cs="宋体"/>
                <w:sz w:val="24"/>
              </w:rPr>
            </w:pPr>
            <w:r>
              <w:rPr>
                <w:rFonts w:hint="eastAsia" w:ascii="宋体" w:hAnsi="宋体" w:cs="宋体"/>
                <w:sz w:val="24"/>
              </w:rPr>
              <w:t>消防员灭防护靴用于保护消防员脚趾和下肢的安全,具有防水性、防刺、防砸、防化学药品及电绝缘等性能。</w:t>
            </w:r>
          </w:p>
          <w:p w14:paraId="4450F698">
            <w:pPr>
              <w:widowControl/>
              <w:jc w:val="left"/>
              <w:textAlignment w:val="center"/>
              <w:rPr>
                <w:rFonts w:ascii="宋体" w:hAnsi="宋体" w:cs="宋体"/>
                <w:sz w:val="24"/>
              </w:rPr>
            </w:pPr>
            <w:r>
              <w:rPr>
                <w:rFonts w:hint="eastAsia" w:ascii="宋体" w:hAnsi="宋体" w:cs="宋体"/>
                <w:sz w:val="24"/>
              </w:rPr>
              <w:t>（四）性能要求（符合相应国标或行标的检验规则）</w:t>
            </w:r>
          </w:p>
          <w:p w14:paraId="68D81634">
            <w:pPr>
              <w:widowControl/>
              <w:jc w:val="left"/>
              <w:textAlignment w:val="center"/>
              <w:rPr>
                <w:rFonts w:ascii="宋体" w:hAnsi="宋体" w:cs="宋体"/>
                <w:sz w:val="24"/>
              </w:rPr>
            </w:pPr>
            <w:r>
              <w:rPr>
                <w:rFonts w:hint="eastAsia" w:ascii="宋体" w:hAnsi="宋体" w:cs="宋体"/>
                <w:sz w:val="24"/>
              </w:rPr>
              <w:t>4.1质量：26码样靴为样总重量≤2.5kg</w:t>
            </w:r>
          </w:p>
          <w:p w14:paraId="01117038">
            <w:pPr>
              <w:widowControl/>
              <w:jc w:val="left"/>
              <w:textAlignment w:val="center"/>
              <w:rPr>
                <w:rFonts w:ascii="宋体" w:hAnsi="宋体" w:cs="宋体"/>
                <w:sz w:val="24"/>
              </w:rPr>
            </w:pPr>
            <w:r>
              <w:rPr>
                <w:rFonts w:hint="eastAsia" w:ascii="宋体" w:hAnsi="宋体" w:cs="宋体"/>
                <w:sz w:val="24"/>
              </w:rPr>
              <w:t>4.2整靴防水性能：灭火防护靴置于容器内后注水，水面距靴筒口最低点的距离≤（25±3）mm，经4h后，不应有水渗透现象。</w:t>
            </w:r>
          </w:p>
          <w:p w14:paraId="5270ACD8">
            <w:pPr>
              <w:widowControl/>
              <w:jc w:val="left"/>
              <w:textAlignment w:val="center"/>
              <w:rPr>
                <w:rFonts w:ascii="宋体" w:hAnsi="宋体" w:cs="宋体"/>
                <w:sz w:val="24"/>
              </w:rPr>
            </w:pPr>
            <w:r>
              <w:rPr>
                <w:rFonts w:hint="eastAsia" w:ascii="宋体" w:hAnsi="宋体" w:cs="宋体"/>
                <w:sz w:val="24"/>
              </w:rPr>
              <w:t>4.3耐油性能：-2~10%。</w:t>
            </w:r>
          </w:p>
          <w:p w14:paraId="2B1DF043">
            <w:pPr>
              <w:widowControl/>
              <w:jc w:val="left"/>
              <w:textAlignment w:val="center"/>
              <w:rPr>
                <w:rFonts w:ascii="宋体" w:hAnsi="宋体" w:cs="宋体"/>
                <w:sz w:val="24"/>
              </w:rPr>
            </w:pPr>
            <w:r>
              <w:rPr>
                <w:rFonts w:hint="eastAsia" w:ascii="宋体" w:hAnsi="宋体" w:cs="宋体"/>
                <w:sz w:val="24"/>
              </w:rPr>
              <w:t>4.4.防砸性能（mm）：静压力≥25MM，冲击≥24MM。</w:t>
            </w:r>
          </w:p>
          <w:p w14:paraId="5B7BF8B3">
            <w:pPr>
              <w:widowControl/>
              <w:jc w:val="left"/>
              <w:textAlignment w:val="center"/>
              <w:rPr>
                <w:rFonts w:ascii="宋体" w:hAnsi="宋体" w:cs="宋体"/>
                <w:sz w:val="24"/>
              </w:rPr>
            </w:pPr>
            <w:r>
              <w:rPr>
                <w:rFonts w:hint="eastAsia" w:ascii="宋体" w:hAnsi="宋体" w:cs="宋体"/>
                <w:sz w:val="24"/>
              </w:rPr>
              <w:t>4.5.抗刺穿性能（N）≥2100N</w:t>
            </w:r>
          </w:p>
          <w:p w14:paraId="59B11992">
            <w:pPr>
              <w:widowControl/>
              <w:jc w:val="left"/>
              <w:textAlignment w:val="center"/>
              <w:rPr>
                <w:rFonts w:ascii="宋体" w:hAnsi="宋体" w:cs="宋体"/>
                <w:sz w:val="24"/>
              </w:rPr>
            </w:pPr>
            <w:r>
              <w:rPr>
                <w:rFonts w:hint="eastAsia" w:ascii="宋体" w:hAnsi="宋体" w:cs="宋体"/>
                <w:sz w:val="24"/>
              </w:rPr>
              <w:t>4.6.电绝缘性能：击穿电压≥5000V，泄露电流≤0.21mA</w:t>
            </w:r>
          </w:p>
          <w:p w14:paraId="20124B48">
            <w:pPr>
              <w:widowControl/>
              <w:jc w:val="left"/>
              <w:textAlignment w:val="center"/>
              <w:rPr>
                <w:rFonts w:ascii="宋体" w:hAnsi="宋体" w:cs="宋体"/>
                <w:sz w:val="24"/>
              </w:rPr>
            </w:pPr>
            <w:r>
              <w:rPr>
                <w:rFonts w:hint="eastAsia" w:ascii="宋体" w:hAnsi="宋体" w:cs="宋体"/>
                <w:sz w:val="24"/>
              </w:rPr>
              <w:t>4.7.隔热性能≤9.6℃</w:t>
            </w:r>
          </w:p>
          <w:p w14:paraId="01A03889">
            <w:pPr>
              <w:widowControl/>
              <w:jc w:val="left"/>
              <w:textAlignment w:val="center"/>
              <w:rPr>
                <w:rFonts w:ascii="宋体" w:hAnsi="宋体" w:cs="宋体"/>
                <w:sz w:val="24"/>
              </w:rPr>
            </w:pPr>
            <w:r>
              <w:rPr>
                <w:rFonts w:hint="eastAsia" w:ascii="宋体" w:hAnsi="宋体" w:cs="宋体"/>
                <w:sz w:val="24"/>
              </w:rPr>
              <w:t>4.8.抗辐射热渗透性能≤8.5℃</w:t>
            </w:r>
          </w:p>
          <w:p w14:paraId="11B20F57">
            <w:pPr>
              <w:widowControl/>
              <w:jc w:val="left"/>
              <w:textAlignment w:val="center"/>
              <w:rPr>
                <w:rFonts w:ascii="宋体" w:hAnsi="宋体" w:cs="宋体"/>
                <w:sz w:val="24"/>
              </w:rPr>
            </w:pPr>
            <w:r>
              <w:rPr>
                <w:rFonts w:hint="eastAsia" w:ascii="宋体" w:hAnsi="宋体" w:cs="宋体"/>
                <w:sz w:val="24"/>
              </w:rPr>
              <w:t>4.9.防滑性能≥15°</w:t>
            </w:r>
          </w:p>
        </w:tc>
      </w:tr>
      <w:tr w14:paraId="7D047968">
        <w:tblPrEx>
          <w:tblCellMar>
            <w:top w:w="0" w:type="dxa"/>
            <w:left w:w="108" w:type="dxa"/>
            <w:bottom w:w="0" w:type="dxa"/>
            <w:right w:w="108" w:type="dxa"/>
          </w:tblCellMar>
        </w:tblPrEx>
        <w:trPr>
          <w:trHeight w:val="23" w:hRule="atLeast"/>
          <w:jc w:val="center"/>
        </w:trPr>
        <w:tc>
          <w:tcPr>
            <w:tcW w:w="791" w:type="dxa"/>
            <w:vMerge w:val="continue"/>
            <w:tcBorders>
              <w:left w:val="single" w:color="000000" w:sz="4" w:space="0"/>
              <w:right w:val="single" w:color="000000" w:sz="4" w:space="0"/>
            </w:tcBorders>
            <w:noWrap/>
            <w:vAlign w:val="center"/>
          </w:tcPr>
          <w:p w14:paraId="2E1A0506">
            <w:pPr>
              <w:jc w:val="center"/>
              <w:rPr>
                <w:rFonts w:ascii="宋体" w:hAnsi="宋体" w:cs="宋体"/>
                <w:sz w:val="24"/>
              </w:rPr>
            </w:pP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71CEBC41">
            <w:pPr>
              <w:widowControl/>
              <w:jc w:val="center"/>
              <w:textAlignment w:val="center"/>
              <w:rPr>
                <w:rFonts w:ascii="宋体" w:hAnsi="宋体" w:cs="宋体"/>
                <w:sz w:val="24"/>
              </w:rPr>
            </w:pPr>
            <w:r>
              <w:rPr>
                <w:rFonts w:hint="eastAsia" w:ascii="宋体" w:hAnsi="宋体" w:cs="宋体"/>
                <w:sz w:val="24"/>
              </w:rPr>
              <w:t>40</w:t>
            </w:r>
          </w:p>
        </w:tc>
        <w:tc>
          <w:tcPr>
            <w:tcW w:w="956" w:type="dxa"/>
            <w:gridSpan w:val="2"/>
            <w:tcBorders>
              <w:top w:val="single" w:color="000000" w:sz="4" w:space="0"/>
              <w:left w:val="single" w:color="000000" w:sz="4" w:space="0"/>
              <w:bottom w:val="single" w:color="000000" w:sz="4" w:space="0"/>
              <w:right w:val="single" w:color="000000" w:sz="4" w:space="0"/>
            </w:tcBorders>
            <w:noWrap/>
            <w:vAlign w:val="center"/>
          </w:tcPr>
          <w:p w14:paraId="25411C9B">
            <w:pPr>
              <w:widowControl/>
              <w:jc w:val="center"/>
              <w:textAlignment w:val="center"/>
              <w:rPr>
                <w:rFonts w:ascii="宋体" w:hAnsi="宋体" w:cs="宋体"/>
                <w:sz w:val="24"/>
              </w:rPr>
            </w:pPr>
            <w:r>
              <w:rPr>
                <w:rFonts w:hint="eastAsia" w:ascii="宋体" w:hAnsi="宋体" w:cs="宋体"/>
                <w:sz w:val="24"/>
              </w:rPr>
              <w:t>消防通用安全绳</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543E1ABF">
            <w:pPr>
              <w:widowControl/>
              <w:jc w:val="center"/>
              <w:textAlignment w:val="center"/>
              <w:rPr>
                <w:rFonts w:ascii="宋体" w:hAnsi="宋体" w:cs="宋体"/>
                <w:sz w:val="24"/>
              </w:rPr>
            </w:pPr>
            <w:r>
              <w:rPr>
                <w:rFonts w:hint="eastAsia" w:ascii="宋体" w:hAnsi="宋体" w:cs="宋体"/>
                <w:sz w:val="24"/>
              </w:rPr>
              <w:t>21</w:t>
            </w:r>
          </w:p>
        </w:tc>
        <w:tc>
          <w:tcPr>
            <w:tcW w:w="6839" w:type="dxa"/>
            <w:tcBorders>
              <w:top w:val="single" w:color="000000" w:sz="4" w:space="0"/>
              <w:left w:val="single" w:color="000000" w:sz="4" w:space="0"/>
              <w:bottom w:val="single" w:color="000000" w:sz="4" w:space="0"/>
              <w:right w:val="single" w:color="000000" w:sz="4" w:space="0"/>
            </w:tcBorders>
            <w:noWrap/>
            <w:vAlign w:val="center"/>
          </w:tcPr>
          <w:p w14:paraId="6FB7DFBD">
            <w:pPr>
              <w:widowControl/>
              <w:jc w:val="left"/>
              <w:textAlignment w:val="center"/>
              <w:rPr>
                <w:rFonts w:ascii="宋体" w:hAnsi="宋体" w:cs="宋体"/>
                <w:sz w:val="24"/>
              </w:rPr>
            </w:pPr>
            <w:r>
              <w:rPr>
                <w:rFonts w:hint="eastAsia" w:ascii="宋体" w:hAnsi="宋体" w:cs="宋体"/>
                <w:sz w:val="24"/>
              </w:rPr>
              <w:t>1、技术标准：符合XF494-2023《消防用防坠落装备》标准。提供国家消防装备质量检验检测中心出具的检测报告。</w:t>
            </w:r>
          </w:p>
          <w:p w14:paraId="4D5D0A33">
            <w:pPr>
              <w:widowControl/>
              <w:jc w:val="left"/>
              <w:textAlignment w:val="center"/>
              <w:rPr>
                <w:rFonts w:ascii="宋体" w:hAnsi="宋体" w:cs="宋体"/>
                <w:sz w:val="24"/>
              </w:rPr>
            </w:pPr>
            <w:r>
              <w:rPr>
                <w:rFonts w:hint="eastAsia" w:ascii="宋体" w:hAnsi="宋体" w:cs="宋体"/>
                <w:sz w:val="24"/>
              </w:rPr>
              <w:t>2、结构要求：安全绳为连续、夹心绳结构，主承重部分由高强涤纶长丝连续纤维制成,整绳粗细均匀，结构一致。安全绳的绳芯内应编入一根宽度不小于2 mm、贯穿全绳的信息条，其上至少应包括生产者和/或生产企业名称，采用以下两种方式之一表示：中文全称、英文或拼音全称。</w:t>
            </w:r>
          </w:p>
          <w:p w14:paraId="2A07C789">
            <w:pPr>
              <w:widowControl/>
              <w:jc w:val="left"/>
              <w:textAlignment w:val="center"/>
              <w:rPr>
                <w:rFonts w:ascii="宋体" w:hAnsi="宋体" w:cs="宋体"/>
                <w:sz w:val="24"/>
              </w:rPr>
            </w:pPr>
            <w:r>
              <w:rPr>
                <w:rFonts w:hint="eastAsia" w:ascii="宋体" w:hAnsi="宋体" w:cs="宋体"/>
                <w:sz w:val="24"/>
              </w:rPr>
              <w:t xml:space="preserve">3、产品性能：绳索直径为14mm（允差为土0.5 mm），采用绳环结构，并用同等材质的细绳扎缝100mm，在扎缝处热封，并包以裹紧的橡胶或塑料套管。                                                   </w:t>
            </w:r>
          </w:p>
          <w:p w14:paraId="754EB314">
            <w:pPr>
              <w:widowControl/>
              <w:jc w:val="left"/>
              <w:textAlignment w:val="center"/>
              <w:rPr>
                <w:rFonts w:ascii="宋体" w:hAnsi="宋体" w:cs="宋体"/>
                <w:sz w:val="24"/>
              </w:rPr>
            </w:pPr>
            <w:r>
              <w:rPr>
                <w:rFonts w:hint="eastAsia" w:ascii="宋体" w:hAnsi="宋体" w:cs="宋体"/>
                <w:sz w:val="24"/>
              </w:rPr>
              <w:t xml:space="preserve">4、强度要求：最小破断强度47.4kN；承重达到最小破断强度的10%时，安全绳的延伸率2.6%；耐高温，经204℃±5℃的耐高温试验后，安全绳不出现熔融、焦化现象。                                  </w:t>
            </w:r>
          </w:p>
          <w:p w14:paraId="5B257244">
            <w:pPr>
              <w:widowControl/>
              <w:jc w:val="left"/>
              <w:textAlignment w:val="center"/>
              <w:rPr>
                <w:rFonts w:ascii="宋体" w:hAnsi="宋体" w:cs="宋体"/>
                <w:sz w:val="24"/>
              </w:rPr>
            </w:pPr>
            <w:r>
              <w:rPr>
                <w:rFonts w:hint="eastAsia" w:ascii="宋体" w:hAnsi="宋体" w:cs="宋体"/>
                <w:sz w:val="24"/>
              </w:rPr>
              <w:t>5、抗滑移性能：经抗滑移性能试验后，绳皮（护套）沿绳芯正反两方向的纵向滑移量0.3mm。</w:t>
            </w:r>
          </w:p>
        </w:tc>
      </w:tr>
      <w:tr w14:paraId="5802A01F">
        <w:tblPrEx>
          <w:tblCellMar>
            <w:top w:w="0" w:type="dxa"/>
            <w:left w:w="108" w:type="dxa"/>
            <w:bottom w:w="0" w:type="dxa"/>
            <w:right w:w="108" w:type="dxa"/>
          </w:tblCellMar>
        </w:tblPrEx>
        <w:trPr>
          <w:trHeight w:val="23" w:hRule="atLeast"/>
          <w:jc w:val="center"/>
        </w:trPr>
        <w:tc>
          <w:tcPr>
            <w:tcW w:w="791" w:type="dxa"/>
            <w:vMerge w:val="continue"/>
            <w:tcBorders>
              <w:left w:val="single" w:color="000000" w:sz="4" w:space="0"/>
              <w:right w:val="single" w:color="000000" w:sz="4" w:space="0"/>
            </w:tcBorders>
            <w:noWrap/>
            <w:vAlign w:val="center"/>
          </w:tcPr>
          <w:p w14:paraId="16474B65">
            <w:pPr>
              <w:jc w:val="center"/>
              <w:rPr>
                <w:rFonts w:ascii="宋体" w:hAnsi="宋体" w:cs="宋体"/>
                <w:sz w:val="24"/>
              </w:rPr>
            </w:pP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02FB6459">
            <w:pPr>
              <w:widowControl/>
              <w:jc w:val="center"/>
              <w:textAlignment w:val="center"/>
              <w:rPr>
                <w:rFonts w:ascii="宋体" w:hAnsi="宋体" w:cs="宋体"/>
                <w:sz w:val="24"/>
              </w:rPr>
            </w:pPr>
            <w:r>
              <w:rPr>
                <w:rFonts w:hint="eastAsia" w:ascii="宋体" w:hAnsi="宋体" w:cs="宋体"/>
                <w:sz w:val="24"/>
              </w:rPr>
              <w:t>41</w:t>
            </w:r>
          </w:p>
        </w:tc>
        <w:tc>
          <w:tcPr>
            <w:tcW w:w="956" w:type="dxa"/>
            <w:gridSpan w:val="2"/>
            <w:tcBorders>
              <w:top w:val="single" w:color="000000" w:sz="4" w:space="0"/>
              <w:left w:val="single" w:color="000000" w:sz="4" w:space="0"/>
              <w:bottom w:val="single" w:color="000000" w:sz="4" w:space="0"/>
              <w:right w:val="single" w:color="000000" w:sz="4" w:space="0"/>
            </w:tcBorders>
            <w:noWrap/>
            <w:vAlign w:val="center"/>
          </w:tcPr>
          <w:p w14:paraId="6A6BD0B7">
            <w:pPr>
              <w:widowControl/>
              <w:jc w:val="center"/>
              <w:textAlignment w:val="center"/>
              <w:rPr>
                <w:rFonts w:ascii="宋体" w:hAnsi="宋体" w:cs="宋体"/>
                <w:sz w:val="24"/>
              </w:rPr>
            </w:pPr>
            <w:r>
              <w:rPr>
                <w:rFonts w:hint="eastAsia" w:ascii="宋体" w:hAnsi="宋体" w:cs="宋体"/>
                <w:sz w:val="24"/>
              </w:rPr>
              <w:t>佩戴式防爆照明灯</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6B73963C">
            <w:pPr>
              <w:widowControl/>
              <w:jc w:val="center"/>
              <w:textAlignment w:val="center"/>
              <w:rPr>
                <w:rFonts w:ascii="宋体" w:hAnsi="宋体" w:cs="宋体"/>
                <w:sz w:val="24"/>
              </w:rPr>
            </w:pPr>
            <w:r>
              <w:rPr>
                <w:rFonts w:hint="eastAsia" w:ascii="宋体" w:hAnsi="宋体" w:cs="宋体"/>
                <w:sz w:val="24"/>
              </w:rPr>
              <w:t>47</w:t>
            </w:r>
          </w:p>
        </w:tc>
        <w:tc>
          <w:tcPr>
            <w:tcW w:w="6839" w:type="dxa"/>
            <w:tcBorders>
              <w:top w:val="single" w:color="000000" w:sz="4" w:space="0"/>
              <w:left w:val="single" w:color="000000" w:sz="4" w:space="0"/>
              <w:bottom w:val="single" w:color="000000" w:sz="4" w:space="0"/>
              <w:right w:val="single" w:color="000000" w:sz="4" w:space="0"/>
            </w:tcBorders>
            <w:noWrap/>
            <w:vAlign w:val="center"/>
          </w:tcPr>
          <w:p w14:paraId="1E07C783">
            <w:pPr>
              <w:widowControl/>
              <w:jc w:val="left"/>
              <w:textAlignment w:val="center"/>
              <w:rPr>
                <w:rFonts w:ascii="宋体" w:hAnsi="宋体" w:cs="宋体"/>
                <w:sz w:val="24"/>
              </w:rPr>
            </w:pPr>
            <w:r>
              <w:rPr>
                <w:rFonts w:hint="eastAsia" w:ascii="宋体" w:hAnsi="宋体" w:cs="宋体"/>
                <w:sz w:val="24"/>
              </w:rPr>
              <w:t>检验依据 GB30734-2014《消防员照明灯具 》（须在消防检验报告中体现验证）</w:t>
            </w:r>
          </w:p>
          <w:p w14:paraId="7005F983">
            <w:pPr>
              <w:widowControl/>
              <w:jc w:val="left"/>
              <w:textAlignment w:val="center"/>
              <w:rPr>
                <w:rFonts w:ascii="宋体" w:hAnsi="宋体" w:cs="宋体"/>
                <w:sz w:val="24"/>
              </w:rPr>
            </w:pPr>
            <w:r>
              <w:rPr>
                <w:rFonts w:hint="eastAsia" w:ascii="宋体" w:hAnsi="宋体" w:cs="宋体"/>
                <w:sz w:val="24"/>
              </w:rPr>
              <w:t xml:space="preserve">GB/T3836.1-2021   爆炸性环境第1部分：设备通用要求。                        </w:t>
            </w:r>
          </w:p>
          <w:p w14:paraId="165DEA78">
            <w:pPr>
              <w:widowControl/>
              <w:jc w:val="left"/>
              <w:textAlignment w:val="center"/>
              <w:rPr>
                <w:rFonts w:ascii="宋体" w:hAnsi="宋体" w:cs="宋体"/>
                <w:sz w:val="24"/>
              </w:rPr>
            </w:pPr>
            <w:r>
              <w:rPr>
                <w:rFonts w:hint="eastAsia" w:ascii="宋体" w:hAnsi="宋体" w:cs="宋体"/>
                <w:sz w:val="24"/>
              </w:rPr>
              <w:t>GB/T3836.4-2021 爆炸性环境第4部分：由本质安全型“i”保护的设备（须在国家级防爆合格证中体现验证）</w:t>
            </w:r>
          </w:p>
          <w:p w14:paraId="65471548">
            <w:pPr>
              <w:widowControl/>
              <w:jc w:val="left"/>
              <w:textAlignment w:val="center"/>
              <w:rPr>
                <w:rFonts w:ascii="宋体" w:hAnsi="宋体" w:cs="宋体"/>
                <w:sz w:val="24"/>
              </w:rPr>
            </w:pPr>
            <w:r>
              <w:rPr>
                <w:rFonts w:hint="eastAsia" w:ascii="宋体" w:hAnsi="宋体" w:cs="宋体"/>
                <w:sz w:val="24"/>
              </w:rPr>
              <w:t>▲1、光源采用 LED 光源，强光平均照度应不低于 1272lx，最低照度应不低于1169lx，弱光平均照度应不低于 802lx,最低照度应不低于 721lx。（须在消防检验报告中体现验证）</w:t>
            </w:r>
          </w:p>
          <w:p w14:paraId="3A0610E7">
            <w:pPr>
              <w:widowControl/>
              <w:jc w:val="left"/>
              <w:textAlignment w:val="center"/>
              <w:rPr>
                <w:rFonts w:ascii="宋体" w:hAnsi="宋体" w:cs="宋体"/>
                <w:sz w:val="24"/>
              </w:rPr>
            </w:pPr>
            <w:r>
              <w:rPr>
                <w:rFonts w:hint="eastAsia" w:ascii="宋体" w:hAnsi="宋体" w:cs="宋体"/>
                <w:sz w:val="24"/>
              </w:rPr>
              <w:t>2、采用尾部大开关设计，同时灯具尾部带有红色方位灯，起到警示和定位作用。</w:t>
            </w:r>
          </w:p>
          <w:p w14:paraId="4213C116">
            <w:pPr>
              <w:widowControl/>
              <w:jc w:val="left"/>
              <w:textAlignment w:val="center"/>
              <w:rPr>
                <w:rFonts w:ascii="宋体" w:hAnsi="宋体" w:cs="宋体"/>
                <w:sz w:val="24"/>
              </w:rPr>
            </w:pPr>
            <w:r>
              <w:rPr>
                <w:rFonts w:hint="eastAsia" w:ascii="宋体" w:hAnsi="宋体" w:cs="宋体"/>
                <w:sz w:val="24"/>
              </w:rPr>
              <w:t>3、采用全新 Type-c 充电口设计，灯体表面通过 4 格 LED 蓝色电量显示装置，</w:t>
            </w:r>
          </w:p>
          <w:p w14:paraId="5D7A74D1">
            <w:pPr>
              <w:widowControl/>
              <w:jc w:val="left"/>
              <w:textAlignment w:val="center"/>
              <w:rPr>
                <w:rFonts w:ascii="宋体" w:hAnsi="宋体" w:cs="宋体"/>
                <w:sz w:val="24"/>
              </w:rPr>
            </w:pPr>
            <w:r>
              <w:rPr>
                <w:rFonts w:hint="eastAsia" w:ascii="宋体" w:hAnsi="宋体" w:cs="宋体"/>
                <w:sz w:val="24"/>
              </w:rPr>
              <w:t>4、照明功能：灯具通过轻按开关可实现强光、弱光、爆闪的开启、关闭和切换，对现场进行照明、信号指示；</w:t>
            </w:r>
          </w:p>
          <w:p w14:paraId="1824600D">
            <w:pPr>
              <w:widowControl/>
              <w:jc w:val="left"/>
              <w:textAlignment w:val="center"/>
              <w:rPr>
                <w:rFonts w:ascii="宋体" w:hAnsi="宋体" w:cs="宋体"/>
                <w:sz w:val="24"/>
              </w:rPr>
            </w:pPr>
            <w:r>
              <w:rPr>
                <w:rFonts w:hint="eastAsia" w:ascii="宋体" w:hAnsi="宋体" w:cs="宋体"/>
                <w:sz w:val="24"/>
              </w:rPr>
              <w:t>▲5、防爆等级不低于 ExibIICT4Gb。（国家级防爆合格证证明）</w:t>
            </w:r>
          </w:p>
          <w:p w14:paraId="3D645F9F">
            <w:pPr>
              <w:widowControl/>
              <w:jc w:val="left"/>
              <w:textAlignment w:val="center"/>
              <w:rPr>
                <w:rFonts w:ascii="宋体" w:hAnsi="宋体" w:cs="宋体"/>
                <w:sz w:val="24"/>
              </w:rPr>
            </w:pPr>
            <w:r>
              <w:rPr>
                <w:rFonts w:hint="eastAsia" w:ascii="宋体" w:hAnsi="宋体" w:cs="宋体"/>
                <w:sz w:val="24"/>
              </w:rPr>
              <w:t>6、电池装入灯具是无需区分安装方向；</w:t>
            </w:r>
          </w:p>
          <w:p w14:paraId="098E2DFB">
            <w:pPr>
              <w:widowControl/>
              <w:jc w:val="left"/>
              <w:textAlignment w:val="center"/>
              <w:rPr>
                <w:rFonts w:ascii="宋体" w:hAnsi="宋体" w:cs="宋体"/>
                <w:sz w:val="24"/>
              </w:rPr>
            </w:pPr>
            <w:r>
              <w:rPr>
                <w:rFonts w:hint="eastAsia" w:ascii="宋体" w:hAnsi="宋体" w:cs="宋体"/>
                <w:sz w:val="24"/>
              </w:rPr>
              <w:t>▲7、灯具跌落高度：1M,跌落次数 4 次 ，试验结果应不影响防爆型式的任何损坏 ，跌落试验合格 。( 国家级防爆检验报告上需体现)</w:t>
            </w:r>
          </w:p>
          <w:p w14:paraId="3DAFF583">
            <w:pPr>
              <w:widowControl/>
              <w:jc w:val="left"/>
              <w:textAlignment w:val="center"/>
              <w:rPr>
                <w:rFonts w:ascii="宋体" w:hAnsi="宋体" w:cs="宋体"/>
                <w:sz w:val="24"/>
              </w:rPr>
            </w:pPr>
            <w:r>
              <w:rPr>
                <w:rFonts w:hint="eastAsia" w:ascii="宋体" w:hAnsi="宋体" w:cs="宋体"/>
                <w:sz w:val="24"/>
              </w:rPr>
              <w:t>8 、基本参数：额定电压：DC3.7V 、额定容量：1.9Ah、连续放电时间：480min( 弱光 )/240min ( 强光 )充电时间：4h、重量：≤ 100g(含电池不含支架)、支架≤40g。</w:t>
            </w:r>
          </w:p>
          <w:p w14:paraId="48F99DE3">
            <w:pPr>
              <w:widowControl/>
              <w:jc w:val="left"/>
              <w:textAlignment w:val="center"/>
              <w:rPr>
                <w:rFonts w:ascii="宋体" w:hAnsi="宋体" w:cs="宋体"/>
                <w:sz w:val="24"/>
              </w:rPr>
            </w:pPr>
            <w:r>
              <w:rPr>
                <w:rFonts w:hint="eastAsia" w:ascii="宋体" w:hAnsi="宋体" w:cs="宋体"/>
                <w:sz w:val="24"/>
              </w:rPr>
              <w:t xml:space="preserve">▲9、外壳防护：IP68（2m,90min）；（国家级防爆合格证证明）                                 </w:t>
            </w:r>
          </w:p>
          <w:p w14:paraId="19B08875">
            <w:pPr>
              <w:widowControl/>
              <w:jc w:val="left"/>
              <w:textAlignment w:val="center"/>
              <w:rPr>
                <w:rFonts w:ascii="宋体" w:hAnsi="宋体" w:cs="宋体"/>
                <w:sz w:val="24"/>
              </w:rPr>
            </w:pPr>
            <w:r>
              <w:rPr>
                <w:rFonts w:hint="eastAsia" w:ascii="宋体" w:hAnsi="宋体" w:cs="宋体"/>
                <w:sz w:val="24"/>
              </w:rPr>
              <w:t>10、照明灯潜水深度5m，持续时间1h（须在国家级消防检验报告中体现验证）                                                                                           注: ▲条款须提供取得CMA或CNAS认证的国家级的防爆检验报告、防爆合格证、国家消防装备质量监督检验中心出具的全性能委托检验报告。原件核查。</w:t>
            </w:r>
          </w:p>
        </w:tc>
      </w:tr>
      <w:tr w14:paraId="71B46D2C">
        <w:tblPrEx>
          <w:tblCellMar>
            <w:top w:w="0" w:type="dxa"/>
            <w:left w:w="108" w:type="dxa"/>
            <w:bottom w:w="0" w:type="dxa"/>
            <w:right w:w="108" w:type="dxa"/>
          </w:tblCellMar>
        </w:tblPrEx>
        <w:trPr>
          <w:trHeight w:val="23" w:hRule="atLeast"/>
          <w:jc w:val="center"/>
        </w:trPr>
        <w:tc>
          <w:tcPr>
            <w:tcW w:w="791" w:type="dxa"/>
            <w:vMerge w:val="continue"/>
            <w:tcBorders>
              <w:left w:val="single" w:color="000000" w:sz="4" w:space="0"/>
              <w:right w:val="single" w:color="000000" w:sz="4" w:space="0"/>
            </w:tcBorders>
            <w:noWrap/>
            <w:vAlign w:val="center"/>
          </w:tcPr>
          <w:p w14:paraId="46F3D28D">
            <w:pPr>
              <w:jc w:val="center"/>
              <w:rPr>
                <w:rFonts w:ascii="宋体" w:hAnsi="宋体" w:cs="宋体"/>
                <w:sz w:val="24"/>
              </w:rPr>
            </w:pP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5DFE27EA">
            <w:pPr>
              <w:widowControl/>
              <w:jc w:val="center"/>
              <w:textAlignment w:val="center"/>
              <w:rPr>
                <w:rFonts w:ascii="宋体" w:hAnsi="宋体" w:cs="宋体"/>
                <w:sz w:val="24"/>
              </w:rPr>
            </w:pPr>
            <w:r>
              <w:rPr>
                <w:rFonts w:hint="eastAsia" w:ascii="宋体" w:hAnsi="宋体" w:cs="宋体"/>
                <w:sz w:val="24"/>
              </w:rPr>
              <w:t>42</w:t>
            </w:r>
          </w:p>
        </w:tc>
        <w:tc>
          <w:tcPr>
            <w:tcW w:w="956" w:type="dxa"/>
            <w:gridSpan w:val="2"/>
            <w:tcBorders>
              <w:top w:val="single" w:color="000000" w:sz="4" w:space="0"/>
              <w:left w:val="single" w:color="000000" w:sz="4" w:space="0"/>
              <w:bottom w:val="single" w:color="000000" w:sz="4" w:space="0"/>
              <w:right w:val="single" w:color="000000" w:sz="4" w:space="0"/>
            </w:tcBorders>
            <w:noWrap/>
            <w:vAlign w:val="center"/>
          </w:tcPr>
          <w:p w14:paraId="25259593">
            <w:pPr>
              <w:widowControl/>
              <w:jc w:val="center"/>
              <w:textAlignment w:val="center"/>
              <w:rPr>
                <w:rFonts w:ascii="宋体" w:hAnsi="宋体" w:cs="宋体"/>
                <w:sz w:val="24"/>
              </w:rPr>
            </w:pPr>
            <w:r>
              <w:rPr>
                <w:rFonts w:hint="eastAsia" w:ascii="宋体" w:hAnsi="宋体" w:cs="宋体"/>
                <w:sz w:val="24"/>
              </w:rPr>
              <w:t>消防员呼救器</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339D5F11">
            <w:pPr>
              <w:widowControl/>
              <w:jc w:val="center"/>
              <w:textAlignment w:val="center"/>
              <w:rPr>
                <w:rFonts w:ascii="宋体" w:hAnsi="宋体" w:cs="宋体"/>
                <w:sz w:val="24"/>
              </w:rPr>
            </w:pPr>
            <w:r>
              <w:rPr>
                <w:rFonts w:hint="eastAsia" w:ascii="宋体" w:hAnsi="宋体" w:cs="宋体"/>
                <w:sz w:val="24"/>
              </w:rPr>
              <w:t>26</w:t>
            </w:r>
          </w:p>
        </w:tc>
        <w:tc>
          <w:tcPr>
            <w:tcW w:w="6839" w:type="dxa"/>
            <w:tcBorders>
              <w:top w:val="single" w:color="000000" w:sz="4" w:space="0"/>
              <w:left w:val="single" w:color="000000" w:sz="4" w:space="0"/>
              <w:bottom w:val="single" w:color="000000" w:sz="4" w:space="0"/>
              <w:right w:val="single" w:color="000000" w:sz="4" w:space="0"/>
            </w:tcBorders>
            <w:noWrap/>
            <w:vAlign w:val="center"/>
          </w:tcPr>
          <w:p w14:paraId="5A69802F">
            <w:pPr>
              <w:widowControl/>
              <w:jc w:val="left"/>
              <w:textAlignment w:val="center"/>
              <w:rPr>
                <w:rFonts w:ascii="宋体" w:hAnsi="宋体" w:cs="宋体"/>
                <w:sz w:val="24"/>
              </w:rPr>
            </w:pPr>
            <w:r>
              <w:rPr>
                <w:rFonts w:hint="eastAsia" w:ascii="宋体" w:hAnsi="宋体" w:cs="宋体"/>
                <w:sz w:val="24"/>
              </w:rPr>
              <w:t>1、符合 GB27900-2011《消防员呼救器》标准，防爆性能符合 GB/T3836.1-2021，GB/T3836.4-2021 标准；</w:t>
            </w:r>
          </w:p>
          <w:p w14:paraId="201B8BD5">
            <w:pPr>
              <w:widowControl/>
              <w:jc w:val="left"/>
              <w:textAlignment w:val="center"/>
              <w:rPr>
                <w:rFonts w:ascii="宋体" w:hAnsi="宋体" w:cs="宋体"/>
                <w:sz w:val="24"/>
              </w:rPr>
            </w:pPr>
            <w:r>
              <w:rPr>
                <w:rFonts w:hint="eastAsia" w:ascii="宋体" w:hAnsi="宋体" w:cs="宋体"/>
                <w:sz w:val="24"/>
              </w:rPr>
              <w:t>2、具备防水、防爆、耐挤压、耐高温等性能；</w:t>
            </w:r>
          </w:p>
          <w:p w14:paraId="7A50FEFE">
            <w:pPr>
              <w:widowControl/>
              <w:jc w:val="left"/>
              <w:textAlignment w:val="center"/>
              <w:rPr>
                <w:rFonts w:ascii="宋体" w:hAnsi="宋体" w:cs="宋体"/>
                <w:sz w:val="24"/>
              </w:rPr>
            </w:pPr>
            <w:r>
              <w:rPr>
                <w:rFonts w:hint="eastAsia" w:ascii="宋体" w:hAnsi="宋体" w:cs="宋体"/>
                <w:sz w:val="24"/>
              </w:rPr>
              <w:t>3、防爆标志：≥Ex ib IIC T4 Gb；防护等级：≥IP68（1.5m/2h）</w:t>
            </w:r>
          </w:p>
          <w:p w14:paraId="7D08BF88">
            <w:pPr>
              <w:widowControl/>
              <w:jc w:val="left"/>
              <w:textAlignment w:val="center"/>
              <w:rPr>
                <w:rFonts w:ascii="宋体" w:hAnsi="宋体" w:cs="宋体"/>
                <w:sz w:val="24"/>
              </w:rPr>
            </w:pPr>
            <w:r>
              <w:rPr>
                <w:rFonts w:hint="eastAsia" w:ascii="宋体" w:hAnsi="宋体" w:cs="宋体"/>
                <w:sz w:val="24"/>
              </w:rPr>
              <w:t>4、静止报警时间：30s±2s，预报警时间：15s±2s；</w:t>
            </w:r>
          </w:p>
          <w:p w14:paraId="2FFAEDD4">
            <w:pPr>
              <w:widowControl/>
              <w:jc w:val="left"/>
              <w:textAlignment w:val="center"/>
              <w:rPr>
                <w:rFonts w:ascii="宋体" w:hAnsi="宋体" w:cs="宋体"/>
                <w:sz w:val="24"/>
              </w:rPr>
            </w:pPr>
            <w:r>
              <w:rPr>
                <w:rFonts w:hint="eastAsia" w:ascii="宋体" w:hAnsi="宋体" w:cs="宋体"/>
                <w:sz w:val="24"/>
              </w:rPr>
              <w:t>5、预报警声级强度≥100dB，报警声级强度≥100dB ;</w:t>
            </w:r>
          </w:p>
          <w:p w14:paraId="4ECEA06A">
            <w:pPr>
              <w:widowControl/>
              <w:jc w:val="left"/>
              <w:textAlignment w:val="center"/>
              <w:rPr>
                <w:rFonts w:ascii="宋体" w:hAnsi="宋体" w:cs="宋体"/>
                <w:sz w:val="24"/>
              </w:rPr>
            </w:pPr>
            <w:r>
              <w:rPr>
                <w:rFonts w:hint="eastAsia" w:ascii="宋体" w:hAnsi="宋体" w:cs="宋体"/>
                <w:sz w:val="24"/>
              </w:rPr>
              <w:t>6、连续报警时间≥1500min；</w:t>
            </w:r>
          </w:p>
          <w:p w14:paraId="1712DC67">
            <w:pPr>
              <w:widowControl/>
              <w:jc w:val="left"/>
              <w:textAlignment w:val="center"/>
              <w:rPr>
                <w:rFonts w:ascii="宋体" w:hAnsi="宋体" w:cs="宋体"/>
                <w:sz w:val="24"/>
              </w:rPr>
            </w:pPr>
            <w:r>
              <w:rPr>
                <w:rFonts w:hint="eastAsia" w:ascii="宋体" w:hAnsi="宋体" w:cs="宋体"/>
                <w:sz w:val="24"/>
              </w:rPr>
              <w:t>7、连续开机时间： ≥99h；</w:t>
            </w:r>
          </w:p>
          <w:p w14:paraId="79BDD960">
            <w:pPr>
              <w:widowControl/>
              <w:jc w:val="left"/>
              <w:textAlignment w:val="center"/>
              <w:rPr>
                <w:rFonts w:ascii="宋体" w:hAnsi="宋体" w:cs="宋体"/>
                <w:sz w:val="24"/>
              </w:rPr>
            </w:pPr>
            <w:r>
              <w:rPr>
                <w:rFonts w:hint="eastAsia" w:ascii="宋体" w:hAnsi="宋体" w:cs="宋体"/>
                <w:sz w:val="24"/>
              </w:rPr>
              <w:t>8、呼救器发光亮度：0°角 ≥1000cd/㎡，±45°角≥480cd/㎡ 方位灯发光颜色为红色；</w:t>
            </w:r>
          </w:p>
          <w:p w14:paraId="4925DF29">
            <w:pPr>
              <w:widowControl/>
              <w:jc w:val="left"/>
              <w:textAlignment w:val="center"/>
              <w:rPr>
                <w:rFonts w:ascii="宋体" w:hAnsi="宋体" w:cs="宋体"/>
                <w:sz w:val="24"/>
              </w:rPr>
            </w:pPr>
            <w:r>
              <w:rPr>
                <w:rFonts w:hint="eastAsia" w:ascii="宋体" w:hAnsi="宋体" w:cs="宋体"/>
                <w:sz w:val="24"/>
              </w:rPr>
              <w:t>9、质量：≤180g；</w:t>
            </w:r>
          </w:p>
          <w:p w14:paraId="4B86A642">
            <w:pPr>
              <w:widowControl/>
              <w:jc w:val="left"/>
              <w:textAlignment w:val="center"/>
              <w:rPr>
                <w:rFonts w:ascii="宋体" w:hAnsi="宋体" w:cs="宋体"/>
                <w:sz w:val="24"/>
              </w:rPr>
            </w:pPr>
            <w:r>
              <w:rPr>
                <w:rFonts w:hint="eastAsia" w:ascii="宋体" w:hAnsi="宋体" w:cs="宋体"/>
                <w:sz w:val="24"/>
              </w:rPr>
              <w:t>10、带有电量显示功能、计时功能，环境温度超过80摄氏度可发出警报；</w:t>
            </w:r>
          </w:p>
          <w:p w14:paraId="4CDECE64">
            <w:pPr>
              <w:widowControl/>
              <w:jc w:val="left"/>
              <w:textAlignment w:val="center"/>
              <w:rPr>
                <w:rFonts w:ascii="宋体" w:hAnsi="宋体" w:cs="宋体"/>
                <w:sz w:val="24"/>
              </w:rPr>
            </w:pPr>
            <w:r>
              <w:rPr>
                <w:rFonts w:hint="eastAsia" w:ascii="宋体" w:hAnsi="宋体" w:cs="宋体"/>
                <w:sz w:val="24"/>
              </w:rPr>
              <w:t>11、带有身份钥匙插卡，可快速开关机。</w:t>
            </w:r>
          </w:p>
        </w:tc>
      </w:tr>
      <w:tr w14:paraId="1F70585F">
        <w:tblPrEx>
          <w:tblCellMar>
            <w:top w:w="0" w:type="dxa"/>
            <w:left w:w="108" w:type="dxa"/>
            <w:bottom w:w="0" w:type="dxa"/>
            <w:right w:w="108" w:type="dxa"/>
          </w:tblCellMar>
        </w:tblPrEx>
        <w:trPr>
          <w:trHeight w:val="23" w:hRule="atLeast"/>
          <w:jc w:val="center"/>
        </w:trPr>
        <w:tc>
          <w:tcPr>
            <w:tcW w:w="791" w:type="dxa"/>
            <w:vMerge w:val="continue"/>
            <w:tcBorders>
              <w:left w:val="single" w:color="000000" w:sz="4" w:space="0"/>
              <w:right w:val="single" w:color="000000" w:sz="4" w:space="0"/>
            </w:tcBorders>
            <w:noWrap/>
            <w:vAlign w:val="center"/>
          </w:tcPr>
          <w:p w14:paraId="1F4E8E3C">
            <w:pPr>
              <w:jc w:val="center"/>
              <w:rPr>
                <w:rFonts w:ascii="宋体" w:hAnsi="宋体" w:cs="宋体"/>
                <w:sz w:val="24"/>
              </w:rPr>
            </w:pP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32998F1D">
            <w:pPr>
              <w:widowControl/>
              <w:jc w:val="center"/>
              <w:textAlignment w:val="center"/>
              <w:rPr>
                <w:rFonts w:ascii="宋体" w:hAnsi="宋体" w:cs="宋体"/>
                <w:sz w:val="24"/>
              </w:rPr>
            </w:pPr>
            <w:r>
              <w:rPr>
                <w:rFonts w:hint="eastAsia" w:ascii="宋体" w:hAnsi="宋体" w:cs="宋体"/>
                <w:sz w:val="24"/>
              </w:rPr>
              <w:t>43</w:t>
            </w:r>
          </w:p>
        </w:tc>
        <w:tc>
          <w:tcPr>
            <w:tcW w:w="956" w:type="dxa"/>
            <w:gridSpan w:val="2"/>
            <w:tcBorders>
              <w:top w:val="single" w:color="000000" w:sz="4" w:space="0"/>
              <w:left w:val="single" w:color="000000" w:sz="4" w:space="0"/>
              <w:bottom w:val="single" w:color="000000" w:sz="4" w:space="0"/>
              <w:right w:val="single" w:color="000000" w:sz="4" w:space="0"/>
            </w:tcBorders>
            <w:noWrap/>
            <w:vAlign w:val="center"/>
          </w:tcPr>
          <w:p w14:paraId="4A3FD531">
            <w:pPr>
              <w:widowControl/>
              <w:jc w:val="center"/>
              <w:textAlignment w:val="center"/>
              <w:rPr>
                <w:rFonts w:ascii="宋体" w:hAnsi="宋体" w:cs="宋体"/>
                <w:sz w:val="24"/>
              </w:rPr>
            </w:pPr>
            <w:r>
              <w:rPr>
                <w:rFonts w:hint="eastAsia" w:ascii="宋体" w:hAnsi="宋体" w:cs="宋体"/>
                <w:sz w:val="24"/>
              </w:rPr>
              <w:t>方位灯</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723E8A10">
            <w:pPr>
              <w:widowControl/>
              <w:jc w:val="center"/>
              <w:textAlignment w:val="center"/>
              <w:rPr>
                <w:rFonts w:ascii="宋体" w:hAnsi="宋体" w:cs="宋体"/>
                <w:sz w:val="24"/>
              </w:rPr>
            </w:pPr>
            <w:r>
              <w:rPr>
                <w:rFonts w:hint="eastAsia" w:ascii="宋体" w:hAnsi="宋体" w:cs="宋体"/>
                <w:sz w:val="24"/>
              </w:rPr>
              <w:t>38</w:t>
            </w:r>
          </w:p>
        </w:tc>
        <w:tc>
          <w:tcPr>
            <w:tcW w:w="6839" w:type="dxa"/>
            <w:tcBorders>
              <w:top w:val="single" w:color="000000" w:sz="4" w:space="0"/>
              <w:left w:val="single" w:color="000000" w:sz="4" w:space="0"/>
              <w:bottom w:val="single" w:color="000000" w:sz="4" w:space="0"/>
              <w:right w:val="single" w:color="000000" w:sz="4" w:space="0"/>
            </w:tcBorders>
            <w:noWrap/>
            <w:vAlign w:val="center"/>
          </w:tcPr>
          <w:p w14:paraId="391128B8">
            <w:pPr>
              <w:widowControl/>
              <w:jc w:val="left"/>
              <w:textAlignment w:val="center"/>
              <w:rPr>
                <w:rFonts w:ascii="宋体" w:hAnsi="宋体" w:cs="宋体"/>
                <w:sz w:val="24"/>
              </w:rPr>
            </w:pPr>
            <w:r>
              <w:rPr>
                <w:rFonts w:hint="eastAsia" w:ascii="宋体" w:hAnsi="宋体" w:cs="宋体"/>
                <w:sz w:val="24"/>
              </w:rPr>
              <w:t>1、符合GB 27899-2011《消防员方位灯》标准、 GB/T 4208-2017《外壳防护等级（IP代码）》标准；</w:t>
            </w:r>
          </w:p>
          <w:p w14:paraId="33499AAE">
            <w:pPr>
              <w:widowControl/>
              <w:jc w:val="left"/>
              <w:textAlignment w:val="center"/>
              <w:rPr>
                <w:rFonts w:ascii="宋体" w:hAnsi="宋体" w:cs="宋体"/>
                <w:sz w:val="24"/>
              </w:rPr>
            </w:pPr>
            <w:r>
              <w:rPr>
                <w:rFonts w:hint="eastAsia" w:ascii="宋体" w:hAnsi="宋体" w:cs="宋体"/>
                <w:sz w:val="24"/>
              </w:rPr>
              <w:t>2、发光亮度：≥300cd/m²。</w:t>
            </w:r>
          </w:p>
          <w:p w14:paraId="7F6E0DDF">
            <w:pPr>
              <w:widowControl/>
              <w:jc w:val="left"/>
              <w:textAlignment w:val="center"/>
              <w:rPr>
                <w:rFonts w:ascii="宋体" w:hAnsi="宋体" w:cs="宋体"/>
                <w:sz w:val="24"/>
              </w:rPr>
            </w:pPr>
            <w:r>
              <w:rPr>
                <w:rFonts w:hint="eastAsia" w:ascii="宋体" w:hAnsi="宋体" w:cs="宋体"/>
                <w:sz w:val="24"/>
              </w:rPr>
              <w:t>3、闪光频率为：1Hz〜2Hz。</w:t>
            </w:r>
          </w:p>
          <w:p w14:paraId="37276D0C">
            <w:pPr>
              <w:widowControl/>
              <w:jc w:val="left"/>
              <w:textAlignment w:val="center"/>
              <w:rPr>
                <w:rFonts w:ascii="宋体" w:hAnsi="宋体" w:cs="宋体"/>
                <w:sz w:val="24"/>
              </w:rPr>
            </w:pPr>
            <w:r>
              <w:rPr>
                <w:rFonts w:hint="eastAsia" w:ascii="宋体" w:hAnsi="宋体" w:cs="宋体"/>
                <w:sz w:val="24"/>
              </w:rPr>
              <w:t>4、闪光型连续工作时间≥188h，常亮型连续工作时间≥133h。</w:t>
            </w:r>
          </w:p>
          <w:p w14:paraId="2C64442E">
            <w:pPr>
              <w:widowControl/>
              <w:jc w:val="left"/>
              <w:textAlignment w:val="center"/>
              <w:rPr>
                <w:rFonts w:ascii="宋体" w:hAnsi="宋体" w:cs="宋体"/>
                <w:sz w:val="24"/>
              </w:rPr>
            </w:pPr>
            <w:r>
              <w:rPr>
                <w:rFonts w:hint="eastAsia" w:ascii="宋体" w:hAnsi="宋体" w:cs="宋体"/>
                <w:sz w:val="24"/>
              </w:rPr>
              <w:t>5、质量：≤75g。</w:t>
            </w:r>
          </w:p>
          <w:p w14:paraId="32A8E198">
            <w:pPr>
              <w:widowControl/>
              <w:jc w:val="left"/>
              <w:textAlignment w:val="center"/>
              <w:rPr>
                <w:rFonts w:ascii="宋体" w:hAnsi="宋体" w:cs="宋体"/>
                <w:sz w:val="24"/>
              </w:rPr>
            </w:pPr>
            <w:r>
              <w:rPr>
                <w:rFonts w:hint="eastAsia" w:ascii="宋体" w:hAnsi="宋体" w:cs="宋体"/>
                <w:sz w:val="24"/>
              </w:rPr>
              <w:t>6、耐压性能：方位灯应能耐受频率为50Hz±0.5Hz、电压500V±50V，历时60s±5s的耐压性能试验。试验期间，不应发生表面飞弧和击穿现象。试验后，方位灯应能正常工作。</w:t>
            </w:r>
          </w:p>
          <w:p w14:paraId="625E7A21">
            <w:pPr>
              <w:widowControl/>
              <w:jc w:val="left"/>
              <w:textAlignment w:val="center"/>
              <w:rPr>
                <w:rFonts w:ascii="宋体" w:hAnsi="宋体" w:cs="宋体"/>
                <w:sz w:val="24"/>
              </w:rPr>
            </w:pPr>
            <w:r>
              <w:rPr>
                <w:rFonts w:hint="eastAsia" w:ascii="宋体" w:hAnsi="宋体" w:cs="宋体"/>
                <w:sz w:val="24"/>
              </w:rPr>
              <w:t>7、外壳防护等级：不低于IP68（1.5m，1h）的要求。</w:t>
            </w:r>
          </w:p>
          <w:p w14:paraId="1D0A7A4B">
            <w:pPr>
              <w:widowControl/>
              <w:jc w:val="left"/>
              <w:textAlignment w:val="center"/>
              <w:rPr>
                <w:rFonts w:ascii="宋体" w:hAnsi="宋体" w:cs="宋体"/>
                <w:sz w:val="24"/>
              </w:rPr>
            </w:pPr>
            <w:r>
              <w:rPr>
                <w:rFonts w:hint="eastAsia" w:ascii="宋体" w:hAnsi="宋体" w:cs="宋体"/>
                <w:sz w:val="24"/>
              </w:rPr>
              <w:t>8、防爆性能应符合 GB/T3836.1-2021的规定。</w:t>
            </w:r>
          </w:p>
          <w:p w14:paraId="7D74D01A">
            <w:pPr>
              <w:widowControl/>
              <w:jc w:val="left"/>
              <w:textAlignment w:val="center"/>
              <w:rPr>
                <w:rFonts w:ascii="宋体" w:hAnsi="宋体" w:cs="宋体"/>
                <w:sz w:val="24"/>
              </w:rPr>
            </w:pPr>
            <w:r>
              <w:rPr>
                <w:rFonts w:hint="eastAsia" w:ascii="宋体" w:hAnsi="宋体" w:cs="宋体"/>
                <w:sz w:val="24"/>
              </w:rPr>
              <w:t>9、抗跌落性能：方位灯从2m的高度跌落到混凝土地面上，试验3次。试验后，方位灯不得发生零部件松动、损坏的现象,且能正常工作。</w:t>
            </w:r>
          </w:p>
          <w:p w14:paraId="6ABA681A">
            <w:pPr>
              <w:widowControl/>
              <w:jc w:val="left"/>
              <w:textAlignment w:val="center"/>
              <w:rPr>
                <w:rFonts w:ascii="宋体" w:hAnsi="宋体" w:cs="宋体"/>
                <w:sz w:val="24"/>
              </w:rPr>
            </w:pPr>
            <w:r>
              <w:rPr>
                <w:rFonts w:hint="eastAsia" w:ascii="宋体" w:hAnsi="宋体" w:cs="宋体"/>
                <w:sz w:val="24"/>
              </w:rPr>
              <w:t xml:space="preserve">10、具有不少于夹具、挂扣2种固定方式。 </w:t>
            </w:r>
          </w:p>
          <w:p w14:paraId="1F00FBCE">
            <w:pPr>
              <w:widowControl/>
              <w:jc w:val="left"/>
              <w:textAlignment w:val="center"/>
              <w:rPr>
                <w:rFonts w:ascii="宋体" w:hAnsi="宋体" w:cs="宋体"/>
                <w:sz w:val="24"/>
              </w:rPr>
            </w:pPr>
            <w:r>
              <w:rPr>
                <w:rFonts w:hint="eastAsia" w:ascii="宋体" w:hAnsi="宋体" w:cs="宋体"/>
                <w:sz w:val="24"/>
              </w:rPr>
              <w:t>11、灯具光源由四颗LED信号灯和一颗白光照明灯组成。</w:t>
            </w:r>
          </w:p>
          <w:p w14:paraId="26FC4BB5">
            <w:pPr>
              <w:widowControl/>
              <w:jc w:val="left"/>
              <w:textAlignment w:val="center"/>
              <w:rPr>
                <w:rFonts w:ascii="宋体" w:hAnsi="宋体" w:cs="宋体"/>
                <w:sz w:val="24"/>
              </w:rPr>
            </w:pPr>
            <w:r>
              <w:rPr>
                <w:rFonts w:hint="eastAsia" w:ascii="宋体" w:hAnsi="宋体" w:cs="宋体"/>
                <w:sz w:val="24"/>
              </w:rPr>
              <w:t>注：提供第三方检测机构出具的检验报告</w:t>
            </w:r>
          </w:p>
        </w:tc>
      </w:tr>
      <w:tr w14:paraId="03004E0E">
        <w:tblPrEx>
          <w:tblCellMar>
            <w:top w:w="0" w:type="dxa"/>
            <w:left w:w="108" w:type="dxa"/>
            <w:bottom w:w="0" w:type="dxa"/>
            <w:right w:w="108" w:type="dxa"/>
          </w:tblCellMar>
        </w:tblPrEx>
        <w:trPr>
          <w:trHeight w:val="23" w:hRule="atLeast"/>
          <w:jc w:val="center"/>
        </w:trPr>
        <w:tc>
          <w:tcPr>
            <w:tcW w:w="791" w:type="dxa"/>
            <w:vMerge w:val="continue"/>
            <w:tcBorders>
              <w:left w:val="single" w:color="000000" w:sz="4" w:space="0"/>
              <w:right w:val="single" w:color="000000" w:sz="4" w:space="0"/>
            </w:tcBorders>
            <w:noWrap/>
            <w:vAlign w:val="center"/>
          </w:tcPr>
          <w:p w14:paraId="08C7B014">
            <w:pPr>
              <w:jc w:val="center"/>
              <w:rPr>
                <w:rFonts w:ascii="宋体" w:hAnsi="宋体" w:cs="宋体"/>
                <w:sz w:val="24"/>
              </w:rPr>
            </w:pP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6D014908">
            <w:pPr>
              <w:widowControl/>
              <w:jc w:val="center"/>
              <w:textAlignment w:val="center"/>
              <w:rPr>
                <w:rFonts w:ascii="宋体" w:hAnsi="宋体" w:cs="宋体"/>
                <w:sz w:val="24"/>
              </w:rPr>
            </w:pPr>
            <w:r>
              <w:rPr>
                <w:rFonts w:hint="eastAsia" w:ascii="宋体" w:hAnsi="宋体" w:cs="宋体"/>
                <w:sz w:val="24"/>
              </w:rPr>
              <w:t>44</w:t>
            </w:r>
          </w:p>
        </w:tc>
        <w:tc>
          <w:tcPr>
            <w:tcW w:w="956" w:type="dxa"/>
            <w:gridSpan w:val="2"/>
            <w:tcBorders>
              <w:top w:val="single" w:color="000000" w:sz="4" w:space="0"/>
              <w:left w:val="single" w:color="000000" w:sz="4" w:space="0"/>
              <w:bottom w:val="single" w:color="000000" w:sz="4" w:space="0"/>
              <w:right w:val="single" w:color="000000" w:sz="4" w:space="0"/>
            </w:tcBorders>
            <w:noWrap/>
            <w:vAlign w:val="center"/>
          </w:tcPr>
          <w:p w14:paraId="096984E3">
            <w:pPr>
              <w:widowControl/>
              <w:jc w:val="center"/>
              <w:textAlignment w:val="center"/>
              <w:rPr>
                <w:rFonts w:ascii="宋体" w:hAnsi="宋体" w:cs="宋体"/>
                <w:sz w:val="24"/>
              </w:rPr>
            </w:pPr>
            <w:r>
              <w:rPr>
                <w:rFonts w:hint="eastAsia" w:ascii="宋体" w:hAnsi="宋体" w:cs="宋体"/>
                <w:sz w:val="24"/>
              </w:rPr>
              <w:t>消防轻型安全绳</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4E3D507C">
            <w:pPr>
              <w:widowControl/>
              <w:jc w:val="center"/>
              <w:textAlignment w:val="center"/>
              <w:rPr>
                <w:rFonts w:ascii="宋体" w:hAnsi="宋体" w:cs="宋体"/>
                <w:sz w:val="24"/>
              </w:rPr>
            </w:pPr>
            <w:r>
              <w:rPr>
                <w:rFonts w:hint="eastAsia" w:ascii="宋体" w:hAnsi="宋体" w:cs="宋体"/>
                <w:sz w:val="24"/>
              </w:rPr>
              <w:t>15</w:t>
            </w:r>
          </w:p>
        </w:tc>
        <w:tc>
          <w:tcPr>
            <w:tcW w:w="6839" w:type="dxa"/>
            <w:tcBorders>
              <w:top w:val="single" w:color="000000" w:sz="4" w:space="0"/>
              <w:left w:val="single" w:color="000000" w:sz="4" w:space="0"/>
              <w:bottom w:val="single" w:color="000000" w:sz="4" w:space="0"/>
              <w:right w:val="single" w:color="000000" w:sz="4" w:space="0"/>
            </w:tcBorders>
            <w:noWrap/>
            <w:vAlign w:val="center"/>
          </w:tcPr>
          <w:p w14:paraId="3E3A2862">
            <w:pPr>
              <w:widowControl/>
              <w:jc w:val="left"/>
              <w:textAlignment w:val="center"/>
              <w:rPr>
                <w:rFonts w:ascii="宋体" w:hAnsi="宋体" w:cs="宋体"/>
                <w:sz w:val="24"/>
              </w:rPr>
            </w:pPr>
            <w:r>
              <w:rPr>
                <w:rFonts w:hint="eastAsia" w:ascii="宋体" w:hAnsi="宋体" w:cs="宋体"/>
                <w:sz w:val="24"/>
              </w:rPr>
              <w:t>1、技术标准：符合XF494-2023《消防用防坠落装备》标准。提供国家消防装备质量检验检测中心出具的检测报告。</w:t>
            </w:r>
          </w:p>
          <w:p w14:paraId="5B72E619">
            <w:pPr>
              <w:widowControl/>
              <w:jc w:val="left"/>
              <w:textAlignment w:val="center"/>
              <w:rPr>
                <w:rFonts w:ascii="宋体" w:hAnsi="宋体" w:cs="宋体"/>
                <w:sz w:val="24"/>
              </w:rPr>
            </w:pPr>
            <w:r>
              <w:rPr>
                <w:rFonts w:hint="eastAsia" w:ascii="宋体" w:hAnsi="宋体" w:cs="宋体"/>
                <w:sz w:val="24"/>
              </w:rPr>
              <w:t>2、结构要求：安全绳为连续、夹心绳结构，主承重部分由高强涤纶长丝连续纤维制成,整绳粗细均匀，结构一致。安全绳的绳芯内应编入一根宽度不小于2 mm、贯穿全绳的信息条，其上至少应包括生产者和/或生产企业名称，采用以下两种方式之一表示：中文全称、英文或拼音全称。</w:t>
            </w:r>
          </w:p>
          <w:p w14:paraId="1A2D4219">
            <w:pPr>
              <w:widowControl/>
              <w:jc w:val="left"/>
              <w:textAlignment w:val="center"/>
              <w:rPr>
                <w:rFonts w:ascii="宋体" w:hAnsi="宋体" w:cs="宋体"/>
                <w:sz w:val="24"/>
              </w:rPr>
            </w:pPr>
            <w:r>
              <w:rPr>
                <w:rFonts w:hint="eastAsia" w:ascii="宋体" w:hAnsi="宋体" w:cs="宋体"/>
                <w:sz w:val="24"/>
              </w:rPr>
              <w:t xml:space="preserve">3、产品性能：绳索直径为9.5mm（允差为土0.5 mm），采用绳环结构，并用同等材质的细绳扎缝100mm，在扎缝处热封，并包以裹紧的橡胶或塑料套管。                                                   </w:t>
            </w:r>
          </w:p>
          <w:p w14:paraId="5077CE62">
            <w:pPr>
              <w:widowControl/>
              <w:jc w:val="left"/>
              <w:textAlignment w:val="center"/>
              <w:rPr>
                <w:rFonts w:ascii="宋体" w:hAnsi="宋体" w:cs="宋体"/>
                <w:sz w:val="24"/>
              </w:rPr>
            </w:pPr>
            <w:r>
              <w:rPr>
                <w:rFonts w:hint="eastAsia" w:ascii="宋体" w:hAnsi="宋体" w:cs="宋体"/>
                <w:sz w:val="24"/>
              </w:rPr>
              <w:t xml:space="preserve">4、强度要求：最小破断强度27.4kN；承重达到最小破断强度的10%时，安全绳的延伸率1.8%；耐高温，经204℃±5℃的耐高温试验后，安全绳不出现熔融、焦化现象。                                  </w:t>
            </w:r>
          </w:p>
          <w:p w14:paraId="0FFFD07C">
            <w:pPr>
              <w:widowControl/>
              <w:jc w:val="left"/>
              <w:textAlignment w:val="center"/>
              <w:rPr>
                <w:rFonts w:ascii="宋体" w:hAnsi="宋体" w:cs="宋体"/>
                <w:sz w:val="24"/>
              </w:rPr>
            </w:pPr>
            <w:r>
              <w:rPr>
                <w:rFonts w:hint="eastAsia" w:ascii="宋体" w:hAnsi="宋体" w:cs="宋体"/>
                <w:sz w:val="24"/>
              </w:rPr>
              <w:t>5、抗滑移性能：经抗滑移性能试验后，绳皮（护套）沿绳芯正反两方向的纵向滑移量10.6mm。</w:t>
            </w:r>
          </w:p>
        </w:tc>
      </w:tr>
      <w:tr w14:paraId="7D560023">
        <w:tblPrEx>
          <w:tblCellMar>
            <w:top w:w="0" w:type="dxa"/>
            <w:left w:w="108" w:type="dxa"/>
            <w:bottom w:w="0" w:type="dxa"/>
            <w:right w:w="108" w:type="dxa"/>
          </w:tblCellMar>
        </w:tblPrEx>
        <w:trPr>
          <w:trHeight w:val="23" w:hRule="atLeast"/>
          <w:jc w:val="center"/>
        </w:trPr>
        <w:tc>
          <w:tcPr>
            <w:tcW w:w="791" w:type="dxa"/>
            <w:vMerge w:val="continue"/>
            <w:tcBorders>
              <w:left w:val="single" w:color="000000" w:sz="4" w:space="0"/>
              <w:right w:val="single" w:color="000000" w:sz="4" w:space="0"/>
            </w:tcBorders>
            <w:noWrap/>
            <w:vAlign w:val="center"/>
          </w:tcPr>
          <w:p w14:paraId="1A56F73F">
            <w:pPr>
              <w:jc w:val="center"/>
              <w:rPr>
                <w:rFonts w:ascii="宋体" w:hAnsi="宋体" w:cs="宋体"/>
                <w:sz w:val="24"/>
              </w:rPr>
            </w:pP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69C25EF4">
            <w:pPr>
              <w:widowControl/>
              <w:jc w:val="center"/>
              <w:textAlignment w:val="center"/>
              <w:rPr>
                <w:rFonts w:ascii="宋体" w:hAnsi="宋体" w:cs="宋体"/>
                <w:sz w:val="24"/>
              </w:rPr>
            </w:pPr>
            <w:r>
              <w:rPr>
                <w:rFonts w:hint="eastAsia" w:ascii="宋体" w:hAnsi="宋体" w:cs="宋体"/>
                <w:sz w:val="24"/>
              </w:rPr>
              <w:t>45</w:t>
            </w:r>
          </w:p>
        </w:tc>
        <w:tc>
          <w:tcPr>
            <w:tcW w:w="956" w:type="dxa"/>
            <w:gridSpan w:val="2"/>
            <w:tcBorders>
              <w:top w:val="single" w:color="000000" w:sz="4" w:space="0"/>
              <w:left w:val="single" w:color="000000" w:sz="4" w:space="0"/>
              <w:bottom w:val="single" w:color="000000" w:sz="4" w:space="0"/>
              <w:right w:val="single" w:color="000000" w:sz="4" w:space="0"/>
            </w:tcBorders>
            <w:noWrap/>
            <w:vAlign w:val="center"/>
          </w:tcPr>
          <w:p w14:paraId="6330AE80">
            <w:pPr>
              <w:widowControl/>
              <w:jc w:val="center"/>
              <w:textAlignment w:val="center"/>
              <w:rPr>
                <w:rFonts w:ascii="宋体" w:hAnsi="宋体" w:cs="宋体"/>
                <w:sz w:val="24"/>
              </w:rPr>
            </w:pPr>
            <w:r>
              <w:rPr>
                <w:rFonts w:hint="eastAsia" w:ascii="宋体" w:hAnsi="宋体" w:cs="宋体"/>
                <w:sz w:val="24"/>
              </w:rPr>
              <w:t>抢险救援头盔</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544F7756">
            <w:pPr>
              <w:widowControl/>
              <w:jc w:val="center"/>
              <w:textAlignment w:val="center"/>
              <w:rPr>
                <w:rFonts w:ascii="宋体" w:hAnsi="宋体" w:cs="宋体"/>
                <w:sz w:val="24"/>
              </w:rPr>
            </w:pPr>
            <w:r>
              <w:rPr>
                <w:rFonts w:hint="eastAsia" w:ascii="宋体" w:hAnsi="宋体" w:cs="宋体"/>
                <w:sz w:val="24"/>
              </w:rPr>
              <w:t>17</w:t>
            </w:r>
          </w:p>
        </w:tc>
        <w:tc>
          <w:tcPr>
            <w:tcW w:w="6839" w:type="dxa"/>
            <w:tcBorders>
              <w:top w:val="single" w:color="000000" w:sz="4" w:space="0"/>
              <w:left w:val="single" w:color="000000" w:sz="4" w:space="0"/>
              <w:bottom w:val="single" w:color="000000" w:sz="4" w:space="0"/>
              <w:right w:val="single" w:color="000000" w:sz="4" w:space="0"/>
            </w:tcBorders>
            <w:noWrap/>
            <w:vAlign w:val="center"/>
          </w:tcPr>
          <w:p w14:paraId="089A9AEC">
            <w:pPr>
              <w:widowControl/>
              <w:jc w:val="left"/>
              <w:textAlignment w:val="center"/>
              <w:rPr>
                <w:rFonts w:ascii="宋体" w:hAnsi="宋体" w:cs="宋体"/>
                <w:sz w:val="24"/>
              </w:rPr>
            </w:pPr>
            <w:r>
              <w:rPr>
                <w:rFonts w:hint="eastAsia" w:ascii="宋体" w:hAnsi="宋体" w:cs="宋体"/>
                <w:sz w:val="24"/>
              </w:rPr>
              <w:t>1.符合GA 633-2006《消防员抢险救援防护服装》标准。</w:t>
            </w:r>
          </w:p>
          <w:p w14:paraId="0D74F5DB">
            <w:pPr>
              <w:widowControl/>
              <w:jc w:val="left"/>
              <w:textAlignment w:val="center"/>
              <w:rPr>
                <w:rFonts w:ascii="宋体" w:hAnsi="宋体" w:cs="宋体"/>
                <w:sz w:val="24"/>
              </w:rPr>
            </w:pPr>
            <w:r>
              <w:rPr>
                <w:rFonts w:hint="eastAsia" w:ascii="宋体" w:hAnsi="宋体" w:cs="宋体"/>
                <w:sz w:val="24"/>
              </w:rPr>
              <w:t>2.采取多功能模块化滑轨设计，指挥员头盔为红色，战斗员头盔为橘红色。</w:t>
            </w:r>
          </w:p>
          <w:p w14:paraId="3EA23139">
            <w:pPr>
              <w:widowControl/>
              <w:jc w:val="left"/>
              <w:textAlignment w:val="center"/>
              <w:rPr>
                <w:rFonts w:ascii="宋体" w:hAnsi="宋体" w:cs="宋体"/>
                <w:sz w:val="24"/>
              </w:rPr>
            </w:pPr>
            <w:r>
              <w:rPr>
                <w:rFonts w:hint="eastAsia" w:ascii="宋体" w:hAnsi="宋体" w:cs="宋体"/>
                <w:sz w:val="24"/>
              </w:rPr>
              <w:t>3.颜色</w:t>
            </w:r>
          </w:p>
          <w:p w14:paraId="732D5AAE">
            <w:pPr>
              <w:widowControl/>
              <w:jc w:val="left"/>
              <w:textAlignment w:val="center"/>
              <w:rPr>
                <w:rFonts w:ascii="宋体" w:hAnsi="宋体" w:cs="宋体"/>
                <w:sz w:val="24"/>
              </w:rPr>
            </w:pPr>
            <w:r>
              <w:rPr>
                <w:rFonts w:hint="eastAsia" w:ascii="宋体" w:hAnsi="宋体" w:cs="宋体"/>
                <w:sz w:val="24"/>
              </w:rPr>
              <w:t>3.1盔壳：红色潘通色号为PANTONE 186C，橘红色为PANTONE 17-1456 TCX Tigerlily，色差≥3级。</w:t>
            </w:r>
          </w:p>
          <w:p w14:paraId="1E530D71">
            <w:pPr>
              <w:widowControl/>
              <w:jc w:val="left"/>
              <w:textAlignment w:val="center"/>
              <w:rPr>
                <w:rFonts w:ascii="宋体" w:hAnsi="宋体" w:cs="宋体"/>
                <w:sz w:val="24"/>
              </w:rPr>
            </w:pPr>
            <w:r>
              <w:rPr>
                <w:rFonts w:hint="eastAsia" w:ascii="宋体" w:hAnsi="宋体" w:cs="宋体"/>
                <w:sz w:val="24"/>
              </w:rPr>
              <w:t>3.2反光标识条：荧光黄色潘通色号为PANTONE 809C，色差≥2级，入射角5°，观察角0.2°时初始逆反射系数≥100cd/(1x*㎡) 。</w:t>
            </w:r>
          </w:p>
          <w:p w14:paraId="024CD8A8">
            <w:pPr>
              <w:widowControl/>
              <w:jc w:val="left"/>
              <w:textAlignment w:val="center"/>
              <w:rPr>
                <w:rFonts w:ascii="宋体" w:hAnsi="宋体" w:cs="宋体"/>
                <w:sz w:val="24"/>
              </w:rPr>
            </w:pPr>
            <w:r>
              <w:rPr>
                <w:rFonts w:hint="eastAsia" w:ascii="宋体" w:hAnsi="宋体" w:cs="宋体"/>
                <w:sz w:val="24"/>
              </w:rPr>
              <w:t>3.3单位标识：反光银灰色潘通色号为PANTONE 423C，色差≥3级。</w:t>
            </w:r>
          </w:p>
          <w:p w14:paraId="56DFF9B0">
            <w:pPr>
              <w:widowControl/>
              <w:jc w:val="left"/>
              <w:textAlignment w:val="center"/>
              <w:rPr>
                <w:rFonts w:ascii="宋体" w:hAnsi="宋体" w:cs="宋体"/>
                <w:sz w:val="24"/>
              </w:rPr>
            </w:pPr>
            <w:r>
              <w:rPr>
                <w:rFonts w:hint="eastAsia" w:ascii="宋体" w:hAnsi="宋体" w:cs="宋体"/>
                <w:sz w:val="24"/>
              </w:rPr>
              <w:t>3.4滑块和配饰：黑色潘通色号为PANTONE 19-4007 TPX，色差≥3级。</w:t>
            </w:r>
          </w:p>
          <w:p w14:paraId="0350E1D2">
            <w:pPr>
              <w:widowControl/>
              <w:jc w:val="left"/>
              <w:textAlignment w:val="center"/>
              <w:rPr>
                <w:rFonts w:ascii="宋体" w:hAnsi="宋体" w:cs="宋体"/>
                <w:sz w:val="24"/>
              </w:rPr>
            </w:pPr>
            <w:r>
              <w:rPr>
                <w:rFonts w:hint="eastAsia" w:ascii="宋体" w:hAnsi="宋体" w:cs="宋体"/>
                <w:sz w:val="24"/>
              </w:rPr>
              <w:t>4.结构</w:t>
            </w:r>
          </w:p>
          <w:p w14:paraId="2232B837">
            <w:pPr>
              <w:widowControl/>
              <w:jc w:val="left"/>
              <w:textAlignment w:val="center"/>
              <w:rPr>
                <w:rFonts w:ascii="宋体" w:hAnsi="宋体" w:cs="宋体"/>
                <w:sz w:val="24"/>
              </w:rPr>
            </w:pPr>
            <w:r>
              <w:rPr>
                <w:rFonts w:hint="eastAsia" w:ascii="宋体" w:hAnsi="宋体" w:cs="宋体"/>
                <w:sz w:val="24"/>
              </w:rPr>
              <w:t>4.1由盔壳、滑轨、缓冲层、舒适衬垫、佩戴装置等组成。</w:t>
            </w:r>
          </w:p>
          <w:p w14:paraId="4BEEFD01">
            <w:pPr>
              <w:widowControl/>
              <w:jc w:val="left"/>
              <w:textAlignment w:val="center"/>
              <w:rPr>
                <w:rFonts w:ascii="宋体" w:hAnsi="宋体" w:cs="宋体"/>
                <w:sz w:val="24"/>
              </w:rPr>
            </w:pPr>
            <w:r>
              <w:rPr>
                <w:rFonts w:hint="eastAsia" w:ascii="宋体" w:hAnsi="宋体" w:cs="宋体"/>
                <w:sz w:val="24"/>
              </w:rPr>
              <w:t>4.2盔壳：耐高温阻燃材质，指挥员头盔为红色，战斗员头盔为橘红色。</w:t>
            </w:r>
          </w:p>
          <w:p w14:paraId="5DA144E5">
            <w:pPr>
              <w:widowControl/>
              <w:jc w:val="left"/>
              <w:textAlignment w:val="center"/>
              <w:rPr>
                <w:rFonts w:ascii="宋体" w:hAnsi="宋体" w:cs="宋体"/>
                <w:sz w:val="24"/>
              </w:rPr>
            </w:pPr>
            <w:r>
              <w:rPr>
                <w:rFonts w:hint="eastAsia" w:ascii="宋体" w:hAnsi="宋体" w:cs="宋体"/>
                <w:sz w:val="24"/>
              </w:rPr>
              <w:t>4.3滑轨：盔体两侧设黑色多功能模块化滑轨，耐高温阻燃材质。</w:t>
            </w:r>
          </w:p>
          <w:p w14:paraId="7DDB5312">
            <w:pPr>
              <w:widowControl/>
              <w:jc w:val="left"/>
              <w:textAlignment w:val="center"/>
              <w:rPr>
                <w:rFonts w:ascii="宋体" w:hAnsi="宋体" w:cs="宋体"/>
                <w:sz w:val="24"/>
              </w:rPr>
            </w:pPr>
            <w:r>
              <w:rPr>
                <w:rFonts w:hint="eastAsia" w:ascii="宋体" w:hAnsi="宋体" w:cs="宋体"/>
                <w:sz w:val="24"/>
              </w:rPr>
              <w:t>4.4缓冲层：耐高温阻燃材质，颜色为黑色。</w:t>
            </w:r>
          </w:p>
          <w:p w14:paraId="662C8433">
            <w:pPr>
              <w:widowControl/>
              <w:jc w:val="left"/>
              <w:textAlignment w:val="center"/>
              <w:rPr>
                <w:rFonts w:ascii="宋体" w:hAnsi="宋体" w:cs="宋体"/>
                <w:sz w:val="24"/>
              </w:rPr>
            </w:pPr>
            <w:r>
              <w:rPr>
                <w:rFonts w:hint="eastAsia" w:ascii="宋体" w:hAnsi="宋体" w:cs="宋体"/>
                <w:sz w:val="24"/>
              </w:rPr>
              <w:t>4.5舒适衬垫：顶部为网状衬垫，四周为舒适层（与帽箍一体）可调节戴帽高度。</w:t>
            </w:r>
          </w:p>
          <w:p w14:paraId="477EC3E6">
            <w:pPr>
              <w:widowControl/>
              <w:jc w:val="left"/>
              <w:textAlignment w:val="center"/>
              <w:rPr>
                <w:rFonts w:ascii="宋体" w:hAnsi="宋体" w:cs="宋体"/>
                <w:sz w:val="24"/>
              </w:rPr>
            </w:pPr>
            <w:r>
              <w:rPr>
                <w:rFonts w:hint="eastAsia" w:ascii="宋体" w:hAnsi="宋体" w:cs="宋体"/>
                <w:sz w:val="24"/>
              </w:rPr>
              <w:t>4.6佩戴装置：包括帽箍和系带，耐高温阻燃材质。在盔体后沿下侧设头围调节旋钮；系带可调节佩戴松紧，加装带孔透气下颏托；插扣为快脱插扣。</w:t>
            </w:r>
          </w:p>
          <w:p w14:paraId="221C8323">
            <w:pPr>
              <w:widowControl/>
              <w:jc w:val="left"/>
              <w:textAlignment w:val="center"/>
              <w:rPr>
                <w:rFonts w:ascii="宋体" w:hAnsi="宋体" w:cs="宋体"/>
                <w:sz w:val="24"/>
              </w:rPr>
            </w:pPr>
            <w:r>
              <w:rPr>
                <w:rFonts w:hint="eastAsia" w:ascii="宋体" w:hAnsi="宋体" w:cs="宋体"/>
                <w:sz w:val="24"/>
              </w:rPr>
              <w:t>4.7反光标识：两侧粘贴弧形反光标识条带，颜色为荧光黄色，宽度为30±1mm，长度为226±2mm，弧形总高52±1mm。</w:t>
            </w:r>
          </w:p>
          <w:p w14:paraId="21A6F6AA">
            <w:pPr>
              <w:widowControl/>
              <w:jc w:val="left"/>
              <w:textAlignment w:val="center"/>
              <w:rPr>
                <w:rFonts w:ascii="宋体" w:hAnsi="宋体" w:cs="宋体"/>
                <w:sz w:val="24"/>
              </w:rPr>
            </w:pPr>
            <w:r>
              <w:rPr>
                <w:rFonts w:hint="eastAsia" w:ascii="宋体" w:hAnsi="宋体" w:cs="宋体"/>
                <w:sz w:val="24"/>
              </w:rPr>
              <w:t>4.8所有可调节扣件全部采用黄色，为改性阻燃尼龙66材料。</w:t>
            </w:r>
          </w:p>
          <w:p w14:paraId="150D4369">
            <w:pPr>
              <w:widowControl/>
              <w:jc w:val="left"/>
              <w:textAlignment w:val="center"/>
              <w:rPr>
                <w:rFonts w:ascii="宋体" w:hAnsi="宋体" w:cs="宋体"/>
                <w:sz w:val="24"/>
              </w:rPr>
            </w:pPr>
            <w:r>
              <w:rPr>
                <w:rFonts w:hint="eastAsia" w:ascii="宋体" w:hAnsi="宋体" w:cs="宋体"/>
                <w:sz w:val="24"/>
              </w:rPr>
              <w:t>5.标识</w:t>
            </w:r>
          </w:p>
          <w:p w14:paraId="31297714">
            <w:pPr>
              <w:widowControl/>
              <w:jc w:val="left"/>
              <w:textAlignment w:val="center"/>
              <w:rPr>
                <w:rFonts w:ascii="宋体" w:hAnsi="宋体" w:cs="宋体"/>
                <w:sz w:val="24"/>
              </w:rPr>
            </w:pPr>
            <w:r>
              <w:rPr>
                <w:rFonts w:hint="eastAsia" w:ascii="宋体" w:hAnsi="宋体" w:cs="宋体"/>
                <w:sz w:val="24"/>
              </w:rPr>
              <w:t>5.1帽徽：头盔佩戴的19消防大帽徽规格为高5.9厘米、宽5.7厘米。</w:t>
            </w:r>
          </w:p>
          <w:p w14:paraId="5FC9CE22">
            <w:pPr>
              <w:widowControl/>
              <w:jc w:val="left"/>
              <w:textAlignment w:val="center"/>
              <w:rPr>
                <w:rFonts w:ascii="宋体" w:hAnsi="宋体" w:cs="宋体"/>
                <w:sz w:val="24"/>
              </w:rPr>
            </w:pPr>
            <w:r>
              <w:rPr>
                <w:rFonts w:hint="eastAsia" w:ascii="宋体" w:hAnsi="宋体" w:cs="宋体"/>
                <w:sz w:val="24"/>
              </w:rPr>
              <w:t>5.2单位名称：侧面居中采用耐雨淋反光材料牢固粘贴，字体为简粗平黑，字体大小为30（±1）mm×35（±1）mm，字间距5±1mm，颜色为银灰色，潘通色号为PANTONE 423C，色差≥3级。头盔两侧文字相同，均从帽徽一侧呈直线向盔体后部均匀排列。</w:t>
            </w:r>
          </w:p>
          <w:p w14:paraId="305BCED4">
            <w:pPr>
              <w:widowControl/>
              <w:jc w:val="left"/>
              <w:textAlignment w:val="center"/>
              <w:rPr>
                <w:rFonts w:ascii="宋体" w:hAnsi="宋体" w:cs="宋体"/>
                <w:sz w:val="24"/>
              </w:rPr>
            </w:pPr>
            <w:r>
              <w:rPr>
                <w:rFonts w:hint="eastAsia" w:ascii="宋体" w:hAnsi="宋体" w:cs="宋体"/>
                <w:sz w:val="24"/>
              </w:rPr>
              <w:t>5.3中队名称及战斗员编号：消防头盔后面采用耐雨淋反光材料牢固粘贴中队简称及战斗员编号。中队简称一般不超过3个字，字体为简粗平黑，每个字大小20（±1）mm×22（±1）mm，字间距2±1mm，颜色为银白色，底部距帽檐底部32±2mm。</w:t>
            </w:r>
          </w:p>
          <w:p w14:paraId="012BAC86">
            <w:pPr>
              <w:widowControl/>
              <w:jc w:val="left"/>
              <w:textAlignment w:val="center"/>
              <w:rPr>
                <w:rFonts w:ascii="宋体" w:hAnsi="宋体" w:cs="宋体"/>
                <w:sz w:val="24"/>
              </w:rPr>
            </w:pPr>
            <w:r>
              <w:rPr>
                <w:rFonts w:hint="eastAsia" w:ascii="宋体" w:hAnsi="宋体" w:cs="宋体"/>
                <w:sz w:val="24"/>
              </w:rPr>
              <w:t>6.重量不大于1.2kg(不含护目镜重量)，在不影响整体防护性能的情况下，头盔具有通风功能，有洞和插槽用以保证护目镜、佩戴系统和其他配件的紧固。可安装照明灯。</w:t>
            </w:r>
          </w:p>
          <w:p w14:paraId="51568B3C">
            <w:pPr>
              <w:widowControl/>
              <w:jc w:val="left"/>
              <w:textAlignment w:val="center"/>
              <w:rPr>
                <w:rFonts w:ascii="宋体" w:hAnsi="宋体" w:cs="宋体"/>
                <w:sz w:val="24"/>
              </w:rPr>
            </w:pPr>
            <w:r>
              <w:rPr>
                <w:rFonts w:hint="eastAsia" w:ascii="宋体" w:hAnsi="宋体" w:cs="宋体"/>
                <w:sz w:val="24"/>
              </w:rPr>
              <w:t>▲7.头盔抗冲击吸收性能≤3780N，侧向刚性头盔帽壳最大变形应≤40mm，卸载后应≤15mm，下颏带不应发生断裂、滑脱，其延伸长度不应大于20mm。</w:t>
            </w:r>
          </w:p>
          <w:p w14:paraId="5ACF83D5">
            <w:pPr>
              <w:widowControl/>
              <w:jc w:val="left"/>
              <w:textAlignment w:val="center"/>
              <w:rPr>
                <w:rFonts w:ascii="宋体" w:hAnsi="宋体" w:cs="宋体"/>
                <w:sz w:val="24"/>
              </w:rPr>
            </w:pPr>
            <w:r>
              <w:rPr>
                <w:rFonts w:hint="eastAsia" w:ascii="宋体" w:hAnsi="宋体" w:cs="宋体"/>
                <w:sz w:val="24"/>
              </w:rPr>
              <w:t>8.配备与头盔外观颜色搭配的护目镜。</w:t>
            </w:r>
          </w:p>
          <w:p w14:paraId="5DED419A">
            <w:pPr>
              <w:widowControl/>
              <w:jc w:val="left"/>
              <w:textAlignment w:val="center"/>
              <w:rPr>
                <w:rFonts w:ascii="宋体" w:hAnsi="宋体" w:cs="宋体"/>
                <w:sz w:val="24"/>
              </w:rPr>
            </w:pPr>
            <w:r>
              <w:rPr>
                <w:rFonts w:hint="eastAsia" w:ascii="宋体" w:hAnsi="宋体" w:cs="宋体"/>
                <w:sz w:val="24"/>
              </w:rPr>
              <w:t>8.1用于抢险救援过程中，使用装备时的眼部保护，镜框与镜片连接牢固，镜片带防刮防雾涂层。</w:t>
            </w:r>
          </w:p>
          <w:p w14:paraId="36DF6D11">
            <w:pPr>
              <w:widowControl/>
              <w:jc w:val="left"/>
              <w:textAlignment w:val="center"/>
              <w:rPr>
                <w:rFonts w:ascii="宋体" w:hAnsi="宋体" w:cs="宋体"/>
                <w:sz w:val="24"/>
              </w:rPr>
            </w:pPr>
            <w:r>
              <w:rPr>
                <w:rFonts w:hint="eastAsia" w:ascii="宋体" w:hAnsi="宋体" w:cs="宋体"/>
                <w:sz w:val="24"/>
              </w:rPr>
              <w:t>▲8.2镜面最大冲击力≥110m/s。</w:t>
            </w:r>
          </w:p>
          <w:p w14:paraId="7F7AA39C">
            <w:pPr>
              <w:widowControl/>
              <w:jc w:val="left"/>
              <w:textAlignment w:val="center"/>
              <w:rPr>
                <w:rFonts w:ascii="宋体" w:hAnsi="宋体" w:cs="宋体"/>
                <w:sz w:val="24"/>
              </w:rPr>
            </w:pPr>
            <w:r>
              <w:rPr>
                <w:rFonts w:hint="eastAsia" w:ascii="宋体" w:hAnsi="宋体" w:cs="宋体"/>
                <w:sz w:val="24"/>
              </w:rPr>
              <w:t>8.3镜框采用环保无毒柔韧性强的聚氯乙烯(PVC)材料注塑而成，帯增光效果。</w:t>
            </w:r>
          </w:p>
          <w:p w14:paraId="210B1301">
            <w:pPr>
              <w:widowControl/>
              <w:jc w:val="left"/>
              <w:textAlignment w:val="center"/>
              <w:rPr>
                <w:rFonts w:ascii="宋体" w:hAnsi="宋体" w:cs="宋体"/>
                <w:sz w:val="24"/>
              </w:rPr>
            </w:pPr>
            <w:r>
              <w:rPr>
                <w:rFonts w:hint="eastAsia" w:ascii="宋体" w:hAnsi="宋体" w:cs="宋体"/>
                <w:sz w:val="24"/>
              </w:rPr>
              <w:t>8.4松紧带必须固定牢固，不变形。</w:t>
            </w:r>
          </w:p>
          <w:p w14:paraId="691B3290">
            <w:pPr>
              <w:widowControl/>
              <w:jc w:val="left"/>
              <w:textAlignment w:val="center"/>
              <w:rPr>
                <w:rFonts w:ascii="宋体" w:hAnsi="宋体" w:cs="宋体"/>
                <w:sz w:val="24"/>
              </w:rPr>
            </w:pPr>
            <w:r>
              <w:rPr>
                <w:rFonts w:hint="eastAsia" w:ascii="宋体" w:hAnsi="宋体" w:cs="宋体"/>
                <w:sz w:val="24"/>
              </w:rPr>
              <w:t>9.增加照明灯支架、护目镜收缩带1条。</w:t>
            </w:r>
          </w:p>
          <w:p w14:paraId="2122D0CC">
            <w:pPr>
              <w:widowControl/>
              <w:jc w:val="left"/>
              <w:textAlignment w:val="center"/>
              <w:rPr>
                <w:rFonts w:ascii="宋体" w:hAnsi="宋体" w:cs="宋体"/>
                <w:sz w:val="24"/>
              </w:rPr>
            </w:pPr>
            <w:r>
              <w:rPr>
                <w:rFonts w:hint="eastAsia" w:ascii="宋体" w:hAnsi="宋体" w:cs="宋体"/>
                <w:sz w:val="24"/>
              </w:rPr>
              <w:t>10.提供第三方检测机构出具的检验报告。</w:t>
            </w:r>
          </w:p>
        </w:tc>
      </w:tr>
      <w:tr w14:paraId="39591AD6">
        <w:tblPrEx>
          <w:tblCellMar>
            <w:top w:w="0" w:type="dxa"/>
            <w:left w:w="108" w:type="dxa"/>
            <w:bottom w:w="0" w:type="dxa"/>
            <w:right w:w="108" w:type="dxa"/>
          </w:tblCellMar>
        </w:tblPrEx>
        <w:trPr>
          <w:trHeight w:val="23" w:hRule="atLeast"/>
          <w:jc w:val="center"/>
        </w:trPr>
        <w:tc>
          <w:tcPr>
            <w:tcW w:w="791" w:type="dxa"/>
            <w:vMerge w:val="continue"/>
            <w:tcBorders>
              <w:left w:val="single" w:color="000000" w:sz="4" w:space="0"/>
              <w:right w:val="single" w:color="000000" w:sz="4" w:space="0"/>
            </w:tcBorders>
            <w:noWrap/>
            <w:vAlign w:val="center"/>
          </w:tcPr>
          <w:p w14:paraId="02636351">
            <w:pPr>
              <w:jc w:val="center"/>
              <w:rPr>
                <w:rFonts w:ascii="宋体" w:hAnsi="宋体" w:cs="宋体"/>
                <w:sz w:val="24"/>
              </w:rPr>
            </w:pP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55CF6245">
            <w:pPr>
              <w:widowControl/>
              <w:jc w:val="center"/>
              <w:textAlignment w:val="center"/>
              <w:rPr>
                <w:rFonts w:ascii="宋体" w:hAnsi="宋体" w:cs="宋体"/>
                <w:sz w:val="24"/>
              </w:rPr>
            </w:pPr>
            <w:r>
              <w:rPr>
                <w:rFonts w:hint="eastAsia" w:ascii="宋体" w:hAnsi="宋体" w:cs="宋体"/>
                <w:sz w:val="24"/>
              </w:rPr>
              <w:t>46</w:t>
            </w:r>
          </w:p>
        </w:tc>
        <w:tc>
          <w:tcPr>
            <w:tcW w:w="956" w:type="dxa"/>
            <w:gridSpan w:val="2"/>
            <w:tcBorders>
              <w:top w:val="single" w:color="000000" w:sz="4" w:space="0"/>
              <w:left w:val="single" w:color="000000" w:sz="4" w:space="0"/>
              <w:bottom w:val="single" w:color="000000" w:sz="4" w:space="0"/>
              <w:right w:val="single" w:color="000000" w:sz="4" w:space="0"/>
            </w:tcBorders>
            <w:noWrap/>
            <w:vAlign w:val="center"/>
          </w:tcPr>
          <w:p w14:paraId="51B690CE">
            <w:pPr>
              <w:widowControl/>
              <w:jc w:val="center"/>
              <w:textAlignment w:val="center"/>
              <w:rPr>
                <w:rFonts w:ascii="宋体" w:hAnsi="宋体" w:cs="宋体"/>
                <w:sz w:val="24"/>
              </w:rPr>
            </w:pPr>
            <w:r>
              <w:rPr>
                <w:rFonts w:hint="eastAsia" w:ascii="宋体" w:hAnsi="宋体" w:cs="宋体"/>
                <w:sz w:val="24"/>
              </w:rPr>
              <w:t>抢险救援手套</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7179F3EF">
            <w:pPr>
              <w:widowControl/>
              <w:jc w:val="center"/>
              <w:textAlignment w:val="center"/>
              <w:rPr>
                <w:rFonts w:ascii="宋体" w:hAnsi="宋体" w:cs="宋体"/>
                <w:sz w:val="24"/>
              </w:rPr>
            </w:pPr>
            <w:r>
              <w:rPr>
                <w:rFonts w:hint="eastAsia" w:ascii="宋体" w:hAnsi="宋体" w:cs="宋体"/>
                <w:sz w:val="24"/>
              </w:rPr>
              <w:t>37</w:t>
            </w:r>
          </w:p>
        </w:tc>
        <w:tc>
          <w:tcPr>
            <w:tcW w:w="6839" w:type="dxa"/>
            <w:tcBorders>
              <w:top w:val="single" w:color="000000" w:sz="4" w:space="0"/>
              <w:left w:val="single" w:color="000000" w:sz="4" w:space="0"/>
              <w:bottom w:val="single" w:color="000000" w:sz="4" w:space="0"/>
              <w:right w:val="single" w:color="000000" w:sz="4" w:space="0"/>
            </w:tcBorders>
            <w:noWrap/>
            <w:vAlign w:val="center"/>
          </w:tcPr>
          <w:p w14:paraId="1C4A734F">
            <w:pPr>
              <w:widowControl/>
              <w:jc w:val="left"/>
              <w:textAlignment w:val="center"/>
              <w:rPr>
                <w:rFonts w:ascii="宋体" w:hAnsi="宋体" w:cs="宋体"/>
                <w:sz w:val="24"/>
              </w:rPr>
            </w:pPr>
            <w:r>
              <w:rPr>
                <w:rFonts w:hint="eastAsia" w:ascii="宋体" w:hAnsi="宋体" w:cs="宋体"/>
                <w:sz w:val="24"/>
              </w:rPr>
              <w:t>1、符合XF 633-2006《消防员抢险救援防护服装》标准和17统型款要求；</w:t>
            </w:r>
          </w:p>
          <w:p w14:paraId="16AECA25">
            <w:pPr>
              <w:widowControl/>
              <w:jc w:val="left"/>
              <w:textAlignment w:val="center"/>
              <w:rPr>
                <w:rFonts w:ascii="宋体" w:hAnsi="宋体" w:cs="宋体"/>
                <w:sz w:val="24"/>
              </w:rPr>
            </w:pPr>
            <w:r>
              <w:rPr>
                <w:rFonts w:hint="eastAsia" w:ascii="宋体" w:hAnsi="宋体" w:cs="宋体"/>
                <w:sz w:val="24"/>
              </w:rPr>
              <w:t>2、手套采用3D立体设计，符合人体手型自然弯曲，手掌指尖一片式翻转手指背，手套为五指分离式，整体色调为橘红色/黄色。具有有阻燃、防滑、防割、摩擦力强等性能；</w:t>
            </w:r>
          </w:p>
          <w:p w14:paraId="5D312D2B">
            <w:pPr>
              <w:widowControl/>
              <w:jc w:val="left"/>
              <w:textAlignment w:val="center"/>
              <w:rPr>
                <w:rFonts w:ascii="宋体" w:hAnsi="宋体" w:cs="宋体"/>
                <w:sz w:val="24"/>
              </w:rPr>
            </w:pPr>
            <w:r>
              <w:rPr>
                <w:rFonts w:hint="eastAsia" w:ascii="宋体" w:hAnsi="宋体" w:cs="宋体"/>
                <w:sz w:val="24"/>
              </w:rPr>
              <w:t>3.技术</w:t>
            </w:r>
          </w:p>
          <w:p w14:paraId="484C357F">
            <w:pPr>
              <w:widowControl/>
              <w:jc w:val="left"/>
              <w:textAlignment w:val="center"/>
              <w:rPr>
                <w:rFonts w:ascii="宋体" w:hAnsi="宋体" w:cs="宋体"/>
                <w:sz w:val="24"/>
              </w:rPr>
            </w:pPr>
            <w:r>
              <w:rPr>
                <w:rFonts w:hint="eastAsia" w:ascii="宋体" w:hAnsi="宋体" w:cs="宋体"/>
                <w:sz w:val="24"/>
              </w:rPr>
              <w:t>3.1袖口采用内扣收缩式，有效防止碎屑瓦砾等小颗粒物进入。</w:t>
            </w:r>
          </w:p>
          <w:p w14:paraId="02821D1F">
            <w:pPr>
              <w:widowControl/>
              <w:jc w:val="left"/>
              <w:textAlignment w:val="center"/>
              <w:rPr>
                <w:rFonts w:ascii="宋体" w:hAnsi="宋体" w:cs="宋体"/>
                <w:sz w:val="24"/>
              </w:rPr>
            </w:pPr>
            <w:r>
              <w:rPr>
                <w:rFonts w:hint="eastAsia" w:ascii="宋体" w:hAnsi="宋体" w:cs="宋体"/>
                <w:sz w:val="24"/>
              </w:rPr>
              <w:t>3.2手掌结构：内层为芳纶针织布。外层用牛皮头层反绒或耐磨阻燃超纤加强。</w:t>
            </w:r>
          </w:p>
          <w:p w14:paraId="539C2EA9">
            <w:pPr>
              <w:widowControl/>
              <w:jc w:val="left"/>
              <w:textAlignment w:val="center"/>
              <w:rPr>
                <w:rFonts w:ascii="宋体" w:hAnsi="宋体" w:cs="宋体"/>
                <w:sz w:val="24"/>
              </w:rPr>
            </w:pPr>
            <w:r>
              <w:rPr>
                <w:rFonts w:hint="eastAsia" w:ascii="宋体" w:hAnsi="宋体" w:cs="宋体"/>
                <w:sz w:val="24"/>
              </w:rPr>
              <w:t>3.3手背结构：采用对位芳纶和间对位芳纶双面针织布，阻燃，耐切割，舒适透气，适合长时间穿戴。</w:t>
            </w:r>
          </w:p>
          <w:p w14:paraId="3A1F1114">
            <w:pPr>
              <w:widowControl/>
              <w:jc w:val="left"/>
              <w:textAlignment w:val="center"/>
              <w:rPr>
                <w:rFonts w:ascii="宋体" w:hAnsi="宋体" w:cs="宋体"/>
                <w:sz w:val="24"/>
              </w:rPr>
            </w:pPr>
            <w:r>
              <w:rPr>
                <w:rFonts w:hint="eastAsia" w:ascii="宋体" w:hAnsi="宋体" w:cs="宋体"/>
                <w:sz w:val="24"/>
              </w:rPr>
              <w:t>3.4袖口结构：手掌、手背整片与插入的圆形内置䄂口，外加一条与手背完全一致的材料包边，缝线到袖口距离10mm±5mm。</w:t>
            </w:r>
          </w:p>
          <w:p w14:paraId="02889114">
            <w:pPr>
              <w:widowControl/>
              <w:jc w:val="left"/>
              <w:textAlignment w:val="center"/>
              <w:rPr>
                <w:rFonts w:ascii="宋体" w:hAnsi="宋体" w:cs="宋体"/>
                <w:sz w:val="24"/>
              </w:rPr>
            </w:pPr>
            <w:r>
              <w:rPr>
                <w:rFonts w:hint="eastAsia" w:ascii="宋体" w:hAnsi="宋体" w:cs="宋体"/>
                <w:sz w:val="24"/>
              </w:rPr>
              <w:t>3.5救援手套应与救援服的袖口配套。</w:t>
            </w:r>
          </w:p>
          <w:p w14:paraId="78346E59">
            <w:pPr>
              <w:widowControl/>
              <w:jc w:val="left"/>
              <w:textAlignment w:val="center"/>
              <w:rPr>
                <w:rFonts w:ascii="宋体" w:hAnsi="宋体" w:cs="宋体"/>
                <w:sz w:val="24"/>
              </w:rPr>
            </w:pPr>
            <w:r>
              <w:rPr>
                <w:rFonts w:hint="eastAsia" w:ascii="宋体" w:hAnsi="宋体" w:cs="宋体"/>
                <w:sz w:val="24"/>
              </w:rPr>
              <w:t>3.6标签和附件都不应对救援手套的性能带来不利影响或对救援手套穿戴者造成危害。</w:t>
            </w:r>
          </w:p>
          <w:p w14:paraId="0BD5844E">
            <w:pPr>
              <w:widowControl/>
              <w:jc w:val="left"/>
              <w:textAlignment w:val="center"/>
              <w:rPr>
                <w:rFonts w:ascii="宋体" w:hAnsi="宋体" w:cs="宋体"/>
                <w:sz w:val="24"/>
              </w:rPr>
            </w:pPr>
            <w:r>
              <w:rPr>
                <w:rFonts w:hint="eastAsia" w:ascii="宋体" w:hAnsi="宋体" w:cs="宋体"/>
                <w:sz w:val="24"/>
              </w:rPr>
              <w:t>4、技术性能</w:t>
            </w:r>
          </w:p>
          <w:p w14:paraId="7D940930">
            <w:pPr>
              <w:widowControl/>
              <w:jc w:val="left"/>
              <w:textAlignment w:val="center"/>
              <w:rPr>
                <w:rFonts w:ascii="宋体" w:hAnsi="宋体" w:cs="宋体"/>
                <w:sz w:val="24"/>
              </w:rPr>
            </w:pPr>
            <w:r>
              <w:rPr>
                <w:rFonts w:hint="eastAsia" w:ascii="宋体" w:hAnsi="宋体" w:cs="宋体"/>
                <w:sz w:val="24"/>
              </w:rPr>
              <w:t>4.1阻燃性能：手套和袖筒外层材质的损毁长度≤100mm，续燃时间≤2s，且无熔融、滴落现象；</w:t>
            </w:r>
          </w:p>
          <w:p w14:paraId="05E0F72E">
            <w:pPr>
              <w:widowControl/>
              <w:jc w:val="left"/>
              <w:textAlignment w:val="center"/>
              <w:rPr>
                <w:rFonts w:ascii="宋体" w:hAnsi="宋体" w:cs="宋体"/>
                <w:sz w:val="24"/>
              </w:rPr>
            </w:pPr>
            <w:r>
              <w:rPr>
                <w:rFonts w:hint="eastAsia" w:ascii="宋体" w:hAnsi="宋体" w:cs="宋体"/>
                <w:sz w:val="24"/>
              </w:rPr>
              <w:t>4.2热稳定性能：在180℃±5℃环境中放置5min后，外层收缩率≤5%，且无明显变化；</w:t>
            </w:r>
          </w:p>
          <w:p w14:paraId="382E06CB">
            <w:pPr>
              <w:widowControl/>
              <w:jc w:val="left"/>
              <w:textAlignment w:val="center"/>
              <w:rPr>
                <w:rFonts w:ascii="宋体" w:hAnsi="宋体" w:cs="宋体"/>
                <w:sz w:val="24"/>
              </w:rPr>
            </w:pPr>
            <w:r>
              <w:rPr>
                <w:rFonts w:hint="eastAsia" w:ascii="宋体" w:hAnsi="宋体" w:cs="宋体"/>
                <w:sz w:val="24"/>
              </w:rPr>
              <w:t>4.3耐磨性能：掌心位置用粒度100目的砂纸，在9kPa压力下，经5000次循环摩擦后，不被磨穿；</w:t>
            </w:r>
          </w:p>
          <w:p w14:paraId="229E443B">
            <w:pPr>
              <w:widowControl/>
              <w:jc w:val="left"/>
              <w:textAlignment w:val="center"/>
              <w:rPr>
                <w:rFonts w:ascii="宋体" w:hAnsi="宋体" w:cs="宋体"/>
                <w:sz w:val="24"/>
              </w:rPr>
            </w:pPr>
            <w:r>
              <w:rPr>
                <w:rFonts w:hint="eastAsia" w:ascii="宋体" w:hAnsi="宋体" w:cs="宋体"/>
                <w:sz w:val="24"/>
              </w:rPr>
              <w:t>4.4割破力：掌心、背面≥5N；</w:t>
            </w:r>
          </w:p>
          <w:p w14:paraId="784F4A27">
            <w:pPr>
              <w:widowControl/>
              <w:jc w:val="left"/>
              <w:textAlignment w:val="center"/>
              <w:rPr>
                <w:rFonts w:ascii="宋体" w:hAnsi="宋体" w:cs="宋体"/>
                <w:sz w:val="24"/>
              </w:rPr>
            </w:pPr>
            <w:r>
              <w:rPr>
                <w:rFonts w:hint="eastAsia" w:ascii="宋体" w:hAnsi="宋体" w:cs="宋体"/>
                <w:sz w:val="24"/>
              </w:rPr>
              <w:t>4.5撕破强力：掌心、背面≥70N；</w:t>
            </w:r>
          </w:p>
          <w:p w14:paraId="3D3DF92F">
            <w:pPr>
              <w:widowControl/>
              <w:jc w:val="left"/>
              <w:textAlignment w:val="center"/>
              <w:rPr>
                <w:rFonts w:ascii="宋体" w:hAnsi="宋体" w:cs="宋体"/>
                <w:sz w:val="24"/>
              </w:rPr>
            </w:pPr>
            <w:r>
              <w:rPr>
                <w:rFonts w:hint="eastAsia" w:ascii="宋体" w:hAnsi="宋体" w:cs="宋体"/>
                <w:sz w:val="24"/>
              </w:rPr>
              <w:t>4.6刺穿力：掌心、背面≥120N；</w:t>
            </w:r>
          </w:p>
          <w:p w14:paraId="652E6E88">
            <w:pPr>
              <w:widowControl/>
              <w:jc w:val="left"/>
              <w:textAlignment w:val="center"/>
              <w:rPr>
                <w:rFonts w:ascii="宋体" w:hAnsi="宋体" w:cs="宋体"/>
                <w:sz w:val="24"/>
              </w:rPr>
            </w:pPr>
            <w:r>
              <w:rPr>
                <w:rFonts w:hint="eastAsia" w:ascii="宋体" w:hAnsi="宋体" w:cs="宋体"/>
                <w:sz w:val="24"/>
              </w:rPr>
              <w:t>4.7接缝断裂强力：≥350N；</w:t>
            </w:r>
          </w:p>
          <w:p w14:paraId="619857B2">
            <w:pPr>
              <w:widowControl/>
              <w:jc w:val="left"/>
              <w:textAlignment w:val="center"/>
              <w:rPr>
                <w:rFonts w:ascii="宋体" w:hAnsi="宋体" w:cs="宋体"/>
                <w:sz w:val="24"/>
              </w:rPr>
            </w:pPr>
            <w:r>
              <w:rPr>
                <w:rFonts w:hint="eastAsia" w:ascii="宋体" w:hAnsi="宋体" w:cs="宋体"/>
                <w:sz w:val="24"/>
              </w:rPr>
              <w:t>4.8防静电性能：电荷量＜0.6μC</w:t>
            </w:r>
          </w:p>
          <w:p w14:paraId="0C3AD7CA">
            <w:pPr>
              <w:widowControl/>
              <w:jc w:val="left"/>
              <w:textAlignment w:val="center"/>
              <w:rPr>
                <w:rFonts w:ascii="宋体" w:hAnsi="宋体" w:cs="宋体"/>
                <w:sz w:val="24"/>
              </w:rPr>
            </w:pPr>
            <w:r>
              <w:rPr>
                <w:rFonts w:hint="eastAsia" w:ascii="宋体" w:hAnsi="宋体" w:cs="宋体"/>
                <w:sz w:val="24"/>
              </w:rPr>
              <w:t>4.9穿戴时间≤10s；</w:t>
            </w:r>
          </w:p>
          <w:p w14:paraId="25F95995">
            <w:pPr>
              <w:widowControl/>
              <w:jc w:val="left"/>
              <w:textAlignment w:val="center"/>
              <w:rPr>
                <w:rFonts w:ascii="宋体" w:hAnsi="宋体" w:cs="宋体"/>
                <w:sz w:val="24"/>
              </w:rPr>
            </w:pPr>
            <w:r>
              <w:rPr>
                <w:rFonts w:hint="eastAsia" w:ascii="宋体" w:hAnsi="宋体" w:cs="宋体"/>
                <w:sz w:val="24"/>
              </w:rPr>
              <w:t>4.10灵巧性能：徒手控制百分比≤200%；</w:t>
            </w:r>
          </w:p>
          <w:p w14:paraId="2C90834F">
            <w:pPr>
              <w:widowControl/>
              <w:jc w:val="left"/>
              <w:textAlignment w:val="center"/>
              <w:rPr>
                <w:rFonts w:ascii="宋体" w:hAnsi="宋体" w:cs="宋体"/>
                <w:sz w:val="24"/>
              </w:rPr>
            </w:pPr>
            <w:r>
              <w:rPr>
                <w:rFonts w:hint="eastAsia" w:ascii="宋体" w:hAnsi="宋体" w:cs="宋体"/>
                <w:sz w:val="24"/>
              </w:rPr>
              <w:t>4.11抓握性能≥80%；</w:t>
            </w:r>
          </w:p>
          <w:p w14:paraId="56736588">
            <w:pPr>
              <w:widowControl/>
              <w:jc w:val="left"/>
              <w:textAlignment w:val="center"/>
              <w:rPr>
                <w:rFonts w:ascii="宋体" w:hAnsi="宋体" w:cs="宋体"/>
                <w:sz w:val="24"/>
              </w:rPr>
            </w:pPr>
            <w:r>
              <w:rPr>
                <w:rFonts w:hint="eastAsia" w:ascii="宋体" w:hAnsi="宋体" w:cs="宋体"/>
                <w:sz w:val="24"/>
              </w:rPr>
              <w:t>5、具有整体防水性能；</w:t>
            </w:r>
          </w:p>
          <w:p w14:paraId="358E4B06">
            <w:pPr>
              <w:widowControl/>
              <w:jc w:val="left"/>
              <w:textAlignment w:val="center"/>
              <w:rPr>
                <w:rFonts w:ascii="宋体" w:hAnsi="宋体" w:cs="宋体"/>
                <w:sz w:val="24"/>
              </w:rPr>
            </w:pPr>
            <w:r>
              <w:rPr>
                <w:rFonts w:hint="eastAsia" w:ascii="宋体" w:hAnsi="宋体" w:cs="宋体"/>
                <w:sz w:val="24"/>
              </w:rPr>
              <w:t>6、提供第三方检测机构出具的检验报告（原件备查）。</w:t>
            </w:r>
          </w:p>
        </w:tc>
      </w:tr>
      <w:tr w14:paraId="6BC7A5DD">
        <w:tblPrEx>
          <w:tblCellMar>
            <w:top w:w="0" w:type="dxa"/>
            <w:left w:w="108" w:type="dxa"/>
            <w:bottom w:w="0" w:type="dxa"/>
            <w:right w:w="108" w:type="dxa"/>
          </w:tblCellMar>
        </w:tblPrEx>
        <w:trPr>
          <w:trHeight w:val="23" w:hRule="atLeast"/>
          <w:jc w:val="center"/>
        </w:trPr>
        <w:tc>
          <w:tcPr>
            <w:tcW w:w="791" w:type="dxa"/>
            <w:vMerge w:val="continue"/>
            <w:tcBorders>
              <w:left w:val="single" w:color="000000" w:sz="4" w:space="0"/>
              <w:right w:val="single" w:color="000000" w:sz="4" w:space="0"/>
            </w:tcBorders>
            <w:noWrap/>
            <w:vAlign w:val="center"/>
          </w:tcPr>
          <w:p w14:paraId="1F6C2856">
            <w:pPr>
              <w:jc w:val="center"/>
              <w:rPr>
                <w:rFonts w:ascii="宋体" w:hAnsi="宋体" w:cs="宋体"/>
                <w:sz w:val="24"/>
              </w:rPr>
            </w:pP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096710D8">
            <w:pPr>
              <w:widowControl/>
              <w:jc w:val="center"/>
              <w:textAlignment w:val="center"/>
              <w:rPr>
                <w:rFonts w:ascii="宋体" w:hAnsi="宋体" w:cs="宋体"/>
                <w:sz w:val="24"/>
              </w:rPr>
            </w:pPr>
            <w:r>
              <w:rPr>
                <w:rFonts w:hint="eastAsia" w:ascii="宋体" w:hAnsi="宋体" w:cs="宋体"/>
                <w:sz w:val="24"/>
              </w:rPr>
              <w:t>47</w:t>
            </w:r>
          </w:p>
        </w:tc>
        <w:tc>
          <w:tcPr>
            <w:tcW w:w="956" w:type="dxa"/>
            <w:gridSpan w:val="2"/>
            <w:tcBorders>
              <w:top w:val="single" w:color="000000" w:sz="4" w:space="0"/>
              <w:left w:val="single" w:color="000000" w:sz="4" w:space="0"/>
              <w:bottom w:val="single" w:color="000000" w:sz="4" w:space="0"/>
              <w:right w:val="single" w:color="000000" w:sz="4" w:space="0"/>
            </w:tcBorders>
            <w:noWrap/>
            <w:vAlign w:val="center"/>
          </w:tcPr>
          <w:p w14:paraId="35A780E0">
            <w:pPr>
              <w:widowControl/>
              <w:jc w:val="center"/>
              <w:textAlignment w:val="center"/>
              <w:rPr>
                <w:rFonts w:ascii="宋体" w:hAnsi="宋体" w:cs="宋体"/>
                <w:sz w:val="24"/>
              </w:rPr>
            </w:pPr>
            <w:r>
              <w:rPr>
                <w:rFonts w:hint="eastAsia" w:ascii="宋体" w:hAnsi="宋体" w:cs="宋体"/>
                <w:sz w:val="24"/>
              </w:rPr>
              <w:t>抢险救援靴</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491667E3">
            <w:pPr>
              <w:widowControl/>
              <w:jc w:val="center"/>
              <w:textAlignment w:val="center"/>
              <w:rPr>
                <w:rFonts w:ascii="宋体" w:hAnsi="宋体" w:cs="宋体"/>
                <w:sz w:val="24"/>
              </w:rPr>
            </w:pPr>
            <w:r>
              <w:rPr>
                <w:rFonts w:hint="eastAsia" w:ascii="宋体" w:hAnsi="宋体" w:cs="宋体"/>
                <w:sz w:val="24"/>
              </w:rPr>
              <w:t>33</w:t>
            </w:r>
          </w:p>
        </w:tc>
        <w:tc>
          <w:tcPr>
            <w:tcW w:w="6839" w:type="dxa"/>
            <w:tcBorders>
              <w:top w:val="single" w:color="000000" w:sz="4" w:space="0"/>
              <w:left w:val="single" w:color="000000" w:sz="4" w:space="0"/>
              <w:bottom w:val="single" w:color="000000" w:sz="4" w:space="0"/>
              <w:right w:val="single" w:color="000000" w:sz="4" w:space="0"/>
            </w:tcBorders>
            <w:noWrap/>
            <w:vAlign w:val="center"/>
          </w:tcPr>
          <w:p w14:paraId="2149CCC1">
            <w:pPr>
              <w:widowControl/>
              <w:jc w:val="left"/>
              <w:textAlignment w:val="center"/>
              <w:rPr>
                <w:rFonts w:ascii="宋体" w:hAnsi="宋体" w:cs="宋体"/>
                <w:sz w:val="24"/>
              </w:rPr>
            </w:pPr>
            <w:r>
              <w:rPr>
                <w:rFonts w:hint="eastAsia" w:ascii="宋体" w:hAnsi="宋体" w:cs="宋体"/>
                <w:sz w:val="24"/>
              </w:rPr>
              <w:t>1、符合GA633-2006《消防员抢险救援服装》的标准及部局统型要求。</w:t>
            </w:r>
          </w:p>
          <w:p w14:paraId="509BEE31">
            <w:pPr>
              <w:widowControl/>
              <w:jc w:val="left"/>
              <w:textAlignment w:val="center"/>
              <w:rPr>
                <w:rFonts w:ascii="宋体" w:hAnsi="宋体" w:cs="宋体"/>
                <w:sz w:val="24"/>
              </w:rPr>
            </w:pPr>
            <w:r>
              <w:rPr>
                <w:rFonts w:hint="eastAsia" w:ascii="宋体" w:hAnsi="宋体" w:cs="宋体"/>
                <w:sz w:val="24"/>
              </w:rPr>
              <w:t>2、技术性能参数：</w:t>
            </w:r>
          </w:p>
          <w:p w14:paraId="2C6466CB">
            <w:pPr>
              <w:widowControl/>
              <w:jc w:val="left"/>
              <w:textAlignment w:val="center"/>
              <w:rPr>
                <w:rFonts w:ascii="宋体" w:hAnsi="宋体" w:cs="宋体"/>
                <w:sz w:val="24"/>
              </w:rPr>
            </w:pPr>
            <w:r>
              <w:rPr>
                <w:rFonts w:hint="eastAsia" w:ascii="宋体" w:hAnsi="宋体" w:cs="宋体"/>
                <w:sz w:val="24"/>
              </w:rPr>
              <w:t>2.1抢险救援防护靴从靴内后跟中央起至靴口最低处的高度不应低于200 mm；</w:t>
            </w:r>
          </w:p>
          <w:p w14:paraId="35A8A9D9">
            <w:pPr>
              <w:widowControl/>
              <w:jc w:val="left"/>
              <w:textAlignment w:val="center"/>
              <w:rPr>
                <w:rFonts w:ascii="宋体" w:hAnsi="宋体" w:cs="宋体"/>
                <w:sz w:val="24"/>
              </w:rPr>
            </w:pPr>
            <w:r>
              <w:rPr>
                <w:rFonts w:hint="eastAsia" w:ascii="宋体" w:hAnsi="宋体" w:cs="宋体"/>
                <w:sz w:val="24"/>
              </w:rPr>
              <w:t>2.2靴后跟突出高度须在13mm~25mm之间，后跟的倾角须在90°~135°；</w:t>
            </w:r>
          </w:p>
          <w:p w14:paraId="78D6BA0A">
            <w:pPr>
              <w:widowControl/>
              <w:jc w:val="left"/>
              <w:textAlignment w:val="center"/>
              <w:rPr>
                <w:rFonts w:ascii="宋体" w:hAnsi="宋体" w:cs="宋体"/>
                <w:sz w:val="24"/>
              </w:rPr>
            </w:pPr>
            <w:r>
              <w:rPr>
                <w:rFonts w:hint="eastAsia" w:ascii="宋体" w:hAnsi="宋体" w:cs="宋体"/>
                <w:sz w:val="24"/>
              </w:rPr>
              <w:t>2.3靴头保护包头深度从靴尖量起≥50mm；</w:t>
            </w:r>
          </w:p>
          <w:p w14:paraId="3DEF56A6">
            <w:pPr>
              <w:widowControl/>
              <w:jc w:val="left"/>
              <w:textAlignment w:val="center"/>
              <w:rPr>
                <w:rFonts w:ascii="宋体" w:hAnsi="宋体" w:cs="宋体"/>
                <w:sz w:val="24"/>
              </w:rPr>
            </w:pPr>
            <w:r>
              <w:rPr>
                <w:rFonts w:hint="eastAsia" w:ascii="宋体" w:hAnsi="宋体" w:cs="宋体"/>
                <w:sz w:val="24"/>
              </w:rPr>
              <w:t>2.4扯断强度：外底≥10MPa；</w:t>
            </w:r>
          </w:p>
          <w:p w14:paraId="0BD59728">
            <w:pPr>
              <w:widowControl/>
              <w:jc w:val="left"/>
              <w:textAlignment w:val="center"/>
              <w:rPr>
                <w:rFonts w:ascii="宋体" w:hAnsi="宋体" w:cs="宋体"/>
                <w:sz w:val="24"/>
              </w:rPr>
            </w:pPr>
            <w:r>
              <w:rPr>
                <w:rFonts w:hint="eastAsia" w:ascii="宋体" w:hAnsi="宋体" w:cs="宋体"/>
                <w:sz w:val="24"/>
              </w:rPr>
              <w:t>2.5扯断伸长率：≥380；</w:t>
            </w:r>
          </w:p>
          <w:p w14:paraId="4CD8961C">
            <w:pPr>
              <w:widowControl/>
              <w:jc w:val="left"/>
              <w:textAlignment w:val="center"/>
              <w:rPr>
                <w:rFonts w:ascii="宋体" w:hAnsi="宋体" w:cs="宋体"/>
                <w:sz w:val="24"/>
              </w:rPr>
            </w:pPr>
            <w:r>
              <w:rPr>
                <w:rFonts w:hint="eastAsia" w:ascii="宋体" w:hAnsi="宋体" w:cs="宋体"/>
                <w:sz w:val="24"/>
              </w:rPr>
              <w:t>▲2.6抗张强度：≥15N/mm²；</w:t>
            </w:r>
          </w:p>
          <w:p w14:paraId="74E5AC21">
            <w:pPr>
              <w:widowControl/>
              <w:jc w:val="left"/>
              <w:textAlignment w:val="center"/>
              <w:rPr>
                <w:rFonts w:ascii="宋体" w:hAnsi="宋体" w:cs="宋体"/>
                <w:sz w:val="24"/>
              </w:rPr>
            </w:pPr>
            <w:r>
              <w:rPr>
                <w:rFonts w:hint="eastAsia" w:ascii="宋体" w:hAnsi="宋体" w:cs="宋体"/>
                <w:sz w:val="24"/>
              </w:rPr>
              <w:t>▲2.7撕裂强度：≥60N/mm；</w:t>
            </w:r>
          </w:p>
          <w:p w14:paraId="2715754B">
            <w:pPr>
              <w:widowControl/>
              <w:jc w:val="left"/>
              <w:textAlignment w:val="center"/>
              <w:rPr>
                <w:rFonts w:ascii="宋体" w:hAnsi="宋体" w:cs="宋体"/>
                <w:sz w:val="24"/>
              </w:rPr>
            </w:pPr>
            <w:r>
              <w:rPr>
                <w:rFonts w:hint="eastAsia" w:ascii="宋体" w:hAnsi="宋体" w:cs="宋体"/>
                <w:sz w:val="24"/>
              </w:rPr>
              <w:t>2.8靴帮抗刺穿力：≥45N；</w:t>
            </w:r>
          </w:p>
          <w:p w14:paraId="33D9F1C7">
            <w:pPr>
              <w:widowControl/>
              <w:jc w:val="left"/>
              <w:textAlignment w:val="center"/>
              <w:rPr>
                <w:rFonts w:ascii="宋体" w:hAnsi="宋体" w:cs="宋体"/>
                <w:sz w:val="24"/>
              </w:rPr>
            </w:pPr>
            <w:r>
              <w:rPr>
                <w:rFonts w:hint="eastAsia" w:ascii="宋体" w:hAnsi="宋体" w:cs="宋体"/>
                <w:sz w:val="24"/>
              </w:rPr>
              <w:t>▲2.9靴底抗刺穿力：≥1100N；</w:t>
            </w:r>
          </w:p>
          <w:p w14:paraId="0CB3027D">
            <w:pPr>
              <w:widowControl/>
              <w:jc w:val="left"/>
              <w:textAlignment w:val="center"/>
              <w:rPr>
                <w:rFonts w:ascii="宋体" w:hAnsi="宋体" w:cs="宋体"/>
                <w:sz w:val="24"/>
              </w:rPr>
            </w:pPr>
            <w:r>
              <w:rPr>
                <w:rFonts w:hint="eastAsia" w:ascii="宋体" w:hAnsi="宋体" w:cs="宋体"/>
                <w:sz w:val="24"/>
              </w:rPr>
              <w:t>▲2.10电绝缘性能：≥5000V，泄露电流≤3mA；</w:t>
            </w:r>
          </w:p>
          <w:p w14:paraId="340A4506">
            <w:pPr>
              <w:widowControl/>
              <w:jc w:val="left"/>
              <w:textAlignment w:val="center"/>
              <w:rPr>
                <w:rFonts w:ascii="宋体" w:hAnsi="宋体" w:cs="宋体"/>
                <w:sz w:val="24"/>
              </w:rPr>
            </w:pPr>
            <w:r>
              <w:rPr>
                <w:rFonts w:hint="eastAsia" w:ascii="宋体" w:hAnsi="宋体" w:cs="宋体"/>
                <w:sz w:val="24"/>
              </w:rPr>
              <w:t>▲2.11阻燃性能：损毁长度≤100mm，有焰燃烧≤2s；</w:t>
            </w:r>
          </w:p>
          <w:p w14:paraId="2400E31A">
            <w:pPr>
              <w:widowControl/>
              <w:jc w:val="left"/>
              <w:textAlignment w:val="center"/>
              <w:rPr>
                <w:rFonts w:ascii="宋体" w:hAnsi="宋体" w:cs="宋体"/>
                <w:sz w:val="24"/>
              </w:rPr>
            </w:pPr>
            <w:r>
              <w:rPr>
                <w:rFonts w:hint="eastAsia" w:ascii="宋体" w:hAnsi="宋体" w:cs="宋体"/>
                <w:sz w:val="24"/>
              </w:rPr>
              <w:t>3、质量：≤3kg；</w:t>
            </w:r>
          </w:p>
          <w:p w14:paraId="0A5FFFF4">
            <w:pPr>
              <w:widowControl/>
              <w:jc w:val="left"/>
              <w:textAlignment w:val="center"/>
              <w:rPr>
                <w:rFonts w:ascii="宋体" w:hAnsi="宋体" w:cs="宋体"/>
                <w:sz w:val="24"/>
              </w:rPr>
            </w:pPr>
            <w:r>
              <w:rPr>
                <w:rFonts w:hint="eastAsia" w:ascii="宋体" w:hAnsi="宋体" w:cs="宋体"/>
                <w:sz w:val="24"/>
              </w:rPr>
              <w:t>4、提供第三方检测机构出具的检验报告（原件备查）</w:t>
            </w:r>
          </w:p>
        </w:tc>
      </w:tr>
      <w:tr w14:paraId="5BD44DA2">
        <w:tblPrEx>
          <w:tblCellMar>
            <w:top w:w="0" w:type="dxa"/>
            <w:left w:w="108" w:type="dxa"/>
            <w:bottom w:w="0" w:type="dxa"/>
            <w:right w:w="108" w:type="dxa"/>
          </w:tblCellMar>
        </w:tblPrEx>
        <w:trPr>
          <w:trHeight w:val="23" w:hRule="atLeast"/>
          <w:jc w:val="center"/>
        </w:trPr>
        <w:tc>
          <w:tcPr>
            <w:tcW w:w="791" w:type="dxa"/>
            <w:vMerge w:val="continue"/>
            <w:tcBorders>
              <w:left w:val="single" w:color="000000" w:sz="4" w:space="0"/>
              <w:right w:val="single" w:color="000000" w:sz="4" w:space="0"/>
            </w:tcBorders>
            <w:noWrap/>
            <w:vAlign w:val="center"/>
          </w:tcPr>
          <w:p w14:paraId="783BB7DD">
            <w:pPr>
              <w:jc w:val="center"/>
              <w:rPr>
                <w:rFonts w:ascii="宋体" w:hAnsi="宋体" w:cs="宋体"/>
                <w:sz w:val="24"/>
              </w:rPr>
            </w:pP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178D25AF">
            <w:pPr>
              <w:widowControl/>
              <w:jc w:val="center"/>
              <w:textAlignment w:val="center"/>
              <w:rPr>
                <w:rFonts w:ascii="宋体" w:hAnsi="宋体" w:cs="宋体"/>
                <w:sz w:val="24"/>
              </w:rPr>
            </w:pPr>
            <w:r>
              <w:rPr>
                <w:rFonts w:hint="eastAsia" w:ascii="宋体" w:hAnsi="宋体" w:cs="宋体"/>
                <w:sz w:val="24"/>
              </w:rPr>
              <w:t>48</w:t>
            </w:r>
          </w:p>
        </w:tc>
        <w:tc>
          <w:tcPr>
            <w:tcW w:w="956" w:type="dxa"/>
            <w:gridSpan w:val="2"/>
            <w:tcBorders>
              <w:top w:val="single" w:color="000000" w:sz="4" w:space="0"/>
              <w:left w:val="single" w:color="000000" w:sz="4" w:space="0"/>
              <w:bottom w:val="single" w:color="000000" w:sz="4" w:space="0"/>
              <w:right w:val="single" w:color="000000" w:sz="4" w:space="0"/>
            </w:tcBorders>
            <w:noWrap/>
            <w:vAlign w:val="center"/>
          </w:tcPr>
          <w:p w14:paraId="1267AF7A">
            <w:pPr>
              <w:widowControl/>
              <w:jc w:val="center"/>
              <w:textAlignment w:val="center"/>
              <w:rPr>
                <w:rFonts w:ascii="宋体" w:hAnsi="宋体" w:cs="宋体"/>
                <w:sz w:val="24"/>
              </w:rPr>
            </w:pPr>
            <w:r>
              <w:rPr>
                <w:rFonts w:hint="eastAsia" w:ascii="宋体" w:hAnsi="宋体" w:cs="宋体"/>
                <w:sz w:val="24"/>
              </w:rPr>
              <w:t>消防员灭火防护头套</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514B910D">
            <w:pPr>
              <w:widowControl/>
              <w:jc w:val="center"/>
              <w:textAlignment w:val="center"/>
              <w:rPr>
                <w:rFonts w:ascii="宋体" w:hAnsi="宋体" w:cs="宋体"/>
                <w:sz w:val="24"/>
              </w:rPr>
            </w:pPr>
            <w:r>
              <w:rPr>
                <w:rFonts w:hint="eastAsia" w:ascii="宋体" w:hAnsi="宋体" w:cs="宋体"/>
                <w:sz w:val="24"/>
              </w:rPr>
              <w:t>28</w:t>
            </w:r>
          </w:p>
        </w:tc>
        <w:tc>
          <w:tcPr>
            <w:tcW w:w="6839" w:type="dxa"/>
            <w:tcBorders>
              <w:top w:val="single" w:color="000000" w:sz="4" w:space="0"/>
              <w:left w:val="single" w:color="000000" w:sz="4" w:space="0"/>
              <w:bottom w:val="single" w:color="000000" w:sz="4" w:space="0"/>
              <w:right w:val="single" w:color="000000" w:sz="4" w:space="0"/>
            </w:tcBorders>
            <w:noWrap/>
            <w:vAlign w:val="center"/>
          </w:tcPr>
          <w:p w14:paraId="5B974AE2">
            <w:pPr>
              <w:widowControl/>
              <w:jc w:val="left"/>
              <w:textAlignment w:val="center"/>
              <w:rPr>
                <w:rFonts w:ascii="宋体" w:hAnsi="宋体" w:cs="宋体"/>
                <w:sz w:val="24"/>
              </w:rPr>
            </w:pPr>
            <w:r>
              <w:rPr>
                <w:rFonts w:hint="eastAsia" w:ascii="宋体" w:hAnsi="宋体" w:cs="宋体"/>
                <w:sz w:val="24"/>
              </w:rPr>
              <w:t>1、产品符合XF869-2010《消防员灭火防护头套》、TFRI-ZY-16:2020《消防产品自愿性认证实施规则消防员个人防护装备产品》标准要求；</w:t>
            </w:r>
          </w:p>
          <w:p w14:paraId="3AF16A1A">
            <w:pPr>
              <w:widowControl/>
              <w:jc w:val="left"/>
              <w:textAlignment w:val="center"/>
              <w:rPr>
                <w:rFonts w:ascii="宋体" w:hAnsi="宋体" w:cs="宋体"/>
                <w:sz w:val="24"/>
              </w:rPr>
            </w:pPr>
            <w:r>
              <w:rPr>
                <w:rFonts w:hint="eastAsia" w:ascii="宋体" w:hAnsi="宋体" w:cs="宋体"/>
                <w:sz w:val="24"/>
              </w:rPr>
              <w:t>2、头套前部与防护服领口内重叠的长度(mm)≥200，头套后部与防护服领口内重叠的长度(mm)≥200，头套侧部与防护服领口内重叠的长度(mm)≥130；</w:t>
            </w:r>
          </w:p>
          <w:p w14:paraId="025D33FC">
            <w:pPr>
              <w:widowControl/>
              <w:jc w:val="left"/>
              <w:textAlignment w:val="center"/>
              <w:rPr>
                <w:rFonts w:ascii="宋体" w:hAnsi="宋体" w:cs="宋体"/>
                <w:sz w:val="24"/>
              </w:rPr>
            </w:pPr>
            <w:r>
              <w:rPr>
                <w:rFonts w:hint="eastAsia" w:ascii="宋体" w:hAnsi="宋体" w:cs="宋体"/>
                <w:sz w:val="24"/>
              </w:rPr>
              <w:t>3、阻燃性能：经向续燃时间≤2s，损毁长度≤20mm，纬向续燃时间≤2s，损毁长度≤20mm，不应有熔融、滴落现象；</w:t>
            </w:r>
          </w:p>
          <w:p w14:paraId="76E77AA5">
            <w:pPr>
              <w:widowControl/>
              <w:jc w:val="left"/>
              <w:textAlignment w:val="center"/>
              <w:rPr>
                <w:rFonts w:ascii="宋体" w:hAnsi="宋体" w:cs="宋体"/>
                <w:sz w:val="24"/>
              </w:rPr>
            </w:pPr>
            <w:r>
              <w:rPr>
                <w:rFonts w:hint="eastAsia" w:ascii="宋体" w:hAnsi="宋体" w:cs="宋体"/>
                <w:sz w:val="24"/>
              </w:rPr>
              <w:t>4、热稳定性能尺寸变化率直向、横向≤10%，无变色、熔融和滴落现象；</w:t>
            </w:r>
          </w:p>
          <w:p w14:paraId="24926927">
            <w:pPr>
              <w:widowControl/>
              <w:jc w:val="left"/>
              <w:textAlignment w:val="center"/>
              <w:rPr>
                <w:rFonts w:ascii="宋体" w:hAnsi="宋体" w:cs="宋体"/>
                <w:sz w:val="24"/>
              </w:rPr>
            </w:pPr>
            <w:r>
              <w:rPr>
                <w:rFonts w:hint="eastAsia" w:ascii="宋体" w:hAnsi="宋体" w:cs="宋体"/>
                <w:sz w:val="24"/>
              </w:rPr>
              <w:t>5、抗起球性能(级)≥3；</w:t>
            </w:r>
          </w:p>
          <w:p w14:paraId="0A3505A1">
            <w:pPr>
              <w:widowControl/>
              <w:jc w:val="left"/>
              <w:textAlignment w:val="center"/>
              <w:rPr>
                <w:rFonts w:ascii="宋体" w:hAnsi="宋体" w:cs="宋体"/>
                <w:sz w:val="24"/>
              </w:rPr>
            </w:pPr>
            <w:r>
              <w:rPr>
                <w:rFonts w:hint="eastAsia" w:ascii="宋体" w:hAnsi="宋体" w:cs="宋体"/>
                <w:sz w:val="24"/>
              </w:rPr>
              <w:t>6、水洗尺寸变化率(%)直向、横向：≤5；</w:t>
            </w:r>
          </w:p>
          <w:p w14:paraId="0814CFE1">
            <w:pPr>
              <w:widowControl/>
              <w:jc w:val="left"/>
              <w:textAlignment w:val="center"/>
              <w:rPr>
                <w:rFonts w:ascii="宋体" w:hAnsi="宋体" w:cs="宋体"/>
                <w:sz w:val="24"/>
              </w:rPr>
            </w:pPr>
            <w:r>
              <w:rPr>
                <w:rFonts w:hint="eastAsia" w:ascii="宋体" w:hAnsi="宋体" w:cs="宋体"/>
                <w:sz w:val="24"/>
              </w:rPr>
              <w:t>7、甲醛含量(mg/kg)：≤10；</w:t>
            </w:r>
          </w:p>
          <w:p w14:paraId="4C807B7A">
            <w:pPr>
              <w:widowControl/>
              <w:jc w:val="left"/>
              <w:textAlignment w:val="center"/>
              <w:rPr>
                <w:rFonts w:ascii="宋体" w:hAnsi="宋体" w:cs="宋体"/>
                <w:sz w:val="24"/>
              </w:rPr>
            </w:pPr>
            <w:r>
              <w:rPr>
                <w:rFonts w:hint="eastAsia" w:ascii="宋体" w:hAnsi="宋体" w:cs="宋体"/>
                <w:sz w:val="24"/>
              </w:rPr>
              <w:t>8、单位面积质量（g/㎡）≥200；</w:t>
            </w:r>
          </w:p>
          <w:p w14:paraId="04B2E4F3">
            <w:pPr>
              <w:widowControl/>
              <w:jc w:val="left"/>
              <w:textAlignment w:val="center"/>
              <w:rPr>
                <w:rFonts w:ascii="宋体" w:hAnsi="宋体" w:cs="宋体"/>
                <w:sz w:val="24"/>
              </w:rPr>
            </w:pPr>
            <w:r>
              <w:rPr>
                <w:rFonts w:hint="eastAsia" w:ascii="宋体" w:hAnsi="宋体" w:cs="宋体"/>
                <w:sz w:val="24"/>
              </w:rPr>
              <w:t>9、接缝强力(N)：≥850；</w:t>
            </w:r>
          </w:p>
          <w:p w14:paraId="4CDB907B">
            <w:pPr>
              <w:widowControl/>
              <w:jc w:val="left"/>
              <w:textAlignment w:val="center"/>
              <w:rPr>
                <w:rFonts w:ascii="宋体" w:hAnsi="宋体" w:cs="宋体"/>
                <w:sz w:val="24"/>
              </w:rPr>
            </w:pPr>
            <w:r>
              <w:rPr>
                <w:rFonts w:hint="eastAsia" w:ascii="宋体" w:hAnsi="宋体" w:cs="宋体"/>
                <w:sz w:val="24"/>
              </w:rPr>
              <w:t>10、针距密度(针/3cm)：≥12；</w:t>
            </w:r>
          </w:p>
          <w:p w14:paraId="3DF7ECB6">
            <w:pPr>
              <w:widowControl/>
              <w:jc w:val="left"/>
              <w:textAlignment w:val="center"/>
              <w:rPr>
                <w:rFonts w:ascii="宋体" w:hAnsi="宋体" w:cs="宋体"/>
                <w:sz w:val="24"/>
              </w:rPr>
            </w:pPr>
            <w:r>
              <w:rPr>
                <w:rFonts w:hint="eastAsia" w:ascii="宋体" w:hAnsi="宋体" w:cs="宋体"/>
                <w:sz w:val="24"/>
              </w:rPr>
              <w:t>11、质量(g)：≤150g；</w:t>
            </w:r>
          </w:p>
        </w:tc>
      </w:tr>
      <w:tr w14:paraId="028A9B9F">
        <w:tblPrEx>
          <w:tblCellMar>
            <w:top w:w="0" w:type="dxa"/>
            <w:left w:w="108" w:type="dxa"/>
            <w:bottom w:w="0" w:type="dxa"/>
            <w:right w:w="108" w:type="dxa"/>
          </w:tblCellMar>
        </w:tblPrEx>
        <w:trPr>
          <w:trHeight w:val="23" w:hRule="atLeast"/>
          <w:jc w:val="center"/>
        </w:trPr>
        <w:tc>
          <w:tcPr>
            <w:tcW w:w="791" w:type="dxa"/>
            <w:vMerge w:val="continue"/>
            <w:tcBorders>
              <w:left w:val="single" w:color="000000" w:sz="4" w:space="0"/>
              <w:right w:val="single" w:color="000000" w:sz="4" w:space="0"/>
            </w:tcBorders>
            <w:noWrap/>
            <w:vAlign w:val="center"/>
          </w:tcPr>
          <w:p w14:paraId="77C80F96">
            <w:pPr>
              <w:jc w:val="center"/>
              <w:rPr>
                <w:rFonts w:ascii="宋体" w:hAnsi="宋体" w:cs="宋体"/>
                <w:sz w:val="24"/>
              </w:rPr>
            </w:pP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41B90015">
            <w:pPr>
              <w:widowControl/>
              <w:jc w:val="center"/>
              <w:textAlignment w:val="center"/>
              <w:rPr>
                <w:rFonts w:ascii="宋体" w:hAnsi="宋体" w:cs="宋体"/>
                <w:sz w:val="24"/>
              </w:rPr>
            </w:pPr>
            <w:r>
              <w:rPr>
                <w:rFonts w:hint="eastAsia" w:ascii="宋体" w:hAnsi="宋体" w:cs="宋体"/>
                <w:sz w:val="24"/>
              </w:rPr>
              <w:t>49</w:t>
            </w:r>
          </w:p>
        </w:tc>
        <w:tc>
          <w:tcPr>
            <w:tcW w:w="956" w:type="dxa"/>
            <w:gridSpan w:val="2"/>
            <w:tcBorders>
              <w:top w:val="single" w:color="000000" w:sz="4" w:space="0"/>
              <w:left w:val="single" w:color="000000" w:sz="4" w:space="0"/>
              <w:bottom w:val="single" w:color="000000" w:sz="4" w:space="0"/>
              <w:right w:val="single" w:color="000000" w:sz="4" w:space="0"/>
            </w:tcBorders>
            <w:noWrap/>
            <w:vAlign w:val="center"/>
          </w:tcPr>
          <w:p w14:paraId="1CC2A915">
            <w:pPr>
              <w:widowControl/>
              <w:jc w:val="center"/>
              <w:textAlignment w:val="center"/>
              <w:rPr>
                <w:rFonts w:ascii="宋体" w:hAnsi="宋体" w:cs="宋体"/>
                <w:sz w:val="24"/>
              </w:rPr>
            </w:pPr>
            <w:r>
              <w:rPr>
                <w:rFonts w:hint="eastAsia" w:ascii="宋体" w:hAnsi="宋体" w:cs="宋体"/>
                <w:sz w:val="24"/>
              </w:rPr>
              <w:t>消防坐式半身安全吊或消防全身式安全吊带</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37879EEB">
            <w:pPr>
              <w:widowControl/>
              <w:jc w:val="center"/>
              <w:textAlignment w:val="center"/>
              <w:rPr>
                <w:rFonts w:ascii="宋体" w:hAnsi="宋体" w:cs="宋体"/>
                <w:sz w:val="24"/>
              </w:rPr>
            </w:pPr>
            <w:r>
              <w:rPr>
                <w:rFonts w:hint="eastAsia" w:ascii="宋体" w:hAnsi="宋体" w:cs="宋体"/>
                <w:sz w:val="24"/>
              </w:rPr>
              <w:t>8</w:t>
            </w:r>
          </w:p>
        </w:tc>
        <w:tc>
          <w:tcPr>
            <w:tcW w:w="6839" w:type="dxa"/>
            <w:tcBorders>
              <w:top w:val="single" w:color="000000" w:sz="4" w:space="0"/>
              <w:left w:val="single" w:color="000000" w:sz="4" w:space="0"/>
              <w:bottom w:val="single" w:color="000000" w:sz="4" w:space="0"/>
              <w:right w:val="single" w:color="000000" w:sz="4" w:space="0"/>
            </w:tcBorders>
            <w:noWrap/>
            <w:vAlign w:val="center"/>
          </w:tcPr>
          <w:p w14:paraId="13E25FE2">
            <w:pPr>
              <w:widowControl/>
              <w:jc w:val="left"/>
              <w:textAlignment w:val="center"/>
              <w:rPr>
                <w:rFonts w:ascii="宋体" w:hAnsi="宋体" w:cs="宋体"/>
                <w:sz w:val="24"/>
              </w:rPr>
            </w:pPr>
            <w:r>
              <w:rPr>
                <w:rFonts w:hint="eastAsia" w:ascii="宋体" w:hAnsi="宋体" w:cs="宋体"/>
                <w:sz w:val="24"/>
              </w:rPr>
              <w:t xml:space="preserve">1、技术标准：符合XF494-2023《消防用防坠落装备》标准。提供国家消防装备质量检验检测中心出具的检测报告及认证证书。                              2、材质：涤纶高强丝/7075铝合金                                          3、全身安全吊带由织带、前部拉环、后背拉环、后背衬垫、带扣等零部件组成。有5 个挂点，背部、胸部、腹部各一个、腰部 D 型环两个，并附有工具挂环。                                                                      4、安全吊带的承重织带宽度43mm；厚度：1.5mm；金属拉环厚度：10mm ，重量：2kg           </w:t>
            </w:r>
          </w:p>
          <w:p w14:paraId="6D479DAC">
            <w:pPr>
              <w:widowControl/>
              <w:jc w:val="left"/>
              <w:textAlignment w:val="center"/>
              <w:rPr>
                <w:rFonts w:ascii="宋体" w:hAnsi="宋体" w:cs="宋体"/>
                <w:sz w:val="24"/>
              </w:rPr>
            </w:pPr>
            <w:r>
              <w:rPr>
                <w:rFonts w:hint="eastAsia" w:ascii="宋体" w:hAnsi="宋体" w:cs="宋体"/>
                <w:sz w:val="24"/>
              </w:rPr>
              <w:t xml:space="preserve">5、全身型安全吊带上所有承载连接部件应进行正立、倒立和水平方向静拉力试验。试验后安全吊带不应从人体模型上松脱，安全吊带的织带在带扣和调节装置内的滑移距离应不超过 25mm，而且安全吊带不应出现影响其安全性能的明显损伤。                                       </w:t>
            </w:r>
          </w:p>
          <w:p w14:paraId="51F40A21">
            <w:pPr>
              <w:widowControl/>
              <w:jc w:val="left"/>
              <w:textAlignment w:val="center"/>
              <w:rPr>
                <w:rFonts w:ascii="宋体" w:hAnsi="宋体" w:cs="宋体"/>
                <w:sz w:val="24"/>
              </w:rPr>
            </w:pPr>
            <w:r>
              <w:rPr>
                <w:rFonts w:hint="eastAsia" w:ascii="宋体" w:hAnsi="宋体" w:cs="宋体"/>
                <w:sz w:val="24"/>
              </w:rPr>
              <w:t>6、抗冲击性能：安全吊带不出现影响其安全性能的明显损伤。                            7、耐高温性能：经 204℃±5℃的耐高温性能试验后，安全吊带的织带和缝线不出</w:t>
            </w:r>
          </w:p>
          <w:p w14:paraId="14FB7C50">
            <w:pPr>
              <w:widowControl/>
              <w:jc w:val="left"/>
              <w:textAlignment w:val="center"/>
              <w:rPr>
                <w:rFonts w:ascii="宋体" w:hAnsi="宋体" w:cs="宋体"/>
                <w:sz w:val="24"/>
              </w:rPr>
            </w:pPr>
            <w:r>
              <w:rPr>
                <w:rFonts w:hint="eastAsia" w:ascii="宋体" w:hAnsi="宋体" w:cs="宋体"/>
                <w:sz w:val="24"/>
              </w:rPr>
              <w:t xml:space="preserve">现熔融、焦化现象。                                                            8、金属零件经 GB/T 10125 规定的 48h中性盐雾试验后，外观应符合 GB/T6461外观等级评定轻微级的要求。   </w:t>
            </w:r>
          </w:p>
          <w:p w14:paraId="55E7EA69">
            <w:pPr>
              <w:widowControl/>
              <w:jc w:val="left"/>
              <w:textAlignment w:val="center"/>
              <w:rPr>
                <w:rFonts w:ascii="宋体" w:hAnsi="宋体" w:cs="宋体"/>
                <w:sz w:val="24"/>
              </w:rPr>
            </w:pPr>
            <w:r>
              <w:rPr>
                <w:rFonts w:hint="eastAsia" w:ascii="宋体" w:hAnsi="宋体" w:cs="宋体"/>
                <w:sz w:val="24"/>
              </w:rPr>
              <w:t>9、安全带能调节尺寸大小以适合不同体型佩戴。</w:t>
            </w:r>
          </w:p>
        </w:tc>
      </w:tr>
      <w:tr w14:paraId="7AF54C88">
        <w:tblPrEx>
          <w:tblCellMar>
            <w:top w:w="0" w:type="dxa"/>
            <w:left w:w="108" w:type="dxa"/>
            <w:bottom w:w="0" w:type="dxa"/>
            <w:right w:w="108" w:type="dxa"/>
          </w:tblCellMar>
        </w:tblPrEx>
        <w:trPr>
          <w:trHeight w:val="23" w:hRule="atLeast"/>
          <w:jc w:val="center"/>
        </w:trPr>
        <w:tc>
          <w:tcPr>
            <w:tcW w:w="791" w:type="dxa"/>
            <w:vMerge w:val="continue"/>
            <w:tcBorders>
              <w:left w:val="single" w:color="000000" w:sz="4" w:space="0"/>
              <w:right w:val="single" w:color="000000" w:sz="4" w:space="0"/>
            </w:tcBorders>
            <w:noWrap/>
            <w:vAlign w:val="center"/>
          </w:tcPr>
          <w:p w14:paraId="11723B99">
            <w:pPr>
              <w:jc w:val="center"/>
              <w:rPr>
                <w:rFonts w:ascii="宋体" w:hAnsi="宋体" w:cs="宋体"/>
                <w:sz w:val="24"/>
              </w:rPr>
            </w:pP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32D240C8">
            <w:pPr>
              <w:widowControl/>
              <w:jc w:val="center"/>
              <w:textAlignment w:val="center"/>
              <w:rPr>
                <w:rFonts w:ascii="宋体" w:hAnsi="宋体" w:cs="宋体"/>
                <w:sz w:val="24"/>
              </w:rPr>
            </w:pPr>
            <w:r>
              <w:rPr>
                <w:rFonts w:hint="eastAsia" w:ascii="宋体" w:hAnsi="宋体" w:cs="宋体"/>
                <w:sz w:val="24"/>
              </w:rPr>
              <w:t>50</w:t>
            </w:r>
          </w:p>
        </w:tc>
        <w:tc>
          <w:tcPr>
            <w:tcW w:w="956" w:type="dxa"/>
            <w:gridSpan w:val="2"/>
            <w:tcBorders>
              <w:top w:val="single" w:color="000000" w:sz="4" w:space="0"/>
              <w:left w:val="single" w:color="000000" w:sz="4" w:space="0"/>
              <w:bottom w:val="single" w:color="000000" w:sz="4" w:space="0"/>
              <w:right w:val="single" w:color="000000" w:sz="4" w:space="0"/>
            </w:tcBorders>
            <w:noWrap/>
            <w:vAlign w:val="center"/>
          </w:tcPr>
          <w:p w14:paraId="2EA90C34">
            <w:pPr>
              <w:widowControl/>
              <w:jc w:val="center"/>
              <w:textAlignment w:val="center"/>
              <w:rPr>
                <w:rFonts w:ascii="宋体" w:hAnsi="宋体" w:cs="宋体"/>
                <w:sz w:val="24"/>
              </w:rPr>
            </w:pPr>
            <w:r>
              <w:rPr>
                <w:rFonts w:hint="eastAsia" w:ascii="宋体" w:hAnsi="宋体" w:cs="宋体"/>
                <w:sz w:val="24"/>
              </w:rPr>
              <w:t>手提式强光照明灯</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5E95B992">
            <w:pPr>
              <w:widowControl/>
              <w:jc w:val="center"/>
              <w:textAlignment w:val="center"/>
              <w:rPr>
                <w:rFonts w:ascii="宋体" w:hAnsi="宋体" w:cs="宋体"/>
                <w:sz w:val="24"/>
              </w:rPr>
            </w:pPr>
            <w:r>
              <w:rPr>
                <w:rFonts w:hint="eastAsia" w:ascii="宋体" w:hAnsi="宋体" w:cs="宋体"/>
                <w:sz w:val="24"/>
              </w:rPr>
              <w:t>18</w:t>
            </w:r>
          </w:p>
        </w:tc>
        <w:tc>
          <w:tcPr>
            <w:tcW w:w="6839" w:type="dxa"/>
            <w:tcBorders>
              <w:top w:val="single" w:color="000000" w:sz="4" w:space="0"/>
              <w:left w:val="single" w:color="000000" w:sz="4" w:space="0"/>
              <w:bottom w:val="single" w:color="000000" w:sz="4" w:space="0"/>
              <w:right w:val="single" w:color="000000" w:sz="4" w:space="0"/>
            </w:tcBorders>
            <w:noWrap/>
            <w:vAlign w:val="center"/>
          </w:tcPr>
          <w:p w14:paraId="7CAAA8F4">
            <w:pPr>
              <w:widowControl/>
              <w:jc w:val="left"/>
              <w:textAlignment w:val="center"/>
              <w:rPr>
                <w:rFonts w:ascii="宋体" w:hAnsi="宋体" w:cs="宋体"/>
                <w:sz w:val="24"/>
              </w:rPr>
            </w:pPr>
            <w:r>
              <w:rPr>
                <w:rFonts w:hint="eastAsia" w:ascii="宋体" w:hAnsi="宋体" w:cs="宋体"/>
                <w:sz w:val="24"/>
              </w:rPr>
              <w:t>检验依据 GB30734-2014《消防员照明灯具 》（须在消防检验报告中体现验证）</w:t>
            </w:r>
          </w:p>
          <w:p w14:paraId="09526B5F">
            <w:pPr>
              <w:widowControl/>
              <w:jc w:val="left"/>
              <w:textAlignment w:val="center"/>
              <w:rPr>
                <w:rFonts w:ascii="宋体" w:hAnsi="宋体" w:cs="宋体"/>
                <w:sz w:val="24"/>
              </w:rPr>
            </w:pPr>
            <w:r>
              <w:rPr>
                <w:rFonts w:hint="eastAsia" w:ascii="宋体" w:hAnsi="宋体" w:cs="宋体"/>
                <w:sz w:val="24"/>
              </w:rPr>
              <w:t xml:space="preserve">GB/T3836.1-2021   爆炸性环境第1部分：设备通用要求。                        </w:t>
            </w:r>
          </w:p>
          <w:p w14:paraId="4A7C6020">
            <w:pPr>
              <w:widowControl/>
              <w:jc w:val="left"/>
              <w:textAlignment w:val="center"/>
              <w:rPr>
                <w:rFonts w:ascii="宋体" w:hAnsi="宋体" w:cs="宋体"/>
                <w:sz w:val="24"/>
              </w:rPr>
            </w:pPr>
            <w:r>
              <w:rPr>
                <w:rFonts w:hint="eastAsia" w:ascii="宋体" w:hAnsi="宋体" w:cs="宋体"/>
                <w:sz w:val="24"/>
              </w:rPr>
              <w:t>GB/T3836.2-2021  爆炸性环境第2部分：由隔爆外壳“d”保护的设备。</w:t>
            </w:r>
          </w:p>
          <w:p w14:paraId="09B50CC4">
            <w:pPr>
              <w:widowControl/>
              <w:jc w:val="left"/>
              <w:textAlignment w:val="center"/>
              <w:rPr>
                <w:rFonts w:ascii="宋体" w:hAnsi="宋体" w:cs="宋体"/>
                <w:sz w:val="24"/>
              </w:rPr>
            </w:pPr>
            <w:r>
              <w:rPr>
                <w:rFonts w:hint="eastAsia" w:ascii="宋体" w:hAnsi="宋体" w:cs="宋体"/>
                <w:sz w:val="24"/>
              </w:rPr>
              <w:t>GB/T3836.4-2021  爆炸性环境第4部分：由本质安全型“i”保护的设备（须在国家级防爆合格证中体现验证）</w:t>
            </w:r>
          </w:p>
          <w:p w14:paraId="0C57ED84">
            <w:pPr>
              <w:widowControl/>
              <w:jc w:val="left"/>
              <w:textAlignment w:val="center"/>
              <w:rPr>
                <w:rFonts w:ascii="宋体" w:hAnsi="宋体" w:cs="宋体"/>
                <w:sz w:val="24"/>
              </w:rPr>
            </w:pPr>
          </w:p>
          <w:p w14:paraId="2D7C9DC6">
            <w:pPr>
              <w:widowControl/>
              <w:jc w:val="left"/>
              <w:textAlignment w:val="center"/>
              <w:rPr>
                <w:rFonts w:ascii="宋体" w:hAnsi="宋体" w:cs="宋体"/>
                <w:sz w:val="24"/>
              </w:rPr>
            </w:pPr>
            <w:r>
              <w:rPr>
                <w:rFonts w:hint="eastAsia" w:ascii="宋体" w:hAnsi="宋体" w:cs="宋体"/>
                <w:sz w:val="24"/>
              </w:rPr>
              <w:t>1、提手处具有四格电量显示功能；</w:t>
            </w:r>
          </w:p>
          <w:p w14:paraId="719F75FF">
            <w:pPr>
              <w:widowControl/>
              <w:jc w:val="left"/>
              <w:textAlignment w:val="center"/>
              <w:rPr>
                <w:rFonts w:ascii="宋体" w:hAnsi="宋体" w:cs="宋体"/>
                <w:sz w:val="24"/>
              </w:rPr>
            </w:pPr>
            <w:r>
              <w:rPr>
                <w:rFonts w:hint="eastAsia" w:ascii="宋体" w:hAnsi="宋体" w:cs="宋体"/>
                <w:sz w:val="24"/>
              </w:rPr>
              <w:t>2、隔爆型最高防爆等级，可在各种易燃易爆场所安全工作。</w:t>
            </w:r>
          </w:p>
          <w:p w14:paraId="139D572D">
            <w:pPr>
              <w:widowControl/>
              <w:jc w:val="left"/>
              <w:textAlignment w:val="center"/>
              <w:rPr>
                <w:rFonts w:ascii="宋体" w:hAnsi="宋体" w:cs="宋体"/>
                <w:sz w:val="24"/>
              </w:rPr>
            </w:pPr>
            <w:r>
              <w:rPr>
                <w:rFonts w:hint="eastAsia" w:ascii="宋体" w:hAnsi="宋体" w:cs="宋体"/>
                <w:sz w:val="24"/>
              </w:rPr>
              <w:t>3、具有工作光、强光、频闪三种光设计，按动按钮可进行自由转换。</w:t>
            </w:r>
          </w:p>
          <w:p w14:paraId="10D018C7">
            <w:pPr>
              <w:widowControl/>
              <w:jc w:val="left"/>
              <w:textAlignment w:val="center"/>
              <w:rPr>
                <w:rFonts w:ascii="宋体" w:hAnsi="宋体" w:cs="宋体"/>
                <w:sz w:val="24"/>
              </w:rPr>
            </w:pPr>
            <w:r>
              <w:rPr>
                <w:rFonts w:hint="eastAsia" w:ascii="宋体" w:hAnsi="宋体" w:cs="宋体"/>
                <w:sz w:val="24"/>
              </w:rPr>
              <w:t>4、▲光源采用 LED 光源，5米处强光平均照度应不低于 940lx，最低照度应不低于760lx，弱光平均照度应不低于 540lx,最低照度应不低于460lx。（须在消防检验报告中体现验证）</w:t>
            </w:r>
          </w:p>
          <w:p w14:paraId="213B1A83">
            <w:pPr>
              <w:widowControl/>
              <w:jc w:val="left"/>
              <w:textAlignment w:val="center"/>
              <w:rPr>
                <w:rFonts w:ascii="宋体" w:hAnsi="宋体" w:cs="宋体"/>
                <w:sz w:val="24"/>
              </w:rPr>
            </w:pPr>
            <w:r>
              <w:rPr>
                <w:rFonts w:hint="eastAsia" w:ascii="宋体" w:hAnsi="宋体" w:cs="宋体"/>
                <w:sz w:val="24"/>
              </w:rPr>
              <w:t>5、▲低电压状态下连续工作时间 强光 ≥15/min 弱光 ≥30/min（须在国家级消防检验报告中体现验证）</w:t>
            </w:r>
          </w:p>
          <w:p w14:paraId="5F02882C">
            <w:pPr>
              <w:widowControl/>
              <w:jc w:val="left"/>
              <w:textAlignment w:val="center"/>
              <w:rPr>
                <w:rFonts w:ascii="宋体" w:hAnsi="宋体" w:cs="宋体"/>
                <w:sz w:val="24"/>
              </w:rPr>
            </w:pPr>
            <w:r>
              <w:rPr>
                <w:rFonts w:hint="eastAsia" w:ascii="宋体" w:hAnsi="宋体" w:cs="宋体"/>
                <w:sz w:val="24"/>
              </w:rPr>
              <w:t xml:space="preserve">6、 额定电压 ≥DC11.1v </w:t>
            </w:r>
          </w:p>
          <w:p w14:paraId="78582DA6">
            <w:pPr>
              <w:widowControl/>
              <w:jc w:val="left"/>
              <w:textAlignment w:val="center"/>
              <w:rPr>
                <w:rFonts w:ascii="宋体" w:hAnsi="宋体" w:cs="宋体"/>
                <w:sz w:val="24"/>
              </w:rPr>
            </w:pPr>
            <w:r>
              <w:rPr>
                <w:rFonts w:hint="eastAsia" w:ascii="宋体" w:hAnsi="宋体" w:cs="宋体"/>
                <w:sz w:val="24"/>
              </w:rPr>
              <w:t xml:space="preserve">7 、额定容量 ≥6600 mAh </w:t>
            </w:r>
          </w:p>
          <w:p w14:paraId="4A348004">
            <w:pPr>
              <w:widowControl/>
              <w:jc w:val="left"/>
              <w:textAlignment w:val="center"/>
              <w:rPr>
                <w:rFonts w:ascii="宋体" w:hAnsi="宋体" w:cs="宋体"/>
                <w:sz w:val="24"/>
              </w:rPr>
            </w:pPr>
            <w:r>
              <w:rPr>
                <w:rFonts w:hint="eastAsia" w:ascii="宋体" w:hAnsi="宋体" w:cs="宋体"/>
                <w:sz w:val="24"/>
              </w:rPr>
              <w:t xml:space="preserve">8 、光源(LED) 额定功率  ≥3*3 W  </w:t>
            </w:r>
          </w:p>
          <w:p w14:paraId="3930DD69">
            <w:pPr>
              <w:widowControl/>
              <w:jc w:val="left"/>
              <w:textAlignment w:val="center"/>
              <w:rPr>
                <w:rFonts w:ascii="宋体" w:hAnsi="宋体" w:cs="宋体"/>
                <w:sz w:val="24"/>
              </w:rPr>
            </w:pPr>
            <w:r>
              <w:rPr>
                <w:rFonts w:hint="eastAsia" w:ascii="宋体" w:hAnsi="宋体" w:cs="宋体"/>
                <w:sz w:val="24"/>
              </w:rPr>
              <w:t xml:space="preserve">9 、充电时间 ≤6 h </w:t>
            </w:r>
          </w:p>
          <w:p w14:paraId="0DE890EB">
            <w:pPr>
              <w:widowControl/>
              <w:jc w:val="left"/>
              <w:textAlignment w:val="center"/>
              <w:rPr>
                <w:rFonts w:ascii="宋体" w:hAnsi="宋体" w:cs="宋体"/>
                <w:sz w:val="24"/>
              </w:rPr>
            </w:pPr>
            <w:r>
              <w:rPr>
                <w:rFonts w:hint="eastAsia" w:ascii="宋体" w:hAnsi="宋体" w:cs="宋体"/>
                <w:sz w:val="24"/>
              </w:rPr>
              <w:t xml:space="preserve">10、电池使用寿命 ≥1000 循环 </w:t>
            </w:r>
          </w:p>
          <w:p w14:paraId="08D8335B">
            <w:pPr>
              <w:widowControl/>
              <w:jc w:val="left"/>
              <w:textAlignment w:val="center"/>
              <w:rPr>
                <w:rFonts w:ascii="宋体" w:hAnsi="宋体" w:cs="宋体"/>
                <w:sz w:val="24"/>
              </w:rPr>
            </w:pPr>
            <w:r>
              <w:rPr>
                <w:rFonts w:hint="eastAsia" w:ascii="宋体" w:hAnsi="宋体" w:cs="宋体"/>
                <w:sz w:val="24"/>
              </w:rPr>
              <w:t xml:space="preserve">外形尺寸： 长度 ≤ 70 ×170 mm </w:t>
            </w:r>
          </w:p>
          <w:p w14:paraId="328D6606">
            <w:pPr>
              <w:widowControl/>
              <w:jc w:val="left"/>
              <w:textAlignment w:val="center"/>
              <w:rPr>
                <w:rFonts w:ascii="宋体" w:hAnsi="宋体" w:cs="宋体"/>
                <w:sz w:val="24"/>
              </w:rPr>
            </w:pPr>
            <w:r>
              <w:rPr>
                <w:rFonts w:hint="eastAsia" w:ascii="宋体" w:hAnsi="宋体" w:cs="宋体"/>
                <w:sz w:val="24"/>
              </w:rPr>
              <w:t>11、 重量≤ 0.95 kg</w:t>
            </w:r>
          </w:p>
          <w:p w14:paraId="32D95344">
            <w:pPr>
              <w:widowControl/>
              <w:jc w:val="left"/>
              <w:textAlignment w:val="center"/>
              <w:rPr>
                <w:rFonts w:ascii="宋体" w:hAnsi="宋体" w:cs="宋体"/>
                <w:sz w:val="24"/>
              </w:rPr>
            </w:pPr>
            <w:r>
              <w:rPr>
                <w:rFonts w:hint="eastAsia" w:ascii="宋体" w:hAnsi="宋体" w:cs="宋体"/>
                <w:sz w:val="24"/>
              </w:rPr>
              <w:t>12、▲ 防护等级 IP68 （2m,90min）（须在国家级防爆合格证中体现验证）</w:t>
            </w:r>
          </w:p>
          <w:p w14:paraId="548501DA">
            <w:pPr>
              <w:widowControl/>
              <w:jc w:val="left"/>
              <w:textAlignment w:val="center"/>
              <w:rPr>
                <w:rFonts w:ascii="宋体" w:hAnsi="宋体" w:cs="宋体"/>
                <w:sz w:val="24"/>
              </w:rPr>
            </w:pPr>
            <w:r>
              <w:rPr>
                <w:rFonts w:hint="eastAsia" w:ascii="宋体" w:hAnsi="宋体" w:cs="宋体"/>
                <w:sz w:val="24"/>
              </w:rPr>
              <w:t>13、▲潜水深度5m，持续时间1h（须在消防检验报告中体现验证）</w:t>
            </w:r>
          </w:p>
          <w:p w14:paraId="267471C7">
            <w:pPr>
              <w:widowControl/>
              <w:jc w:val="left"/>
              <w:textAlignment w:val="center"/>
              <w:rPr>
                <w:rFonts w:ascii="宋体" w:hAnsi="宋体" w:cs="宋体"/>
                <w:sz w:val="24"/>
              </w:rPr>
            </w:pPr>
            <w:r>
              <w:rPr>
                <w:rFonts w:hint="eastAsia" w:ascii="宋体" w:hAnsi="宋体" w:cs="宋体"/>
                <w:sz w:val="24"/>
              </w:rPr>
              <w:t>注: ▲条款须提供取得CMA或CNAS认证的国家级的防爆检验报告、防爆合格证、国家消防装备质量监督检验中心出具的全性能委托检验报告,原件核查。</w:t>
            </w:r>
          </w:p>
        </w:tc>
      </w:tr>
      <w:tr w14:paraId="0EADCA7A">
        <w:tblPrEx>
          <w:tblCellMar>
            <w:top w:w="0" w:type="dxa"/>
            <w:left w:w="108" w:type="dxa"/>
            <w:bottom w:w="0" w:type="dxa"/>
            <w:right w:w="108" w:type="dxa"/>
          </w:tblCellMar>
        </w:tblPrEx>
        <w:trPr>
          <w:trHeight w:val="23" w:hRule="atLeast"/>
          <w:jc w:val="center"/>
        </w:trPr>
        <w:tc>
          <w:tcPr>
            <w:tcW w:w="791" w:type="dxa"/>
            <w:vMerge w:val="continue"/>
            <w:tcBorders>
              <w:left w:val="single" w:color="000000" w:sz="4" w:space="0"/>
              <w:bottom w:val="single" w:color="000000" w:sz="4" w:space="0"/>
              <w:right w:val="single" w:color="000000" w:sz="4" w:space="0"/>
            </w:tcBorders>
            <w:noWrap/>
            <w:vAlign w:val="center"/>
          </w:tcPr>
          <w:p w14:paraId="14F3CD82">
            <w:pPr>
              <w:jc w:val="center"/>
              <w:rPr>
                <w:rFonts w:ascii="宋体" w:hAnsi="宋体" w:cs="宋体"/>
                <w:sz w:val="24"/>
              </w:rPr>
            </w:pP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3D2528D9">
            <w:pPr>
              <w:widowControl/>
              <w:jc w:val="center"/>
              <w:textAlignment w:val="center"/>
              <w:rPr>
                <w:rFonts w:ascii="宋体" w:hAnsi="宋体" w:cs="宋体"/>
                <w:sz w:val="24"/>
              </w:rPr>
            </w:pPr>
            <w:r>
              <w:rPr>
                <w:rFonts w:hint="eastAsia" w:ascii="宋体" w:hAnsi="宋体" w:cs="宋体"/>
                <w:sz w:val="24"/>
              </w:rPr>
              <w:t>51</w:t>
            </w:r>
          </w:p>
        </w:tc>
        <w:tc>
          <w:tcPr>
            <w:tcW w:w="956" w:type="dxa"/>
            <w:gridSpan w:val="2"/>
            <w:tcBorders>
              <w:top w:val="single" w:color="000000" w:sz="4" w:space="0"/>
              <w:left w:val="single" w:color="000000" w:sz="4" w:space="0"/>
              <w:bottom w:val="single" w:color="000000" w:sz="4" w:space="0"/>
              <w:right w:val="single" w:color="000000" w:sz="4" w:space="0"/>
            </w:tcBorders>
            <w:noWrap/>
            <w:vAlign w:val="center"/>
          </w:tcPr>
          <w:p w14:paraId="57DA3CF0">
            <w:pPr>
              <w:widowControl/>
              <w:jc w:val="center"/>
              <w:textAlignment w:val="center"/>
              <w:rPr>
                <w:rFonts w:ascii="宋体" w:hAnsi="宋体" w:cs="宋体"/>
                <w:sz w:val="24"/>
              </w:rPr>
            </w:pPr>
            <w:r>
              <w:rPr>
                <w:rFonts w:hint="eastAsia" w:ascii="宋体" w:hAnsi="宋体" w:cs="宋体"/>
                <w:sz w:val="24"/>
              </w:rPr>
              <w:t>消防员防蜂服</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6B6E84EF">
            <w:pPr>
              <w:widowControl/>
              <w:jc w:val="center"/>
              <w:textAlignment w:val="center"/>
              <w:rPr>
                <w:rFonts w:ascii="宋体" w:hAnsi="宋体" w:cs="宋体"/>
                <w:sz w:val="24"/>
              </w:rPr>
            </w:pPr>
            <w:r>
              <w:rPr>
                <w:rFonts w:hint="eastAsia" w:ascii="宋体" w:hAnsi="宋体" w:cs="宋体"/>
                <w:sz w:val="24"/>
              </w:rPr>
              <w:t>5</w:t>
            </w:r>
          </w:p>
        </w:tc>
        <w:tc>
          <w:tcPr>
            <w:tcW w:w="6839" w:type="dxa"/>
            <w:tcBorders>
              <w:top w:val="single" w:color="000000" w:sz="4" w:space="0"/>
              <w:left w:val="single" w:color="000000" w:sz="4" w:space="0"/>
              <w:bottom w:val="single" w:color="000000" w:sz="4" w:space="0"/>
              <w:right w:val="single" w:color="000000" w:sz="4" w:space="0"/>
            </w:tcBorders>
            <w:noWrap/>
            <w:vAlign w:val="center"/>
          </w:tcPr>
          <w:p w14:paraId="55233FFE">
            <w:pPr>
              <w:widowControl/>
              <w:jc w:val="left"/>
              <w:textAlignment w:val="center"/>
              <w:rPr>
                <w:rFonts w:ascii="宋体" w:hAnsi="宋体" w:cs="宋体"/>
                <w:sz w:val="24"/>
              </w:rPr>
            </w:pPr>
            <w:r>
              <w:rPr>
                <w:rFonts w:hint="eastAsia" w:ascii="宋体" w:hAnsi="宋体" w:cs="宋体"/>
                <w:sz w:val="24"/>
              </w:rPr>
              <w:t>消防员防蜂服是用于防蜂类等昆虫侵蚀的专用防护。外层面料采用白色高压耐刺穿面料制成，具有密封、耐磨、 轻便、高强力，保护色不易引起蜂群攻击等特性，还可防硬物刮擦、切割、撕破等危险危害因素对消防员造成的损伤，是消防人员在摘除黄蜂窝时穿着的一种最基本的功能型防护服。</w:t>
            </w:r>
          </w:p>
          <w:p w14:paraId="280E584A">
            <w:pPr>
              <w:widowControl/>
              <w:jc w:val="left"/>
              <w:textAlignment w:val="center"/>
              <w:rPr>
                <w:rFonts w:ascii="宋体" w:hAnsi="宋体" w:cs="宋体"/>
                <w:sz w:val="24"/>
              </w:rPr>
            </w:pPr>
            <w:r>
              <w:rPr>
                <w:rFonts w:hint="eastAsia" w:ascii="宋体" w:hAnsi="宋体" w:cs="宋体"/>
                <w:sz w:val="24"/>
              </w:rPr>
              <w:t>1、符合XF3008-2020《消防员防蜂服》标准要求。</w:t>
            </w:r>
          </w:p>
          <w:p w14:paraId="22C047EF">
            <w:pPr>
              <w:widowControl/>
              <w:jc w:val="left"/>
              <w:textAlignment w:val="center"/>
              <w:rPr>
                <w:rFonts w:ascii="宋体" w:hAnsi="宋体" w:cs="宋体"/>
                <w:sz w:val="24"/>
              </w:rPr>
            </w:pPr>
            <w:r>
              <w:rPr>
                <w:rFonts w:hint="eastAsia" w:ascii="宋体" w:hAnsi="宋体" w:cs="宋体"/>
                <w:sz w:val="24"/>
              </w:rPr>
              <w:t>2、采用全包覆一体式结构设计，由双层高压耐刺穿面料、球形不锈钢网头罩、运动式防蜂靴、连体式防蜂手套、主动式送风装置、可调节腰带、护目镜等组成。主动送风装置由两个风扇和一个充电宝组成，充电宝容量≥20000mA。衣服主体采用内外双层同质量的高压耐蛰刺面料制作，具有良好的阻燃、防蛰、耐磨性能，颜色为白色。</w:t>
            </w:r>
          </w:p>
          <w:p w14:paraId="151D5D65">
            <w:pPr>
              <w:widowControl/>
              <w:jc w:val="left"/>
              <w:textAlignment w:val="center"/>
              <w:rPr>
                <w:rFonts w:ascii="宋体" w:hAnsi="宋体" w:cs="宋体"/>
                <w:sz w:val="24"/>
              </w:rPr>
            </w:pPr>
            <w:r>
              <w:rPr>
                <w:rFonts w:hint="eastAsia" w:ascii="宋体" w:hAnsi="宋体" w:cs="宋体"/>
                <w:sz w:val="24"/>
              </w:rPr>
              <w:t>▲3、面料性能：抗蛰刺力≥0.8N；耐磨性能≥2000次；阻燃性能：经纬向续燃时间0s，经纬向损毁长度≤60mm；断裂强力：经向≥1000N，纬向≥800；撕破强力：经向≥90N，纬向≥60N；接缝断裂强力≥800N。</w:t>
            </w:r>
          </w:p>
          <w:p w14:paraId="0EB7687B">
            <w:pPr>
              <w:widowControl/>
              <w:jc w:val="left"/>
              <w:textAlignment w:val="center"/>
              <w:rPr>
                <w:rFonts w:ascii="宋体" w:hAnsi="宋体" w:cs="宋体"/>
                <w:sz w:val="24"/>
              </w:rPr>
            </w:pPr>
            <w:r>
              <w:rPr>
                <w:rFonts w:hint="eastAsia" w:ascii="宋体" w:hAnsi="宋体" w:cs="宋体"/>
                <w:sz w:val="24"/>
              </w:rPr>
              <w:t>4、甲醛含量≤30mg/kg；PH值：4.0-8.5;表面抗湿性能≥4级;拒油性能≥7级;</w:t>
            </w:r>
          </w:p>
          <w:p w14:paraId="4B048740">
            <w:pPr>
              <w:widowControl/>
              <w:jc w:val="left"/>
              <w:textAlignment w:val="center"/>
              <w:rPr>
                <w:rFonts w:ascii="宋体" w:hAnsi="宋体" w:cs="宋体"/>
                <w:sz w:val="24"/>
              </w:rPr>
            </w:pPr>
            <w:r>
              <w:rPr>
                <w:rFonts w:hint="eastAsia" w:ascii="宋体" w:hAnsi="宋体" w:cs="宋体"/>
                <w:sz w:val="24"/>
              </w:rPr>
              <w:t>▲5、头罩性能：孔径≤1mm；总视野保留率≥90％，双目视野保留率：100％；</w:t>
            </w:r>
          </w:p>
          <w:p w14:paraId="670A0916">
            <w:pPr>
              <w:widowControl/>
              <w:jc w:val="left"/>
              <w:textAlignment w:val="center"/>
              <w:rPr>
                <w:rFonts w:ascii="宋体" w:hAnsi="宋体" w:cs="宋体"/>
                <w:sz w:val="24"/>
              </w:rPr>
            </w:pPr>
            <w:r>
              <w:rPr>
                <w:rFonts w:hint="eastAsia" w:ascii="宋体" w:hAnsi="宋体" w:cs="宋体"/>
                <w:sz w:val="24"/>
              </w:rPr>
              <w:t>6、手套性能：抗刺蛰力≥0.9N；掌心面、掌背面割破力≥9N、；掌心面撕破强力≥160N、掌背面撕破强力≥110N；灵巧性能≥5级。</w:t>
            </w:r>
          </w:p>
          <w:p w14:paraId="19685A1C">
            <w:pPr>
              <w:widowControl/>
              <w:jc w:val="left"/>
              <w:textAlignment w:val="center"/>
              <w:rPr>
                <w:rFonts w:ascii="宋体" w:hAnsi="宋体" w:cs="宋体"/>
                <w:sz w:val="24"/>
              </w:rPr>
            </w:pPr>
            <w:r>
              <w:rPr>
                <w:rFonts w:hint="eastAsia" w:ascii="宋体" w:hAnsi="宋体" w:cs="宋体"/>
                <w:sz w:val="24"/>
              </w:rPr>
              <w:t>7、靴帮抗刺穿性能≥140N；击穿电压≥5000V，泄漏电流≤0.2mA，防滑性能：摩擦系数≥0.3。</w:t>
            </w:r>
          </w:p>
          <w:p w14:paraId="603FB60D">
            <w:pPr>
              <w:widowControl/>
              <w:jc w:val="left"/>
              <w:textAlignment w:val="center"/>
              <w:rPr>
                <w:rFonts w:ascii="宋体" w:hAnsi="宋体" w:cs="宋体"/>
                <w:sz w:val="24"/>
              </w:rPr>
            </w:pPr>
            <w:r>
              <w:rPr>
                <w:rFonts w:hint="eastAsia" w:ascii="宋体" w:hAnsi="宋体" w:cs="宋体"/>
                <w:sz w:val="24"/>
              </w:rPr>
              <w:t>8、重量≤4.5kg。（充电宝重量除外）</w:t>
            </w:r>
          </w:p>
          <w:p w14:paraId="0F6BEE1B">
            <w:pPr>
              <w:widowControl/>
              <w:jc w:val="left"/>
              <w:textAlignment w:val="center"/>
              <w:rPr>
                <w:rFonts w:ascii="宋体" w:hAnsi="宋体" w:cs="宋体"/>
                <w:sz w:val="24"/>
              </w:rPr>
            </w:pPr>
            <w:r>
              <w:rPr>
                <w:rFonts w:hint="eastAsia" w:ascii="宋体" w:hAnsi="宋体" w:cs="宋体"/>
                <w:sz w:val="24"/>
              </w:rPr>
              <w:t>9、投标产品提供国家认证认可检测机构出具的与所投产品型号一致、完整有效的检验检测报告。（注：国家认证认可检测机构指在全国认证认可信息公共服务平台上可查询到的检测机构，同时，检测机构应具备所出具的检测报告中检测标准的检测能力。）</w:t>
            </w:r>
          </w:p>
        </w:tc>
      </w:tr>
    </w:tbl>
    <w:p w14:paraId="724A82E5">
      <w:pPr>
        <w:spacing w:line="284" w:lineRule="auto"/>
        <w:ind w:firstLine="482" w:firstLineChars="200"/>
        <w:rPr>
          <w:rFonts w:ascii="宋体" w:hAnsi="宋体" w:cs="宋体"/>
          <w:b/>
          <w:sz w:val="24"/>
        </w:rPr>
      </w:pPr>
      <w:r>
        <w:rPr>
          <w:rFonts w:hint="eastAsia" w:ascii="宋体" w:hAnsi="宋体" w:cs="宋体"/>
          <w:b/>
          <w:sz w:val="24"/>
        </w:rPr>
        <w:t>特别说明：</w:t>
      </w:r>
    </w:p>
    <w:p w14:paraId="6C5DDB32">
      <w:pPr>
        <w:spacing w:line="284" w:lineRule="auto"/>
        <w:ind w:firstLine="480" w:firstLineChars="200"/>
        <w:rPr>
          <w:rFonts w:ascii="宋体" w:hAnsi="宋体" w:cs="宋体"/>
          <w:sz w:val="24"/>
        </w:rPr>
      </w:pPr>
      <w:r>
        <w:rPr>
          <w:rFonts w:hint="eastAsia" w:ascii="宋体" w:hAnsi="宋体" w:cs="宋体"/>
          <w:sz w:val="24"/>
        </w:rPr>
        <w:t>1.以上清单中的货物“主要技术性能要求 ”等仅作对拟购货物的功能、技术性能、技术参数等最低标准的说明，而非采购人对某一或某些品牌产品的特定指向。投标人可根据各自的方案提供合理的产品配置方案，但必须达到国家或行业的标准规范及招标需求的基本要求，且产品的功能、技术性能、规格、技术参数等要优于或相当于招标需求中的各项要求。</w:t>
      </w:r>
    </w:p>
    <w:p w14:paraId="2DFDA458">
      <w:pPr>
        <w:spacing w:line="284" w:lineRule="auto"/>
        <w:ind w:firstLine="480" w:firstLineChars="200"/>
        <w:rPr>
          <w:rFonts w:ascii="宋体" w:hAnsi="宋体" w:cs="宋体"/>
          <w:sz w:val="24"/>
        </w:rPr>
      </w:pPr>
      <w:r>
        <w:rPr>
          <w:rFonts w:hint="eastAsia" w:ascii="宋体" w:hAnsi="宋体" w:cs="宋体"/>
          <w:sz w:val="24"/>
        </w:rPr>
        <w:t>2.投标人应根据所投货物（产品）实际情况提供准确技术参数和性能指标（或配置）进行响应， 若因投标人未如实响应所造成的投标无效、无法履约验收等风险，由投标人承担相应法律责任且采购人将保留向该投标人追偿的权力。</w:t>
      </w:r>
    </w:p>
    <w:p w14:paraId="5B6FBD8E">
      <w:pPr>
        <w:spacing w:line="284" w:lineRule="auto"/>
        <w:ind w:firstLine="482" w:firstLineChars="200"/>
        <w:rPr>
          <w:rFonts w:ascii="宋体" w:hAnsi="宋体" w:cs="宋体"/>
          <w:b/>
          <w:bCs/>
          <w:sz w:val="24"/>
        </w:rPr>
      </w:pPr>
      <w:r>
        <w:rPr>
          <w:rFonts w:hint="eastAsia" w:ascii="宋体" w:hAnsi="宋体" w:cs="宋体"/>
          <w:b/>
          <w:bCs/>
          <w:sz w:val="24"/>
        </w:rPr>
        <w:t>注：技术参数中标注“★”的为实质性响应条款，不满足则做无效投标处理，标注“▲”的为重要技术参数条款，对此投标人需提供相关检测报告佐证是否满足实质性响应条款和重要技术参数条款的要求。以上需要提供的相关证明材料、佐证资料由供应商保证材料的真实性。中标后5个工作日内采购人有权对以上资料的真实性进行核查，若发现弄虚作假的，按相关规定处理。</w:t>
      </w:r>
    </w:p>
    <w:p w14:paraId="45278851">
      <w:pPr>
        <w:spacing w:line="284" w:lineRule="auto"/>
        <w:rPr>
          <w:rFonts w:ascii="宋体" w:hAnsi="宋体" w:cs="宋体"/>
          <w:b/>
          <w:bCs/>
          <w:sz w:val="24"/>
        </w:rPr>
      </w:pPr>
      <w:r>
        <w:rPr>
          <w:rFonts w:hint="eastAsia" w:ascii="宋体" w:hAnsi="宋体" w:cs="宋体"/>
          <w:b/>
          <w:bCs/>
          <w:sz w:val="24"/>
        </w:rPr>
        <w:t>二、产品质量、供货、安装调试及验收</w:t>
      </w:r>
    </w:p>
    <w:p w14:paraId="42D88386">
      <w:pPr>
        <w:spacing w:line="284" w:lineRule="auto"/>
        <w:ind w:firstLine="482" w:firstLineChars="200"/>
        <w:rPr>
          <w:rFonts w:ascii="宋体" w:hAnsi="宋体" w:cs="宋体"/>
          <w:b/>
          <w:sz w:val="24"/>
        </w:rPr>
      </w:pPr>
      <w:r>
        <w:rPr>
          <w:rFonts w:hint="eastAsia" w:ascii="宋体" w:hAnsi="宋体" w:cs="宋体"/>
          <w:b/>
          <w:sz w:val="24"/>
        </w:rPr>
        <w:t>1、质量要求</w:t>
      </w:r>
    </w:p>
    <w:p w14:paraId="741969D4">
      <w:pPr>
        <w:spacing w:line="284" w:lineRule="auto"/>
        <w:ind w:firstLine="480" w:firstLineChars="200"/>
        <w:rPr>
          <w:rFonts w:ascii="宋体" w:hAnsi="宋体" w:cs="宋体"/>
          <w:sz w:val="24"/>
        </w:rPr>
      </w:pPr>
      <w:r>
        <w:rPr>
          <w:rFonts w:hint="eastAsia" w:ascii="宋体" w:hAnsi="宋体" w:cs="宋体"/>
          <w:sz w:val="24"/>
        </w:rPr>
        <w:t>（1）投标人拟投货物应符合国家相关的行业标准、出厂标准，以及质量安全要求，交货期内货 物相关标准和技术规范等有更新或发布新标准时，投标人应遵照最新标准进行供货和提供配套服务。</w:t>
      </w:r>
    </w:p>
    <w:p w14:paraId="613A44C4">
      <w:pPr>
        <w:spacing w:line="284" w:lineRule="auto"/>
        <w:ind w:firstLine="480" w:firstLineChars="200"/>
        <w:rPr>
          <w:rFonts w:ascii="宋体" w:hAnsi="宋体" w:cs="宋体"/>
          <w:sz w:val="24"/>
        </w:rPr>
      </w:pPr>
      <w:r>
        <w:rPr>
          <w:rFonts w:hint="eastAsia" w:ascii="宋体" w:hAnsi="宋体" w:cs="宋体"/>
          <w:sz w:val="24"/>
        </w:rPr>
        <w:t>（2）拟投货物须为近半年内出厂的原装全新、未使用过的、符合相关质量标准的合格产品（包括标准件、零部件等）。投标文件中须提供照片或说明书等相关证明材料。中标单位不得以次充好，产品来源合法，同时应根据国家有关规定及采购人的要求做好售后服务工作，否则采购人有权拒绝验收并追究中标单位的违约责任。</w:t>
      </w:r>
    </w:p>
    <w:p w14:paraId="09AAAFD4">
      <w:pPr>
        <w:spacing w:line="284" w:lineRule="auto"/>
        <w:ind w:firstLine="480" w:firstLineChars="200"/>
        <w:rPr>
          <w:rFonts w:ascii="宋体" w:hAnsi="宋体" w:cs="宋体"/>
          <w:sz w:val="24"/>
        </w:rPr>
      </w:pPr>
      <w:r>
        <w:rPr>
          <w:rFonts w:hint="eastAsia" w:ascii="宋体" w:hAnsi="宋体" w:cs="宋体"/>
          <w:sz w:val="24"/>
        </w:rPr>
        <w:t>（3）供货过程中若出现部件缺少或损坏，投标人应立即补足或更换全新同规格产品，并承担相关费用直至完全达到验收标准为止，由此产生的逾期或违约风险及相关费用全部由中标单位自行承担。</w:t>
      </w:r>
    </w:p>
    <w:p w14:paraId="661E50C3">
      <w:pPr>
        <w:spacing w:line="284" w:lineRule="auto"/>
        <w:ind w:firstLine="480" w:firstLineChars="200"/>
        <w:rPr>
          <w:rFonts w:ascii="宋体" w:hAnsi="宋体" w:cs="宋体"/>
          <w:sz w:val="24"/>
        </w:rPr>
      </w:pPr>
      <w:r>
        <w:rPr>
          <w:rFonts w:hint="eastAsia" w:ascii="宋体" w:hAnsi="宋体" w:cs="宋体"/>
          <w:sz w:val="24"/>
        </w:rPr>
        <w:t>（4）采购人机械设备使用过程中因产品质量问题造成的故障，中标单位积极配合妥善解决，如产品内部结构或主要零部件因厂家制造问题造成的事故，中标单位承担全部责任，造成采购单位损失的，全部由中标单位赔偿。</w:t>
      </w:r>
    </w:p>
    <w:p w14:paraId="00933C94">
      <w:pPr>
        <w:spacing w:line="284" w:lineRule="auto"/>
        <w:ind w:firstLine="480" w:firstLineChars="200"/>
        <w:rPr>
          <w:rFonts w:ascii="宋体" w:hAnsi="宋体" w:cs="宋体"/>
          <w:sz w:val="24"/>
        </w:rPr>
      </w:pPr>
      <w:r>
        <w:rPr>
          <w:rFonts w:hint="eastAsia" w:ascii="宋体" w:hAnsi="宋体" w:cs="宋体"/>
          <w:sz w:val="24"/>
        </w:rPr>
        <w:t>（4）中标单位应按照国家有关标准和招标文件要求对本采购货物进行安装调试，并确保所有货物能够正常使用和通过验收。</w:t>
      </w:r>
    </w:p>
    <w:p w14:paraId="659EFB86">
      <w:pPr>
        <w:spacing w:line="284" w:lineRule="auto"/>
        <w:ind w:firstLine="480" w:firstLineChars="200"/>
        <w:rPr>
          <w:rFonts w:ascii="宋体" w:hAnsi="宋体" w:cs="宋体"/>
          <w:sz w:val="24"/>
        </w:rPr>
      </w:pPr>
      <w:r>
        <w:rPr>
          <w:rFonts w:hint="eastAsia" w:ascii="宋体" w:hAnsi="宋体" w:cs="宋体"/>
          <w:sz w:val="24"/>
        </w:rPr>
        <w:t>（3）验收时因产品质量产生任何问题，采购人有权无条件退换货，如造成损失，由中标单位承担赔偿责任。</w:t>
      </w:r>
    </w:p>
    <w:p w14:paraId="200FD308">
      <w:pPr>
        <w:spacing w:line="284" w:lineRule="auto"/>
        <w:ind w:firstLine="480" w:firstLineChars="200"/>
        <w:rPr>
          <w:rFonts w:ascii="宋体" w:hAnsi="宋体" w:cs="宋体"/>
          <w:sz w:val="24"/>
        </w:rPr>
      </w:pPr>
      <w:r>
        <w:rPr>
          <w:rFonts w:hint="eastAsia" w:ascii="宋体" w:hAnsi="宋体" w:cs="宋体"/>
          <w:sz w:val="24"/>
        </w:rPr>
        <w:t>（5）中标单位应保证其提供的产品中所有预装和为本项目安装的软件均为具有合法版权或使用权的正版软件且无质量瑕疵，并提供所有软件终生免费升级服务。</w:t>
      </w:r>
    </w:p>
    <w:p w14:paraId="22286A4B">
      <w:pPr>
        <w:spacing w:line="284" w:lineRule="auto"/>
        <w:ind w:firstLine="482" w:firstLineChars="200"/>
        <w:rPr>
          <w:rFonts w:ascii="宋体" w:hAnsi="宋体" w:cs="宋体"/>
          <w:b/>
          <w:sz w:val="24"/>
        </w:rPr>
      </w:pPr>
      <w:r>
        <w:rPr>
          <w:rFonts w:hint="eastAsia" w:ascii="宋体" w:hAnsi="宋体" w:cs="宋体"/>
          <w:b/>
          <w:sz w:val="24"/>
        </w:rPr>
        <w:t>2、包装及运输要求</w:t>
      </w:r>
    </w:p>
    <w:p w14:paraId="47E69DD5">
      <w:pPr>
        <w:spacing w:line="284" w:lineRule="auto"/>
        <w:ind w:firstLine="480" w:firstLineChars="200"/>
        <w:rPr>
          <w:rFonts w:ascii="宋体" w:hAnsi="宋体" w:cs="宋体"/>
          <w:sz w:val="24"/>
        </w:rPr>
      </w:pPr>
      <w:r>
        <w:rPr>
          <w:rFonts w:hint="eastAsia" w:ascii="宋体" w:hAnsi="宋体" w:cs="宋体"/>
          <w:sz w:val="24"/>
        </w:rPr>
        <w:t>（1）中标单位提供的货物须具有安全保护、保险措施，以防止货物在运输途中受损或损坏。</w:t>
      </w:r>
    </w:p>
    <w:p w14:paraId="713E1A9F">
      <w:pPr>
        <w:spacing w:line="284" w:lineRule="auto"/>
        <w:ind w:firstLine="480" w:firstLineChars="200"/>
        <w:rPr>
          <w:rFonts w:ascii="宋体" w:hAnsi="宋体" w:cs="宋体"/>
          <w:sz w:val="24"/>
        </w:rPr>
      </w:pPr>
      <w:r>
        <w:rPr>
          <w:rFonts w:hint="eastAsia" w:ascii="宋体" w:hAnsi="宋体" w:cs="宋体"/>
          <w:sz w:val="24"/>
        </w:rPr>
        <w:t>（2）中标单位负责货物的包装及运输，货物包装应符合国家或专业（部）标准规定，应适合远距离运输和反复搬运，中标单位应在货物发运前对其进行满足运输距离、防潮、防震、防锈和防破损装卸等要求包装，以保证货物安全运达采购人指定地点。</w:t>
      </w:r>
    </w:p>
    <w:p w14:paraId="48D4A712">
      <w:pPr>
        <w:spacing w:line="284" w:lineRule="auto"/>
        <w:ind w:firstLine="480" w:firstLineChars="200"/>
        <w:rPr>
          <w:rFonts w:ascii="宋体" w:hAnsi="宋体" w:cs="宋体"/>
          <w:sz w:val="24"/>
        </w:rPr>
      </w:pPr>
      <w:r>
        <w:rPr>
          <w:rFonts w:hint="eastAsia" w:ascii="宋体" w:hAnsi="宋体" w:cs="宋体"/>
          <w:sz w:val="24"/>
        </w:rPr>
        <w:t>（3）中标单位应负责将所有货物送至采购人指定的位置。如在运输、搬运、安装过程中造成设备损坏，采购人有权拒绝签收， 由此产生的逾期或违约风险及相关费用全部由中标单位自行承担。</w:t>
      </w:r>
    </w:p>
    <w:p w14:paraId="0EB23C12">
      <w:pPr>
        <w:spacing w:line="284" w:lineRule="auto"/>
        <w:ind w:firstLine="480" w:firstLineChars="200"/>
        <w:rPr>
          <w:rFonts w:ascii="宋体" w:hAnsi="宋体" w:cs="宋体"/>
          <w:sz w:val="24"/>
        </w:rPr>
      </w:pPr>
      <w:r>
        <w:rPr>
          <w:rFonts w:hint="eastAsia" w:ascii="宋体" w:hAnsi="宋体" w:cs="宋体"/>
          <w:sz w:val="24"/>
        </w:rPr>
        <w:t>（4）货物到达现场后，中标单位应共同参与货物的开箱检验工作。若发现货物与装箱单数目不符， 由中标单位负责补齐或收回，如采购人对货物质量有异议，中标单位负责解释及处理，直到符合合同 约定为止，同时采购人保留依法追究中标单位违约责任的权利。开箱检验包括但不仅限于以下方式：</w:t>
      </w:r>
    </w:p>
    <w:p w14:paraId="734328B7">
      <w:pPr>
        <w:spacing w:line="284" w:lineRule="auto"/>
        <w:ind w:firstLine="480" w:firstLineChars="200"/>
        <w:rPr>
          <w:rFonts w:ascii="宋体" w:hAnsi="宋体" w:cs="宋体"/>
          <w:sz w:val="24"/>
        </w:rPr>
      </w:pPr>
      <w:r>
        <w:rPr>
          <w:rFonts w:hint="eastAsia" w:ascii="宋体" w:hAnsi="宋体" w:cs="宋体"/>
          <w:sz w:val="24"/>
        </w:rPr>
        <w:t>①中标单位在将货物运到采购人指定地点时，采购人、中标单位及采购人委托的验收参与人员根据本 合同约定的计量方式、技术标准和质量要求对中标单位交付的货物进行初步清点，主要核对：数量、规 格型号、产地、质量等级、尺寸、颜色、参数、包装及标识完整、完好程度、交货资料，各方签字后 即表示初步验收清点完成，可以进行组装就位施工，但并不免除任何中标单位对交货产品存在质量、制 造、设计、性能、零部件的完整性等各方面的缺陷和不合格的责任、违约责任和对采购人造成损失的 赔偿。</w:t>
      </w:r>
    </w:p>
    <w:p w14:paraId="4A9639A7">
      <w:pPr>
        <w:spacing w:line="284" w:lineRule="auto"/>
        <w:ind w:firstLine="480" w:firstLineChars="200"/>
        <w:rPr>
          <w:rFonts w:ascii="宋体" w:hAnsi="宋体" w:cs="宋体"/>
          <w:sz w:val="24"/>
        </w:rPr>
      </w:pPr>
      <w:r>
        <w:rPr>
          <w:rFonts w:hint="eastAsia" w:ascii="宋体" w:hAnsi="宋体" w:cs="宋体"/>
          <w:sz w:val="24"/>
        </w:rPr>
        <w:t>②采购人、中标单位及采购人委托的验收参与人员初步清点时，若发现存在数量、规格型号、产地、质量等级、参数、包装及标识完整、完好程度、交货资料方面存在不合格情形的，采购人有权全 部拒收或部分拒收、退货、部分退货、拒付货款直至解除本合同，并向中标单位索赔因此造成的损失。 如采购人选择不解除合同但要求中标单位重新供货的，中标单位应当无条件重新供货，且交货期限不得延 长， 由此产生的逾期交货风险和违约责任全部由中标单位自行承担。</w:t>
      </w:r>
    </w:p>
    <w:p w14:paraId="2451D5E9">
      <w:pPr>
        <w:spacing w:line="284" w:lineRule="auto"/>
        <w:ind w:firstLine="482" w:firstLineChars="200"/>
        <w:rPr>
          <w:rFonts w:ascii="宋体" w:hAnsi="宋体" w:cs="宋体"/>
          <w:b/>
          <w:sz w:val="24"/>
        </w:rPr>
      </w:pPr>
      <w:r>
        <w:rPr>
          <w:rFonts w:hint="eastAsia" w:ascii="宋体" w:hAnsi="宋体" w:cs="宋体"/>
          <w:b/>
          <w:sz w:val="24"/>
        </w:rPr>
        <w:t>3、安装调试要求</w:t>
      </w:r>
    </w:p>
    <w:p w14:paraId="742DED91">
      <w:pPr>
        <w:spacing w:line="284" w:lineRule="auto"/>
        <w:ind w:firstLine="480" w:firstLineChars="200"/>
        <w:rPr>
          <w:rFonts w:ascii="宋体" w:hAnsi="宋体" w:cs="宋体"/>
          <w:sz w:val="24"/>
        </w:rPr>
      </w:pPr>
      <w:r>
        <w:rPr>
          <w:rFonts w:hint="eastAsia" w:ascii="宋体" w:hAnsi="宋体" w:cs="宋体"/>
          <w:sz w:val="24"/>
        </w:rPr>
        <w:t>1.1提供的货物在使用前需进行安装、调试的，成交供应商需负责安装、调试并培训招标单位的使用操作人员，直到符合技术要求，招标人才做最终验收。中标单位交货时须连同设备相关资料一同交给招标人。</w:t>
      </w:r>
    </w:p>
    <w:p w14:paraId="29053F25">
      <w:pPr>
        <w:spacing w:line="284" w:lineRule="auto"/>
        <w:ind w:firstLine="480" w:firstLineChars="200"/>
        <w:rPr>
          <w:rFonts w:ascii="宋体" w:hAnsi="宋体" w:cs="宋体"/>
          <w:sz w:val="24"/>
        </w:rPr>
      </w:pPr>
      <w:r>
        <w:rPr>
          <w:rFonts w:hint="eastAsia" w:ascii="宋体" w:hAnsi="宋体" w:cs="宋体"/>
          <w:sz w:val="24"/>
        </w:rPr>
        <w:t>1.2中标单位负责设备的安装、调试，费用由中标单位承担，请考虑到本次投标报价中。</w:t>
      </w:r>
    </w:p>
    <w:p w14:paraId="135D81B4">
      <w:pPr>
        <w:spacing w:line="284" w:lineRule="auto"/>
        <w:ind w:firstLine="482" w:firstLineChars="200"/>
        <w:rPr>
          <w:rFonts w:ascii="宋体" w:hAnsi="宋体" w:cs="宋体"/>
          <w:b/>
          <w:sz w:val="24"/>
        </w:rPr>
      </w:pPr>
      <w:r>
        <w:rPr>
          <w:rFonts w:hint="eastAsia" w:ascii="宋体" w:hAnsi="宋体" w:cs="宋体"/>
          <w:b/>
          <w:sz w:val="24"/>
        </w:rPr>
        <w:t>4、验收要求</w:t>
      </w:r>
    </w:p>
    <w:p w14:paraId="27CE0B93">
      <w:pPr>
        <w:spacing w:line="284" w:lineRule="auto"/>
        <w:ind w:firstLine="480" w:firstLineChars="200"/>
        <w:rPr>
          <w:rFonts w:ascii="宋体" w:hAnsi="宋体" w:cs="宋体"/>
          <w:sz w:val="24"/>
        </w:rPr>
      </w:pPr>
      <w:r>
        <w:rPr>
          <w:rFonts w:hint="eastAsia" w:ascii="宋体" w:hAnsi="宋体" w:cs="宋体"/>
          <w:sz w:val="24"/>
        </w:rPr>
        <w:t>2.1验收按国家有关规范标准(国家无验收规范标准的按双方合同规定的要求)进行。采购人保留邀请参加本项目的其他供应商或者第三方机构或相关技术专家参与验收的权利。参与验收的供应商或者第三方机构的意见作为验收书的参考资料一并存档。验收费用由中标单位承担。</w:t>
      </w:r>
    </w:p>
    <w:p w14:paraId="7635D08E">
      <w:pPr>
        <w:spacing w:line="284" w:lineRule="auto"/>
        <w:ind w:firstLine="480" w:firstLineChars="200"/>
        <w:rPr>
          <w:rFonts w:ascii="宋体" w:hAnsi="宋体" w:cs="宋体"/>
          <w:b/>
          <w:sz w:val="24"/>
        </w:rPr>
      </w:pPr>
      <w:r>
        <w:rPr>
          <w:rFonts w:hint="eastAsia" w:ascii="宋体" w:hAnsi="宋体" w:cs="宋体"/>
          <w:sz w:val="24"/>
        </w:rPr>
        <w:t>2.2验收依据及标准：以项目合同、工程变更单、响应文件、实际供货情况等材料为验收依据。</w:t>
      </w:r>
    </w:p>
    <w:p w14:paraId="54F94B07">
      <w:pPr>
        <w:spacing w:line="284" w:lineRule="auto"/>
        <w:ind w:firstLine="482" w:firstLineChars="200"/>
        <w:rPr>
          <w:rFonts w:ascii="宋体" w:hAnsi="宋体" w:cs="宋体"/>
          <w:b/>
          <w:sz w:val="24"/>
        </w:rPr>
      </w:pPr>
      <w:r>
        <w:rPr>
          <w:rFonts w:hint="eastAsia" w:ascii="宋体" w:hAnsi="宋体" w:cs="宋体"/>
          <w:b/>
          <w:sz w:val="24"/>
        </w:rPr>
        <w:t>5、售后要求</w:t>
      </w:r>
    </w:p>
    <w:p w14:paraId="08F1AB7F">
      <w:pPr>
        <w:spacing w:line="284" w:lineRule="auto"/>
        <w:ind w:firstLine="480" w:firstLineChars="200"/>
        <w:rPr>
          <w:rFonts w:ascii="宋体" w:hAnsi="宋体" w:cs="宋体"/>
          <w:sz w:val="24"/>
        </w:rPr>
      </w:pPr>
      <w:r>
        <w:rPr>
          <w:rFonts w:hint="eastAsia" w:ascii="宋体" w:hAnsi="宋体" w:cs="宋体"/>
          <w:sz w:val="24"/>
        </w:rPr>
        <w:t>（1）保修期及保修内容</w:t>
      </w:r>
    </w:p>
    <w:p w14:paraId="4712DD9D">
      <w:pPr>
        <w:spacing w:line="284" w:lineRule="auto"/>
        <w:ind w:firstLine="480" w:firstLineChars="200"/>
        <w:rPr>
          <w:rFonts w:ascii="宋体" w:hAnsi="宋体" w:cs="宋体"/>
          <w:sz w:val="24"/>
        </w:rPr>
      </w:pPr>
      <w:r>
        <w:rPr>
          <w:rFonts w:hint="eastAsia" w:ascii="宋体" w:hAnsi="宋体" w:cs="宋体"/>
          <w:sz w:val="24"/>
        </w:rPr>
        <w:t>本次采购质保期为两年。质保期内由于设备质量原因造成的损伤和损坏，供应商必须免费修复和更换。质保期内除故障的维修外，还包括设备的常规检查、调校、润滑等维保内容。质保期结束前必须由供应商的工程师和采购人代表一起对产品进行一次全面测试和检查，任何质量问题供应商必须负责解决，并得到采购人代表的认可。</w:t>
      </w:r>
    </w:p>
    <w:p w14:paraId="4EB4DEDA">
      <w:pPr>
        <w:spacing w:line="284" w:lineRule="auto"/>
        <w:ind w:firstLine="480" w:firstLineChars="200"/>
        <w:rPr>
          <w:rFonts w:ascii="宋体" w:hAnsi="宋体" w:cs="宋体"/>
          <w:sz w:val="24"/>
        </w:rPr>
      </w:pPr>
      <w:r>
        <w:rPr>
          <w:rFonts w:hint="eastAsia" w:ascii="宋体" w:hAnsi="宋体" w:cs="宋体"/>
          <w:sz w:val="24"/>
        </w:rPr>
        <w:t>（2）技术培训</w:t>
      </w:r>
    </w:p>
    <w:p w14:paraId="5FFCFA1C">
      <w:pPr>
        <w:spacing w:line="284" w:lineRule="auto"/>
        <w:ind w:firstLine="480" w:firstLineChars="200"/>
        <w:rPr>
          <w:rFonts w:ascii="宋体" w:hAnsi="宋体" w:cs="宋体"/>
          <w:sz w:val="24"/>
        </w:rPr>
      </w:pPr>
      <w:r>
        <w:rPr>
          <w:rFonts w:hint="eastAsia" w:ascii="宋体" w:hAnsi="宋体" w:cs="宋体"/>
          <w:sz w:val="24"/>
        </w:rPr>
        <w:t>中标单位需负责对采购人的技术人员进行培训（提供完整的技术培训，使采购人今后能自行操作、维护）。供应商须在投标文件中提供详细的培训计划，包括培训内容和培训时间、培训费用等。技术培训费用应包含在投标总价中。</w:t>
      </w:r>
    </w:p>
    <w:p w14:paraId="0F8E0C8B">
      <w:pPr>
        <w:spacing w:line="284" w:lineRule="auto"/>
        <w:ind w:firstLine="480" w:firstLineChars="200"/>
        <w:rPr>
          <w:rFonts w:ascii="宋体" w:hAnsi="宋体" w:cs="宋体"/>
          <w:sz w:val="24"/>
        </w:rPr>
      </w:pPr>
      <w:r>
        <w:rPr>
          <w:rFonts w:hint="eastAsia" w:ascii="宋体" w:hAnsi="宋体" w:cs="宋体"/>
          <w:sz w:val="24"/>
        </w:rPr>
        <w:t xml:space="preserve">（3）售后服务响应时限 </w:t>
      </w:r>
    </w:p>
    <w:p w14:paraId="3D60DC9E">
      <w:pPr>
        <w:spacing w:line="284" w:lineRule="auto"/>
        <w:ind w:firstLine="480" w:firstLineChars="200"/>
        <w:rPr>
          <w:rFonts w:ascii="宋体" w:hAnsi="宋体" w:cs="宋体"/>
          <w:sz w:val="24"/>
        </w:rPr>
      </w:pPr>
      <w:r>
        <w:rPr>
          <w:rFonts w:hint="eastAsia" w:ascii="宋体" w:hAnsi="宋体" w:cs="宋体"/>
          <w:sz w:val="24"/>
        </w:rPr>
        <w:t>中标单位需提供专门的售后服务电话，中标单位在接到采购人通知后，2小时内做出响应，4小时内派人赴现场处理问题。48 小时内无法修复的，中标单位需无偿提供备机供采购人使用。</w:t>
      </w:r>
    </w:p>
    <w:p w14:paraId="71F85872">
      <w:pPr>
        <w:spacing w:line="284" w:lineRule="auto"/>
        <w:ind w:firstLine="482" w:firstLineChars="200"/>
        <w:rPr>
          <w:rFonts w:ascii="宋体" w:hAnsi="宋体" w:cs="宋体"/>
          <w:b/>
          <w:sz w:val="24"/>
        </w:rPr>
      </w:pPr>
      <w:r>
        <w:rPr>
          <w:rFonts w:hint="eastAsia" w:ascii="宋体" w:hAnsi="宋体" w:cs="宋体"/>
          <w:b/>
          <w:sz w:val="24"/>
        </w:rPr>
        <w:t>6、其他要求</w:t>
      </w:r>
    </w:p>
    <w:p w14:paraId="3872DC30">
      <w:pPr>
        <w:spacing w:line="284" w:lineRule="auto"/>
        <w:ind w:firstLine="480" w:firstLineChars="200"/>
        <w:rPr>
          <w:rFonts w:ascii="宋体" w:hAnsi="宋体" w:cs="宋体"/>
          <w:sz w:val="24"/>
        </w:rPr>
      </w:pPr>
      <w:r>
        <w:rPr>
          <w:rFonts w:hint="eastAsia" w:ascii="宋体" w:hAnsi="宋体" w:cs="宋体"/>
          <w:sz w:val="24"/>
        </w:rPr>
        <w:t>（1）设备外观清洁，标记编号以及盘面显示等字体清晰，明确。铭牌、使用指示、警告指示应以中文或英文及易懂的通用符号来表示；应准确无误地标明设备之型号、规格、制造厂及生产或出厂日期。</w:t>
      </w:r>
    </w:p>
    <w:p w14:paraId="6B1D9B1C">
      <w:pPr>
        <w:spacing w:line="284" w:lineRule="auto"/>
        <w:ind w:firstLine="480" w:firstLineChars="200"/>
        <w:rPr>
          <w:rFonts w:ascii="宋体" w:hAnsi="宋体" w:cs="宋体"/>
          <w:sz w:val="24"/>
        </w:rPr>
      </w:pPr>
      <w:r>
        <w:rPr>
          <w:rFonts w:hint="eastAsia" w:ascii="宋体" w:hAnsi="宋体" w:cs="宋体"/>
          <w:sz w:val="24"/>
        </w:rPr>
        <w:t>（2）对于影响设备正常工作的必要组成部分，无论在技术规范中指出与否，供应商都应提供并在投标文件中明确列出。</w:t>
      </w:r>
    </w:p>
    <w:p w14:paraId="3190870A">
      <w:pPr>
        <w:snapToGrid w:val="0"/>
        <w:spacing w:line="284" w:lineRule="auto"/>
        <w:ind w:firstLine="480" w:firstLineChars="200"/>
        <w:jc w:val="left"/>
        <w:rPr>
          <w:rFonts w:ascii="宋体" w:hAnsi="宋体" w:cs="宋体"/>
          <w:b/>
          <w:bCs/>
          <w:sz w:val="24"/>
        </w:rPr>
      </w:pPr>
      <w:r>
        <w:rPr>
          <w:rFonts w:hint="eastAsia" w:ascii="宋体" w:hAnsi="宋体" w:cs="宋体"/>
          <w:sz w:val="24"/>
        </w:rPr>
        <w:t>（3）若后续采购人对产品有统一涂装要求的，中标单位无条件配合，费用包含在投标报价内。</w:t>
      </w:r>
    </w:p>
    <w:p w14:paraId="4F26D6E0">
      <w:pPr>
        <w:snapToGrid w:val="0"/>
        <w:spacing w:line="284" w:lineRule="auto"/>
        <w:ind w:firstLine="482" w:firstLineChars="200"/>
        <w:jc w:val="left"/>
        <w:rPr>
          <w:rFonts w:ascii="宋体" w:hAnsi="宋体" w:cs="宋体"/>
          <w:b/>
          <w:bCs/>
          <w:sz w:val="24"/>
        </w:rPr>
      </w:pPr>
      <w:r>
        <w:rPr>
          <w:rFonts w:hint="eastAsia" w:ascii="宋体" w:hAnsi="宋体" w:cs="宋体"/>
          <w:b/>
          <w:bCs/>
          <w:sz w:val="24"/>
        </w:rPr>
        <w:t>（4）交货期：合同签订完毕日起30日历天内完成供货，交采购单位验收。</w:t>
      </w:r>
    </w:p>
    <w:p w14:paraId="618FDE6D">
      <w:pPr>
        <w:spacing w:line="284" w:lineRule="auto"/>
        <w:rPr>
          <w:rFonts w:ascii="宋体" w:hAnsi="宋体" w:cs="宋体"/>
          <w:b/>
          <w:bCs/>
          <w:sz w:val="24"/>
        </w:rPr>
      </w:pPr>
      <w:r>
        <w:rPr>
          <w:rFonts w:hint="eastAsia" w:ascii="宋体" w:hAnsi="宋体" w:cs="宋体"/>
          <w:b/>
          <w:bCs/>
          <w:sz w:val="24"/>
        </w:rPr>
        <w:t>三、履约保证金：</w:t>
      </w:r>
    </w:p>
    <w:p w14:paraId="14D193DF">
      <w:pPr>
        <w:spacing w:line="284" w:lineRule="auto"/>
        <w:ind w:firstLine="480" w:firstLineChars="200"/>
        <w:rPr>
          <w:rFonts w:ascii="宋体" w:hAnsi="宋体" w:cs="宋体"/>
          <w:b/>
          <w:bCs/>
          <w:sz w:val="24"/>
        </w:rPr>
      </w:pPr>
      <w:r>
        <w:rPr>
          <w:rFonts w:hint="eastAsia" w:ascii="宋体" w:hAnsi="宋体" w:cs="宋体"/>
          <w:sz w:val="24"/>
        </w:rPr>
        <w:t>项目实施前，中标人须向采购人缴纳合同金额1%的履约保证金，待项目验收通过后无息退还。</w:t>
      </w:r>
    </w:p>
    <w:p w14:paraId="2F4E6A17">
      <w:pPr>
        <w:spacing w:line="284" w:lineRule="auto"/>
        <w:rPr>
          <w:rFonts w:ascii="宋体" w:hAnsi="宋体" w:cs="宋体"/>
          <w:b/>
          <w:sz w:val="24"/>
        </w:rPr>
      </w:pPr>
      <w:r>
        <w:rPr>
          <w:rFonts w:hint="eastAsia" w:ascii="宋体" w:hAnsi="宋体" w:cs="宋体"/>
          <w:b/>
          <w:bCs/>
          <w:sz w:val="24"/>
        </w:rPr>
        <w:t>四、付款方式</w:t>
      </w:r>
    </w:p>
    <w:p w14:paraId="5AC64FC6">
      <w:pPr>
        <w:spacing w:line="284" w:lineRule="auto"/>
        <w:ind w:firstLine="480" w:firstLineChars="200"/>
        <w:rPr>
          <w:rFonts w:ascii="宋体" w:hAnsi="宋体" w:cs="宋体"/>
          <w:b/>
          <w:sz w:val="24"/>
        </w:rPr>
      </w:pPr>
      <w:r>
        <w:rPr>
          <w:rFonts w:hint="eastAsia" w:ascii="宋体" w:hAnsi="宋体" w:cs="宋体"/>
          <w:bCs/>
          <w:sz w:val="24"/>
        </w:rPr>
        <w:t>合同签订后支付合同金额40%的预付款项（须在采购人支付预付款七个工作日前提供预付款保函，采购人凭中标单位提供的预付款保函支付合同金额预付款。签订合同时如中标单位明确表示无需支付预付款或者主动要求降低支付预付款比例的，采购人可按实际情况不支付预付款或降低支付预付款金额），剩余款项在所有产品全部供货完成经采购人验收合格后一次性付清。采购人未按约定向中标单位支付合同款项，应向中标单位支付逾期利息，利率为合同签订时一年期贷款市场报价利率。</w:t>
      </w:r>
    </w:p>
    <w:p w14:paraId="49C96EA8">
      <w:pPr>
        <w:spacing w:line="284" w:lineRule="auto"/>
        <w:rPr>
          <w:rFonts w:ascii="宋体" w:hAnsi="宋体" w:cs="宋体"/>
          <w:b/>
          <w:sz w:val="24"/>
        </w:rPr>
      </w:pPr>
      <w:r>
        <w:rPr>
          <w:rFonts w:hint="eastAsia" w:ascii="宋体" w:hAnsi="宋体" w:cs="宋体"/>
          <w:b/>
          <w:sz w:val="24"/>
        </w:rPr>
        <w:t>五、最高限价：</w:t>
      </w:r>
    </w:p>
    <w:p w14:paraId="656A0A37">
      <w:pPr>
        <w:spacing w:line="284" w:lineRule="auto"/>
        <w:ind w:firstLine="482" w:firstLineChars="200"/>
        <w:rPr>
          <w:rFonts w:ascii="宋体" w:hAnsi="宋体" w:cs="宋体"/>
          <w:sz w:val="24"/>
        </w:rPr>
      </w:pPr>
      <w:r>
        <w:rPr>
          <w:rFonts w:hint="eastAsia" w:ascii="宋体" w:hAnsi="宋体" w:cs="宋体"/>
          <w:b/>
          <w:bCs/>
          <w:sz w:val="24"/>
          <w:u w:val="single"/>
        </w:rPr>
        <w:t>本项目最高限价为人民币贰佰玖拾贰万壹仟陆佰元（￥:2921600.00）整；任何超过最高限价的报价将被认定为无效报价。报价包含产品、配件、安装、调试、上牌、验收、保险、售后、税费等一切费用。</w:t>
      </w:r>
    </w:p>
    <w:p w14:paraId="538CB7B5">
      <w:pPr>
        <w:adjustRightInd/>
        <w:spacing w:line="360" w:lineRule="auto"/>
        <w:ind w:firstLine="2891" w:firstLineChars="800"/>
        <w:outlineLvl w:val="0"/>
        <w:rPr>
          <w:rFonts w:ascii="宋体" w:hAnsi="宋体" w:cs="宋体"/>
          <w:b/>
          <w:kern w:val="44"/>
          <w:sz w:val="36"/>
          <w:szCs w:val="36"/>
        </w:rPr>
      </w:pPr>
    </w:p>
    <w:p w14:paraId="4B527957">
      <w:pPr>
        <w:pStyle w:val="3"/>
        <w:rPr>
          <w:rFonts w:ascii="宋体" w:hAnsi="宋体" w:eastAsia="宋体" w:cs="宋体"/>
          <w:kern w:val="44"/>
          <w:sz w:val="36"/>
          <w:szCs w:val="36"/>
          <w:lang w:val="en-US"/>
        </w:rPr>
      </w:pPr>
    </w:p>
    <w:p w14:paraId="479C3F66">
      <w:pPr>
        <w:rPr>
          <w:rFonts w:ascii="宋体" w:hAnsi="宋体" w:cs="宋体"/>
          <w:b/>
          <w:kern w:val="44"/>
          <w:sz w:val="36"/>
          <w:szCs w:val="36"/>
        </w:rPr>
      </w:pPr>
    </w:p>
    <w:p w14:paraId="2520CF06">
      <w:pPr>
        <w:pStyle w:val="3"/>
        <w:rPr>
          <w:rFonts w:ascii="宋体" w:hAnsi="宋体" w:eastAsia="宋体" w:cs="宋体"/>
          <w:kern w:val="44"/>
          <w:sz w:val="36"/>
          <w:szCs w:val="36"/>
          <w:lang w:val="en-US"/>
        </w:rPr>
      </w:pPr>
    </w:p>
    <w:p w14:paraId="687BE1BC">
      <w:pPr>
        <w:rPr>
          <w:rFonts w:ascii="宋体" w:hAnsi="宋体" w:cs="宋体"/>
          <w:b/>
          <w:kern w:val="44"/>
          <w:sz w:val="36"/>
          <w:szCs w:val="36"/>
        </w:rPr>
      </w:pPr>
    </w:p>
    <w:p w14:paraId="79583CC0">
      <w:pPr>
        <w:rPr>
          <w:rFonts w:ascii="宋体" w:hAnsi="宋体" w:cs="宋体"/>
          <w:b/>
          <w:kern w:val="44"/>
          <w:sz w:val="36"/>
          <w:szCs w:val="36"/>
        </w:rPr>
      </w:pPr>
    </w:p>
    <w:p w14:paraId="28B5FDFA">
      <w:pPr>
        <w:rPr>
          <w:rFonts w:ascii="宋体" w:hAnsi="宋体" w:cs="宋体"/>
          <w:b/>
          <w:kern w:val="44"/>
          <w:sz w:val="36"/>
          <w:szCs w:val="36"/>
        </w:rPr>
      </w:pPr>
    </w:p>
    <w:p w14:paraId="3730E3DC">
      <w:pPr>
        <w:rPr>
          <w:rFonts w:ascii="宋体" w:hAnsi="宋体" w:cs="宋体"/>
          <w:b/>
          <w:kern w:val="44"/>
          <w:sz w:val="36"/>
          <w:szCs w:val="36"/>
        </w:rPr>
      </w:pPr>
    </w:p>
    <w:p w14:paraId="1B82563C">
      <w:pPr>
        <w:rPr>
          <w:rFonts w:ascii="宋体" w:hAnsi="宋体" w:cs="宋体"/>
          <w:b/>
          <w:kern w:val="44"/>
          <w:sz w:val="36"/>
          <w:szCs w:val="36"/>
        </w:rPr>
      </w:pPr>
    </w:p>
    <w:p w14:paraId="4FAD58B8">
      <w:pPr>
        <w:rPr>
          <w:rFonts w:ascii="宋体" w:hAnsi="宋体" w:cs="宋体"/>
          <w:b/>
          <w:kern w:val="44"/>
          <w:sz w:val="36"/>
          <w:szCs w:val="36"/>
        </w:rPr>
      </w:pPr>
    </w:p>
    <w:p w14:paraId="4BC37054">
      <w:pPr>
        <w:pStyle w:val="15"/>
      </w:pPr>
    </w:p>
    <w:p w14:paraId="5F938108">
      <w:pPr>
        <w:adjustRightInd/>
        <w:spacing w:line="360" w:lineRule="auto"/>
        <w:ind w:firstLine="2891" w:firstLineChars="800"/>
        <w:outlineLvl w:val="0"/>
        <w:rPr>
          <w:rFonts w:ascii="宋体" w:hAnsi="宋体" w:cs="宋体"/>
          <w:b/>
          <w:kern w:val="44"/>
          <w:sz w:val="36"/>
          <w:szCs w:val="36"/>
        </w:rPr>
      </w:pPr>
      <w:r>
        <w:rPr>
          <w:rFonts w:hint="eastAsia" w:ascii="宋体" w:hAnsi="宋体" w:cs="宋体"/>
          <w:b/>
          <w:kern w:val="44"/>
          <w:sz w:val="36"/>
          <w:szCs w:val="36"/>
        </w:rPr>
        <w:t xml:space="preserve">第四部分   </w:t>
      </w:r>
      <w:bookmarkStart w:id="37" w:name="_Toc184312079"/>
      <w:bookmarkEnd w:id="37"/>
      <w:bookmarkStart w:id="38" w:name="_Toc184314476"/>
      <w:bookmarkEnd w:id="38"/>
      <w:bookmarkStart w:id="39" w:name="_Toc184314412"/>
      <w:bookmarkEnd w:id="39"/>
      <w:bookmarkStart w:id="40" w:name="_Toc184313305"/>
      <w:bookmarkEnd w:id="40"/>
      <w:bookmarkStart w:id="41" w:name="_Toc184314452"/>
      <w:bookmarkEnd w:id="41"/>
      <w:bookmarkStart w:id="42" w:name="_Toc184308089"/>
      <w:bookmarkEnd w:id="42"/>
      <w:bookmarkStart w:id="43" w:name="_Toc184313263"/>
      <w:bookmarkEnd w:id="43"/>
      <w:bookmarkStart w:id="44" w:name="_Toc184308084"/>
      <w:bookmarkEnd w:id="44"/>
      <w:bookmarkStart w:id="45" w:name="_Toc184310276"/>
      <w:bookmarkEnd w:id="45"/>
      <w:bookmarkStart w:id="46" w:name="_Toc184313299"/>
      <w:bookmarkEnd w:id="46"/>
      <w:bookmarkStart w:id="47" w:name="_Toc184308108"/>
      <w:bookmarkEnd w:id="47"/>
      <w:bookmarkStart w:id="48" w:name="_Toc184313246"/>
      <w:bookmarkEnd w:id="48"/>
      <w:bookmarkStart w:id="49" w:name="_Toc184310301"/>
      <w:bookmarkEnd w:id="49"/>
      <w:bookmarkStart w:id="50" w:name="_Toc184313293"/>
      <w:bookmarkEnd w:id="50"/>
      <w:bookmarkStart w:id="51" w:name="_Toc184308063"/>
      <w:bookmarkEnd w:id="51"/>
      <w:bookmarkStart w:id="52" w:name="_Toc184310332"/>
      <w:bookmarkEnd w:id="52"/>
      <w:bookmarkStart w:id="53" w:name="_Toc184308090"/>
      <w:bookmarkEnd w:id="53"/>
      <w:bookmarkStart w:id="54" w:name="_Toc184314444"/>
      <w:bookmarkEnd w:id="54"/>
      <w:bookmarkStart w:id="55" w:name="_Toc184312118"/>
      <w:bookmarkEnd w:id="55"/>
      <w:bookmarkStart w:id="56" w:name="_Toc184313308"/>
      <w:bookmarkEnd w:id="56"/>
      <w:bookmarkStart w:id="57" w:name="_Toc184308043"/>
      <w:bookmarkEnd w:id="57"/>
      <w:bookmarkStart w:id="58" w:name="_Toc184312129"/>
      <w:bookmarkEnd w:id="58"/>
      <w:bookmarkStart w:id="59" w:name="_Toc184314463"/>
      <w:bookmarkEnd w:id="59"/>
      <w:bookmarkStart w:id="60" w:name="_Toc184308106"/>
      <w:bookmarkEnd w:id="60"/>
      <w:bookmarkStart w:id="61" w:name="_Toc184310290"/>
      <w:bookmarkEnd w:id="61"/>
      <w:bookmarkStart w:id="62" w:name="_Toc184313301"/>
      <w:bookmarkEnd w:id="62"/>
      <w:bookmarkStart w:id="63" w:name="_Toc184310344"/>
      <w:bookmarkEnd w:id="63"/>
      <w:bookmarkStart w:id="64" w:name="_Toc184313307"/>
      <w:bookmarkEnd w:id="64"/>
      <w:bookmarkStart w:id="65" w:name="_Toc184310281"/>
      <w:bookmarkEnd w:id="65"/>
      <w:bookmarkStart w:id="66" w:name="_Toc184308105"/>
      <w:bookmarkEnd w:id="66"/>
      <w:bookmarkStart w:id="67" w:name="_Toc184308098"/>
      <w:bookmarkEnd w:id="67"/>
      <w:bookmarkStart w:id="68" w:name="_Toc184314464"/>
      <w:bookmarkEnd w:id="68"/>
      <w:bookmarkStart w:id="69" w:name="_Toc184308094"/>
      <w:bookmarkEnd w:id="69"/>
      <w:bookmarkStart w:id="70" w:name="_Toc184313273"/>
      <w:bookmarkEnd w:id="70"/>
      <w:bookmarkStart w:id="71" w:name="_Toc184312101"/>
      <w:bookmarkEnd w:id="71"/>
      <w:bookmarkStart w:id="72" w:name="_Toc184314418"/>
      <w:bookmarkEnd w:id="72"/>
      <w:bookmarkStart w:id="73" w:name="_Toc184313276"/>
      <w:bookmarkEnd w:id="73"/>
      <w:bookmarkStart w:id="74" w:name="_Toc184313254"/>
      <w:bookmarkEnd w:id="74"/>
      <w:bookmarkStart w:id="75" w:name="_Toc184314449"/>
      <w:bookmarkEnd w:id="75"/>
      <w:bookmarkStart w:id="76" w:name="_Toc184314429"/>
      <w:bookmarkEnd w:id="76"/>
      <w:bookmarkStart w:id="77" w:name="_Toc184308079"/>
      <w:bookmarkEnd w:id="77"/>
      <w:bookmarkStart w:id="78" w:name="_Toc184312112"/>
      <w:bookmarkEnd w:id="78"/>
      <w:bookmarkStart w:id="79" w:name="_Toc184310343"/>
      <w:bookmarkEnd w:id="79"/>
      <w:bookmarkStart w:id="80" w:name="_Toc184314468"/>
      <w:bookmarkEnd w:id="80"/>
      <w:bookmarkStart w:id="81" w:name="_Toc184312107"/>
      <w:bookmarkEnd w:id="81"/>
      <w:bookmarkStart w:id="82" w:name="_Toc184310300"/>
      <w:bookmarkEnd w:id="82"/>
      <w:bookmarkStart w:id="83" w:name="_Toc184312110"/>
      <w:bookmarkEnd w:id="83"/>
      <w:bookmarkStart w:id="84" w:name="_Toc184310277"/>
      <w:bookmarkEnd w:id="84"/>
      <w:bookmarkStart w:id="85" w:name="_Toc184314437"/>
      <w:bookmarkEnd w:id="85"/>
      <w:bookmarkStart w:id="86" w:name="_Toc184312078"/>
      <w:bookmarkEnd w:id="86"/>
      <w:bookmarkStart w:id="87" w:name="_Toc184313251"/>
      <w:bookmarkEnd w:id="87"/>
      <w:bookmarkStart w:id="88" w:name="_Toc184313285"/>
      <w:bookmarkEnd w:id="88"/>
      <w:bookmarkStart w:id="89" w:name="_Toc184313310"/>
      <w:bookmarkEnd w:id="89"/>
      <w:bookmarkStart w:id="90" w:name="_Toc184308103"/>
      <w:bookmarkEnd w:id="90"/>
      <w:bookmarkStart w:id="91" w:name="_Toc184312130"/>
      <w:bookmarkEnd w:id="91"/>
      <w:bookmarkStart w:id="92" w:name="_Toc184313256"/>
      <w:bookmarkEnd w:id="92"/>
      <w:bookmarkStart w:id="93" w:name="_Toc184313284"/>
      <w:bookmarkEnd w:id="93"/>
      <w:bookmarkStart w:id="94" w:name="_Toc184308087"/>
      <w:bookmarkEnd w:id="94"/>
      <w:bookmarkStart w:id="95" w:name="_Toc184314421"/>
      <w:bookmarkEnd w:id="95"/>
      <w:bookmarkStart w:id="96" w:name="_Toc184314445"/>
      <w:bookmarkEnd w:id="96"/>
      <w:bookmarkStart w:id="97" w:name="_Toc184314446"/>
      <w:bookmarkEnd w:id="97"/>
      <w:bookmarkStart w:id="98" w:name="_Toc184312082"/>
      <w:bookmarkEnd w:id="98"/>
      <w:bookmarkStart w:id="99" w:name="_Toc184310324"/>
      <w:bookmarkEnd w:id="99"/>
      <w:bookmarkStart w:id="100" w:name="_Toc184308037"/>
      <w:bookmarkEnd w:id="100"/>
      <w:bookmarkStart w:id="101" w:name="_Toc184314419"/>
      <w:bookmarkEnd w:id="101"/>
      <w:bookmarkStart w:id="102" w:name="_Toc184312091"/>
      <w:bookmarkEnd w:id="102"/>
      <w:bookmarkStart w:id="103" w:name="_Toc184308064"/>
      <w:bookmarkEnd w:id="103"/>
      <w:bookmarkStart w:id="104" w:name="_Toc184314462"/>
      <w:bookmarkEnd w:id="104"/>
      <w:bookmarkStart w:id="105" w:name="_Toc184313275"/>
      <w:bookmarkEnd w:id="105"/>
      <w:bookmarkStart w:id="106" w:name="_Toc184314416"/>
      <w:bookmarkEnd w:id="106"/>
      <w:bookmarkStart w:id="107" w:name="_Toc184313269"/>
      <w:bookmarkEnd w:id="107"/>
      <w:bookmarkStart w:id="108" w:name="_Toc184312092"/>
      <w:bookmarkEnd w:id="108"/>
      <w:bookmarkStart w:id="109" w:name="_Toc184312125"/>
      <w:bookmarkEnd w:id="109"/>
      <w:bookmarkStart w:id="110" w:name="_Toc184313252"/>
      <w:bookmarkEnd w:id="110"/>
      <w:bookmarkStart w:id="111" w:name="_Toc184310326"/>
      <w:bookmarkEnd w:id="111"/>
      <w:bookmarkStart w:id="112" w:name="_Toc184312121"/>
      <w:bookmarkEnd w:id="112"/>
      <w:bookmarkStart w:id="113" w:name="_Toc184314471"/>
      <w:bookmarkEnd w:id="113"/>
      <w:bookmarkStart w:id="114" w:name="_Toc184312106"/>
      <w:bookmarkEnd w:id="114"/>
      <w:bookmarkStart w:id="115" w:name="_Toc184313266"/>
      <w:bookmarkEnd w:id="115"/>
      <w:bookmarkStart w:id="116" w:name="_Toc184310291"/>
      <w:bookmarkEnd w:id="116"/>
      <w:bookmarkStart w:id="117" w:name="_Toc184314475"/>
      <w:bookmarkEnd w:id="117"/>
      <w:bookmarkStart w:id="118" w:name="_Toc184313309"/>
      <w:bookmarkEnd w:id="118"/>
      <w:bookmarkStart w:id="119" w:name="_Toc184313250"/>
      <w:bookmarkEnd w:id="119"/>
      <w:bookmarkStart w:id="120" w:name="_Toc184308052"/>
      <w:bookmarkEnd w:id="120"/>
      <w:bookmarkStart w:id="121" w:name="_Toc184313277"/>
      <w:bookmarkEnd w:id="121"/>
      <w:bookmarkStart w:id="122" w:name="_Toc184310313"/>
      <w:bookmarkEnd w:id="122"/>
      <w:bookmarkStart w:id="123" w:name="_Toc184308056"/>
      <w:bookmarkEnd w:id="123"/>
      <w:bookmarkStart w:id="124" w:name="_Toc184312124"/>
      <w:bookmarkEnd w:id="124"/>
      <w:bookmarkStart w:id="125" w:name="_Toc184314430"/>
      <w:bookmarkEnd w:id="125"/>
      <w:bookmarkStart w:id="126" w:name="_Toc184308085"/>
      <w:bookmarkEnd w:id="126"/>
      <w:bookmarkStart w:id="127" w:name="_Toc184312086"/>
      <w:bookmarkEnd w:id="127"/>
      <w:bookmarkStart w:id="128" w:name="_Toc184310312"/>
      <w:bookmarkEnd w:id="128"/>
      <w:bookmarkStart w:id="129" w:name="_Toc184310286"/>
      <w:bookmarkEnd w:id="129"/>
      <w:bookmarkStart w:id="130" w:name="_Toc184310305"/>
      <w:bookmarkEnd w:id="130"/>
      <w:bookmarkStart w:id="131" w:name="_Toc184312074"/>
      <w:bookmarkEnd w:id="131"/>
      <w:bookmarkStart w:id="132" w:name="_Toc184312113"/>
      <w:bookmarkEnd w:id="132"/>
      <w:bookmarkStart w:id="133" w:name="_Toc184314465"/>
      <w:bookmarkEnd w:id="133"/>
      <w:bookmarkStart w:id="134" w:name="_Toc184314441"/>
      <w:bookmarkEnd w:id="134"/>
      <w:bookmarkStart w:id="135" w:name="_Toc184312090"/>
      <w:bookmarkEnd w:id="135"/>
      <w:bookmarkStart w:id="136" w:name="_Toc184310307"/>
      <w:bookmarkEnd w:id="136"/>
      <w:bookmarkStart w:id="137" w:name="_Toc184312070"/>
      <w:bookmarkEnd w:id="137"/>
      <w:bookmarkStart w:id="138" w:name="_Toc184313292"/>
      <w:bookmarkEnd w:id="138"/>
      <w:bookmarkStart w:id="139" w:name="_Toc184308067"/>
      <w:bookmarkEnd w:id="139"/>
      <w:bookmarkStart w:id="140" w:name="_Toc184313257"/>
      <w:bookmarkEnd w:id="140"/>
      <w:bookmarkStart w:id="141" w:name="_Toc184310306"/>
      <w:bookmarkEnd w:id="141"/>
      <w:bookmarkStart w:id="142" w:name="_Toc184308038"/>
      <w:bookmarkEnd w:id="142"/>
      <w:bookmarkStart w:id="143" w:name="_Toc184314431"/>
      <w:bookmarkEnd w:id="143"/>
      <w:bookmarkStart w:id="144" w:name="_Toc184310297"/>
      <w:bookmarkEnd w:id="144"/>
      <w:bookmarkStart w:id="145" w:name="_Toc184313281"/>
      <w:bookmarkEnd w:id="145"/>
      <w:bookmarkStart w:id="146" w:name="_Toc184314481"/>
      <w:bookmarkEnd w:id="146"/>
      <w:bookmarkStart w:id="147" w:name="_Toc184308049"/>
      <w:bookmarkEnd w:id="147"/>
      <w:bookmarkStart w:id="148" w:name="_Toc184313271"/>
      <w:bookmarkEnd w:id="148"/>
      <w:bookmarkStart w:id="149" w:name="_Toc184308100"/>
      <w:bookmarkEnd w:id="149"/>
      <w:bookmarkStart w:id="150" w:name="_Toc184314458"/>
      <w:bookmarkEnd w:id="150"/>
      <w:bookmarkStart w:id="151" w:name="_Toc184313262"/>
      <w:bookmarkEnd w:id="151"/>
      <w:bookmarkStart w:id="152" w:name="_Toc184310329"/>
      <w:bookmarkEnd w:id="152"/>
      <w:bookmarkStart w:id="153" w:name="_Toc184313240"/>
      <w:bookmarkEnd w:id="153"/>
      <w:bookmarkStart w:id="154" w:name="_Toc184310285"/>
      <w:bookmarkEnd w:id="154"/>
      <w:bookmarkStart w:id="155" w:name="_Toc184314470"/>
      <w:bookmarkEnd w:id="155"/>
      <w:bookmarkStart w:id="156" w:name="_Toc184310275"/>
      <w:bookmarkEnd w:id="156"/>
      <w:bookmarkStart w:id="157" w:name="_Toc184314447"/>
      <w:bookmarkEnd w:id="157"/>
      <w:bookmarkStart w:id="158" w:name="_Toc184310282"/>
      <w:bookmarkEnd w:id="158"/>
      <w:bookmarkStart w:id="159" w:name="_Toc184312133"/>
      <w:bookmarkEnd w:id="159"/>
      <w:bookmarkStart w:id="160" w:name="_Toc184310309"/>
      <w:bookmarkEnd w:id="160"/>
      <w:bookmarkStart w:id="161" w:name="_Toc184312077"/>
      <w:bookmarkEnd w:id="161"/>
      <w:bookmarkStart w:id="162" w:name="_Toc184310272"/>
      <w:bookmarkEnd w:id="162"/>
      <w:bookmarkStart w:id="163" w:name="_Toc184308047"/>
      <w:bookmarkEnd w:id="163"/>
      <w:bookmarkStart w:id="164" w:name="_Toc184308093"/>
      <w:bookmarkEnd w:id="164"/>
      <w:bookmarkStart w:id="165" w:name="_Toc184308057"/>
      <w:bookmarkEnd w:id="165"/>
      <w:bookmarkStart w:id="166" w:name="_Toc184308050"/>
      <w:bookmarkEnd w:id="166"/>
      <w:bookmarkStart w:id="167" w:name="_Toc184314457"/>
      <w:bookmarkEnd w:id="167"/>
      <w:bookmarkStart w:id="168" w:name="_Toc184312094"/>
      <w:bookmarkEnd w:id="168"/>
      <w:bookmarkStart w:id="169" w:name="_Toc184313239"/>
      <w:bookmarkEnd w:id="169"/>
      <w:bookmarkStart w:id="170" w:name="_Toc184312100"/>
      <w:bookmarkEnd w:id="170"/>
      <w:bookmarkStart w:id="171" w:name="_Toc184310318"/>
      <w:bookmarkEnd w:id="171"/>
      <w:bookmarkStart w:id="172" w:name="_Toc184313267"/>
      <w:bookmarkEnd w:id="172"/>
      <w:bookmarkStart w:id="173" w:name="_Toc184308045"/>
      <w:bookmarkEnd w:id="173"/>
      <w:bookmarkStart w:id="174" w:name="_Toc184314451"/>
      <w:bookmarkEnd w:id="174"/>
      <w:bookmarkStart w:id="175" w:name="_Toc184308036"/>
      <w:bookmarkEnd w:id="175"/>
      <w:bookmarkStart w:id="176" w:name="_Toc184314436"/>
      <w:bookmarkEnd w:id="176"/>
      <w:bookmarkStart w:id="177" w:name="_Toc184310321"/>
      <w:bookmarkEnd w:id="177"/>
      <w:bookmarkStart w:id="178" w:name="_Toc184308076"/>
      <w:bookmarkEnd w:id="178"/>
      <w:bookmarkStart w:id="179" w:name="_Toc184314411"/>
      <w:bookmarkEnd w:id="179"/>
      <w:bookmarkStart w:id="180" w:name="_Toc184313264"/>
      <w:bookmarkEnd w:id="180"/>
      <w:bookmarkStart w:id="181" w:name="_Toc184314435"/>
      <w:bookmarkEnd w:id="181"/>
      <w:bookmarkStart w:id="182" w:name="_Toc184308068"/>
      <w:bookmarkEnd w:id="182"/>
      <w:bookmarkStart w:id="183" w:name="_Toc184308099"/>
      <w:bookmarkEnd w:id="183"/>
      <w:bookmarkStart w:id="184" w:name="_Toc184308086"/>
      <w:bookmarkEnd w:id="184"/>
      <w:bookmarkStart w:id="185" w:name="_Toc184310315"/>
      <w:bookmarkEnd w:id="185"/>
      <w:bookmarkStart w:id="186" w:name="_Toc184314466"/>
      <w:bookmarkEnd w:id="186"/>
      <w:bookmarkStart w:id="187" w:name="_Toc184308041"/>
      <w:bookmarkEnd w:id="187"/>
      <w:bookmarkStart w:id="188" w:name="_Toc184314448"/>
      <w:bookmarkEnd w:id="188"/>
      <w:bookmarkStart w:id="189" w:name="_Toc184308074"/>
      <w:bookmarkEnd w:id="189"/>
      <w:bookmarkStart w:id="190" w:name="_Toc184314477"/>
      <w:bookmarkEnd w:id="190"/>
      <w:bookmarkStart w:id="191" w:name="_Toc184310330"/>
      <w:bookmarkEnd w:id="191"/>
      <w:bookmarkStart w:id="192" w:name="_Toc184308088"/>
      <w:bookmarkEnd w:id="192"/>
      <w:bookmarkStart w:id="193" w:name="_Toc184314428"/>
      <w:bookmarkEnd w:id="193"/>
      <w:bookmarkStart w:id="194" w:name="_Toc184313303"/>
      <w:bookmarkEnd w:id="194"/>
      <w:bookmarkStart w:id="195" w:name="_Toc184308075"/>
      <w:bookmarkEnd w:id="195"/>
      <w:bookmarkStart w:id="196" w:name="_Toc184310317"/>
      <w:bookmarkEnd w:id="196"/>
      <w:bookmarkStart w:id="197" w:name="_Toc184310278"/>
      <w:bookmarkEnd w:id="197"/>
      <w:bookmarkStart w:id="198" w:name="_Toc184310339"/>
      <w:bookmarkEnd w:id="198"/>
      <w:bookmarkStart w:id="199" w:name="_Toc184312139"/>
      <w:bookmarkEnd w:id="199"/>
      <w:bookmarkStart w:id="200" w:name="_Toc184310273"/>
      <w:bookmarkEnd w:id="200"/>
      <w:bookmarkStart w:id="201" w:name="_Toc184314443"/>
      <w:bookmarkEnd w:id="201"/>
      <w:bookmarkStart w:id="202" w:name="_Toc184310342"/>
      <w:bookmarkEnd w:id="202"/>
      <w:bookmarkStart w:id="203" w:name="_Toc184313280"/>
      <w:bookmarkEnd w:id="203"/>
      <w:bookmarkStart w:id="204" w:name="_Toc184312081"/>
      <w:bookmarkEnd w:id="204"/>
      <w:bookmarkStart w:id="205" w:name="_Toc184308073"/>
      <w:bookmarkEnd w:id="205"/>
      <w:bookmarkStart w:id="206" w:name="_Toc184308051"/>
      <w:bookmarkEnd w:id="206"/>
      <w:bookmarkStart w:id="207" w:name="_Toc184312127"/>
      <w:bookmarkEnd w:id="207"/>
      <w:bookmarkStart w:id="208" w:name="_Toc184308078"/>
      <w:bookmarkEnd w:id="208"/>
      <w:bookmarkStart w:id="209" w:name="_Toc184313286"/>
      <w:bookmarkEnd w:id="209"/>
      <w:bookmarkStart w:id="210" w:name="_Toc184310289"/>
      <w:bookmarkEnd w:id="210"/>
      <w:bookmarkStart w:id="211" w:name="_Toc184313268"/>
      <w:bookmarkEnd w:id="211"/>
      <w:bookmarkStart w:id="212" w:name="_Toc184312073"/>
      <w:bookmarkEnd w:id="212"/>
      <w:bookmarkStart w:id="213" w:name="_Toc184310327"/>
      <w:bookmarkEnd w:id="213"/>
      <w:bookmarkStart w:id="214" w:name="_Toc184310328"/>
      <w:bookmarkEnd w:id="214"/>
      <w:bookmarkStart w:id="215" w:name="_Toc184314410"/>
      <w:bookmarkEnd w:id="215"/>
      <w:bookmarkStart w:id="216" w:name="_Toc184313272"/>
      <w:bookmarkEnd w:id="216"/>
      <w:bookmarkStart w:id="217" w:name="_Toc184314455"/>
      <w:bookmarkEnd w:id="217"/>
      <w:bookmarkStart w:id="218" w:name="_Toc184310325"/>
      <w:bookmarkEnd w:id="218"/>
      <w:bookmarkStart w:id="219" w:name="_Toc184312095"/>
      <w:bookmarkEnd w:id="219"/>
      <w:bookmarkStart w:id="220" w:name="_Toc184308095"/>
      <w:bookmarkEnd w:id="220"/>
      <w:bookmarkStart w:id="221" w:name="_Toc184312134"/>
      <w:bookmarkEnd w:id="221"/>
      <w:bookmarkStart w:id="222" w:name="_Toc184313289"/>
      <w:bookmarkEnd w:id="222"/>
      <w:bookmarkStart w:id="223" w:name="_Toc184312114"/>
      <w:bookmarkEnd w:id="223"/>
      <w:bookmarkStart w:id="224" w:name="_Toc184310283"/>
      <w:bookmarkEnd w:id="224"/>
      <w:bookmarkStart w:id="225" w:name="_Toc184313288"/>
      <w:bookmarkEnd w:id="225"/>
      <w:bookmarkStart w:id="226" w:name="_Toc184310333"/>
      <w:bookmarkEnd w:id="226"/>
      <w:bookmarkStart w:id="227" w:name="_Toc184312087"/>
      <w:bookmarkEnd w:id="227"/>
      <w:bookmarkStart w:id="228" w:name="_Toc184310331"/>
      <w:bookmarkEnd w:id="228"/>
      <w:bookmarkStart w:id="229" w:name="_Toc184310294"/>
      <w:bookmarkEnd w:id="229"/>
      <w:bookmarkStart w:id="230" w:name="_Toc184313258"/>
      <w:bookmarkEnd w:id="230"/>
      <w:bookmarkStart w:id="231" w:name="_Toc184313259"/>
      <w:bookmarkEnd w:id="231"/>
      <w:bookmarkStart w:id="232" w:name="_Toc184313245"/>
      <w:bookmarkEnd w:id="232"/>
      <w:bookmarkStart w:id="233" w:name="_Toc184312076"/>
      <w:bookmarkEnd w:id="233"/>
      <w:bookmarkStart w:id="234" w:name="_Toc184308040"/>
      <w:bookmarkEnd w:id="234"/>
      <w:bookmarkStart w:id="235" w:name="_Toc184312111"/>
      <w:bookmarkEnd w:id="235"/>
      <w:bookmarkStart w:id="236" w:name="_Toc184312136"/>
      <w:bookmarkEnd w:id="236"/>
      <w:bookmarkStart w:id="237" w:name="_Toc184308069"/>
      <w:bookmarkEnd w:id="237"/>
      <w:bookmarkStart w:id="238" w:name="_Toc184310340"/>
      <w:bookmarkEnd w:id="238"/>
      <w:bookmarkStart w:id="239" w:name="_Toc184308080"/>
      <w:bookmarkEnd w:id="239"/>
      <w:bookmarkStart w:id="240" w:name="_Toc184314442"/>
      <w:bookmarkEnd w:id="240"/>
      <w:bookmarkStart w:id="241" w:name="_Toc184313298"/>
      <w:bookmarkEnd w:id="241"/>
      <w:bookmarkStart w:id="242" w:name="_Toc184312088"/>
      <w:bookmarkEnd w:id="242"/>
      <w:bookmarkStart w:id="243" w:name="_Toc184312068"/>
      <w:bookmarkEnd w:id="243"/>
      <w:bookmarkStart w:id="244" w:name="_Toc184312119"/>
      <w:bookmarkEnd w:id="244"/>
      <w:bookmarkStart w:id="245" w:name="_Toc184313244"/>
      <w:bookmarkEnd w:id="245"/>
      <w:bookmarkStart w:id="246" w:name="_Toc184312135"/>
      <w:bookmarkEnd w:id="246"/>
      <w:bookmarkStart w:id="247" w:name="_Toc184308092"/>
      <w:bookmarkEnd w:id="247"/>
      <w:bookmarkStart w:id="248" w:name="_Toc184314469"/>
      <w:bookmarkEnd w:id="248"/>
      <w:bookmarkStart w:id="249" w:name="_Toc184313241"/>
      <w:bookmarkEnd w:id="249"/>
      <w:bookmarkStart w:id="250" w:name="_Toc184314434"/>
      <w:bookmarkEnd w:id="250"/>
      <w:bookmarkStart w:id="251" w:name="_Toc184313295"/>
      <w:bookmarkEnd w:id="251"/>
      <w:bookmarkStart w:id="252" w:name="_Toc184310320"/>
      <w:bookmarkEnd w:id="252"/>
      <w:bookmarkStart w:id="253" w:name="_Toc184313296"/>
      <w:bookmarkEnd w:id="253"/>
      <w:bookmarkStart w:id="254" w:name="_Toc184310336"/>
      <w:bookmarkEnd w:id="254"/>
      <w:bookmarkStart w:id="255" w:name="_Toc184313243"/>
      <w:bookmarkEnd w:id="255"/>
      <w:bookmarkStart w:id="256" w:name="_Toc184314460"/>
      <w:bookmarkEnd w:id="256"/>
      <w:bookmarkStart w:id="257" w:name="_Toc184313249"/>
      <w:bookmarkEnd w:id="257"/>
      <w:bookmarkStart w:id="258" w:name="_Toc184310296"/>
      <w:bookmarkEnd w:id="258"/>
      <w:bookmarkStart w:id="259" w:name="_Toc184313294"/>
      <w:bookmarkEnd w:id="259"/>
      <w:bookmarkStart w:id="260" w:name="_Toc184308061"/>
      <w:bookmarkEnd w:id="260"/>
      <w:bookmarkStart w:id="261" w:name="_Toc184308070"/>
      <w:bookmarkEnd w:id="261"/>
      <w:bookmarkStart w:id="262" w:name="_Toc184313279"/>
      <w:bookmarkEnd w:id="262"/>
      <w:bookmarkStart w:id="263" w:name="_Toc184310323"/>
      <w:bookmarkEnd w:id="263"/>
      <w:bookmarkStart w:id="264" w:name="_Toc184310319"/>
      <w:bookmarkEnd w:id="264"/>
      <w:bookmarkStart w:id="265" w:name="_Toc184308104"/>
      <w:bookmarkEnd w:id="265"/>
      <w:bookmarkStart w:id="266" w:name="_Toc184313278"/>
      <w:bookmarkEnd w:id="266"/>
      <w:bookmarkStart w:id="267" w:name="_Toc184308055"/>
      <w:bookmarkEnd w:id="267"/>
      <w:bookmarkStart w:id="268" w:name="_Toc184308071"/>
      <w:bookmarkEnd w:id="268"/>
      <w:bookmarkStart w:id="269" w:name="_Toc184314478"/>
      <w:bookmarkEnd w:id="269"/>
      <w:bookmarkStart w:id="270" w:name="_Toc184314439"/>
      <w:bookmarkEnd w:id="270"/>
      <w:bookmarkStart w:id="271" w:name="_Toc184314426"/>
      <w:bookmarkEnd w:id="271"/>
      <w:bookmarkStart w:id="272" w:name="_Toc184310338"/>
      <w:bookmarkEnd w:id="272"/>
      <w:bookmarkStart w:id="273" w:name="_Toc184308048"/>
      <w:bookmarkEnd w:id="273"/>
      <w:bookmarkStart w:id="274" w:name="_Toc184312109"/>
      <w:bookmarkEnd w:id="274"/>
      <w:bookmarkStart w:id="275" w:name="_Toc184314415"/>
      <w:bookmarkEnd w:id="275"/>
      <w:bookmarkStart w:id="276" w:name="_Toc184312137"/>
      <w:bookmarkEnd w:id="276"/>
      <w:bookmarkStart w:id="277" w:name="_Toc184308039"/>
      <w:bookmarkEnd w:id="277"/>
      <w:bookmarkStart w:id="278" w:name="_Toc184308096"/>
      <w:bookmarkEnd w:id="278"/>
      <w:bookmarkStart w:id="279" w:name="_Toc184310288"/>
      <w:bookmarkEnd w:id="279"/>
      <w:bookmarkStart w:id="280" w:name="_Toc184314425"/>
      <w:bookmarkEnd w:id="280"/>
      <w:bookmarkStart w:id="281" w:name="_Toc184310314"/>
      <w:bookmarkEnd w:id="281"/>
      <w:bookmarkStart w:id="282" w:name="_Toc184308083"/>
      <w:bookmarkEnd w:id="282"/>
      <w:bookmarkStart w:id="283" w:name="_Toc184310293"/>
      <w:bookmarkEnd w:id="283"/>
      <w:bookmarkStart w:id="284" w:name="_Toc184310302"/>
      <w:bookmarkEnd w:id="284"/>
      <w:bookmarkStart w:id="285" w:name="_Toc184310316"/>
      <w:bookmarkEnd w:id="285"/>
      <w:bookmarkStart w:id="286" w:name="_Toc184310334"/>
      <w:bookmarkEnd w:id="286"/>
      <w:bookmarkStart w:id="287" w:name="_Toc184308046"/>
      <w:bookmarkEnd w:id="287"/>
      <w:bookmarkStart w:id="288" w:name="_Toc184310337"/>
      <w:bookmarkEnd w:id="288"/>
      <w:bookmarkStart w:id="289" w:name="_Toc184314467"/>
      <w:bookmarkEnd w:id="289"/>
      <w:bookmarkStart w:id="290" w:name="_Toc184308082"/>
      <w:bookmarkEnd w:id="290"/>
      <w:bookmarkStart w:id="291" w:name="_Toc184313282"/>
      <w:bookmarkEnd w:id="291"/>
      <w:bookmarkStart w:id="292" w:name="_Toc184312067"/>
      <w:bookmarkEnd w:id="292"/>
      <w:bookmarkStart w:id="293" w:name="_Toc184312117"/>
      <w:bookmarkEnd w:id="293"/>
      <w:bookmarkStart w:id="294" w:name="_Toc184313270"/>
      <w:bookmarkEnd w:id="294"/>
      <w:bookmarkStart w:id="295" w:name="_Toc184313283"/>
      <w:bookmarkEnd w:id="295"/>
      <w:bookmarkStart w:id="296" w:name="_Toc184312083"/>
      <w:bookmarkEnd w:id="296"/>
      <w:bookmarkStart w:id="297" w:name="_Toc184312080"/>
      <w:bookmarkEnd w:id="297"/>
      <w:bookmarkStart w:id="298" w:name="_Toc184313261"/>
      <w:bookmarkEnd w:id="298"/>
      <w:bookmarkStart w:id="299" w:name="_Toc184308060"/>
      <w:bookmarkEnd w:id="299"/>
      <w:bookmarkStart w:id="300" w:name="_Toc184308059"/>
      <w:bookmarkEnd w:id="300"/>
      <w:bookmarkStart w:id="301" w:name="_Toc184313302"/>
      <w:bookmarkEnd w:id="301"/>
      <w:bookmarkStart w:id="302" w:name="_Toc184312103"/>
      <w:bookmarkEnd w:id="302"/>
      <w:bookmarkStart w:id="303" w:name="_Toc184312122"/>
      <w:bookmarkEnd w:id="303"/>
      <w:bookmarkStart w:id="304" w:name="_Toc184313300"/>
      <w:bookmarkEnd w:id="304"/>
      <w:bookmarkStart w:id="305" w:name="_Toc184313290"/>
      <w:bookmarkEnd w:id="305"/>
      <w:bookmarkStart w:id="306" w:name="_Toc184312069"/>
      <w:bookmarkEnd w:id="306"/>
      <w:bookmarkStart w:id="307" w:name="_Toc184308101"/>
      <w:bookmarkEnd w:id="307"/>
      <w:bookmarkStart w:id="308" w:name="_Toc184313248"/>
      <w:bookmarkEnd w:id="308"/>
      <w:bookmarkStart w:id="309" w:name="_Toc184308053"/>
      <w:bookmarkEnd w:id="309"/>
      <w:bookmarkStart w:id="310" w:name="_Toc184312128"/>
      <w:bookmarkEnd w:id="310"/>
      <w:bookmarkStart w:id="311" w:name="_Toc184310295"/>
      <w:bookmarkEnd w:id="311"/>
      <w:bookmarkStart w:id="312" w:name="_Toc184310308"/>
      <w:bookmarkEnd w:id="312"/>
      <w:bookmarkStart w:id="313" w:name="_Toc184314472"/>
      <w:bookmarkEnd w:id="313"/>
      <w:bookmarkStart w:id="314" w:name="_Toc184313260"/>
      <w:bookmarkEnd w:id="314"/>
      <w:bookmarkStart w:id="315" w:name="_Toc184310341"/>
      <w:bookmarkEnd w:id="315"/>
      <w:bookmarkStart w:id="316" w:name="_Toc184308054"/>
      <w:bookmarkEnd w:id="316"/>
      <w:bookmarkStart w:id="317" w:name="_Toc184314450"/>
      <w:bookmarkEnd w:id="317"/>
      <w:bookmarkStart w:id="318" w:name="_Toc184310292"/>
      <w:bookmarkEnd w:id="318"/>
      <w:bookmarkStart w:id="319" w:name="_Toc184312093"/>
      <w:bookmarkEnd w:id="319"/>
      <w:bookmarkStart w:id="320" w:name="_Toc184312089"/>
      <w:bookmarkEnd w:id="320"/>
      <w:bookmarkStart w:id="321" w:name="_Toc184310279"/>
      <w:bookmarkEnd w:id="321"/>
      <w:bookmarkStart w:id="322" w:name="_Toc184313238"/>
      <w:bookmarkEnd w:id="322"/>
      <w:bookmarkStart w:id="323" w:name="_Toc184314427"/>
      <w:bookmarkEnd w:id="323"/>
      <w:bookmarkStart w:id="324" w:name="_Toc184308066"/>
      <w:bookmarkEnd w:id="324"/>
      <w:bookmarkStart w:id="325" w:name="_Toc184308072"/>
      <w:bookmarkEnd w:id="325"/>
      <w:bookmarkStart w:id="326" w:name="_Toc184308097"/>
      <w:bookmarkEnd w:id="326"/>
      <w:bookmarkStart w:id="327" w:name="_Toc184314473"/>
      <w:bookmarkEnd w:id="327"/>
      <w:bookmarkStart w:id="328" w:name="_Toc184314453"/>
      <w:bookmarkEnd w:id="328"/>
      <w:bookmarkStart w:id="329" w:name="_Toc184310299"/>
      <w:bookmarkEnd w:id="329"/>
      <w:bookmarkStart w:id="330" w:name="_Toc184313304"/>
      <w:bookmarkEnd w:id="330"/>
      <w:bookmarkStart w:id="331" w:name="_Toc184314422"/>
      <w:bookmarkEnd w:id="331"/>
      <w:bookmarkStart w:id="332" w:name="_Toc184310322"/>
      <w:bookmarkEnd w:id="332"/>
      <w:bookmarkStart w:id="333" w:name="_Toc184312132"/>
      <w:bookmarkEnd w:id="333"/>
      <w:bookmarkStart w:id="334" w:name="_Toc184312115"/>
      <w:bookmarkEnd w:id="334"/>
      <w:bookmarkStart w:id="335" w:name="_Toc184308065"/>
      <w:bookmarkEnd w:id="335"/>
      <w:bookmarkStart w:id="336" w:name="_Toc184312072"/>
      <w:bookmarkEnd w:id="336"/>
      <w:bookmarkStart w:id="337" w:name="_Toc184312075"/>
      <w:bookmarkEnd w:id="337"/>
      <w:bookmarkStart w:id="338" w:name="_Toc184308091"/>
      <w:bookmarkEnd w:id="338"/>
      <w:bookmarkStart w:id="339" w:name="_Toc184310284"/>
      <w:bookmarkEnd w:id="339"/>
      <w:bookmarkStart w:id="340" w:name="_Toc184308044"/>
      <w:bookmarkEnd w:id="340"/>
      <w:bookmarkStart w:id="341" w:name="_Toc184308058"/>
      <w:bookmarkEnd w:id="341"/>
      <w:bookmarkStart w:id="342" w:name="_Toc184310287"/>
      <w:bookmarkEnd w:id="342"/>
      <w:bookmarkStart w:id="343" w:name="_Toc184310298"/>
      <w:bookmarkEnd w:id="343"/>
      <w:bookmarkStart w:id="344" w:name="_Toc184314433"/>
      <w:bookmarkEnd w:id="344"/>
      <w:bookmarkStart w:id="345" w:name="_Toc184314479"/>
      <w:bookmarkEnd w:id="345"/>
      <w:bookmarkStart w:id="346" w:name="_Toc184313291"/>
      <w:bookmarkEnd w:id="346"/>
      <w:bookmarkStart w:id="347" w:name="_Toc184314482"/>
      <w:bookmarkEnd w:id="347"/>
      <w:bookmarkStart w:id="348" w:name="_Toc184314424"/>
      <w:bookmarkEnd w:id="348"/>
      <w:bookmarkStart w:id="349" w:name="_Toc184312097"/>
      <w:bookmarkEnd w:id="349"/>
      <w:bookmarkStart w:id="350" w:name="_Toc184313274"/>
      <w:bookmarkEnd w:id="350"/>
      <w:bookmarkStart w:id="351" w:name="_Toc184308102"/>
      <w:bookmarkEnd w:id="351"/>
      <w:bookmarkStart w:id="352" w:name="_Toc184314459"/>
      <w:bookmarkEnd w:id="352"/>
      <w:bookmarkStart w:id="353" w:name="_Toc184313297"/>
      <w:bookmarkEnd w:id="353"/>
      <w:bookmarkStart w:id="354" w:name="_Toc184312098"/>
      <w:bookmarkEnd w:id="354"/>
      <w:bookmarkStart w:id="355" w:name="_Toc184310304"/>
      <w:bookmarkEnd w:id="355"/>
      <w:bookmarkStart w:id="356" w:name="_Toc184314420"/>
      <w:bookmarkEnd w:id="356"/>
      <w:bookmarkStart w:id="357" w:name="_Toc184310335"/>
      <w:bookmarkEnd w:id="357"/>
      <w:bookmarkStart w:id="358" w:name="_Toc184314480"/>
      <w:bookmarkEnd w:id="358"/>
      <w:bookmarkStart w:id="359" w:name="_Toc184314461"/>
      <w:bookmarkEnd w:id="359"/>
      <w:bookmarkStart w:id="360" w:name="_Toc184314417"/>
      <w:bookmarkEnd w:id="360"/>
      <w:bookmarkStart w:id="361" w:name="_Toc184313247"/>
      <w:bookmarkEnd w:id="361"/>
      <w:bookmarkStart w:id="362" w:name="_Toc184310280"/>
      <w:bookmarkEnd w:id="362"/>
      <w:bookmarkStart w:id="363" w:name="_Toc184314440"/>
      <w:bookmarkEnd w:id="363"/>
      <w:bookmarkStart w:id="364" w:name="_Toc184312116"/>
      <w:bookmarkEnd w:id="364"/>
      <w:bookmarkStart w:id="365" w:name="_Toc184312084"/>
      <w:bookmarkEnd w:id="365"/>
      <w:bookmarkStart w:id="366" w:name="_Toc184312085"/>
      <w:bookmarkEnd w:id="366"/>
      <w:bookmarkStart w:id="367" w:name="_Toc184312071"/>
      <w:bookmarkEnd w:id="367"/>
      <w:bookmarkStart w:id="368" w:name="_Toc184313242"/>
      <w:bookmarkEnd w:id="368"/>
      <w:bookmarkStart w:id="369" w:name="_Toc184313265"/>
      <w:bookmarkEnd w:id="369"/>
      <w:bookmarkStart w:id="370" w:name="_Toc184308081"/>
      <w:bookmarkEnd w:id="370"/>
      <w:bookmarkStart w:id="371" w:name="_Toc184310274"/>
      <w:bookmarkEnd w:id="371"/>
      <w:bookmarkStart w:id="372" w:name="_Toc184313287"/>
      <w:bookmarkEnd w:id="372"/>
      <w:bookmarkStart w:id="373" w:name="_Toc184310310"/>
      <w:bookmarkEnd w:id="373"/>
      <w:bookmarkStart w:id="374" w:name="_Toc184312138"/>
      <w:bookmarkEnd w:id="374"/>
      <w:bookmarkStart w:id="375" w:name="_Toc184312131"/>
      <w:bookmarkEnd w:id="375"/>
      <w:bookmarkStart w:id="376" w:name="_Toc184314474"/>
      <w:bookmarkEnd w:id="376"/>
      <w:bookmarkStart w:id="377" w:name="_Toc184313306"/>
      <w:bookmarkEnd w:id="377"/>
      <w:bookmarkStart w:id="378" w:name="_Toc184308062"/>
      <w:bookmarkEnd w:id="378"/>
      <w:bookmarkStart w:id="379" w:name="_Toc184314438"/>
      <w:bookmarkEnd w:id="379"/>
      <w:bookmarkStart w:id="380" w:name="_Toc184314414"/>
      <w:bookmarkEnd w:id="380"/>
      <w:bookmarkStart w:id="381" w:name="_Toc184314454"/>
      <w:bookmarkEnd w:id="381"/>
      <w:bookmarkStart w:id="382" w:name="_Toc184312108"/>
      <w:bookmarkEnd w:id="382"/>
      <w:bookmarkStart w:id="383" w:name="_Toc184314413"/>
      <w:bookmarkEnd w:id="383"/>
      <w:bookmarkStart w:id="384" w:name="_Toc184312126"/>
      <w:bookmarkEnd w:id="384"/>
      <w:bookmarkStart w:id="385" w:name="_Toc184313253"/>
      <w:bookmarkEnd w:id="385"/>
      <w:bookmarkStart w:id="386" w:name="_Toc184312123"/>
      <w:bookmarkEnd w:id="386"/>
      <w:bookmarkStart w:id="387" w:name="_Toc184312104"/>
      <w:bookmarkEnd w:id="387"/>
      <w:bookmarkStart w:id="388" w:name="_Toc184308077"/>
      <w:bookmarkEnd w:id="388"/>
      <w:bookmarkStart w:id="389" w:name="_Toc184310311"/>
      <w:bookmarkEnd w:id="389"/>
      <w:bookmarkStart w:id="390" w:name="_Toc184312096"/>
      <w:bookmarkEnd w:id="390"/>
      <w:bookmarkStart w:id="391" w:name="_Toc184314432"/>
      <w:bookmarkEnd w:id="391"/>
      <w:bookmarkStart w:id="392" w:name="_Toc184314423"/>
      <w:bookmarkEnd w:id="392"/>
      <w:bookmarkStart w:id="393" w:name="_Toc184308042"/>
      <w:bookmarkEnd w:id="393"/>
      <w:bookmarkStart w:id="394" w:name="_Toc184310303"/>
      <w:bookmarkEnd w:id="394"/>
      <w:bookmarkStart w:id="395" w:name="_Toc184308107"/>
      <w:bookmarkEnd w:id="395"/>
      <w:bookmarkStart w:id="396" w:name="_Toc184312120"/>
      <w:bookmarkEnd w:id="396"/>
      <w:bookmarkStart w:id="397" w:name="_Toc184314456"/>
      <w:bookmarkEnd w:id="397"/>
      <w:bookmarkStart w:id="398" w:name="_Toc184312102"/>
      <w:bookmarkEnd w:id="398"/>
      <w:bookmarkStart w:id="399" w:name="_Toc184312099"/>
      <w:bookmarkEnd w:id="399"/>
      <w:bookmarkStart w:id="400" w:name="_Toc184312105"/>
      <w:bookmarkEnd w:id="400"/>
      <w:bookmarkStart w:id="401" w:name="_Toc184313255"/>
      <w:bookmarkEnd w:id="401"/>
      <w:r>
        <w:rPr>
          <w:rFonts w:hint="eastAsia" w:ascii="宋体" w:hAnsi="宋体" w:cs="宋体"/>
          <w:b/>
          <w:kern w:val="44"/>
          <w:sz w:val="36"/>
          <w:szCs w:val="36"/>
        </w:rPr>
        <w:t>评标办法</w:t>
      </w:r>
    </w:p>
    <w:p w14:paraId="72FE72AD">
      <w:pPr>
        <w:adjustRightInd/>
        <w:spacing w:line="360" w:lineRule="auto"/>
        <w:jc w:val="center"/>
        <w:outlineLvl w:val="0"/>
        <w:rPr>
          <w:rFonts w:ascii="宋体" w:hAnsi="宋体" w:cs="宋体"/>
          <w:b/>
          <w:kern w:val="44"/>
          <w:sz w:val="36"/>
          <w:szCs w:val="36"/>
        </w:rPr>
      </w:pPr>
      <w:r>
        <w:rPr>
          <w:rFonts w:hint="eastAsia" w:ascii="宋体" w:hAnsi="宋体" w:cs="宋体"/>
          <w:b/>
          <w:kern w:val="44"/>
          <w:sz w:val="36"/>
          <w:szCs w:val="36"/>
        </w:rPr>
        <w:t>评标办法前附表</w:t>
      </w:r>
    </w:p>
    <w:p w14:paraId="650548D3">
      <w:pPr>
        <w:autoSpaceDE w:val="0"/>
        <w:autoSpaceDN w:val="0"/>
        <w:spacing w:line="420" w:lineRule="exact"/>
        <w:ind w:firstLine="480" w:firstLineChars="200"/>
        <w:rPr>
          <w:rFonts w:ascii="宋体" w:hAnsi="宋体" w:cs="宋体"/>
          <w:sz w:val="24"/>
        </w:rPr>
      </w:pPr>
      <w:r>
        <w:rPr>
          <w:rFonts w:hint="eastAsia" w:ascii="宋体" w:hAnsi="宋体" w:cs="宋体"/>
          <w:sz w:val="24"/>
        </w:rPr>
        <w:t>（1）满分为100分。总得分=商务技术得分+报价得分；</w:t>
      </w:r>
    </w:p>
    <w:p w14:paraId="429930FA">
      <w:pPr>
        <w:autoSpaceDE w:val="0"/>
        <w:autoSpaceDN w:val="0"/>
        <w:spacing w:line="420" w:lineRule="exact"/>
        <w:ind w:firstLine="480" w:firstLineChars="200"/>
        <w:rPr>
          <w:rFonts w:ascii="宋体" w:hAnsi="宋体" w:cs="宋体"/>
          <w:sz w:val="24"/>
        </w:rPr>
      </w:pPr>
      <w:r>
        <w:rPr>
          <w:rFonts w:hint="eastAsia" w:ascii="宋体" w:hAnsi="宋体" w:cs="宋体"/>
          <w:sz w:val="24"/>
        </w:rPr>
        <w:t>（2）商务技术得分=商务技术评分，商务技术评分=所有评委的有效评分的算术平均数。</w:t>
      </w:r>
    </w:p>
    <w:p w14:paraId="47E0182B">
      <w:pPr>
        <w:adjustRightInd/>
        <w:spacing w:line="420" w:lineRule="exact"/>
        <w:ind w:firstLine="480" w:firstLineChars="200"/>
        <w:rPr>
          <w:rFonts w:ascii="宋体" w:hAnsi="宋体" w:cs="宋体"/>
          <w:sz w:val="24"/>
        </w:rPr>
      </w:pPr>
      <w:r>
        <w:rPr>
          <w:rFonts w:hint="eastAsia" w:ascii="宋体" w:hAnsi="宋体" w:cs="宋体"/>
          <w:sz w:val="24"/>
        </w:rPr>
        <w:t>（3）报价得分=（评标基准价/投标报价）*价格权值*100，评标基准价=有效投标人的最低投标报价，价格权值=30%；</w:t>
      </w:r>
    </w:p>
    <w:p w14:paraId="5F7F1030">
      <w:pPr>
        <w:spacing w:line="360" w:lineRule="exact"/>
        <w:ind w:firstLine="480" w:firstLineChars="200"/>
        <w:rPr>
          <w:rFonts w:ascii="宋体" w:hAnsi="宋体" w:cs="宋体"/>
        </w:rPr>
      </w:pPr>
      <w:r>
        <w:rPr>
          <w:rFonts w:hint="eastAsia" w:ascii="宋体" w:hAnsi="宋体" w:cs="宋体"/>
          <w:sz w:val="24"/>
        </w:rPr>
        <w:t>（4）技术分评分细则（70分）</w:t>
      </w:r>
    </w:p>
    <w:tbl>
      <w:tblPr>
        <w:tblStyle w:val="64"/>
        <w:tblW w:w="10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8115"/>
        <w:gridCol w:w="721"/>
      </w:tblGrid>
      <w:tr w14:paraId="78EE4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22" w:type="dxa"/>
            <w:tcBorders>
              <w:top w:val="single" w:color="auto" w:sz="4" w:space="0"/>
              <w:left w:val="single" w:color="auto" w:sz="4" w:space="0"/>
              <w:bottom w:val="single" w:color="auto" w:sz="4" w:space="0"/>
              <w:right w:val="single" w:color="auto" w:sz="4" w:space="0"/>
            </w:tcBorders>
            <w:noWrap/>
            <w:vAlign w:val="center"/>
          </w:tcPr>
          <w:p w14:paraId="5CDCE19B">
            <w:pPr>
              <w:tabs>
                <w:tab w:val="left" w:pos="0"/>
              </w:tabs>
              <w:jc w:val="center"/>
              <w:rPr>
                <w:rFonts w:ascii="宋体" w:hAnsi="宋体" w:cs="宋体"/>
                <w:b/>
                <w:bCs/>
                <w:sz w:val="24"/>
              </w:rPr>
            </w:pPr>
            <w:r>
              <w:rPr>
                <w:rFonts w:hint="eastAsia" w:ascii="宋体" w:hAnsi="宋体" w:cs="宋体"/>
                <w:b/>
                <w:bCs/>
                <w:sz w:val="24"/>
              </w:rPr>
              <w:t>评分内容</w:t>
            </w:r>
          </w:p>
        </w:tc>
        <w:tc>
          <w:tcPr>
            <w:tcW w:w="8115" w:type="dxa"/>
            <w:tcBorders>
              <w:top w:val="single" w:color="auto" w:sz="4" w:space="0"/>
              <w:left w:val="single" w:color="auto" w:sz="4" w:space="0"/>
              <w:bottom w:val="single" w:color="auto" w:sz="4" w:space="0"/>
              <w:right w:val="single" w:color="auto" w:sz="4" w:space="0"/>
            </w:tcBorders>
            <w:noWrap/>
            <w:vAlign w:val="center"/>
          </w:tcPr>
          <w:p w14:paraId="28D5375C">
            <w:pPr>
              <w:jc w:val="center"/>
              <w:rPr>
                <w:rFonts w:ascii="宋体" w:hAnsi="宋体" w:cs="宋体"/>
                <w:b/>
                <w:bCs/>
                <w:sz w:val="24"/>
              </w:rPr>
            </w:pPr>
            <w:r>
              <w:rPr>
                <w:rFonts w:hint="eastAsia" w:ascii="宋体" w:hAnsi="宋体" w:cs="宋体"/>
                <w:b/>
                <w:bCs/>
                <w:sz w:val="24"/>
              </w:rPr>
              <w:t>评分项目内容</w:t>
            </w:r>
          </w:p>
        </w:tc>
        <w:tc>
          <w:tcPr>
            <w:tcW w:w="721" w:type="dxa"/>
            <w:tcBorders>
              <w:top w:val="single" w:color="auto" w:sz="4" w:space="0"/>
              <w:left w:val="single" w:color="auto" w:sz="4" w:space="0"/>
              <w:bottom w:val="single" w:color="auto" w:sz="4" w:space="0"/>
              <w:right w:val="single" w:color="auto" w:sz="4" w:space="0"/>
            </w:tcBorders>
            <w:noWrap/>
            <w:vAlign w:val="center"/>
          </w:tcPr>
          <w:p w14:paraId="5982A754">
            <w:pPr>
              <w:jc w:val="center"/>
              <w:rPr>
                <w:rFonts w:ascii="宋体" w:hAnsi="宋体" w:cs="宋体"/>
                <w:b/>
                <w:bCs/>
                <w:sz w:val="24"/>
              </w:rPr>
            </w:pPr>
            <w:r>
              <w:rPr>
                <w:rFonts w:hint="eastAsia" w:ascii="宋体" w:hAnsi="宋体" w:cs="宋体"/>
                <w:b/>
                <w:bCs/>
                <w:sz w:val="24"/>
              </w:rPr>
              <w:t>分值</w:t>
            </w:r>
          </w:p>
        </w:tc>
      </w:tr>
      <w:tr w14:paraId="3BDC3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22" w:type="dxa"/>
            <w:tcBorders>
              <w:top w:val="single" w:color="auto" w:sz="4" w:space="0"/>
              <w:left w:val="single" w:color="auto" w:sz="4" w:space="0"/>
              <w:bottom w:val="single" w:color="auto" w:sz="4" w:space="0"/>
              <w:right w:val="single" w:color="auto" w:sz="4" w:space="0"/>
            </w:tcBorders>
            <w:noWrap/>
            <w:vAlign w:val="center"/>
          </w:tcPr>
          <w:p w14:paraId="195B6C4C">
            <w:pPr>
              <w:spacing w:line="264" w:lineRule="auto"/>
              <w:jc w:val="center"/>
              <w:rPr>
                <w:rFonts w:ascii="宋体" w:hAnsi="宋体" w:cs="宋体"/>
                <w:b/>
                <w:bCs/>
                <w:sz w:val="24"/>
              </w:rPr>
            </w:pPr>
            <w:r>
              <w:rPr>
                <w:rFonts w:hint="eastAsia" w:ascii="宋体" w:hAnsi="宋体" w:cs="宋体"/>
                <w:b/>
                <w:bCs/>
                <w:sz w:val="24"/>
              </w:rPr>
              <w:t>1.类似业绩</w:t>
            </w:r>
          </w:p>
        </w:tc>
        <w:tc>
          <w:tcPr>
            <w:tcW w:w="8115" w:type="dxa"/>
            <w:tcBorders>
              <w:top w:val="single" w:color="auto" w:sz="4" w:space="0"/>
              <w:left w:val="single" w:color="auto" w:sz="4" w:space="0"/>
              <w:bottom w:val="single" w:color="auto" w:sz="4" w:space="0"/>
              <w:right w:val="single" w:color="auto" w:sz="4" w:space="0"/>
            </w:tcBorders>
            <w:noWrap/>
            <w:vAlign w:val="center"/>
          </w:tcPr>
          <w:p w14:paraId="151417BA">
            <w:pPr>
              <w:pStyle w:val="39"/>
              <w:spacing w:line="264" w:lineRule="auto"/>
              <w:ind w:firstLine="0"/>
              <w:rPr>
                <w:rFonts w:hAnsi="宋体" w:cs="宋体"/>
                <w:sz w:val="24"/>
                <w:szCs w:val="24"/>
              </w:rPr>
            </w:pPr>
            <w:r>
              <w:rPr>
                <w:rFonts w:hint="eastAsia" w:hAnsi="宋体" w:cs="宋体"/>
                <w:sz w:val="24"/>
                <w:szCs w:val="24"/>
              </w:rPr>
              <w:t xml:space="preserve">投标人2023年1月1日以来（以合同签订日期为准）承担过类似项目业绩，每提供一个得1分，最高得2分。 </w:t>
            </w:r>
            <w:r>
              <w:rPr>
                <w:rFonts w:hint="eastAsia" w:hAnsi="宋体" w:cs="宋体"/>
                <w:b/>
                <w:bCs/>
                <w:sz w:val="24"/>
                <w:szCs w:val="24"/>
              </w:rPr>
              <w:t>投标文件中提供合同扫描件加盖投标人CA签章。若为联合体投标，任意一方有类似业绩即可得分。</w:t>
            </w:r>
          </w:p>
        </w:tc>
        <w:tc>
          <w:tcPr>
            <w:tcW w:w="721" w:type="dxa"/>
            <w:tcBorders>
              <w:top w:val="single" w:color="auto" w:sz="4" w:space="0"/>
              <w:left w:val="single" w:color="auto" w:sz="4" w:space="0"/>
              <w:bottom w:val="single" w:color="auto" w:sz="4" w:space="0"/>
              <w:right w:val="single" w:color="auto" w:sz="4" w:space="0"/>
            </w:tcBorders>
            <w:noWrap/>
            <w:vAlign w:val="center"/>
          </w:tcPr>
          <w:p w14:paraId="523C55E8">
            <w:pPr>
              <w:pStyle w:val="39"/>
              <w:spacing w:line="264" w:lineRule="auto"/>
              <w:ind w:firstLine="0"/>
              <w:jc w:val="center"/>
              <w:rPr>
                <w:rFonts w:hAnsi="宋体" w:cs="宋体"/>
                <w:sz w:val="24"/>
                <w:szCs w:val="24"/>
              </w:rPr>
            </w:pPr>
            <w:r>
              <w:rPr>
                <w:rFonts w:hint="eastAsia" w:hAnsi="宋体" w:cs="宋体"/>
                <w:b/>
                <w:bCs/>
                <w:sz w:val="24"/>
                <w:szCs w:val="24"/>
              </w:rPr>
              <w:t>2分</w:t>
            </w:r>
          </w:p>
        </w:tc>
      </w:tr>
      <w:tr w14:paraId="48C91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22" w:type="dxa"/>
            <w:tcBorders>
              <w:top w:val="single" w:color="auto" w:sz="4" w:space="0"/>
              <w:left w:val="single" w:color="auto" w:sz="4" w:space="0"/>
              <w:right w:val="single" w:color="auto" w:sz="4" w:space="0"/>
            </w:tcBorders>
            <w:noWrap/>
            <w:vAlign w:val="center"/>
          </w:tcPr>
          <w:p w14:paraId="0DD02E07">
            <w:pPr>
              <w:spacing w:line="264" w:lineRule="auto"/>
              <w:jc w:val="center"/>
              <w:rPr>
                <w:rFonts w:ascii="宋体" w:hAnsi="宋体" w:cs="宋体"/>
                <w:b/>
                <w:bCs/>
                <w:sz w:val="24"/>
              </w:rPr>
            </w:pPr>
            <w:r>
              <w:rPr>
                <w:rFonts w:hint="eastAsia" w:ascii="宋体" w:hAnsi="宋体" w:cs="宋体"/>
                <w:b/>
                <w:bCs/>
                <w:sz w:val="24"/>
              </w:rPr>
              <w:t>2.项目总体理解</w:t>
            </w:r>
          </w:p>
        </w:tc>
        <w:tc>
          <w:tcPr>
            <w:tcW w:w="8115" w:type="dxa"/>
            <w:tcBorders>
              <w:top w:val="single" w:color="auto" w:sz="4" w:space="0"/>
              <w:left w:val="single" w:color="auto" w:sz="4" w:space="0"/>
              <w:bottom w:val="single" w:color="auto" w:sz="4" w:space="0"/>
              <w:right w:val="single" w:color="auto" w:sz="4" w:space="0"/>
            </w:tcBorders>
            <w:noWrap/>
          </w:tcPr>
          <w:p w14:paraId="709CFE50">
            <w:pPr>
              <w:pStyle w:val="967"/>
              <w:spacing w:line="264" w:lineRule="auto"/>
              <w:ind w:right="97"/>
              <w:rPr>
                <w:rFonts w:ascii="宋体" w:hAnsi="宋体" w:cs="宋体"/>
                <w:bCs/>
                <w:sz w:val="24"/>
                <w:szCs w:val="24"/>
                <w:lang w:eastAsia="zh-CN"/>
              </w:rPr>
            </w:pPr>
            <w:r>
              <w:rPr>
                <w:rFonts w:hint="eastAsia" w:ascii="宋体" w:hAnsi="宋体" w:cs="宋体"/>
                <w:sz w:val="24"/>
                <w:szCs w:val="24"/>
                <w:lang w:eastAsia="zh-CN"/>
              </w:rPr>
              <w:t>根据投标人对本项目的总体理解是否详细、全面、可行，包含以下要点：</w:t>
            </w:r>
            <w:r>
              <w:rPr>
                <w:rFonts w:hint="eastAsia" w:ascii="宋体" w:hAnsi="宋体" w:cs="宋体"/>
                <w:bCs/>
                <w:sz w:val="24"/>
                <w:szCs w:val="24"/>
                <w:lang w:eastAsia="zh-CN"/>
              </w:rPr>
              <w:t>产品总体选型、配置方案；技术工艺方案；设计方案：包括所投产品的主要技术、结构、功能、特点、配置、操作说明等阐述。由评审进行综合评分。</w:t>
            </w:r>
          </w:p>
          <w:p w14:paraId="52B61481">
            <w:pPr>
              <w:tabs>
                <w:tab w:val="left" w:pos="0"/>
              </w:tabs>
              <w:spacing w:line="288" w:lineRule="auto"/>
              <w:rPr>
                <w:rFonts w:ascii="宋体" w:hAnsi="宋体" w:cs="宋体"/>
                <w:b/>
                <w:bCs/>
                <w:sz w:val="24"/>
              </w:rPr>
            </w:pPr>
            <w:r>
              <w:rPr>
                <w:rFonts w:hint="eastAsia" w:ascii="宋体" w:hAnsi="宋体" w:cs="宋体"/>
                <w:b/>
                <w:bCs/>
                <w:sz w:val="24"/>
              </w:rPr>
              <w:t>1.内容阐述完整全面、科学合理、针对性强的得6分；</w:t>
            </w:r>
          </w:p>
          <w:p w14:paraId="7F0EFD54">
            <w:pPr>
              <w:tabs>
                <w:tab w:val="left" w:pos="0"/>
              </w:tabs>
              <w:spacing w:line="288" w:lineRule="auto"/>
              <w:rPr>
                <w:rFonts w:ascii="宋体" w:hAnsi="宋体" w:cs="宋体"/>
                <w:b/>
                <w:bCs/>
                <w:sz w:val="24"/>
              </w:rPr>
            </w:pPr>
            <w:r>
              <w:rPr>
                <w:rFonts w:hint="eastAsia" w:ascii="宋体" w:hAnsi="宋体" w:cs="宋体"/>
                <w:b/>
                <w:bCs/>
                <w:sz w:val="24"/>
              </w:rPr>
              <w:t>2.内容阐述基本合理，内容相对详实得5分；</w:t>
            </w:r>
          </w:p>
          <w:p w14:paraId="17B38EF9">
            <w:pPr>
              <w:tabs>
                <w:tab w:val="left" w:pos="0"/>
              </w:tabs>
              <w:spacing w:line="288" w:lineRule="auto"/>
              <w:rPr>
                <w:rFonts w:ascii="宋体" w:hAnsi="宋体" w:cs="宋体"/>
                <w:b/>
                <w:bCs/>
                <w:sz w:val="24"/>
              </w:rPr>
            </w:pPr>
            <w:r>
              <w:rPr>
                <w:rFonts w:hint="eastAsia" w:ascii="宋体" w:hAnsi="宋体" w:cs="宋体"/>
                <w:b/>
                <w:bCs/>
                <w:sz w:val="24"/>
              </w:rPr>
              <w:t>3.内容阐述略有欠缺，但基本合理可行的得3分；</w:t>
            </w:r>
          </w:p>
          <w:p w14:paraId="245C24A6">
            <w:pPr>
              <w:tabs>
                <w:tab w:val="left" w:pos="0"/>
              </w:tabs>
              <w:spacing w:line="288" w:lineRule="auto"/>
              <w:rPr>
                <w:rFonts w:ascii="宋体" w:hAnsi="宋体" w:cs="宋体"/>
                <w:b/>
                <w:bCs/>
                <w:sz w:val="24"/>
              </w:rPr>
            </w:pPr>
            <w:r>
              <w:rPr>
                <w:rFonts w:hint="eastAsia" w:ascii="宋体" w:hAnsi="宋体" w:cs="宋体"/>
                <w:b/>
                <w:bCs/>
                <w:sz w:val="24"/>
              </w:rPr>
              <w:t>4.内容阐述粗略、针对性较差的得2分；</w:t>
            </w:r>
          </w:p>
          <w:p w14:paraId="58E21068">
            <w:pPr>
              <w:pStyle w:val="967"/>
              <w:spacing w:line="264" w:lineRule="auto"/>
              <w:ind w:right="97"/>
              <w:rPr>
                <w:rFonts w:ascii="宋体" w:hAnsi="宋体" w:cs="宋体"/>
                <w:bCs/>
                <w:sz w:val="24"/>
                <w:szCs w:val="24"/>
                <w:lang w:eastAsia="zh-CN"/>
              </w:rPr>
            </w:pPr>
            <w:r>
              <w:rPr>
                <w:rFonts w:hint="eastAsia" w:ascii="宋体" w:hAnsi="宋体" w:cs="宋体"/>
                <w:b/>
                <w:bCs/>
                <w:sz w:val="24"/>
                <w:szCs w:val="24"/>
                <w:lang w:eastAsia="zh-CN"/>
              </w:rPr>
              <w:t>5.无相关内容阐述或不符合项目的不得分。</w:t>
            </w:r>
          </w:p>
        </w:tc>
        <w:tc>
          <w:tcPr>
            <w:tcW w:w="721" w:type="dxa"/>
            <w:tcBorders>
              <w:top w:val="single" w:color="auto" w:sz="4" w:space="0"/>
              <w:left w:val="single" w:color="auto" w:sz="4" w:space="0"/>
              <w:bottom w:val="single" w:color="auto" w:sz="4" w:space="0"/>
              <w:right w:val="single" w:color="auto" w:sz="4" w:space="0"/>
            </w:tcBorders>
            <w:noWrap/>
            <w:vAlign w:val="center"/>
          </w:tcPr>
          <w:p w14:paraId="2ED69A93">
            <w:pPr>
              <w:pStyle w:val="967"/>
              <w:spacing w:line="264" w:lineRule="auto"/>
              <w:ind w:right="97"/>
              <w:jc w:val="center"/>
              <w:rPr>
                <w:rFonts w:ascii="宋体" w:hAnsi="宋体" w:cs="宋体"/>
                <w:b/>
                <w:bCs/>
                <w:sz w:val="24"/>
                <w:szCs w:val="24"/>
              </w:rPr>
            </w:pPr>
            <w:r>
              <w:rPr>
                <w:rFonts w:hint="eastAsia" w:ascii="宋体" w:hAnsi="宋体" w:cs="宋体"/>
                <w:b/>
                <w:bCs/>
                <w:sz w:val="24"/>
                <w:szCs w:val="24"/>
                <w:lang w:eastAsia="zh-CN"/>
              </w:rPr>
              <w:t>6</w:t>
            </w:r>
            <w:r>
              <w:rPr>
                <w:rFonts w:hint="eastAsia" w:ascii="宋体" w:hAnsi="宋体" w:cs="宋体"/>
                <w:b/>
                <w:bCs/>
                <w:sz w:val="24"/>
                <w:szCs w:val="24"/>
              </w:rPr>
              <w:t>分</w:t>
            </w:r>
          </w:p>
        </w:tc>
      </w:tr>
      <w:tr w14:paraId="63174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22" w:type="dxa"/>
            <w:noWrap/>
            <w:vAlign w:val="center"/>
          </w:tcPr>
          <w:p w14:paraId="2995B1CD">
            <w:pPr>
              <w:widowControl/>
              <w:spacing w:line="264" w:lineRule="auto"/>
              <w:jc w:val="center"/>
              <w:rPr>
                <w:rFonts w:ascii="宋体" w:hAnsi="宋体" w:cs="宋体"/>
                <w:b/>
                <w:bCs/>
                <w:sz w:val="24"/>
              </w:rPr>
            </w:pPr>
            <w:r>
              <w:rPr>
                <w:rFonts w:hint="eastAsia" w:ascii="宋体" w:hAnsi="宋体" w:cs="宋体"/>
                <w:b/>
                <w:bCs/>
                <w:sz w:val="24"/>
              </w:rPr>
              <w:t>3.项目实施方案</w:t>
            </w:r>
          </w:p>
        </w:tc>
        <w:tc>
          <w:tcPr>
            <w:tcW w:w="8115" w:type="dxa"/>
            <w:noWrap/>
            <w:vAlign w:val="center"/>
          </w:tcPr>
          <w:p w14:paraId="41F97C02">
            <w:pPr>
              <w:pStyle w:val="967"/>
              <w:spacing w:line="264" w:lineRule="auto"/>
              <w:ind w:right="97"/>
              <w:rPr>
                <w:rFonts w:ascii="宋体" w:hAnsi="宋体" w:cs="宋体"/>
                <w:sz w:val="24"/>
                <w:szCs w:val="24"/>
                <w:lang w:eastAsia="zh-CN"/>
              </w:rPr>
            </w:pPr>
            <w:r>
              <w:rPr>
                <w:rFonts w:hint="eastAsia" w:ascii="宋体" w:hAnsi="宋体" w:cs="宋体"/>
                <w:sz w:val="24"/>
                <w:szCs w:val="24"/>
                <w:lang w:eastAsia="zh-CN"/>
              </w:rPr>
              <w:t>根据投标人针对本次采购项目制定的详细实施方案，包含：项目实施人员计划安排；项目实施进度安排；项目管理方案、项目保障方案等。</w:t>
            </w:r>
            <w:r>
              <w:rPr>
                <w:rFonts w:hint="eastAsia" w:ascii="宋体" w:hAnsi="宋体" w:cs="宋体"/>
                <w:bCs/>
                <w:sz w:val="24"/>
                <w:szCs w:val="24"/>
                <w:lang w:eastAsia="zh-CN"/>
              </w:rPr>
              <w:t>由评审进行综合评分。</w:t>
            </w:r>
          </w:p>
          <w:p w14:paraId="0DD92431">
            <w:pPr>
              <w:tabs>
                <w:tab w:val="left" w:pos="0"/>
              </w:tabs>
              <w:spacing w:line="288" w:lineRule="auto"/>
              <w:rPr>
                <w:rFonts w:ascii="宋体" w:hAnsi="宋体" w:cs="宋体"/>
                <w:b/>
                <w:bCs/>
                <w:sz w:val="24"/>
              </w:rPr>
            </w:pPr>
            <w:r>
              <w:rPr>
                <w:rFonts w:hint="eastAsia" w:ascii="宋体" w:hAnsi="宋体" w:cs="宋体"/>
                <w:b/>
                <w:bCs/>
                <w:sz w:val="24"/>
              </w:rPr>
              <w:t>1.内容阐述完整全面、科学合理、针对性强的得6分；</w:t>
            </w:r>
          </w:p>
          <w:p w14:paraId="4C0F8404">
            <w:pPr>
              <w:tabs>
                <w:tab w:val="left" w:pos="0"/>
              </w:tabs>
              <w:spacing w:line="288" w:lineRule="auto"/>
              <w:rPr>
                <w:rFonts w:ascii="宋体" w:hAnsi="宋体" w:cs="宋体"/>
                <w:b/>
                <w:bCs/>
                <w:sz w:val="24"/>
              </w:rPr>
            </w:pPr>
            <w:r>
              <w:rPr>
                <w:rFonts w:hint="eastAsia" w:ascii="宋体" w:hAnsi="宋体" w:cs="宋体"/>
                <w:b/>
                <w:bCs/>
                <w:sz w:val="24"/>
              </w:rPr>
              <w:t>2.内容阐述基本合理，内容相对详实得5分；</w:t>
            </w:r>
          </w:p>
          <w:p w14:paraId="7FC3FAF8">
            <w:pPr>
              <w:tabs>
                <w:tab w:val="left" w:pos="0"/>
              </w:tabs>
              <w:spacing w:line="288" w:lineRule="auto"/>
              <w:rPr>
                <w:rFonts w:ascii="宋体" w:hAnsi="宋体" w:cs="宋体"/>
                <w:b/>
                <w:bCs/>
                <w:sz w:val="24"/>
              </w:rPr>
            </w:pPr>
            <w:r>
              <w:rPr>
                <w:rFonts w:hint="eastAsia" w:ascii="宋体" w:hAnsi="宋体" w:cs="宋体"/>
                <w:b/>
                <w:bCs/>
                <w:sz w:val="24"/>
              </w:rPr>
              <w:t>3.内容阐述略有欠缺，但基本合理可行的得3分；</w:t>
            </w:r>
          </w:p>
          <w:p w14:paraId="3AD456B7">
            <w:pPr>
              <w:tabs>
                <w:tab w:val="left" w:pos="0"/>
              </w:tabs>
              <w:spacing w:line="288" w:lineRule="auto"/>
              <w:rPr>
                <w:rFonts w:ascii="宋体" w:hAnsi="宋体" w:cs="宋体"/>
                <w:b/>
                <w:bCs/>
                <w:sz w:val="24"/>
              </w:rPr>
            </w:pPr>
            <w:r>
              <w:rPr>
                <w:rFonts w:hint="eastAsia" w:ascii="宋体" w:hAnsi="宋体" w:cs="宋体"/>
                <w:b/>
                <w:bCs/>
                <w:sz w:val="24"/>
              </w:rPr>
              <w:t>4.内容阐述粗略、针对性较差的得2分；</w:t>
            </w:r>
          </w:p>
          <w:p w14:paraId="16BE63D5">
            <w:pPr>
              <w:pStyle w:val="967"/>
              <w:spacing w:line="264" w:lineRule="auto"/>
              <w:rPr>
                <w:rFonts w:ascii="宋体" w:hAnsi="宋体" w:cs="宋体"/>
                <w:sz w:val="24"/>
                <w:szCs w:val="24"/>
                <w:lang w:eastAsia="zh-CN"/>
              </w:rPr>
            </w:pPr>
            <w:r>
              <w:rPr>
                <w:rFonts w:hint="eastAsia" w:ascii="宋体" w:hAnsi="宋体" w:cs="宋体"/>
                <w:b/>
                <w:bCs/>
                <w:sz w:val="24"/>
                <w:szCs w:val="24"/>
                <w:lang w:eastAsia="zh-CN"/>
              </w:rPr>
              <w:t>5.无相关内容阐述或不符合项目的不得分。</w:t>
            </w:r>
          </w:p>
        </w:tc>
        <w:tc>
          <w:tcPr>
            <w:tcW w:w="721" w:type="dxa"/>
            <w:noWrap/>
            <w:vAlign w:val="center"/>
          </w:tcPr>
          <w:p w14:paraId="147F244E">
            <w:pPr>
              <w:spacing w:line="264" w:lineRule="auto"/>
              <w:jc w:val="center"/>
              <w:rPr>
                <w:rFonts w:ascii="宋体" w:hAnsi="宋体" w:cs="宋体"/>
                <w:b/>
                <w:bCs/>
                <w:sz w:val="24"/>
              </w:rPr>
            </w:pPr>
            <w:r>
              <w:rPr>
                <w:rFonts w:hint="eastAsia" w:ascii="宋体" w:hAnsi="宋体" w:cs="宋体"/>
                <w:b/>
                <w:bCs/>
                <w:sz w:val="24"/>
              </w:rPr>
              <w:t>6分</w:t>
            </w:r>
          </w:p>
        </w:tc>
      </w:tr>
      <w:tr w14:paraId="2DEB0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22" w:type="dxa"/>
            <w:noWrap/>
            <w:vAlign w:val="center"/>
          </w:tcPr>
          <w:p w14:paraId="358B1EC7">
            <w:pPr>
              <w:spacing w:line="264" w:lineRule="auto"/>
              <w:jc w:val="center"/>
              <w:rPr>
                <w:rFonts w:ascii="宋体" w:hAnsi="宋体" w:cs="宋体"/>
                <w:b/>
                <w:bCs/>
                <w:sz w:val="24"/>
              </w:rPr>
            </w:pPr>
            <w:r>
              <w:rPr>
                <w:rFonts w:hint="eastAsia" w:ascii="宋体" w:hAnsi="宋体" w:cs="宋体"/>
                <w:b/>
                <w:bCs/>
                <w:sz w:val="24"/>
              </w:rPr>
              <w:t>4.质量保证措施</w:t>
            </w:r>
          </w:p>
        </w:tc>
        <w:tc>
          <w:tcPr>
            <w:tcW w:w="8115" w:type="dxa"/>
            <w:noWrap/>
            <w:vAlign w:val="center"/>
          </w:tcPr>
          <w:p w14:paraId="1E830EE0">
            <w:pPr>
              <w:pStyle w:val="967"/>
              <w:spacing w:line="264" w:lineRule="auto"/>
              <w:ind w:right="97"/>
              <w:rPr>
                <w:rFonts w:ascii="宋体" w:hAnsi="宋体" w:cs="宋体"/>
                <w:sz w:val="24"/>
                <w:szCs w:val="24"/>
                <w:lang w:eastAsia="zh-CN"/>
              </w:rPr>
            </w:pPr>
            <w:r>
              <w:rPr>
                <w:rFonts w:hint="eastAsia" w:ascii="宋体" w:hAnsi="宋体" w:cs="宋体"/>
                <w:sz w:val="24"/>
                <w:szCs w:val="24"/>
                <w:lang w:eastAsia="zh-CN"/>
              </w:rPr>
              <w:t>根据投标人提供针对本项目质量保证的措施，包括：质量管理制度与生产质量控制流程；对采购需求的响应情况以及在紧急情况下的应对措施等。</w:t>
            </w:r>
            <w:r>
              <w:rPr>
                <w:rFonts w:hint="eastAsia" w:ascii="宋体" w:hAnsi="宋体" w:cs="宋体"/>
                <w:bCs/>
                <w:sz w:val="24"/>
                <w:szCs w:val="24"/>
                <w:lang w:eastAsia="zh-CN"/>
              </w:rPr>
              <w:t>由评审进行综合评分。</w:t>
            </w:r>
          </w:p>
          <w:p w14:paraId="26D23C1E">
            <w:pPr>
              <w:tabs>
                <w:tab w:val="left" w:pos="0"/>
              </w:tabs>
              <w:spacing w:line="288" w:lineRule="auto"/>
              <w:rPr>
                <w:rFonts w:ascii="宋体" w:hAnsi="宋体" w:cs="宋体"/>
                <w:b/>
                <w:bCs/>
                <w:sz w:val="24"/>
              </w:rPr>
            </w:pPr>
            <w:r>
              <w:rPr>
                <w:rFonts w:hint="eastAsia" w:ascii="宋体" w:hAnsi="宋体" w:cs="宋体"/>
                <w:b/>
                <w:bCs/>
                <w:sz w:val="24"/>
              </w:rPr>
              <w:t>1.内容阐述完整全面、科学合理、针对性强的得6分；</w:t>
            </w:r>
          </w:p>
          <w:p w14:paraId="10AB74B1">
            <w:pPr>
              <w:tabs>
                <w:tab w:val="left" w:pos="0"/>
              </w:tabs>
              <w:spacing w:line="288" w:lineRule="auto"/>
              <w:rPr>
                <w:rFonts w:ascii="宋体" w:hAnsi="宋体" w:cs="宋体"/>
                <w:b/>
                <w:bCs/>
                <w:sz w:val="24"/>
              </w:rPr>
            </w:pPr>
            <w:r>
              <w:rPr>
                <w:rFonts w:hint="eastAsia" w:ascii="宋体" w:hAnsi="宋体" w:cs="宋体"/>
                <w:b/>
                <w:bCs/>
                <w:sz w:val="24"/>
              </w:rPr>
              <w:t>2.内容阐述基本合理，内容相对详实得5分；</w:t>
            </w:r>
          </w:p>
          <w:p w14:paraId="588015E3">
            <w:pPr>
              <w:tabs>
                <w:tab w:val="left" w:pos="0"/>
              </w:tabs>
              <w:spacing w:line="288" w:lineRule="auto"/>
              <w:rPr>
                <w:rFonts w:ascii="宋体" w:hAnsi="宋体" w:cs="宋体"/>
                <w:b/>
                <w:bCs/>
                <w:sz w:val="24"/>
              </w:rPr>
            </w:pPr>
            <w:r>
              <w:rPr>
                <w:rFonts w:hint="eastAsia" w:ascii="宋体" w:hAnsi="宋体" w:cs="宋体"/>
                <w:b/>
                <w:bCs/>
                <w:sz w:val="24"/>
              </w:rPr>
              <w:t>3.内容阐述略有欠缺，但基本合理可行的得3分；</w:t>
            </w:r>
          </w:p>
          <w:p w14:paraId="7F9F1971">
            <w:pPr>
              <w:tabs>
                <w:tab w:val="left" w:pos="0"/>
              </w:tabs>
              <w:spacing w:line="288" w:lineRule="auto"/>
              <w:rPr>
                <w:rFonts w:ascii="宋体" w:hAnsi="宋体" w:cs="宋体"/>
                <w:b/>
                <w:bCs/>
                <w:sz w:val="24"/>
              </w:rPr>
            </w:pPr>
            <w:r>
              <w:rPr>
                <w:rFonts w:hint="eastAsia" w:ascii="宋体" w:hAnsi="宋体" w:cs="宋体"/>
                <w:b/>
                <w:bCs/>
                <w:sz w:val="24"/>
              </w:rPr>
              <w:t>4.内容阐述粗略、针对性较差的得2分；</w:t>
            </w:r>
          </w:p>
          <w:p w14:paraId="4AF5E2D2">
            <w:pPr>
              <w:spacing w:line="264" w:lineRule="auto"/>
              <w:jc w:val="left"/>
              <w:rPr>
                <w:rFonts w:ascii="宋体" w:hAnsi="宋体" w:cs="宋体"/>
                <w:sz w:val="24"/>
              </w:rPr>
            </w:pPr>
            <w:r>
              <w:rPr>
                <w:rFonts w:hint="eastAsia" w:ascii="宋体" w:hAnsi="宋体" w:cs="宋体"/>
                <w:b/>
                <w:bCs/>
                <w:sz w:val="24"/>
              </w:rPr>
              <w:t>5.无相关内容阐述或不符合项目的不得分。</w:t>
            </w:r>
          </w:p>
        </w:tc>
        <w:tc>
          <w:tcPr>
            <w:tcW w:w="721" w:type="dxa"/>
            <w:noWrap/>
            <w:vAlign w:val="center"/>
          </w:tcPr>
          <w:p w14:paraId="484794C6">
            <w:pPr>
              <w:spacing w:line="264" w:lineRule="auto"/>
              <w:jc w:val="center"/>
              <w:rPr>
                <w:rFonts w:ascii="宋体" w:hAnsi="宋体" w:cs="宋体"/>
                <w:b/>
                <w:bCs/>
                <w:sz w:val="24"/>
              </w:rPr>
            </w:pPr>
            <w:r>
              <w:rPr>
                <w:rFonts w:hint="eastAsia" w:ascii="宋体" w:hAnsi="宋体" w:cs="宋体"/>
                <w:b/>
                <w:bCs/>
                <w:sz w:val="24"/>
              </w:rPr>
              <w:t>6分</w:t>
            </w:r>
          </w:p>
        </w:tc>
      </w:tr>
      <w:tr w14:paraId="6F5AC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2" w:hRule="atLeast"/>
          <w:jc w:val="center"/>
        </w:trPr>
        <w:tc>
          <w:tcPr>
            <w:tcW w:w="1222" w:type="dxa"/>
            <w:noWrap/>
            <w:vAlign w:val="center"/>
          </w:tcPr>
          <w:p w14:paraId="4D3C4C42">
            <w:pPr>
              <w:spacing w:line="264" w:lineRule="auto"/>
              <w:jc w:val="center"/>
              <w:rPr>
                <w:rFonts w:ascii="宋体" w:hAnsi="宋体" w:cs="宋体"/>
                <w:b/>
                <w:bCs/>
                <w:sz w:val="24"/>
              </w:rPr>
            </w:pPr>
            <w:r>
              <w:rPr>
                <w:rFonts w:hint="eastAsia" w:ascii="宋体" w:hAnsi="宋体" w:cs="宋体"/>
                <w:b/>
                <w:bCs/>
                <w:sz w:val="24"/>
              </w:rPr>
              <w:t>5.技术指标响应情况</w:t>
            </w:r>
          </w:p>
        </w:tc>
        <w:tc>
          <w:tcPr>
            <w:tcW w:w="8115" w:type="dxa"/>
            <w:noWrap/>
            <w:vAlign w:val="center"/>
          </w:tcPr>
          <w:p w14:paraId="029F29A6">
            <w:pPr>
              <w:pStyle w:val="39"/>
              <w:spacing w:line="264" w:lineRule="auto"/>
              <w:ind w:firstLine="0"/>
              <w:jc w:val="left"/>
              <w:rPr>
                <w:rFonts w:hAnsi="宋体" w:cs="宋体"/>
                <w:sz w:val="24"/>
                <w:szCs w:val="24"/>
              </w:rPr>
            </w:pPr>
            <w:r>
              <w:rPr>
                <w:rFonts w:hint="eastAsia" w:hAnsi="宋体" w:cs="宋体"/>
                <w:sz w:val="24"/>
                <w:szCs w:val="24"/>
              </w:rPr>
              <w:t>评委根据投标人提供的技术参数要求是否满足招标文件技术参数要求情况打分。</w:t>
            </w:r>
          </w:p>
          <w:p w14:paraId="43A8B49A">
            <w:pPr>
              <w:pStyle w:val="39"/>
              <w:spacing w:line="264" w:lineRule="auto"/>
              <w:ind w:firstLine="0"/>
              <w:jc w:val="left"/>
              <w:rPr>
                <w:rFonts w:hAnsi="宋体" w:cs="宋体"/>
                <w:sz w:val="24"/>
                <w:szCs w:val="24"/>
              </w:rPr>
            </w:pPr>
            <w:r>
              <w:rPr>
                <w:rFonts w:hint="eastAsia" w:hAnsi="宋体" w:cs="宋体"/>
                <w:sz w:val="24"/>
                <w:szCs w:val="24"/>
              </w:rPr>
              <w:t>1.全部满足招标文件技术参数要求内容的得20分。</w:t>
            </w:r>
          </w:p>
          <w:p w14:paraId="23FF654F">
            <w:pPr>
              <w:pStyle w:val="39"/>
              <w:spacing w:line="264" w:lineRule="auto"/>
              <w:ind w:firstLine="0"/>
              <w:jc w:val="left"/>
              <w:rPr>
                <w:rFonts w:hAnsi="宋体" w:cs="宋体"/>
                <w:sz w:val="24"/>
                <w:szCs w:val="24"/>
              </w:rPr>
            </w:pPr>
            <w:r>
              <w:rPr>
                <w:rFonts w:hint="eastAsia" w:hAnsi="宋体" w:cs="宋体"/>
                <w:sz w:val="24"/>
                <w:szCs w:val="24"/>
              </w:rPr>
              <w:t>2.带“▲”号标识的条款或要求为重要技术参数指标或者要求，每负偏离一项扣1分；其他技术指标或参数要求每负偏离一项扣0.5分，扣完为止。</w:t>
            </w:r>
          </w:p>
          <w:p w14:paraId="2F2A28BD">
            <w:pPr>
              <w:pStyle w:val="39"/>
              <w:spacing w:line="264" w:lineRule="auto"/>
              <w:ind w:firstLine="0"/>
              <w:jc w:val="left"/>
              <w:rPr>
                <w:rFonts w:hAnsi="宋体" w:cs="宋体"/>
                <w:sz w:val="24"/>
                <w:szCs w:val="24"/>
              </w:rPr>
            </w:pPr>
            <w:r>
              <w:rPr>
                <w:rFonts w:hint="eastAsia" w:hAnsi="宋体" w:cs="宋体"/>
                <w:b/>
                <w:bCs/>
                <w:sz w:val="24"/>
                <w:szCs w:val="24"/>
              </w:rPr>
              <w:t>（注：本项最高得20分；投标人应当在投标文件商务技术偏离表中注意对照采购需求进行投标响应；招标需求中有明确要求提供证明材料的（如有），应当根据要求提供，否则视为负偏离；未明确要求的，由评审专家根据投标人商务技术偏离表中的响应情况进行评定；如投标文件商务技术偏离表响应情况与投标文件中所提供的产品技术材料不一致时，以提供的产品技术材料为准。）</w:t>
            </w:r>
          </w:p>
        </w:tc>
        <w:tc>
          <w:tcPr>
            <w:tcW w:w="721" w:type="dxa"/>
            <w:noWrap/>
            <w:vAlign w:val="center"/>
          </w:tcPr>
          <w:p w14:paraId="5E1161E6">
            <w:pPr>
              <w:pStyle w:val="39"/>
              <w:spacing w:line="264" w:lineRule="auto"/>
              <w:ind w:firstLine="0"/>
              <w:jc w:val="center"/>
              <w:rPr>
                <w:rFonts w:hAnsi="宋体" w:cs="宋体"/>
                <w:b/>
                <w:bCs/>
                <w:sz w:val="24"/>
                <w:szCs w:val="24"/>
              </w:rPr>
            </w:pPr>
            <w:r>
              <w:rPr>
                <w:rFonts w:hint="eastAsia" w:hAnsi="宋体" w:cs="宋体"/>
                <w:b/>
                <w:bCs/>
                <w:sz w:val="24"/>
                <w:szCs w:val="24"/>
              </w:rPr>
              <w:t>20分</w:t>
            </w:r>
          </w:p>
        </w:tc>
      </w:tr>
      <w:tr w14:paraId="406AB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22" w:type="dxa"/>
            <w:noWrap/>
            <w:vAlign w:val="center"/>
          </w:tcPr>
          <w:p w14:paraId="73699094">
            <w:pPr>
              <w:spacing w:line="264" w:lineRule="auto"/>
              <w:jc w:val="center"/>
              <w:rPr>
                <w:rFonts w:ascii="宋体" w:hAnsi="宋体" w:cs="宋体"/>
                <w:b/>
                <w:bCs/>
                <w:sz w:val="24"/>
              </w:rPr>
            </w:pPr>
            <w:r>
              <w:rPr>
                <w:rFonts w:hint="eastAsia" w:ascii="宋体" w:hAnsi="宋体" w:cs="宋体"/>
                <w:b/>
                <w:bCs/>
                <w:sz w:val="24"/>
              </w:rPr>
              <w:t>6.拟投入人员情况</w:t>
            </w:r>
          </w:p>
        </w:tc>
        <w:tc>
          <w:tcPr>
            <w:tcW w:w="8115" w:type="dxa"/>
            <w:noWrap/>
            <w:vAlign w:val="center"/>
          </w:tcPr>
          <w:p w14:paraId="77811AAA">
            <w:pPr>
              <w:spacing w:line="288" w:lineRule="auto"/>
              <w:ind w:firstLine="240" w:firstLineChars="1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1、项目负责人:具有信息系统项目管理师证书或注册消防工程师证书的得1分；具有高级工程师（系统集成/通信/消防相关专业）证书的得1分，本项最高得2分。</w:t>
            </w:r>
          </w:p>
          <w:p w14:paraId="544499A5">
            <w:pPr>
              <w:spacing w:line="288" w:lineRule="auto"/>
              <w:ind w:firstLine="240" w:firstLineChars="1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2、项目实施负责人(项目负责人除外):具有通信专业技术人员职业资格或信息系统项目管理师证书的得1分；具有CISP证书的得1分，本项最高得2分。</w:t>
            </w:r>
          </w:p>
          <w:p w14:paraId="6F43EA4D">
            <w:pPr>
              <w:spacing w:line="288" w:lineRule="auto"/>
              <w:ind w:firstLine="240" w:firstLineChars="1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项目组成员:(除项目负责人、项目实施负责人外)：项目组成员:(除项目负责人、项目实施负责人外):终端与业务类工程师、注册安全类、项目管理类中级及以上证书的，每类证书得1分，最高得3分(同类证书多本或者一人多证的，均不累计计分）</w:t>
            </w:r>
          </w:p>
          <w:p w14:paraId="169F9292">
            <w:pPr>
              <w:spacing w:line="288" w:lineRule="auto"/>
              <w:rPr>
                <w:rFonts w:ascii="宋体" w:hAnsi="宋体" w:cs="宋体"/>
                <w:sz w:val="24"/>
              </w:rPr>
            </w:pPr>
            <w:r>
              <w:rPr>
                <w:rFonts w:hint="eastAsia" w:asciiTheme="minorEastAsia" w:hAnsiTheme="minorEastAsia" w:eastAsiaTheme="minorEastAsia" w:cstheme="minorEastAsia"/>
                <w:b/>
                <w:bCs/>
                <w:sz w:val="24"/>
              </w:rPr>
              <w:t>注：上述人员须提供投标人为其缴纳的近三个月中任意一个月的社保证明，未提供的不得分。</w:t>
            </w:r>
          </w:p>
        </w:tc>
        <w:tc>
          <w:tcPr>
            <w:tcW w:w="721" w:type="dxa"/>
            <w:noWrap/>
            <w:vAlign w:val="center"/>
          </w:tcPr>
          <w:p w14:paraId="67D1F4F5">
            <w:pPr>
              <w:widowControl/>
              <w:spacing w:line="264" w:lineRule="auto"/>
              <w:jc w:val="center"/>
              <w:textAlignment w:val="center"/>
              <w:rPr>
                <w:rFonts w:ascii="宋体" w:hAnsi="宋体" w:cs="宋体"/>
                <w:b/>
                <w:bCs/>
                <w:sz w:val="24"/>
              </w:rPr>
            </w:pPr>
            <w:r>
              <w:rPr>
                <w:rFonts w:hint="eastAsia" w:ascii="宋体" w:hAnsi="宋体" w:cs="宋体"/>
                <w:b/>
                <w:bCs/>
                <w:sz w:val="24"/>
              </w:rPr>
              <w:t>7分</w:t>
            </w:r>
          </w:p>
        </w:tc>
      </w:tr>
      <w:tr w14:paraId="272C8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222" w:type="dxa"/>
            <w:noWrap/>
            <w:vAlign w:val="center"/>
          </w:tcPr>
          <w:p w14:paraId="57475AFB">
            <w:pPr>
              <w:spacing w:line="264" w:lineRule="auto"/>
              <w:jc w:val="center"/>
              <w:rPr>
                <w:rFonts w:ascii="宋体" w:hAnsi="宋体" w:cs="宋体"/>
                <w:b/>
                <w:bCs/>
                <w:sz w:val="24"/>
              </w:rPr>
            </w:pPr>
            <w:r>
              <w:rPr>
                <w:rFonts w:hint="eastAsia" w:ascii="宋体" w:hAnsi="宋体" w:cs="宋体"/>
                <w:b/>
                <w:bCs/>
                <w:sz w:val="24"/>
              </w:rPr>
              <w:t>7.供货方案</w:t>
            </w:r>
          </w:p>
        </w:tc>
        <w:tc>
          <w:tcPr>
            <w:tcW w:w="8115" w:type="dxa"/>
            <w:noWrap/>
            <w:vAlign w:val="center"/>
          </w:tcPr>
          <w:p w14:paraId="24079CC1">
            <w:pPr>
              <w:spacing w:line="264" w:lineRule="auto"/>
              <w:jc w:val="left"/>
              <w:rPr>
                <w:rFonts w:ascii="宋体" w:hAnsi="宋体" w:cs="宋体"/>
                <w:sz w:val="24"/>
              </w:rPr>
            </w:pPr>
            <w:r>
              <w:rPr>
                <w:rFonts w:hint="eastAsia" w:ascii="宋体" w:hAnsi="宋体" w:cs="宋体"/>
                <w:sz w:val="24"/>
              </w:rPr>
              <w:t>根据投标人的供货方案，包括：供货周期保障；运输保障方案；紧急联络机制等。</w:t>
            </w:r>
            <w:r>
              <w:rPr>
                <w:rFonts w:hint="eastAsia" w:ascii="宋体" w:hAnsi="宋体" w:cs="宋体"/>
                <w:bCs/>
                <w:sz w:val="24"/>
              </w:rPr>
              <w:t>由评审进行综合评分。</w:t>
            </w:r>
          </w:p>
          <w:p w14:paraId="54E38CA0">
            <w:pPr>
              <w:tabs>
                <w:tab w:val="left" w:pos="0"/>
              </w:tabs>
              <w:spacing w:line="288" w:lineRule="auto"/>
              <w:rPr>
                <w:rFonts w:ascii="宋体" w:hAnsi="宋体" w:cs="宋体"/>
                <w:b/>
                <w:bCs/>
                <w:sz w:val="24"/>
              </w:rPr>
            </w:pPr>
            <w:r>
              <w:rPr>
                <w:rFonts w:hint="eastAsia" w:ascii="宋体" w:hAnsi="宋体" w:cs="宋体"/>
                <w:b/>
                <w:bCs/>
                <w:sz w:val="24"/>
              </w:rPr>
              <w:t>1.内容阐述完整全面、科学合理、针对性强的得6分；</w:t>
            </w:r>
          </w:p>
          <w:p w14:paraId="0830B469">
            <w:pPr>
              <w:tabs>
                <w:tab w:val="left" w:pos="0"/>
              </w:tabs>
              <w:spacing w:line="288" w:lineRule="auto"/>
              <w:rPr>
                <w:rFonts w:ascii="宋体" w:hAnsi="宋体" w:cs="宋体"/>
                <w:b/>
                <w:bCs/>
                <w:sz w:val="24"/>
              </w:rPr>
            </w:pPr>
            <w:r>
              <w:rPr>
                <w:rFonts w:hint="eastAsia" w:ascii="宋体" w:hAnsi="宋体" w:cs="宋体"/>
                <w:b/>
                <w:bCs/>
                <w:sz w:val="24"/>
              </w:rPr>
              <w:t>2.内容阐述基本合理，内容相对详实得5分；</w:t>
            </w:r>
          </w:p>
          <w:p w14:paraId="4FAF1FCC">
            <w:pPr>
              <w:tabs>
                <w:tab w:val="left" w:pos="0"/>
              </w:tabs>
              <w:spacing w:line="288" w:lineRule="auto"/>
              <w:rPr>
                <w:rFonts w:ascii="宋体" w:hAnsi="宋体" w:cs="宋体"/>
                <w:b/>
                <w:bCs/>
                <w:sz w:val="24"/>
              </w:rPr>
            </w:pPr>
            <w:r>
              <w:rPr>
                <w:rFonts w:hint="eastAsia" w:ascii="宋体" w:hAnsi="宋体" w:cs="宋体"/>
                <w:b/>
                <w:bCs/>
                <w:sz w:val="24"/>
              </w:rPr>
              <w:t>3.内容阐述略有欠缺，但基本合理可行的得3分；</w:t>
            </w:r>
          </w:p>
          <w:p w14:paraId="559DB23A">
            <w:pPr>
              <w:tabs>
                <w:tab w:val="left" w:pos="0"/>
              </w:tabs>
              <w:spacing w:line="288" w:lineRule="auto"/>
              <w:rPr>
                <w:rFonts w:ascii="宋体" w:hAnsi="宋体" w:cs="宋体"/>
                <w:b/>
                <w:bCs/>
                <w:sz w:val="24"/>
              </w:rPr>
            </w:pPr>
            <w:r>
              <w:rPr>
                <w:rFonts w:hint="eastAsia" w:ascii="宋体" w:hAnsi="宋体" w:cs="宋体"/>
                <w:b/>
                <w:bCs/>
                <w:sz w:val="24"/>
              </w:rPr>
              <w:t>4.内容阐述粗略、针对性较差的得2分；</w:t>
            </w:r>
          </w:p>
          <w:p w14:paraId="21D5064D">
            <w:pPr>
              <w:spacing w:line="264" w:lineRule="auto"/>
              <w:jc w:val="left"/>
              <w:rPr>
                <w:rFonts w:ascii="宋体" w:hAnsi="宋体" w:cs="宋体"/>
                <w:sz w:val="24"/>
              </w:rPr>
            </w:pPr>
            <w:r>
              <w:rPr>
                <w:rFonts w:hint="eastAsia" w:ascii="宋体" w:hAnsi="宋体" w:cs="宋体"/>
                <w:b/>
                <w:bCs/>
                <w:sz w:val="24"/>
              </w:rPr>
              <w:t>5.无相关内容阐述或不符合项目的不得分。</w:t>
            </w:r>
          </w:p>
        </w:tc>
        <w:tc>
          <w:tcPr>
            <w:tcW w:w="721" w:type="dxa"/>
            <w:noWrap/>
            <w:vAlign w:val="center"/>
          </w:tcPr>
          <w:p w14:paraId="3D25B54D">
            <w:pPr>
              <w:spacing w:line="264" w:lineRule="auto"/>
              <w:jc w:val="center"/>
              <w:rPr>
                <w:rFonts w:ascii="宋体" w:hAnsi="宋体" w:cs="宋体"/>
                <w:b/>
                <w:bCs/>
                <w:sz w:val="24"/>
              </w:rPr>
            </w:pPr>
            <w:r>
              <w:rPr>
                <w:rFonts w:hint="eastAsia" w:ascii="宋体" w:hAnsi="宋体" w:cs="宋体"/>
                <w:b/>
                <w:bCs/>
                <w:sz w:val="24"/>
              </w:rPr>
              <w:t>6分</w:t>
            </w:r>
          </w:p>
        </w:tc>
      </w:tr>
      <w:tr w14:paraId="1940A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22" w:type="dxa"/>
            <w:noWrap/>
            <w:vAlign w:val="center"/>
          </w:tcPr>
          <w:p w14:paraId="4209C268">
            <w:pPr>
              <w:spacing w:line="264" w:lineRule="auto"/>
              <w:jc w:val="center"/>
              <w:rPr>
                <w:rFonts w:ascii="宋体" w:hAnsi="宋体" w:cs="宋体"/>
                <w:b/>
                <w:bCs/>
                <w:sz w:val="24"/>
              </w:rPr>
            </w:pPr>
            <w:r>
              <w:rPr>
                <w:rFonts w:hint="eastAsia" w:ascii="宋体" w:hAnsi="宋体" w:cs="宋体"/>
                <w:b/>
                <w:bCs/>
                <w:sz w:val="24"/>
              </w:rPr>
              <w:t>8.培训方案</w:t>
            </w:r>
          </w:p>
        </w:tc>
        <w:tc>
          <w:tcPr>
            <w:tcW w:w="8115" w:type="dxa"/>
            <w:noWrap/>
            <w:vAlign w:val="center"/>
          </w:tcPr>
          <w:p w14:paraId="5158A421">
            <w:pPr>
              <w:spacing w:line="264" w:lineRule="auto"/>
              <w:jc w:val="left"/>
              <w:rPr>
                <w:rFonts w:ascii="宋体" w:hAnsi="宋体" w:cs="宋体"/>
                <w:sz w:val="24"/>
              </w:rPr>
            </w:pPr>
            <w:r>
              <w:rPr>
                <w:rFonts w:hint="eastAsia" w:ascii="宋体" w:hAnsi="宋体" w:cs="宋体"/>
                <w:sz w:val="24"/>
              </w:rPr>
              <w:t>根据投标人针对本项目提供的培训方案：包括：培训对象、课时内容安排；师资力量安排，培训的形式等。</w:t>
            </w:r>
            <w:r>
              <w:rPr>
                <w:rFonts w:hint="eastAsia" w:ascii="宋体" w:hAnsi="宋体" w:cs="宋体"/>
                <w:bCs/>
                <w:sz w:val="24"/>
              </w:rPr>
              <w:t>由评审进行综合评分。</w:t>
            </w:r>
          </w:p>
          <w:p w14:paraId="127A00C4">
            <w:pPr>
              <w:tabs>
                <w:tab w:val="left" w:pos="0"/>
              </w:tabs>
              <w:spacing w:line="288" w:lineRule="auto"/>
              <w:rPr>
                <w:rFonts w:ascii="宋体" w:hAnsi="宋体" w:cs="宋体"/>
                <w:b/>
                <w:bCs/>
                <w:sz w:val="24"/>
              </w:rPr>
            </w:pPr>
            <w:r>
              <w:rPr>
                <w:rFonts w:hint="eastAsia" w:ascii="宋体" w:hAnsi="宋体" w:cs="宋体"/>
                <w:b/>
                <w:bCs/>
                <w:sz w:val="24"/>
              </w:rPr>
              <w:t>1.内容阐述完整全面、科学合理、针对性强的得6分；</w:t>
            </w:r>
          </w:p>
          <w:p w14:paraId="1B1F1A7E">
            <w:pPr>
              <w:tabs>
                <w:tab w:val="left" w:pos="0"/>
              </w:tabs>
              <w:spacing w:line="288" w:lineRule="auto"/>
              <w:rPr>
                <w:rFonts w:ascii="宋体" w:hAnsi="宋体" w:cs="宋体"/>
                <w:b/>
                <w:bCs/>
                <w:sz w:val="24"/>
              </w:rPr>
            </w:pPr>
            <w:r>
              <w:rPr>
                <w:rFonts w:hint="eastAsia" w:ascii="宋体" w:hAnsi="宋体" w:cs="宋体"/>
                <w:b/>
                <w:bCs/>
                <w:sz w:val="24"/>
              </w:rPr>
              <w:t>2.内容阐述基本合理，内容相对详实得5分；</w:t>
            </w:r>
          </w:p>
          <w:p w14:paraId="5EBA9930">
            <w:pPr>
              <w:tabs>
                <w:tab w:val="left" w:pos="0"/>
              </w:tabs>
              <w:spacing w:line="288" w:lineRule="auto"/>
              <w:rPr>
                <w:rFonts w:ascii="宋体" w:hAnsi="宋体" w:cs="宋体"/>
                <w:b/>
                <w:bCs/>
                <w:sz w:val="24"/>
              </w:rPr>
            </w:pPr>
            <w:r>
              <w:rPr>
                <w:rFonts w:hint="eastAsia" w:ascii="宋体" w:hAnsi="宋体" w:cs="宋体"/>
                <w:b/>
                <w:bCs/>
                <w:sz w:val="24"/>
              </w:rPr>
              <w:t>3.内容阐述略有欠缺，但基本合理可行的得3分；</w:t>
            </w:r>
          </w:p>
          <w:p w14:paraId="7ADA9D97">
            <w:pPr>
              <w:tabs>
                <w:tab w:val="left" w:pos="0"/>
              </w:tabs>
              <w:spacing w:line="288" w:lineRule="auto"/>
              <w:rPr>
                <w:rFonts w:ascii="宋体" w:hAnsi="宋体" w:cs="宋体"/>
                <w:b/>
                <w:bCs/>
                <w:sz w:val="24"/>
              </w:rPr>
            </w:pPr>
            <w:r>
              <w:rPr>
                <w:rFonts w:hint="eastAsia" w:ascii="宋体" w:hAnsi="宋体" w:cs="宋体"/>
                <w:b/>
                <w:bCs/>
                <w:sz w:val="24"/>
              </w:rPr>
              <w:t>4.内容阐述粗略、针对性较差的得2分；</w:t>
            </w:r>
          </w:p>
          <w:p w14:paraId="29B18B62">
            <w:pPr>
              <w:spacing w:line="264" w:lineRule="auto"/>
              <w:jc w:val="left"/>
              <w:rPr>
                <w:rFonts w:ascii="宋体" w:hAnsi="宋体" w:cs="宋体"/>
                <w:sz w:val="24"/>
              </w:rPr>
            </w:pPr>
            <w:r>
              <w:rPr>
                <w:rFonts w:hint="eastAsia" w:ascii="宋体" w:hAnsi="宋体" w:cs="宋体"/>
                <w:b/>
                <w:bCs/>
                <w:sz w:val="24"/>
              </w:rPr>
              <w:t>5.无相关内容阐述或不符合项目的不得分。</w:t>
            </w:r>
          </w:p>
        </w:tc>
        <w:tc>
          <w:tcPr>
            <w:tcW w:w="721" w:type="dxa"/>
            <w:noWrap/>
            <w:vAlign w:val="center"/>
          </w:tcPr>
          <w:p w14:paraId="3E37B7EC">
            <w:pPr>
              <w:spacing w:line="264" w:lineRule="auto"/>
              <w:jc w:val="center"/>
              <w:rPr>
                <w:rFonts w:ascii="宋体" w:hAnsi="宋体" w:cs="宋体"/>
                <w:b/>
                <w:bCs/>
                <w:sz w:val="24"/>
              </w:rPr>
            </w:pPr>
            <w:r>
              <w:rPr>
                <w:rFonts w:hint="eastAsia" w:ascii="宋体" w:hAnsi="宋体" w:cs="宋体"/>
                <w:b/>
                <w:bCs/>
                <w:sz w:val="24"/>
              </w:rPr>
              <w:t>6分</w:t>
            </w:r>
          </w:p>
        </w:tc>
      </w:tr>
      <w:tr w14:paraId="514C8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22" w:type="dxa"/>
            <w:noWrap/>
            <w:vAlign w:val="center"/>
          </w:tcPr>
          <w:p w14:paraId="77870091">
            <w:pPr>
              <w:pStyle w:val="39"/>
              <w:spacing w:line="264" w:lineRule="auto"/>
              <w:ind w:firstLine="0"/>
              <w:jc w:val="center"/>
              <w:rPr>
                <w:rFonts w:hAnsi="宋体" w:cs="宋体"/>
                <w:b/>
                <w:bCs/>
                <w:sz w:val="24"/>
                <w:szCs w:val="24"/>
              </w:rPr>
            </w:pPr>
            <w:r>
              <w:rPr>
                <w:rFonts w:hint="eastAsia" w:hAnsi="宋体" w:cs="宋体"/>
                <w:b/>
                <w:bCs/>
                <w:sz w:val="24"/>
                <w:szCs w:val="24"/>
              </w:rPr>
              <w:t>9.安装调试验收方案</w:t>
            </w:r>
          </w:p>
        </w:tc>
        <w:tc>
          <w:tcPr>
            <w:tcW w:w="8115" w:type="dxa"/>
            <w:noWrap/>
          </w:tcPr>
          <w:p w14:paraId="69A1D59A">
            <w:pPr>
              <w:pStyle w:val="39"/>
              <w:spacing w:line="264" w:lineRule="auto"/>
              <w:ind w:firstLine="0"/>
              <w:jc w:val="left"/>
              <w:rPr>
                <w:rFonts w:hAnsi="宋体" w:cs="宋体"/>
                <w:sz w:val="24"/>
                <w:szCs w:val="24"/>
              </w:rPr>
            </w:pPr>
            <w:r>
              <w:rPr>
                <w:rFonts w:hint="eastAsia" w:hAnsi="宋体" w:cs="宋体"/>
                <w:sz w:val="24"/>
                <w:szCs w:val="24"/>
              </w:rPr>
              <w:t>结合本项目特点，对投标人的安装调试验收方案等进行综合评审，主要包括：</w:t>
            </w:r>
          </w:p>
          <w:p w14:paraId="791D9A81">
            <w:pPr>
              <w:spacing w:line="264" w:lineRule="auto"/>
              <w:jc w:val="left"/>
              <w:rPr>
                <w:rFonts w:ascii="宋体" w:hAnsi="宋体" w:cs="宋体"/>
                <w:sz w:val="24"/>
              </w:rPr>
            </w:pPr>
            <w:r>
              <w:rPr>
                <w:rFonts w:hint="eastAsia" w:ascii="宋体" w:hAnsi="宋体" w:cs="宋体"/>
                <w:sz w:val="24"/>
              </w:rPr>
              <w:t>人员的安排情况、时间进度的规划；对设备的调试进度安排，调试的步骤、措施；</w:t>
            </w:r>
            <w:r>
              <w:rPr>
                <w:rFonts w:hint="eastAsia" w:ascii="宋体" w:hAnsi="宋体" w:cs="宋体"/>
                <w:bCs/>
                <w:sz w:val="24"/>
              </w:rPr>
              <w:t>验收保障方案：包括验收组织和协调等验收配合措施、验收反馈处理机制等</w:t>
            </w:r>
            <w:r>
              <w:rPr>
                <w:rFonts w:hint="eastAsia" w:ascii="宋体" w:hAnsi="宋体" w:cs="宋体"/>
                <w:sz w:val="24"/>
              </w:rPr>
              <w:t>；重点难点以及问题的解决方案。</w:t>
            </w:r>
            <w:r>
              <w:rPr>
                <w:rFonts w:hint="eastAsia" w:ascii="宋体" w:hAnsi="宋体" w:cs="宋体"/>
                <w:bCs/>
                <w:sz w:val="24"/>
              </w:rPr>
              <w:t>由评审进行综合评分。</w:t>
            </w:r>
          </w:p>
          <w:p w14:paraId="2CF36288">
            <w:pPr>
              <w:tabs>
                <w:tab w:val="left" w:pos="0"/>
              </w:tabs>
              <w:spacing w:line="288" w:lineRule="auto"/>
              <w:rPr>
                <w:rFonts w:ascii="宋体" w:hAnsi="宋体" w:cs="宋体"/>
                <w:b/>
                <w:bCs/>
                <w:sz w:val="24"/>
              </w:rPr>
            </w:pPr>
            <w:r>
              <w:rPr>
                <w:rFonts w:hint="eastAsia" w:ascii="宋体" w:hAnsi="宋体" w:cs="宋体"/>
                <w:b/>
                <w:bCs/>
                <w:sz w:val="24"/>
              </w:rPr>
              <w:t>1.内容阐述完整全面、科学合理、针对性强的得6分；</w:t>
            </w:r>
          </w:p>
          <w:p w14:paraId="3ECDD5E5">
            <w:pPr>
              <w:tabs>
                <w:tab w:val="left" w:pos="0"/>
              </w:tabs>
              <w:spacing w:line="288" w:lineRule="auto"/>
              <w:rPr>
                <w:rFonts w:ascii="宋体" w:hAnsi="宋体" w:cs="宋体"/>
                <w:b/>
                <w:bCs/>
                <w:sz w:val="24"/>
              </w:rPr>
            </w:pPr>
            <w:r>
              <w:rPr>
                <w:rFonts w:hint="eastAsia" w:ascii="宋体" w:hAnsi="宋体" w:cs="宋体"/>
                <w:b/>
                <w:bCs/>
                <w:sz w:val="24"/>
              </w:rPr>
              <w:t>2.内容阐述基本合理，内容相对详实得5分；</w:t>
            </w:r>
          </w:p>
          <w:p w14:paraId="609FD685">
            <w:pPr>
              <w:tabs>
                <w:tab w:val="left" w:pos="0"/>
              </w:tabs>
              <w:spacing w:line="288" w:lineRule="auto"/>
              <w:rPr>
                <w:rFonts w:ascii="宋体" w:hAnsi="宋体" w:cs="宋体"/>
                <w:b/>
                <w:bCs/>
                <w:sz w:val="24"/>
              </w:rPr>
            </w:pPr>
            <w:r>
              <w:rPr>
                <w:rFonts w:hint="eastAsia" w:ascii="宋体" w:hAnsi="宋体" w:cs="宋体"/>
                <w:b/>
                <w:bCs/>
                <w:sz w:val="24"/>
              </w:rPr>
              <w:t>3.内容阐述略有欠缺，但基本合理可行的得3分；</w:t>
            </w:r>
          </w:p>
          <w:p w14:paraId="6ADF5E3D">
            <w:pPr>
              <w:tabs>
                <w:tab w:val="left" w:pos="0"/>
              </w:tabs>
              <w:spacing w:line="288" w:lineRule="auto"/>
              <w:rPr>
                <w:rFonts w:ascii="宋体" w:hAnsi="宋体" w:cs="宋体"/>
                <w:b/>
                <w:bCs/>
                <w:sz w:val="24"/>
              </w:rPr>
            </w:pPr>
            <w:r>
              <w:rPr>
                <w:rFonts w:hint="eastAsia" w:ascii="宋体" w:hAnsi="宋体" w:cs="宋体"/>
                <w:b/>
                <w:bCs/>
                <w:sz w:val="24"/>
              </w:rPr>
              <w:t>4.内容阐述粗略、针对性较差的得2分；</w:t>
            </w:r>
          </w:p>
          <w:p w14:paraId="65A2C99A">
            <w:pPr>
              <w:pStyle w:val="39"/>
              <w:spacing w:line="264" w:lineRule="auto"/>
              <w:ind w:firstLine="0"/>
              <w:jc w:val="left"/>
              <w:rPr>
                <w:rFonts w:hAnsi="宋体" w:cs="宋体"/>
                <w:sz w:val="24"/>
                <w:szCs w:val="24"/>
              </w:rPr>
            </w:pPr>
            <w:r>
              <w:rPr>
                <w:rFonts w:hint="eastAsia" w:hAnsi="宋体" w:cs="宋体"/>
                <w:b/>
                <w:bCs/>
                <w:sz w:val="24"/>
                <w:szCs w:val="24"/>
              </w:rPr>
              <w:t>5.无相关内容阐述或不符合项目的不得分。</w:t>
            </w:r>
          </w:p>
        </w:tc>
        <w:tc>
          <w:tcPr>
            <w:tcW w:w="721" w:type="dxa"/>
            <w:noWrap/>
            <w:vAlign w:val="center"/>
          </w:tcPr>
          <w:p w14:paraId="1ED70D32">
            <w:pPr>
              <w:pStyle w:val="39"/>
              <w:spacing w:line="264" w:lineRule="auto"/>
              <w:ind w:firstLine="0"/>
              <w:jc w:val="center"/>
              <w:rPr>
                <w:rFonts w:hAnsi="宋体" w:cs="宋体"/>
                <w:b/>
                <w:bCs/>
                <w:sz w:val="24"/>
                <w:szCs w:val="24"/>
              </w:rPr>
            </w:pPr>
            <w:r>
              <w:rPr>
                <w:rFonts w:hint="eastAsia" w:hAnsi="宋体" w:cs="宋体"/>
                <w:b/>
                <w:bCs/>
                <w:sz w:val="24"/>
                <w:szCs w:val="24"/>
              </w:rPr>
              <w:t>6分</w:t>
            </w:r>
          </w:p>
        </w:tc>
      </w:tr>
      <w:tr w14:paraId="70052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22" w:type="dxa"/>
            <w:noWrap/>
            <w:vAlign w:val="center"/>
          </w:tcPr>
          <w:p w14:paraId="23BB98B9">
            <w:pPr>
              <w:spacing w:line="264" w:lineRule="auto"/>
              <w:jc w:val="center"/>
              <w:rPr>
                <w:rFonts w:ascii="宋体" w:hAnsi="宋体" w:cs="宋体"/>
                <w:b/>
                <w:bCs/>
                <w:sz w:val="24"/>
              </w:rPr>
            </w:pPr>
            <w:r>
              <w:rPr>
                <w:rFonts w:hint="eastAsia" w:ascii="宋体" w:hAnsi="宋体" w:cs="宋体"/>
                <w:b/>
                <w:bCs/>
                <w:sz w:val="24"/>
              </w:rPr>
              <w:t>10.售后服务</w:t>
            </w:r>
          </w:p>
        </w:tc>
        <w:tc>
          <w:tcPr>
            <w:tcW w:w="8115" w:type="dxa"/>
            <w:noWrap/>
            <w:vAlign w:val="center"/>
          </w:tcPr>
          <w:p w14:paraId="0ADF8EE7">
            <w:pPr>
              <w:pStyle w:val="39"/>
              <w:spacing w:line="264" w:lineRule="auto"/>
              <w:ind w:firstLine="0"/>
              <w:jc w:val="left"/>
              <w:rPr>
                <w:rFonts w:hAnsi="宋体" w:cs="宋体"/>
                <w:sz w:val="24"/>
                <w:szCs w:val="24"/>
              </w:rPr>
            </w:pPr>
            <w:r>
              <w:rPr>
                <w:rFonts w:hint="eastAsia" w:hAnsi="宋体" w:cs="宋体"/>
                <w:sz w:val="24"/>
                <w:szCs w:val="24"/>
              </w:rPr>
              <w:t>结合本项目特点，对投标人提供的运维保障及措施进行评分，包含但不限于：</w:t>
            </w:r>
          </w:p>
          <w:p w14:paraId="6A4F842E">
            <w:pPr>
              <w:spacing w:line="264" w:lineRule="auto"/>
              <w:jc w:val="left"/>
              <w:rPr>
                <w:rFonts w:ascii="宋体" w:hAnsi="宋体" w:cs="宋体"/>
                <w:sz w:val="24"/>
              </w:rPr>
            </w:pPr>
            <w:r>
              <w:rPr>
                <w:rFonts w:hint="eastAsia" w:ascii="宋体" w:hAnsi="宋体" w:cs="宋体"/>
                <w:sz w:val="24"/>
              </w:rPr>
              <w:t>质保期服务内容承诺；响应方式、响应时间；根据零部件、备品备件的保障措施；售后服务点设置情况；保修期外服务承诺；质保期外易损件的收费情况。</w:t>
            </w:r>
            <w:r>
              <w:rPr>
                <w:rFonts w:hint="eastAsia" w:ascii="宋体" w:hAnsi="宋体" w:cs="宋体"/>
                <w:bCs/>
                <w:sz w:val="24"/>
              </w:rPr>
              <w:t>由评审进行综合评分。</w:t>
            </w:r>
          </w:p>
          <w:p w14:paraId="64069FE2">
            <w:pPr>
              <w:tabs>
                <w:tab w:val="left" w:pos="0"/>
              </w:tabs>
              <w:spacing w:line="288" w:lineRule="auto"/>
              <w:rPr>
                <w:rFonts w:ascii="宋体" w:hAnsi="宋体" w:cs="宋体"/>
                <w:b/>
                <w:bCs/>
                <w:sz w:val="24"/>
              </w:rPr>
            </w:pPr>
            <w:r>
              <w:rPr>
                <w:rFonts w:hint="eastAsia" w:ascii="宋体" w:hAnsi="宋体" w:cs="宋体"/>
                <w:b/>
                <w:bCs/>
                <w:sz w:val="24"/>
              </w:rPr>
              <w:t>1.内容阐述完整全面、科学合理、针对性强的得5分；</w:t>
            </w:r>
          </w:p>
          <w:p w14:paraId="410C0D47">
            <w:pPr>
              <w:tabs>
                <w:tab w:val="left" w:pos="0"/>
              </w:tabs>
              <w:spacing w:line="288" w:lineRule="auto"/>
              <w:rPr>
                <w:rFonts w:ascii="宋体" w:hAnsi="宋体" w:cs="宋体"/>
                <w:b/>
                <w:bCs/>
                <w:sz w:val="24"/>
              </w:rPr>
            </w:pPr>
            <w:r>
              <w:rPr>
                <w:rFonts w:hint="eastAsia" w:ascii="宋体" w:hAnsi="宋体" w:cs="宋体"/>
                <w:b/>
                <w:bCs/>
                <w:sz w:val="24"/>
              </w:rPr>
              <w:t>2.内容阐述基本合理，内容相对详实得4分；</w:t>
            </w:r>
          </w:p>
          <w:p w14:paraId="0A7ED7F3">
            <w:pPr>
              <w:tabs>
                <w:tab w:val="left" w:pos="0"/>
              </w:tabs>
              <w:spacing w:line="288" w:lineRule="auto"/>
              <w:rPr>
                <w:rFonts w:ascii="宋体" w:hAnsi="宋体" w:cs="宋体"/>
                <w:b/>
                <w:bCs/>
                <w:sz w:val="24"/>
              </w:rPr>
            </w:pPr>
            <w:r>
              <w:rPr>
                <w:rFonts w:hint="eastAsia" w:ascii="宋体" w:hAnsi="宋体" w:cs="宋体"/>
                <w:b/>
                <w:bCs/>
                <w:sz w:val="24"/>
              </w:rPr>
              <w:t>3.内容阐述略有欠缺，但基本合理可行的得3分；</w:t>
            </w:r>
          </w:p>
          <w:p w14:paraId="7E3E79AC">
            <w:pPr>
              <w:tabs>
                <w:tab w:val="left" w:pos="0"/>
              </w:tabs>
              <w:spacing w:line="288" w:lineRule="auto"/>
              <w:rPr>
                <w:rFonts w:ascii="宋体" w:hAnsi="宋体" w:cs="宋体"/>
                <w:b/>
                <w:bCs/>
                <w:sz w:val="24"/>
              </w:rPr>
            </w:pPr>
            <w:r>
              <w:rPr>
                <w:rFonts w:hint="eastAsia" w:ascii="宋体" w:hAnsi="宋体" w:cs="宋体"/>
                <w:b/>
                <w:bCs/>
                <w:sz w:val="24"/>
              </w:rPr>
              <w:t>4.内容阐述粗略、针对性较差的得2分；</w:t>
            </w:r>
          </w:p>
          <w:p w14:paraId="46C7E9E8">
            <w:pPr>
              <w:pStyle w:val="39"/>
              <w:spacing w:line="264" w:lineRule="auto"/>
              <w:ind w:firstLine="0"/>
              <w:jc w:val="left"/>
              <w:rPr>
                <w:rFonts w:hAnsi="宋体" w:cs="宋体"/>
                <w:sz w:val="24"/>
                <w:szCs w:val="24"/>
              </w:rPr>
            </w:pPr>
            <w:r>
              <w:rPr>
                <w:rFonts w:hint="eastAsia" w:hAnsi="宋体" w:cs="宋体"/>
                <w:b/>
                <w:bCs/>
                <w:sz w:val="24"/>
                <w:szCs w:val="24"/>
              </w:rPr>
              <w:t>5.无相关内容阐述或不符合项目的不得分。</w:t>
            </w:r>
          </w:p>
        </w:tc>
        <w:tc>
          <w:tcPr>
            <w:tcW w:w="721" w:type="dxa"/>
            <w:noWrap/>
            <w:vAlign w:val="center"/>
          </w:tcPr>
          <w:p w14:paraId="6D066A90">
            <w:pPr>
              <w:pStyle w:val="967"/>
              <w:spacing w:line="264" w:lineRule="auto"/>
              <w:jc w:val="center"/>
              <w:rPr>
                <w:rFonts w:ascii="宋体" w:hAnsi="宋体" w:cs="宋体"/>
                <w:b/>
                <w:bCs/>
                <w:sz w:val="24"/>
                <w:szCs w:val="24"/>
              </w:rPr>
            </w:pPr>
            <w:r>
              <w:rPr>
                <w:rFonts w:hint="eastAsia" w:ascii="宋体" w:hAnsi="宋体" w:cs="宋体"/>
                <w:b/>
                <w:bCs/>
                <w:sz w:val="24"/>
                <w:szCs w:val="24"/>
                <w:lang w:eastAsia="zh-CN"/>
              </w:rPr>
              <w:t>5</w:t>
            </w:r>
            <w:r>
              <w:rPr>
                <w:rFonts w:hint="eastAsia" w:ascii="宋体" w:hAnsi="宋体" w:cs="宋体"/>
                <w:b/>
                <w:bCs/>
                <w:sz w:val="24"/>
                <w:szCs w:val="24"/>
              </w:rPr>
              <w:t>分</w:t>
            </w:r>
          </w:p>
        </w:tc>
      </w:tr>
      <w:tr w14:paraId="00788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58" w:type="dxa"/>
            <w:gridSpan w:val="3"/>
            <w:noWrap/>
            <w:vAlign w:val="center"/>
          </w:tcPr>
          <w:p w14:paraId="00A18429">
            <w:pPr>
              <w:pStyle w:val="967"/>
              <w:spacing w:line="264" w:lineRule="auto"/>
              <w:jc w:val="center"/>
              <w:rPr>
                <w:rFonts w:ascii="宋体" w:hAnsi="宋体" w:cs="宋体"/>
                <w:sz w:val="24"/>
                <w:szCs w:val="24"/>
                <w:lang w:eastAsia="zh-CN"/>
              </w:rPr>
            </w:pPr>
            <w:r>
              <w:rPr>
                <w:rFonts w:hint="eastAsia" w:ascii="宋体" w:hAnsi="宋体" w:cs="宋体"/>
                <w:b/>
                <w:bCs/>
                <w:sz w:val="24"/>
                <w:szCs w:val="24"/>
                <w:lang w:eastAsia="zh-CN"/>
              </w:rPr>
              <w:t>注：若为联合体参加投标的，联合体一方满足评分条件的，即予以认可得分</w:t>
            </w:r>
            <w:r>
              <w:rPr>
                <w:rFonts w:hint="eastAsia" w:ascii="宋体" w:hAnsi="宋体" w:cs="宋体"/>
                <w:sz w:val="24"/>
                <w:szCs w:val="24"/>
                <w:lang w:eastAsia="zh-CN"/>
              </w:rPr>
              <w:t>。</w:t>
            </w:r>
          </w:p>
        </w:tc>
      </w:tr>
    </w:tbl>
    <w:p w14:paraId="4F81086F">
      <w:pPr>
        <w:adjustRightInd/>
        <w:spacing w:line="288" w:lineRule="auto"/>
        <w:ind w:firstLine="482" w:firstLineChars="200"/>
        <w:rPr>
          <w:rFonts w:ascii="宋体" w:hAnsi="宋体" w:cs="宋体"/>
          <w:b/>
          <w:kern w:val="1"/>
          <w:sz w:val="24"/>
          <w:szCs w:val="20"/>
          <w:u w:val="single"/>
        </w:rPr>
      </w:pPr>
      <w:r>
        <w:rPr>
          <w:rFonts w:hint="eastAsia" w:ascii="宋体" w:hAnsi="宋体" w:cs="宋体"/>
          <w:b/>
          <w:bCs/>
          <w:sz w:val="24"/>
        </w:rPr>
        <w:t>注:</w:t>
      </w:r>
      <w:r>
        <w:rPr>
          <w:rFonts w:hint="eastAsia" w:ascii="宋体" w:hAnsi="宋体" w:cs="宋体"/>
          <w:b/>
          <w:sz w:val="24"/>
        </w:rPr>
        <w:t>1.通过资格评审和符合性评审的</w:t>
      </w:r>
      <w:r>
        <w:rPr>
          <w:rFonts w:hint="eastAsia" w:ascii="宋体" w:hAnsi="宋体" w:cs="宋体"/>
          <w:b/>
          <w:bCs/>
          <w:sz w:val="24"/>
        </w:rPr>
        <w:t>供应商</w:t>
      </w:r>
      <w:r>
        <w:rPr>
          <w:rFonts w:hint="eastAsia" w:ascii="宋体" w:hAnsi="宋体" w:cs="宋体"/>
          <w:b/>
          <w:sz w:val="24"/>
        </w:rPr>
        <w:t>全部入围进行商务评审。</w:t>
      </w:r>
    </w:p>
    <w:p w14:paraId="146645DC">
      <w:pPr>
        <w:snapToGrid w:val="0"/>
        <w:spacing w:line="288" w:lineRule="auto"/>
        <w:ind w:firstLine="482" w:firstLineChars="200"/>
        <w:rPr>
          <w:rFonts w:ascii="宋体" w:hAnsi="宋体" w:cs="宋体"/>
          <w:b/>
          <w:bCs/>
          <w:sz w:val="24"/>
        </w:rPr>
      </w:pPr>
      <w:r>
        <w:rPr>
          <w:rFonts w:hint="eastAsia" w:ascii="宋体" w:hAnsi="宋体" w:cs="宋体"/>
          <w:b/>
          <w:bCs/>
          <w:sz w:val="24"/>
        </w:rPr>
        <w:t>2.上述评审细则中要求提供的相关资质、证书等证明材料均需加盖投标人公章，否则视同未提供，对应项不得分；</w:t>
      </w:r>
    </w:p>
    <w:p w14:paraId="4D7FD1E3">
      <w:pPr>
        <w:snapToGrid w:val="0"/>
        <w:spacing w:line="288" w:lineRule="auto"/>
        <w:ind w:firstLine="482" w:firstLineChars="200"/>
        <w:rPr>
          <w:rFonts w:ascii="宋体" w:hAnsi="宋体" w:cs="宋体"/>
          <w:b/>
          <w:bCs/>
          <w:sz w:val="24"/>
        </w:rPr>
      </w:pPr>
      <w:r>
        <w:rPr>
          <w:rFonts w:hint="eastAsia" w:ascii="宋体" w:hAnsi="宋体" w:cs="宋体"/>
          <w:b/>
          <w:bCs/>
          <w:sz w:val="24"/>
        </w:rPr>
        <w:t>3.相关评分资质、证书等证明材料必须在有效期内，否则对应项不得分；</w:t>
      </w:r>
    </w:p>
    <w:p w14:paraId="676200BB">
      <w:pPr>
        <w:snapToGrid w:val="0"/>
        <w:spacing w:line="420" w:lineRule="exact"/>
        <w:ind w:firstLine="482" w:firstLineChars="200"/>
        <w:rPr>
          <w:rFonts w:ascii="宋体" w:hAnsi="宋体" w:cs="宋体"/>
          <w:b/>
          <w:bCs/>
          <w:sz w:val="24"/>
        </w:rPr>
      </w:pPr>
      <w:r>
        <w:rPr>
          <w:rFonts w:hint="eastAsia" w:ascii="宋体" w:hAnsi="宋体" w:cs="宋体"/>
          <w:b/>
          <w:bCs/>
          <w:sz w:val="24"/>
        </w:rPr>
        <w:t>4.投标人编制商务技术文件（商务技术文件部分）时，建议按此目录（序号和内容）提供评标标准相应的商务技术资料。</w:t>
      </w:r>
    </w:p>
    <w:p w14:paraId="2487596B">
      <w:pPr>
        <w:snapToGrid w:val="0"/>
        <w:spacing w:line="420" w:lineRule="exact"/>
        <w:rPr>
          <w:rFonts w:ascii="宋体" w:hAnsi="宋体" w:cs="宋体"/>
          <w:b/>
          <w:sz w:val="24"/>
        </w:rPr>
      </w:pPr>
      <w:r>
        <w:rPr>
          <w:rFonts w:hint="eastAsia" w:ascii="宋体" w:hAnsi="宋体" w:cs="宋体"/>
          <w:b/>
          <w:sz w:val="24"/>
        </w:rPr>
        <w:t>一、评标方法</w:t>
      </w:r>
    </w:p>
    <w:p w14:paraId="3927508E">
      <w:pPr>
        <w:adjustRightInd/>
        <w:spacing w:line="420" w:lineRule="exact"/>
        <w:ind w:firstLine="482" w:firstLineChars="200"/>
        <w:rPr>
          <w:rFonts w:ascii="宋体" w:hAnsi="宋体" w:cs="宋体"/>
          <w:kern w:val="0"/>
          <w:sz w:val="24"/>
        </w:rPr>
      </w:pPr>
      <w:r>
        <w:rPr>
          <w:rFonts w:hint="eastAsia" w:ascii="宋体" w:hAnsi="宋体" w:cs="宋体"/>
          <w:b/>
          <w:kern w:val="0"/>
          <w:sz w:val="24"/>
        </w:rPr>
        <w:t>1.本项目采用综合评分法。</w:t>
      </w:r>
      <w:r>
        <w:rPr>
          <w:rFonts w:hint="eastAsia" w:ascii="宋体" w:hAnsi="宋体" w:cs="宋体"/>
          <w:kern w:val="0"/>
          <w:sz w:val="24"/>
        </w:rPr>
        <w:t>综合评分法，是指投标文件满足招标文件全部实质性要求，且按照评审因素的量化指标评审得分最高的投标人为中标候选人的评标方法。</w:t>
      </w:r>
    </w:p>
    <w:p w14:paraId="6D249808">
      <w:pPr>
        <w:adjustRightInd/>
        <w:spacing w:line="420" w:lineRule="exact"/>
        <w:rPr>
          <w:rFonts w:ascii="宋体" w:hAnsi="宋体" w:cs="宋体"/>
          <w:kern w:val="0"/>
          <w:sz w:val="24"/>
        </w:rPr>
      </w:pPr>
      <w:r>
        <w:rPr>
          <w:rFonts w:hint="eastAsia" w:ascii="宋体" w:hAnsi="宋体" w:cs="宋体"/>
          <w:b/>
          <w:sz w:val="24"/>
        </w:rPr>
        <w:t>二、评标标准</w:t>
      </w:r>
    </w:p>
    <w:p w14:paraId="35B55AD7">
      <w:pPr>
        <w:spacing w:line="420" w:lineRule="exact"/>
        <w:ind w:firstLine="472" w:firstLineChars="196"/>
        <w:rPr>
          <w:rFonts w:ascii="宋体" w:hAnsi="宋体" w:cs="宋体"/>
          <w:b/>
          <w:sz w:val="24"/>
        </w:rPr>
      </w:pPr>
      <w:r>
        <w:rPr>
          <w:rFonts w:hint="eastAsia" w:ascii="宋体" w:hAnsi="宋体" w:cs="宋体"/>
          <w:b/>
          <w:sz w:val="24"/>
        </w:rPr>
        <w:t>2.评标标准：</w:t>
      </w:r>
      <w:r>
        <w:rPr>
          <w:rFonts w:hint="eastAsia" w:ascii="宋体" w:hAnsi="宋体" w:cs="宋体"/>
          <w:kern w:val="0"/>
          <w:sz w:val="24"/>
        </w:rPr>
        <w:t>见评标办法前附表。</w:t>
      </w:r>
    </w:p>
    <w:p w14:paraId="072497A9">
      <w:pPr>
        <w:spacing w:line="420" w:lineRule="exact"/>
        <w:outlineLvl w:val="0"/>
        <w:rPr>
          <w:rFonts w:ascii="宋体" w:hAnsi="宋体" w:cs="宋体"/>
          <w:b/>
          <w:sz w:val="24"/>
        </w:rPr>
      </w:pPr>
      <w:r>
        <w:rPr>
          <w:rFonts w:hint="eastAsia" w:ascii="宋体" w:hAnsi="宋体" w:cs="宋体"/>
          <w:b/>
          <w:sz w:val="24"/>
        </w:rPr>
        <w:t>三、评标程序</w:t>
      </w:r>
    </w:p>
    <w:p w14:paraId="14D7F54E">
      <w:pPr>
        <w:spacing w:line="420" w:lineRule="exact"/>
        <w:ind w:firstLine="482" w:firstLineChars="200"/>
        <w:rPr>
          <w:rFonts w:ascii="宋体" w:hAnsi="宋体" w:cs="宋体"/>
          <w:kern w:val="0"/>
          <w:sz w:val="24"/>
        </w:rPr>
      </w:pPr>
      <w:r>
        <w:rPr>
          <w:rFonts w:hint="eastAsia" w:ascii="宋体" w:hAnsi="宋体" w:cs="宋体"/>
          <w:b/>
          <w:kern w:val="0"/>
          <w:sz w:val="24"/>
        </w:rPr>
        <w:t>3.1符合性审查。</w:t>
      </w:r>
      <w:r>
        <w:rPr>
          <w:rFonts w:hint="eastAsia" w:ascii="宋体" w:hAnsi="宋体" w:cs="宋体"/>
          <w:kern w:val="0"/>
          <w:sz w:val="24"/>
        </w:rPr>
        <w:t>评标委员会应当对符合资格的投标人的投标文件进行符合性审查，以确定其是否满足招标文件的实质性要求。不满足招标文件的实质性要求的，投标无效。</w:t>
      </w:r>
    </w:p>
    <w:p w14:paraId="52972D63">
      <w:pPr>
        <w:spacing w:line="420" w:lineRule="exact"/>
        <w:ind w:firstLine="472" w:firstLineChars="196"/>
        <w:rPr>
          <w:rFonts w:ascii="宋体" w:hAnsi="宋体" w:cs="宋体"/>
          <w:kern w:val="0"/>
          <w:sz w:val="24"/>
        </w:rPr>
      </w:pPr>
      <w:r>
        <w:rPr>
          <w:rFonts w:hint="eastAsia" w:ascii="宋体" w:hAnsi="宋体" w:cs="宋体"/>
          <w:b/>
          <w:kern w:val="0"/>
          <w:sz w:val="24"/>
        </w:rPr>
        <w:t>3.2 比较与评价。</w:t>
      </w:r>
      <w:r>
        <w:rPr>
          <w:rFonts w:hint="eastAsia" w:ascii="宋体" w:hAnsi="宋体" w:cs="宋体"/>
          <w:kern w:val="0"/>
          <w:sz w:val="24"/>
        </w:rPr>
        <w:t>评标委员会应当按照招标文件中规定的评标方法和标准，对符合性审查合格的投标文件进行商务和技术评估，综合比较与评价。</w:t>
      </w:r>
    </w:p>
    <w:p w14:paraId="3C3E040E">
      <w:pPr>
        <w:spacing w:line="420" w:lineRule="exact"/>
        <w:ind w:firstLine="472" w:firstLineChars="196"/>
        <w:rPr>
          <w:rFonts w:ascii="宋体" w:hAnsi="宋体" w:cs="宋体"/>
          <w:kern w:val="0"/>
          <w:sz w:val="24"/>
        </w:rPr>
      </w:pPr>
      <w:r>
        <w:rPr>
          <w:rFonts w:hint="eastAsia" w:ascii="宋体" w:hAnsi="宋体" w:cs="宋体"/>
          <w:b/>
          <w:kern w:val="0"/>
          <w:sz w:val="24"/>
        </w:rPr>
        <w:t>3.3汇总商务技术得分。</w:t>
      </w:r>
      <w:r>
        <w:rPr>
          <w:rFonts w:hint="eastAsia" w:ascii="宋体" w:hAnsi="宋体" w:cs="宋体"/>
          <w:kern w:val="0"/>
          <w:sz w:val="24"/>
        </w:rPr>
        <w:t>评标委员会各成员应当独立对每个投标人的商务和技术文件进行评价，并汇总商务技术得分情况。</w:t>
      </w:r>
    </w:p>
    <w:p w14:paraId="0792AFFD">
      <w:pPr>
        <w:spacing w:line="420" w:lineRule="exact"/>
        <w:ind w:firstLine="472" w:firstLineChars="196"/>
        <w:rPr>
          <w:rFonts w:ascii="宋体" w:hAnsi="宋体" w:cs="宋体"/>
          <w:b/>
          <w:kern w:val="0"/>
          <w:sz w:val="24"/>
        </w:rPr>
      </w:pPr>
      <w:r>
        <w:rPr>
          <w:rFonts w:hint="eastAsia" w:ascii="宋体" w:hAnsi="宋体" w:cs="宋体"/>
          <w:b/>
          <w:kern w:val="0"/>
          <w:sz w:val="24"/>
        </w:rPr>
        <w:t>3.4报价评审。</w:t>
      </w:r>
    </w:p>
    <w:p w14:paraId="57991635">
      <w:pPr>
        <w:pStyle w:val="167"/>
        <w:spacing w:before="0" w:line="420" w:lineRule="exact"/>
        <w:ind w:firstLine="508" w:firstLineChars="212"/>
        <w:rPr>
          <w:rFonts w:ascii="宋体" w:hAnsi="宋体" w:cs="宋体"/>
          <w:kern w:val="0"/>
          <w:szCs w:val="24"/>
        </w:rPr>
      </w:pPr>
      <w:r>
        <w:rPr>
          <w:rFonts w:hint="eastAsia" w:ascii="宋体" w:hAnsi="宋体" w:cs="宋体"/>
          <w:kern w:val="0"/>
          <w:szCs w:val="24"/>
        </w:rPr>
        <w:t>3.4.1投标文件报价出现前后不一致的，按照下列规定修正：</w:t>
      </w:r>
    </w:p>
    <w:p w14:paraId="0F9695D6">
      <w:pPr>
        <w:pStyle w:val="167"/>
        <w:spacing w:before="0" w:line="420" w:lineRule="exact"/>
        <w:ind w:firstLine="480"/>
        <w:rPr>
          <w:rFonts w:ascii="宋体" w:hAnsi="宋体" w:cs="宋体"/>
          <w:kern w:val="0"/>
          <w:szCs w:val="24"/>
        </w:rPr>
      </w:pPr>
      <w:r>
        <w:rPr>
          <w:rFonts w:hint="eastAsia" w:ascii="宋体" w:hAnsi="宋体" w:cs="宋体"/>
          <w:kern w:val="0"/>
          <w:szCs w:val="24"/>
        </w:rPr>
        <w:t>3.4.1.1投标文件中开标一览表(报价表)内容与投标文件中相应内容不一致的，以开标一览表(报价表)为准;</w:t>
      </w:r>
    </w:p>
    <w:p w14:paraId="7647FDED">
      <w:pPr>
        <w:pStyle w:val="167"/>
        <w:spacing w:before="0" w:line="420" w:lineRule="exact"/>
        <w:ind w:firstLine="480"/>
        <w:rPr>
          <w:rFonts w:ascii="宋体" w:hAnsi="宋体" w:cs="宋体"/>
          <w:kern w:val="0"/>
          <w:szCs w:val="24"/>
        </w:rPr>
      </w:pPr>
      <w:r>
        <w:rPr>
          <w:rFonts w:hint="eastAsia" w:ascii="宋体" w:hAnsi="宋体" w:cs="宋体"/>
          <w:kern w:val="0"/>
          <w:szCs w:val="24"/>
        </w:rPr>
        <w:t>3.4.1.2大写金额和小写金额不一致的，以大写金额为准;</w:t>
      </w:r>
    </w:p>
    <w:p w14:paraId="3E2013E9">
      <w:pPr>
        <w:pStyle w:val="167"/>
        <w:spacing w:before="0" w:line="420" w:lineRule="exact"/>
        <w:ind w:firstLine="480"/>
        <w:rPr>
          <w:rFonts w:ascii="宋体" w:hAnsi="宋体" w:cs="宋体"/>
          <w:kern w:val="0"/>
          <w:szCs w:val="24"/>
        </w:rPr>
      </w:pPr>
      <w:r>
        <w:rPr>
          <w:rFonts w:hint="eastAsia" w:ascii="宋体" w:hAnsi="宋体" w:cs="宋体"/>
          <w:kern w:val="0"/>
          <w:szCs w:val="24"/>
        </w:rPr>
        <w:t>3.4.1.3单价金额小数点或者百分比有明显错位的，以开标一览表的总价为准，并修改单价;</w:t>
      </w:r>
    </w:p>
    <w:p w14:paraId="04E450D6">
      <w:pPr>
        <w:pStyle w:val="167"/>
        <w:spacing w:before="0" w:line="420" w:lineRule="exact"/>
        <w:ind w:firstLine="480"/>
        <w:rPr>
          <w:rFonts w:ascii="宋体" w:hAnsi="宋体" w:cs="宋体"/>
          <w:kern w:val="0"/>
          <w:szCs w:val="24"/>
        </w:rPr>
      </w:pPr>
      <w:r>
        <w:rPr>
          <w:rFonts w:hint="eastAsia" w:ascii="宋体" w:hAnsi="宋体" w:cs="宋体"/>
          <w:kern w:val="0"/>
          <w:szCs w:val="24"/>
        </w:rPr>
        <w:t>3.4.1.4总价金额与按单价汇总金额不一致的，以单价金额计算结果为准。</w:t>
      </w:r>
    </w:p>
    <w:p w14:paraId="0391D814">
      <w:pPr>
        <w:pStyle w:val="167"/>
        <w:spacing w:before="0" w:line="420" w:lineRule="exact"/>
        <w:ind w:firstLine="480"/>
        <w:rPr>
          <w:rFonts w:ascii="宋体" w:hAnsi="宋体" w:cs="宋体"/>
          <w:kern w:val="0"/>
          <w:szCs w:val="24"/>
        </w:rPr>
      </w:pPr>
      <w:r>
        <w:rPr>
          <w:rFonts w:hint="eastAsia" w:ascii="宋体" w:hAnsi="宋体" w:cs="宋体"/>
          <w:kern w:val="0"/>
          <w:szCs w:val="24"/>
        </w:rPr>
        <w:t>3.4.1.5同时出现两种以上不一致的，按照3.4.1规定的顺序修正。修正后的报价按照《政府采购货物和服务招标投标管理办法》（财政部令第87号）第五十一条第二款的规定经投标人确认后产生约束力。</w:t>
      </w:r>
    </w:p>
    <w:p w14:paraId="704281E0">
      <w:pPr>
        <w:snapToGrid w:val="0"/>
        <w:spacing w:line="420" w:lineRule="exact"/>
        <w:ind w:firstLine="480" w:firstLineChars="200"/>
        <w:jc w:val="left"/>
        <w:rPr>
          <w:rFonts w:ascii="宋体" w:hAnsi="宋体" w:cs="宋体"/>
          <w:kern w:val="0"/>
          <w:sz w:val="24"/>
        </w:rPr>
      </w:pPr>
      <w:r>
        <w:rPr>
          <w:rFonts w:hint="eastAsia" w:ascii="宋体" w:hAnsi="宋体" w:cs="宋体"/>
          <w:kern w:val="0"/>
          <w:sz w:val="24"/>
        </w:rPr>
        <w:t>3.4.2投标文件出现不是唯一的、有选择性投标报价的，投标无效。</w:t>
      </w:r>
    </w:p>
    <w:p w14:paraId="0504691A">
      <w:pPr>
        <w:snapToGrid w:val="0"/>
        <w:spacing w:line="420" w:lineRule="exact"/>
        <w:ind w:firstLine="480" w:firstLineChars="200"/>
        <w:jc w:val="left"/>
        <w:rPr>
          <w:rFonts w:ascii="宋体" w:hAnsi="宋体" w:cs="宋体"/>
          <w:kern w:val="0"/>
          <w:sz w:val="24"/>
        </w:rPr>
      </w:pPr>
      <w:r>
        <w:rPr>
          <w:rFonts w:hint="eastAsia" w:ascii="宋体" w:hAnsi="宋体" w:cs="宋体"/>
          <w:kern w:val="0"/>
          <w:sz w:val="24"/>
        </w:rPr>
        <w:t>3.4.3投标报价超过招标文件中规定的预算金额或者最高限价的，投标无效。</w:t>
      </w:r>
    </w:p>
    <w:p w14:paraId="22016C1C">
      <w:pPr>
        <w:pStyle w:val="167"/>
        <w:spacing w:before="0" w:line="420" w:lineRule="exact"/>
        <w:ind w:firstLine="482"/>
        <w:rPr>
          <w:rFonts w:ascii="宋体" w:hAnsi="宋体" w:cs="宋体"/>
          <w:b/>
          <w:bCs/>
          <w:kern w:val="0"/>
          <w:szCs w:val="24"/>
        </w:rPr>
      </w:pPr>
      <w:r>
        <w:rPr>
          <w:rFonts w:hint="eastAsia" w:ascii="宋体" w:hAnsi="宋体" w:cs="宋体"/>
          <w:b/>
          <w:bCs/>
          <w:kern w:val="0"/>
          <w:szCs w:val="24"/>
        </w:rPr>
        <w:t>3.4.4投标文件“商务技术（资信）文件资料”部分中出现《开标一览表》相关内容的，投标无效。</w:t>
      </w:r>
    </w:p>
    <w:p w14:paraId="35982E78">
      <w:pPr>
        <w:pStyle w:val="167"/>
        <w:spacing w:before="0" w:line="420" w:lineRule="exact"/>
        <w:ind w:firstLine="480"/>
        <w:rPr>
          <w:rFonts w:ascii="宋体" w:hAnsi="宋体" w:cs="宋体"/>
          <w:kern w:val="0"/>
          <w:szCs w:val="24"/>
        </w:rPr>
      </w:pPr>
      <w:r>
        <w:rPr>
          <w:rFonts w:hint="eastAsia" w:ascii="宋体" w:hAnsi="宋体" w:cs="宋体"/>
          <w:kern w:val="0"/>
          <w:szCs w:val="24"/>
        </w:rPr>
        <w:t>3.4.5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543373C9">
      <w:pPr>
        <w:spacing w:line="420" w:lineRule="exact"/>
        <w:ind w:firstLine="482" w:firstLineChars="200"/>
        <w:rPr>
          <w:rFonts w:ascii="宋体" w:hAnsi="宋体" w:cs="宋体"/>
          <w:b/>
          <w:bCs/>
          <w:kern w:val="0"/>
          <w:sz w:val="24"/>
        </w:rPr>
      </w:pPr>
      <w:r>
        <w:rPr>
          <w:rFonts w:hint="eastAsia" w:ascii="宋体" w:hAnsi="宋体" w:cs="宋体"/>
          <w:b/>
          <w:bCs/>
          <w:kern w:val="0"/>
          <w:sz w:val="24"/>
        </w:rPr>
        <w:t>评审中出现下列情形之一的，评标委员会应当启动异常低价投标审查程序：</w:t>
      </w:r>
    </w:p>
    <w:p w14:paraId="15F574D3">
      <w:pPr>
        <w:spacing w:line="420" w:lineRule="exact"/>
        <w:ind w:firstLine="482" w:firstLineChars="200"/>
        <w:rPr>
          <w:rFonts w:ascii="宋体" w:hAnsi="宋体" w:cs="宋体"/>
          <w:b/>
          <w:bCs/>
          <w:kern w:val="0"/>
          <w:sz w:val="24"/>
        </w:rPr>
      </w:pPr>
      <w:r>
        <w:rPr>
          <w:rFonts w:hint="eastAsia" w:ascii="宋体" w:hAnsi="宋体" w:cs="宋体"/>
          <w:b/>
          <w:bCs/>
          <w:kern w:val="0"/>
          <w:sz w:val="24"/>
        </w:rPr>
        <w:t>（一）投标报价低于全部通过符合性审查供应商投标报价平均值50%的，即投标报价&lt;全部通过符合性审查供应商投标报价平均值×50%；</w:t>
      </w:r>
    </w:p>
    <w:p w14:paraId="46C4F56B">
      <w:pPr>
        <w:spacing w:line="420" w:lineRule="exact"/>
        <w:ind w:firstLine="482" w:firstLineChars="200"/>
        <w:rPr>
          <w:rFonts w:ascii="宋体" w:hAnsi="宋体" w:cs="宋体"/>
          <w:b/>
          <w:bCs/>
          <w:kern w:val="0"/>
          <w:sz w:val="24"/>
        </w:rPr>
      </w:pPr>
      <w:r>
        <w:rPr>
          <w:rFonts w:hint="eastAsia" w:ascii="宋体" w:hAnsi="宋体" w:cs="宋体"/>
          <w:b/>
          <w:bCs/>
          <w:kern w:val="0"/>
          <w:sz w:val="24"/>
        </w:rPr>
        <w:t>（二）投标报价低于通过符合性审查且报价次低供应商投标报价50%的，即投标报价&lt;通过符合性审查且报价次低供应商投标报价×50%；</w:t>
      </w:r>
    </w:p>
    <w:p w14:paraId="56998385">
      <w:pPr>
        <w:spacing w:line="420" w:lineRule="exact"/>
        <w:ind w:firstLine="482" w:firstLineChars="200"/>
        <w:rPr>
          <w:rFonts w:ascii="宋体" w:hAnsi="宋体" w:cs="宋体"/>
          <w:b/>
          <w:bCs/>
          <w:kern w:val="0"/>
          <w:sz w:val="24"/>
        </w:rPr>
      </w:pPr>
      <w:r>
        <w:rPr>
          <w:rFonts w:hint="eastAsia" w:ascii="宋体" w:hAnsi="宋体" w:cs="宋体"/>
          <w:b/>
          <w:bCs/>
          <w:kern w:val="0"/>
          <w:sz w:val="24"/>
        </w:rPr>
        <w:t>（三）投标报价低于采购项目最高限价45%的，即投标报价&lt;采购项目最高限价×45%；</w:t>
      </w:r>
    </w:p>
    <w:p w14:paraId="1069C37E">
      <w:pPr>
        <w:spacing w:line="420" w:lineRule="exact"/>
        <w:ind w:firstLine="482" w:firstLineChars="200"/>
        <w:rPr>
          <w:rFonts w:ascii="宋体" w:hAnsi="宋体" w:cs="宋体"/>
          <w:b/>
          <w:bCs/>
          <w:kern w:val="0"/>
          <w:sz w:val="24"/>
        </w:rPr>
      </w:pPr>
      <w:r>
        <w:rPr>
          <w:rFonts w:hint="eastAsia" w:ascii="宋体" w:hAnsi="宋体" w:cs="宋体"/>
          <w:b/>
          <w:bCs/>
          <w:kern w:val="0"/>
          <w:sz w:val="24"/>
        </w:rPr>
        <w:t>（四）其他评标委员会认为供应商报价过低，有可能影响产品质量或者不能诚信履约的情形。</w:t>
      </w:r>
    </w:p>
    <w:p w14:paraId="349CCD4A">
      <w:pPr>
        <w:spacing w:line="420" w:lineRule="exact"/>
        <w:ind w:firstLine="482" w:firstLineChars="200"/>
        <w:rPr>
          <w:rFonts w:ascii="宋体" w:hAnsi="宋体" w:cs="宋体"/>
          <w:b/>
          <w:bCs/>
          <w:kern w:val="0"/>
          <w:sz w:val="24"/>
        </w:rPr>
      </w:pPr>
      <w:r>
        <w:rPr>
          <w:rFonts w:hint="eastAsia" w:ascii="宋体" w:hAnsi="宋体" w:cs="宋体"/>
          <w:b/>
          <w:bCs/>
          <w:kern w:val="0"/>
          <w:sz w:val="24"/>
        </w:rPr>
        <w:t>评标委员会启动异常低价投标审查后，应当要求相关供应商在评审现场合理的时间内提供书面说明及必要的证明材料，对投标价格作出解释。书面说明、证明材料主要是项目具体成本测算等与报价合理性相关的说明、材料。</w:t>
      </w:r>
    </w:p>
    <w:p w14:paraId="228B1FE1">
      <w:pPr>
        <w:spacing w:line="420" w:lineRule="exact"/>
        <w:ind w:firstLine="482" w:firstLineChars="200"/>
        <w:rPr>
          <w:rFonts w:ascii="宋体" w:hAnsi="宋体" w:cs="宋体"/>
          <w:kern w:val="0"/>
          <w:sz w:val="24"/>
        </w:rPr>
      </w:pPr>
      <w:r>
        <w:rPr>
          <w:rFonts w:hint="eastAsia" w:ascii="宋体" w:hAnsi="宋体" w:cs="宋体"/>
          <w:b/>
          <w:bCs/>
          <w:kern w:val="0"/>
          <w:sz w:val="24"/>
        </w:rPr>
        <w:t>评标委员会应当结合同类产品在主要电商平台的价格、该行业当地薪资水平等情况，依据专业经验对报价合理性进行判断。如果投标供应商不提供书面说明、证明材料，或者提供的书面说明、证明材料不能证明其报价合理性的，应当将其作为无效投标处理。审查相关情况应当在评标报告中记录。</w:t>
      </w:r>
    </w:p>
    <w:p w14:paraId="0C8FBB8A">
      <w:pPr>
        <w:pStyle w:val="167"/>
        <w:spacing w:before="0" w:line="420" w:lineRule="exact"/>
        <w:ind w:firstLine="480"/>
        <w:rPr>
          <w:rFonts w:ascii="宋体" w:hAnsi="宋体" w:cs="宋体"/>
          <w:kern w:val="0"/>
          <w:szCs w:val="24"/>
        </w:rPr>
      </w:pPr>
      <w:r>
        <w:rPr>
          <w:rFonts w:hint="eastAsia" w:ascii="宋体" w:hAnsi="宋体" w:cs="宋体"/>
          <w:kern w:val="0"/>
          <w:szCs w:val="24"/>
        </w:rPr>
        <w:t>3.4.6对于未预留份额专门面向中小企业的政府采购货物或服务项目，以及预留份额政府采购货物或服务项目中的非预留部分标项，对小型和微型企业的投标报价给予20%的扣除，用扣除后的价格参与评审。接受大中型企业与小微企业组成联合体或者允许大中型企业向一家或者多家小微企业分包的政府采购货物或服务项目，对于联合协议或者分包意向协议约定小微企业的合同份额占到合同总金额30%以上的，对联合体或者大中型企业的报价给予6%的扣除，用扣除后的价格参加评审。组成联合体或者接受分包的小微企业与联合体内其他企业、分包企业之间存在直接控股、管理关系的，不享受价格扣除优惠政策。</w:t>
      </w:r>
    </w:p>
    <w:p w14:paraId="626DE6A0">
      <w:pPr>
        <w:spacing w:line="420" w:lineRule="exact"/>
        <w:ind w:firstLine="482" w:firstLineChars="200"/>
        <w:rPr>
          <w:rFonts w:ascii="宋体" w:hAnsi="宋体" w:cs="宋体"/>
          <w:kern w:val="0"/>
          <w:sz w:val="24"/>
        </w:rPr>
      </w:pPr>
      <w:r>
        <w:rPr>
          <w:rFonts w:hint="eastAsia" w:ascii="宋体" w:hAnsi="宋体" w:cs="宋体"/>
          <w:b/>
          <w:kern w:val="0"/>
          <w:sz w:val="24"/>
        </w:rPr>
        <w:t>3.5排序与推荐。</w:t>
      </w:r>
      <w:r>
        <w:rPr>
          <w:rFonts w:hint="eastAsia" w:ascii="宋体" w:hAnsi="宋体" w:cs="宋体"/>
          <w:kern w:val="0"/>
          <w:sz w:val="24"/>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候选人。本项目只推荐评审综合得分最高的投标人为中标候选人。</w:t>
      </w:r>
    </w:p>
    <w:p w14:paraId="4CCD1007">
      <w:pPr>
        <w:spacing w:line="420" w:lineRule="exact"/>
        <w:ind w:firstLine="480" w:firstLineChars="200"/>
        <w:rPr>
          <w:rFonts w:ascii="宋体" w:hAnsi="宋体" w:cs="宋体"/>
          <w:b/>
          <w:kern w:val="0"/>
          <w:sz w:val="24"/>
        </w:rPr>
      </w:pPr>
      <w:r>
        <w:rPr>
          <w:rFonts w:hint="eastAsia" w:ascii="宋体" w:hAnsi="宋体" w:cs="宋体"/>
          <w:kern w:val="0"/>
          <w:sz w:val="24"/>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160F62E9">
      <w:pPr>
        <w:spacing w:line="420" w:lineRule="exact"/>
        <w:ind w:firstLine="472" w:firstLineChars="196"/>
        <w:rPr>
          <w:rFonts w:ascii="宋体" w:hAnsi="宋体" w:cs="宋体"/>
          <w:kern w:val="0"/>
          <w:sz w:val="24"/>
        </w:rPr>
      </w:pPr>
      <w:r>
        <w:rPr>
          <w:rFonts w:hint="eastAsia" w:ascii="宋体" w:hAnsi="宋体" w:cs="宋体"/>
          <w:b/>
          <w:kern w:val="0"/>
          <w:sz w:val="24"/>
        </w:rPr>
        <w:t>3.6编写评标报告。</w:t>
      </w:r>
      <w:r>
        <w:rPr>
          <w:rFonts w:hint="eastAsia" w:ascii="宋体" w:hAnsi="宋体" w:cs="宋体"/>
          <w:kern w:val="0"/>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732F47E2">
      <w:pPr>
        <w:widowControl/>
        <w:adjustRightInd/>
        <w:spacing w:line="420" w:lineRule="exact"/>
        <w:jc w:val="left"/>
        <w:rPr>
          <w:rFonts w:ascii="宋体" w:hAnsi="宋体" w:cs="宋体"/>
          <w:b/>
          <w:kern w:val="0"/>
          <w:sz w:val="24"/>
        </w:rPr>
      </w:pPr>
      <w:r>
        <w:rPr>
          <w:rFonts w:hint="eastAsia" w:ascii="宋体" w:hAnsi="宋体" w:cs="宋体"/>
          <w:b/>
          <w:kern w:val="0"/>
          <w:sz w:val="24"/>
        </w:rPr>
        <w:t>四、评标中的其他事项</w:t>
      </w:r>
    </w:p>
    <w:p w14:paraId="75C403B2">
      <w:pPr>
        <w:pStyle w:val="167"/>
        <w:spacing w:before="0" w:line="420" w:lineRule="exact"/>
        <w:ind w:firstLine="472" w:firstLineChars="196"/>
        <w:rPr>
          <w:rFonts w:ascii="宋体" w:hAnsi="宋体" w:cs="宋体"/>
          <w:kern w:val="0"/>
          <w:szCs w:val="24"/>
        </w:rPr>
      </w:pPr>
      <w:r>
        <w:rPr>
          <w:rFonts w:hint="eastAsia" w:ascii="宋体" w:hAnsi="宋体" w:cs="宋体"/>
          <w:b/>
          <w:kern w:val="0"/>
          <w:szCs w:val="24"/>
        </w:rPr>
        <w:t>4.1投标人澄清、说明或者补正。</w:t>
      </w:r>
      <w:r>
        <w:rPr>
          <w:rFonts w:hint="eastAsia" w:ascii="宋体" w:hAnsi="宋体" w:cs="宋体"/>
          <w:kern w:val="0"/>
          <w:szCs w:val="24"/>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1C18A1CD">
      <w:pPr>
        <w:pStyle w:val="26"/>
        <w:spacing w:line="420" w:lineRule="exact"/>
        <w:ind w:firstLine="482"/>
        <w:rPr>
          <w:rFonts w:cs="宋体"/>
        </w:rPr>
      </w:pPr>
      <w:r>
        <w:rPr>
          <w:rFonts w:hint="eastAsia" w:cs="宋体"/>
          <w:b/>
          <w:kern w:val="0"/>
        </w:rPr>
        <w:t>4.2投标无效。</w:t>
      </w:r>
      <w:r>
        <w:rPr>
          <w:rFonts w:hint="eastAsia" w:cs="宋体"/>
        </w:rPr>
        <w:t>有下列情况之一的，投标无效：</w:t>
      </w:r>
    </w:p>
    <w:p w14:paraId="484971A4">
      <w:pPr>
        <w:spacing w:line="420" w:lineRule="exact"/>
        <w:ind w:firstLine="480" w:firstLineChars="200"/>
        <w:rPr>
          <w:rFonts w:ascii="宋体" w:hAnsi="宋体" w:cs="宋体"/>
          <w:kern w:val="0"/>
          <w:sz w:val="24"/>
        </w:rPr>
      </w:pPr>
      <w:r>
        <w:rPr>
          <w:rFonts w:hint="eastAsia" w:ascii="宋体" w:hAnsi="宋体" w:cs="宋体"/>
          <w:kern w:val="0"/>
          <w:sz w:val="24"/>
        </w:rPr>
        <w:t>4.2.1投标人不具备招标文件中规定的资格要求的（投标人未提供有效的资格文件的，视为投标人不具备招标文件中规定的资格要求）；</w:t>
      </w:r>
    </w:p>
    <w:p w14:paraId="0FD0ABE7">
      <w:pPr>
        <w:spacing w:line="420" w:lineRule="exact"/>
        <w:ind w:firstLine="480" w:firstLineChars="200"/>
        <w:rPr>
          <w:rFonts w:ascii="宋体" w:hAnsi="宋体" w:cs="宋体"/>
          <w:kern w:val="0"/>
          <w:sz w:val="24"/>
        </w:rPr>
      </w:pPr>
      <w:r>
        <w:rPr>
          <w:rFonts w:hint="eastAsia" w:ascii="宋体" w:hAnsi="宋体" w:cs="宋体"/>
          <w:kern w:val="0"/>
          <w:sz w:val="24"/>
        </w:rPr>
        <w:t>4.2.2投标文件未按照招标文件要求签署、盖章的；</w:t>
      </w:r>
    </w:p>
    <w:p w14:paraId="76218CA4">
      <w:pPr>
        <w:spacing w:line="420" w:lineRule="exact"/>
        <w:ind w:firstLine="480" w:firstLineChars="200"/>
        <w:rPr>
          <w:rFonts w:ascii="宋体" w:hAnsi="宋体" w:cs="宋体"/>
          <w:kern w:val="0"/>
          <w:sz w:val="24"/>
        </w:rPr>
      </w:pPr>
      <w:r>
        <w:rPr>
          <w:rFonts w:hint="eastAsia" w:ascii="宋体" w:hAnsi="宋体" w:cs="宋体"/>
          <w:kern w:val="0"/>
          <w:sz w:val="24"/>
        </w:rPr>
        <w:t>4.2.3采购人拟采购的产品属于政府强制采购的节能产品品目清单范围的，投标人未按招标文件要求提供国家确定的认证机构出具的、处于有效期之内的节能产品认证证书的；</w:t>
      </w:r>
    </w:p>
    <w:p w14:paraId="0CAA3B1E">
      <w:pPr>
        <w:spacing w:line="420" w:lineRule="exact"/>
        <w:ind w:firstLine="480" w:firstLineChars="200"/>
        <w:rPr>
          <w:rFonts w:ascii="宋体" w:hAnsi="宋体" w:cs="宋体"/>
          <w:kern w:val="0"/>
          <w:sz w:val="24"/>
        </w:rPr>
      </w:pPr>
      <w:r>
        <w:rPr>
          <w:rFonts w:hint="eastAsia" w:ascii="宋体" w:hAnsi="宋体" w:cs="宋体"/>
          <w:kern w:val="0"/>
          <w:sz w:val="24"/>
        </w:rPr>
        <w:t>4.2.4投标文件含有采购人不能接受的附加条件的；</w:t>
      </w:r>
    </w:p>
    <w:p w14:paraId="46E31CD2">
      <w:pPr>
        <w:spacing w:line="420" w:lineRule="exact"/>
        <w:ind w:firstLine="480" w:firstLineChars="200"/>
        <w:rPr>
          <w:rFonts w:ascii="宋体" w:hAnsi="宋体" w:cs="宋体"/>
          <w:kern w:val="0"/>
          <w:sz w:val="24"/>
        </w:rPr>
      </w:pPr>
      <w:r>
        <w:rPr>
          <w:rFonts w:hint="eastAsia" w:ascii="宋体" w:hAnsi="宋体" w:cs="宋体"/>
          <w:kern w:val="0"/>
          <w:sz w:val="24"/>
        </w:rPr>
        <w:t>4.2.5投标文件中承诺的投标有效期少于招标文件中载明的投标有效期的；</w:t>
      </w:r>
    </w:p>
    <w:p w14:paraId="7371E3B0">
      <w:pPr>
        <w:snapToGrid w:val="0"/>
        <w:spacing w:line="420" w:lineRule="exact"/>
        <w:ind w:firstLine="120" w:firstLineChars="50"/>
        <w:jc w:val="left"/>
        <w:rPr>
          <w:rFonts w:ascii="宋体" w:hAnsi="宋体" w:cs="宋体"/>
          <w:kern w:val="0"/>
          <w:sz w:val="24"/>
        </w:rPr>
      </w:pPr>
      <w:r>
        <w:rPr>
          <w:rFonts w:hint="eastAsia" w:ascii="宋体" w:hAnsi="宋体" w:cs="宋体"/>
          <w:kern w:val="0"/>
          <w:sz w:val="24"/>
        </w:rPr>
        <w:t xml:space="preserve">   4.2.6投标文件出现不是唯一的、有选择性投标报价的;</w:t>
      </w:r>
    </w:p>
    <w:p w14:paraId="7105B74A">
      <w:pPr>
        <w:spacing w:line="420" w:lineRule="exact"/>
        <w:ind w:firstLine="480" w:firstLineChars="200"/>
        <w:rPr>
          <w:rFonts w:ascii="宋体" w:hAnsi="宋体" w:cs="宋体"/>
          <w:kern w:val="0"/>
          <w:sz w:val="24"/>
        </w:rPr>
      </w:pPr>
      <w:r>
        <w:rPr>
          <w:rFonts w:hint="eastAsia" w:ascii="宋体" w:hAnsi="宋体" w:cs="宋体"/>
          <w:kern w:val="0"/>
          <w:sz w:val="24"/>
        </w:rPr>
        <w:t>4.2.7投标报价超过招标文件中规定的预算金额或者最高限价的;</w:t>
      </w:r>
    </w:p>
    <w:p w14:paraId="5A691DAF">
      <w:pPr>
        <w:spacing w:line="420" w:lineRule="exact"/>
        <w:ind w:firstLine="480" w:firstLineChars="200"/>
        <w:rPr>
          <w:rFonts w:ascii="宋体" w:hAnsi="宋体" w:cs="宋体"/>
          <w:kern w:val="0"/>
          <w:sz w:val="24"/>
        </w:rPr>
      </w:pPr>
      <w:r>
        <w:rPr>
          <w:rFonts w:hint="eastAsia" w:ascii="宋体" w:hAnsi="宋体" w:cs="宋体"/>
          <w:kern w:val="0"/>
          <w:sz w:val="24"/>
        </w:rPr>
        <w:t>4.2.8报价明显低于其他通过符合性审查投标人的报价，有可能影响产品质量或者不能诚信履约的，未能按要求提供书面说明或者提交相关证明材料，不能证明其报价合理性的;</w:t>
      </w:r>
    </w:p>
    <w:p w14:paraId="71AF6C98">
      <w:pPr>
        <w:spacing w:line="420" w:lineRule="exact"/>
        <w:ind w:firstLine="480" w:firstLineChars="200"/>
        <w:rPr>
          <w:rFonts w:ascii="宋体" w:hAnsi="宋体" w:cs="宋体"/>
          <w:kern w:val="0"/>
          <w:sz w:val="24"/>
        </w:rPr>
      </w:pPr>
      <w:r>
        <w:rPr>
          <w:rFonts w:hint="eastAsia" w:ascii="宋体" w:hAnsi="宋体" w:cs="宋体"/>
          <w:kern w:val="0"/>
          <w:sz w:val="24"/>
        </w:rPr>
        <w:t>4.2.9投标人对根据修正原则修正后的报价不确认的；</w:t>
      </w:r>
    </w:p>
    <w:p w14:paraId="744B71C7">
      <w:pPr>
        <w:spacing w:line="420" w:lineRule="exact"/>
        <w:ind w:firstLine="480" w:firstLineChars="200"/>
        <w:rPr>
          <w:rFonts w:ascii="宋体" w:hAnsi="宋体" w:cs="宋体"/>
          <w:kern w:val="0"/>
          <w:sz w:val="24"/>
        </w:rPr>
      </w:pPr>
      <w:r>
        <w:rPr>
          <w:rFonts w:hint="eastAsia" w:ascii="宋体" w:hAnsi="宋体" w:cs="宋体"/>
          <w:kern w:val="0"/>
          <w:sz w:val="24"/>
        </w:rPr>
        <w:t>4.2.10投标人提供虚假材料投标的；</w:t>
      </w:r>
    </w:p>
    <w:p w14:paraId="7C731178">
      <w:pPr>
        <w:spacing w:line="420" w:lineRule="exact"/>
        <w:ind w:firstLine="240" w:firstLineChars="100"/>
        <w:rPr>
          <w:rFonts w:ascii="宋体" w:hAnsi="宋体" w:cs="宋体"/>
          <w:kern w:val="0"/>
          <w:sz w:val="24"/>
        </w:rPr>
      </w:pPr>
      <w:r>
        <w:rPr>
          <w:rFonts w:hint="eastAsia" w:ascii="宋体" w:hAnsi="宋体" w:cs="宋体"/>
          <w:kern w:val="0"/>
          <w:sz w:val="24"/>
        </w:rPr>
        <w:t xml:space="preserve">  4.2.11投标人有恶意串通、妨碍其他投标人的竞争行为、损害采购人或者其他投标人的合法权益情形的；</w:t>
      </w:r>
    </w:p>
    <w:p w14:paraId="2B76D75B">
      <w:pPr>
        <w:spacing w:line="420" w:lineRule="exact"/>
        <w:ind w:firstLine="480" w:firstLineChars="200"/>
        <w:rPr>
          <w:rFonts w:ascii="宋体" w:hAnsi="宋体" w:cs="宋体"/>
          <w:kern w:val="0"/>
          <w:sz w:val="24"/>
        </w:rPr>
      </w:pPr>
      <w:r>
        <w:rPr>
          <w:rFonts w:hint="eastAsia" w:ascii="宋体" w:hAnsi="宋体" w:cs="宋体"/>
          <w:kern w:val="0"/>
          <w:sz w:val="24"/>
        </w:rPr>
        <w:t>4.2.12投标人仅提交备份投标文件，没有在电子交易平台传输递交投标文件的，投标无效；</w:t>
      </w:r>
    </w:p>
    <w:p w14:paraId="7BCEF130">
      <w:pPr>
        <w:spacing w:line="420" w:lineRule="exact"/>
        <w:ind w:firstLine="480" w:firstLineChars="200"/>
        <w:rPr>
          <w:rFonts w:ascii="宋体" w:hAnsi="宋体" w:cs="宋体"/>
          <w:kern w:val="0"/>
          <w:sz w:val="24"/>
        </w:rPr>
      </w:pPr>
      <w:r>
        <w:rPr>
          <w:rFonts w:hint="eastAsia" w:ascii="宋体" w:hAnsi="宋体" w:cs="宋体"/>
          <w:kern w:val="0"/>
          <w:sz w:val="24"/>
        </w:rPr>
        <w:t>4.2.13 投标文件不满足招标文件的其它实质性要求的；</w:t>
      </w:r>
    </w:p>
    <w:p w14:paraId="1C67A61E">
      <w:pPr>
        <w:spacing w:line="420" w:lineRule="exact"/>
        <w:ind w:firstLine="480" w:firstLineChars="200"/>
        <w:rPr>
          <w:rFonts w:ascii="宋体" w:hAnsi="宋体" w:cs="宋体"/>
          <w:kern w:val="0"/>
          <w:sz w:val="24"/>
        </w:rPr>
      </w:pPr>
      <w:r>
        <w:rPr>
          <w:rFonts w:hint="eastAsia" w:ascii="宋体" w:hAnsi="宋体" w:cs="宋体"/>
          <w:kern w:val="0"/>
          <w:sz w:val="24"/>
        </w:rPr>
        <w:t>4.2.14法律、法规、规章（适用本市的）及省级以上规范性文件（适用本市的）规定的其他无效情形。</w:t>
      </w:r>
    </w:p>
    <w:p w14:paraId="4FC3A677">
      <w:pPr>
        <w:pStyle w:val="26"/>
        <w:snapToGrid w:val="0"/>
        <w:spacing w:line="420" w:lineRule="exact"/>
        <w:ind w:firstLine="472" w:firstLineChars="196"/>
        <w:rPr>
          <w:rFonts w:cs="宋体"/>
        </w:rPr>
      </w:pPr>
      <w:r>
        <w:rPr>
          <w:rFonts w:hint="eastAsia" w:cs="宋体"/>
          <w:b/>
        </w:rPr>
        <w:t>4.3.废标。</w:t>
      </w:r>
      <w:r>
        <w:rPr>
          <w:rFonts w:hint="eastAsia" w:cs="宋体"/>
        </w:rPr>
        <w:t>根据《中华人民共和国政府采购法》第三十六条之规定，在采购中，出现下列情形之一的，应予废标：</w:t>
      </w:r>
    </w:p>
    <w:p w14:paraId="2086FEED">
      <w:pPr>
        <w:pStyle w:val="26"/>
        <w:snapToGrid w:val="0"/>
        <w:spacing w:line="420" w:lineRule="exact"/>
        <w:rPr>
          <w:rFonts w:cs="宋体"/>
        </w:rPr>
      </w:pPr>
      <w:r>
        <w:rPr>
          <w:rFonts w:hint="eastAsia" w:cs="宋体"/>
        </w:rPr>
        <w:t>4.3.1符合专业条件的供应商或者对招标文件作实质响应的供应商不足3家的；</w:t>
      </w:r>
    </w:p>
    <w:p w14:paraId="22510E94">
      <w:pPr>
        <w:pStyle w:val="26"/>
        <w:snapToGrid w:val="0"/>
        <w:spacing w:line="420" w:lineRule="exact"/>
        <w:rPr>
          <w:rFonts w:cs="宋体"/>
        </w:rPr>
      </w:pPr>
      <w:r>
        <w:rPr>
          <w:rFonts w:hint="eastAsia" w:cs="宋体"/>
        </w:rPr>
        <w:t>4.3.2出现影响采购公正的违法、违规行为的；</w:t>
      </w:r>
    </w:p>
    <w:p w14:paraId="7EA101B6">
      <w:pPr>
        <w:pStyle w:val="26"/>
        <w:snapToGrid w:val="0"/>
        <w:spacing w:line="420" w:lineRule="exact"/>
        <w:rPr>
          <w:rFonts w:cs="宋体"/>
        </w:rPr>
      </w:pPr>
      <w:r>
        <w:rPr>
          <w:rFonts w:hint="eastAsia" w:cs="宋体"/>
        </w:rPr>
        <w:t>4.3.3投标人的报价均超过了采购预算，采购人不能支付的；</w:t>
      </w:r>
    </w:p>
    <w:p w14:paraId="4E9F5007">
      <w:pPr>
        <w:pStyle w:val="26"/>
        <w:snapToGrid w:val="0"/>
        <w:spacing w:line="420" w:lineRule="exact"/>
        <w:rPr>
          <w:rFonts w:cs="宋体"/>
        </w:rPr>
      </w:pPr>
      <w:r>
        <w:rPr>
          <w:rFonts w:hint="eastAsia" w:cs="宋体"/>
        </w:rPr>
        <w:t>4.3.4因重大变故，采购任务取消的。</w:t>
      </w:r>
    </w:p>
    <w:p w14:paraId="719B8867">
      <w:pPr>
        <w:pStyle w:val="26"/>
        <w:snapToGrid w:val="0"/>
        <w:spacing w:line="420" w:lineRule="exact"/>
        <w:rPr>
          <w:rFonts w:cs="宋体"/>
        </w:rPr>
      </w:pPr>
      <w:r>
        <w:rPr>
          <w:rFonts w:hint="eastAsia" w:cs="宋体"/>
        </w:rPr>
        <w:t>废标后，采购代理机构应当将废标理由通知所有投标人。</w:t>
      </w:r>
    </w:p>
    <w:p w14:paraId="100816F0">
      <w:pPr>
        <w:pStyle w:val="26"/>
        <w:snapToGrid w:val="0"/>
        <w:spacing w:line="420" w:lineRule="exact"/>
        <w:ind w:firstLine="482"/>
        <w:rPr>
          <w:rFonts w:cs="宋体"/>
        </w:rPr>
      </w:pPr>
      <w:r>
        <w:rPr>
          <w:rFonts w:hint="eastAsia" w:cs="宋体"/>
          <w:b/>
        </w:rPr>
        <w:t>4.4.修改招标文件，重新组织采购活动。</w:t>
      </w:r>
      <w:r>
        <w:rPr>
          <w:rFonts w:hint="eastAsia" w:cs="宋体"/>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66A26FBB">
      <w:pPr>
        <w:pStyle w:val="26"/>
        <w:snapToGrid w:val="0"/>
        <w:spacing w:line="420" w:lineRule="exact"/>
        <w:ind w:firstLine="482"/>
        <w:rPr>
          <w:rFonts w:cs="宋体"/>
        </w:rPr>
      </w:pPr>
      <w:r>
        <w:rPr>
          <w:rFonts w:hint="eastAsia" w:cs="宋体"/>
          <w:b/>
          <w:kern w:val="0"/>
        </w:rPr>
        <w:t>4.5.重新开展采购。</w:t>
      </w:r>
      <w:r>
        <w:rPr>
          <w:rFonts w:hint="eastAsia" w:cs="宋体"/>
        </w:rPr>
        <w:t>有政府采购法第七十一条、第七十二条规定的违法行为之一，影响或者可能影响中标、成交结果的，依照下列规定处理：</w:t>
      </w:r>
    </w:p>
    <w:p w14:paraId="7B66D52A">
      <w:pPr>
        <w:pStyle w:val="26"/>
        <w:snapToGrid w:val="0"/>
        <w:spacing w:line="420" w:lineRule="exact"/>
        <w:ind w:firstLine="600" w:firstLineChars="250"/>
        <w:rPr>
          <w:rFonts w:cs="宋体"/>
        </w:rPr>
      </w:pPr>
      <w:r>
        <w:rPr>
          <w:rFonts w:hint="eastAsia" w:cs="宋体"/>
        </w:rPr>
        <w:t>4.5.1未确定中标或者中标人的，终止本次政府采购活动，重新开展政府采购活动。</w:t>
      </w:r>
    </w:p>
    <w:p w14:paraId="647AEDF0">
      <w:pPr>
        <w:pStyle w:val="26"/>
        <w:snapToGrid w:val="0"/>
        <w:spacing w:line="420" w:lineRule="exact"/>
        <w:ind w:firstLine="600" w:firstLineChars="250"/>
        <w:rPr>
          <w:rFonts w:cs="宋体"/>
        </w:rPr>
      </w:pPr>
      <w:r>
        <w:rPr>
          <w:rFonts w:hint="eastAsia" w:cs="宋体"/>
        </w:rPr>
        <w:t>4.5.2已确定中标或者中标人但尚未签订政府采购合同的，中标或者成交结果无效，从合格的中标或者成交候选人中另行确定中标或者中标人；没有合格的中标或者成交候选人的，重新开展政府采购活动。</w:t>
      </w:r>
    </w:p>
    <w:p w14:paraId="16643686">
      <w:pPr>
        <w:pStyle w:val="26"/>
        <w:snapToGrid w:val="0"/>
        <w:spacing w:line="420" w:lineRule="exact"/>
        <w:ind w:firstLine="600" w:firstLineChars="250"/>
        <w:rPr>
          <w:rFonts w:cs="宋体"/>
        </w:rPr>
      </w:pPr>
      <w:r>
        <w:rPr>
          <w:rFonts w:hint="eastAsia" w:cs="宋体"/>
        </w:rPr>
        <w:t>4.5.3政府采购合同已签订但尚未履行的，撤销合同，从合格的中标或者成交候选人中另行确定中标或者中标人；没有合格的中标或者成交候选人的，重新开展政府采购活动。</w:t>
      </w:r>
    </w:p>
    <w:p w14:paraId="0B6BD591">
      <w:pPr>
        <w:pStyle w:val="26"/>
        <w:snapToGrid w:val="0"/>
        <w:spacing w:line="420" w:lineRule="exact"/>
        <w:rPr>
          <w:rFonts w:cs="宋体"/>
        </w:rPr>
      </w:pPr>
      <w:r>
        <w:rPr>
          <w:rFonts w:hint="eastAsia" w:cs="宋体"/>
        </w:rPr>
        <w:t>4.5.4政府采购合同已经履行，给采购人、供应商造成损失的，由责任人承担赔偿责任。</w:t>
      </w:r>
    </w:p>
    <w:p w14:paraId="18DA61C8">
      <w:pPr>
        <w:pStyle w:val="26"/>
        <w:snapToGrid w:val="0"/>
        <w:spacing w:line="420" w:lineRule="exact"/>
        <w:rPr>
          <w:rFonts w:cs="宋体"/>
        </w:rPr>
      </w:pPr>
      <w:r>
        <w:rPr>
          <w:rFonts w:hint="eastAsia" w:cs="宋体"/>
        </w:rPr>
        <w:t>4.5.5政府采购当事人有其他违反政府采购法或者政府采购法实施条例等法律法规规定的行为，经改正后仍然影响或者可能影响中标、成交结果或者依法被认定为中标、成交无效的，依照4.5.1-4.5.4规定处理。</w:t>
      </w:r>
      <w:bookmarkEnd w:id="24"/>
      <w:bookmarkStart w:id="402" w:name="_Toc86217003"/>
      <w:bookmarkStart w:id="403" w:name="第五部分"/>
    </w:p>
    <w:p w14:paraId="3637F5E8">
      <w:pPr>
        <w:adjustRightInd/>
        <w:spacing w:line="360" w:lineRule="auto"/>
        <w:jc w:val="center"/>
        <w:outlineLvl w:val="0"/>
        <w:rPr>
          <w:rFonts w:ascii="宋体" w:hAnsi="宋体" w:cs="宋体"/>
          <w:b/>
          <w:kern w:val="44"/>
          <w:sz w:val="36"/>
          <w:szCs w:val="36"/>
        </w:rPr>
      </w:pPr>
    </w:p>
    <w:p w14:paraId="34FA54E2">
      <w:pPr>
        <w:adjustRightInd/>
        <w:spacing w:line="360" w:lineRule="auto"/>
        <w:jc w:val="center"/>
        <w:outlineLvl w:val="0"/>
        <w:rPr>
          <w:rFonts w:ascii="宋体" w:hAnsi="宋体" w:cs="宋体"/>
          <w:b/>
          <w:kern w:val="44"/>
          <w:sz w:val="36"/>
          <w:szCs w:val="36"/>
        </w:rPr>
      </w:pPr>
    </w:p>
    <w:p w14:paraId="19569539">
      <w:pPr>
        <w:adjustRightInd/>
        <w:spacing w:line="360" w:lineRule="auto"/>
        <w:jc w:val="center"/>
        <w:outlineLvl w:val="0"/>
        <w:rPr>
          <w:rFonts w:ascii="宋体" w:hAnsi="宋体" w:cs="宋体"/>
          <w:b/>
          <w:kern w:val="44"/>
          <w:sz w:val="36"/>
          <w:szCs w:val="36"/>
        </w:rPr>
      </w:pPr>
    </w:p>
    <w:p w14:paraId="76AF734B">
      <w:pPr>
        <w:adjustRightInd/>
        <w:spacing w:line="360" w:lineRule="auto"/>
        <w:outlineLvl w:val="0"/>
        <w:rPr>
          <w:rFonts w:ascii="宋体" w:hAnsi="宋体" w:cs="宋体"/>
          <w:b/>
          <w:kern w:val="44"/>
          <w:sz w:val="36"/>
          <w:szCs w:val="36"/>
        </w:rPr>
      </w:pPr>
    </w:p>
    <w:p w14:paraId="51825AC9">
      <w:pPr>
        <w:adjustRightInd/>
        <w:spacing w:line="360" w:lineRule="auto"/>
        <w:jc w:val="center"/>
        <w:outlineLvl w:val="0"/>
        <w:rPr>
          <w:rFonts w:ascii="宋体" w:hAnsi="宋体" w:cs="宋体"/>
          <w:b/>
          <w:kern w:val="44"/>
          <w:sz w:val="36"/>
          <w:szCs w:val="36"/>
        </w:rPr>
      </w:pPr>
    </w:p>
    <w:p w14:paraId="57283347">
      <w:pPr>
        <w:adjustRightInd/>
        <w:spacing w:line="360" w:lineRule="auto"/>
        <w:jc w:val="center"/>
        <w:outlineLvl w:val="0"/>
        <w:rPr>
          <w:rFonts w:hint="eastAsia" w:ascii="宋体" w:hAnsi="宋体" w:eastAsia="宋体" w:cs="宋体"/>
          <w:b/>
          <w:color w:val="auto"/>
          <w:kern w:val="44"/>
          <w:sz w:val="36"/>
          <w:szCs w:val="36"/>
          <w:lang w:val="en-US" w:eastAsia="zh-CN" w:bidi="ar-SA"/>
        </w:rPr>
      </w:pPr>
    </w:p>
    <w:p w14:paraId="703FD5A3">
      <w:pPr>
        <w:adjustRightInd/>
        <w:spacing w:line="360" w:lineRule="auto"/>
        <w:jc w:val="center"/>
        <w:outlineLvl w:val="0"/>
        <w:rPr>
          <w:rFonts w:hint="eastAsia" w:ascii="宋体" w:hAnsi="宋体" w:eastAsia="宋体" w:cs="宋体"/>
          <w:b/>
          <w:color w:val="auto"/>
          <w:kern w:val="44"/>
          <w:sz w:val="36"/>
          <w:szCs w:val="36"/>
          <w:lang w:val="en-US" w:eastAsia="zh-CN" w:bidi="ar-SA"/>
        </w:rPr>
      </w:pPr>
    </w:p>
    <w:p w14:paraId="2B997B3C">
      <w:pPr>
        <w:adjustRightInd/>
        <w:spacing w:line="360" w:lineRule="auto"/>
        <w:jc w:val="center"/>
        <w:outlineLvl w:val="0"/>
        <w:rPr>
          <w:rFonts w:hint="eastAsia" w:ascii="宋体" w:hAnsi="宋体" w:eastAsia="宋体" w:cs="宋体"/>
          <w:b/>
          <w:color w:val="auto"/>
          <w:kern w:val="44"/>
          <w:sz w:val="36"/>
          <w:szCs w:val="36"/>
          <w:lang w:val="en-US" w:eastAsia="zh-CN" w:bidi="ar-SA"/>
        </w:rPr>
      </w:pPr>
      <w:r>
        <w:rPr>
          <w:rFonts w:hint="eastAsia" w:ascii="宋体" w:hAnsi="宋体" w:eastAsia="宋体" w:cs="宋体"/>
          <w:b/>
          <w:color w:val="auto"/>
          <w:kern w:val="44"/>
          <w:sz w:val="36"/>
          <w:szCs w:val="36"/>
          <w:lang w:val="en-US" w:eastAsia="zh-CN" w:bidi="ar-SA"/>
        </w:rPr>
        <w:t>第五部分 拟签订的合同文本</w:t>
      </w:r>
    </w:p>
    <w:p w14:paraId="059C6190">
      <w:pPr>
        <w:rPr>
          <w:rFonts w:hint="eastAsia" w:ascii="宋体" w:hAnsi="宋体" w:eastAsia="宋体" w:cs="宋体"/>
          <w:sz w:val="24"/>
        </w:rPr>
      </w:pPr>
    </w:p>
    <w:p w14:paraId="412A938D">
      <w:pPr>
        <w:ind w:firstLine="960" w:firstLineChars="400"/>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w:t>
      </w:r>
    </w:p>
    <w:p w14:paraId="0FB2E63B">
      <w:pPr>
        <w:spacing w:line="480" w:lineRule="auto"/>
        <w:jc w:val="both"/>
        <w:rPr>
          <w:rFonts w:hint="eastAsia" w:ascii="宋体" w:hAnsi="宋体" w:eastAsia="宋体" w:cs="宋体"/>
          <w:b/>
          <w:sz w:val="36"/>
          <w:szCs w:val="36"/>
        </w:rPr>
      </w:pPr>
    </w:p>
    <w:p w14:paraId="4630732B">
      <w:pPr>
        <w:pStyle w:val="23"/>
        <w:rPr>
          <w:rFonts w:hint="eastAsia" w:ascii="宋体" w:hAnsi="宋体" w:eastAsia="宋体" w:cs="宋体"/>
        </w:rPr>
      </w:pPr>
    </w:p>
    <w:p w14:paraId="5A94E85B">
      <w:pPr>
        <w:pStyle w:val="713"/>
        <w:ind w:left="0" w:leftChars="0" w:firstLine="0" w:firstLineChars="0"/>
        <w:jc w:val="center"/>
        <w:rPr>
          <w:rFonts w:hint="eastAsia" w:ascii="宋体" w:hAnsi="宋体" w:eastAsia="宋体" w:cs="宋体"/>
          <w:b/>
          <w:szCs w:val="24"/>
        </w:rPr>
      </w:pPr>
      <w:r>
        <w:rPr>
          <w:rFonts w:hint="eastAsia" w:ascii="宋体" w:hAnsi="宋体" w:eastAsia="宋体" w:cs="宋体"/>
          <w:b/>
          <w:szCs w:val="24"/>
        </w:rPr>
        <w:t>通用合同书</w:t>
      </w:r>
    </w:p>
    <w:p w14:paraId="72E79055">
      <w:pPr>
        <w:pStyle w:val="26"/>
        <w:ind w:left="0" w:leftChars="0" w:firstLine="0" w:firstLineChars="0"/>
        <w:rPr>
          <w:rFonts w:hint="eastAsia" w:ascii="宋体" w:hAnsi="宋体" w:eastAsia="宋体" w:cs="宋体"/>
        </w:rPr>
      </w:pPr>
    </w:p>
    <w:p w14:paraId="59092413">
      <w:pPr>
        <w:spacing w:before="120" w:line="22" w:lineRule="atLeast"/>
        <w:rPr>
          <w:rFonts w:hint="eastAsia" w:ascii="宋体" w:hAnsi="宋体" w:eastAsia="宋体" w:cs="宋体"/>
          <w:sz w:val="24"/>
        </w:rPr>
      </w:pPr>
    </w:p>
    <w:p w14:paraId="67720B2A">
      <w:pPr>
        <w:keepNext w:val="0"/>
        <w:keepLines w:val="0"/>
        <w:pageBreakBefore w:val="0"/>
        <w:widowControl w:val="0"/>
        <w:kinsoku/>
        <w:wordWrap/>
        <w:overflowPunct/>
        <w:topLinePunct w:val="0"/>
        <w:autoSpaceDE/>
        <w:autoSpaceDN/>
        <w:bidi w:val="0"/>
        <w:adjustRightInd w:val="0"/>
        <w:snapToGrid/>
        <w:spacing w:before="120" w:line="22" w:lineRule="atLeast"/>
        <w:ind w:firstLine="1920" w:firstLineChars="800"/>
        <w:textAlignment w:val="auto"/>
        <w:rPr>
          <w:rFonts w:hint="eastAsia" w:ascii="宋体" w:hAnsi="宋体" w:eastAsia="宋体" w:cs="宋体"/>
          <w:sz w:val="24"/>
        </w:rPr>
      </w:pPr>
      <w:r>
        <w:rPr>
          <w:rFonts w:hint="eastAsia" w:ascii="宋体" w:hAnsi="宋体" w:eastAsia="宋体" w:cs="宋体"/>
          <w:sz w:val="24"/>
        </w:rPr>
        <w:t>项目名称：</w:t>
      </w:r>
      <w:r>
        <w:rPr>
          <w:rFonts w:hint="eastAsia" w:ascii="宋体" w:hAnsi="宋体" w:eastAsia="宋体" w:cs="宋体"/>
          <w:sz w:val="24"/>
          <w:u w:val="single"/>
        </w:rPr>
        <w:t xml:space="preserve">                                   </w:t>
      </w:r>
    </w:p>
    <w:p w14:paraId="17976781">
      <w:pPr>
        <w:keepNext w:val="0"/>
        <w:keepLines w:val="0"/>
        <w:pageBreakBefore w:val="0"/>
        <w:widowControl w:val="0"/>
        <w:kinsoku/>
        <w:wordWrap/>
        <w:overflowPunct/>
        <w:topLinePunct w:val="0"/>
        <w:autoSpaceDE/>
        <w:autoSpaceDN/>
        <w:bidi w:val="0"/>
        <w:adjustRightInd w:val="0"/>
        <w:snapToGrid/>
        <w:ind w:firstLine="1560" w:firstLineChars="650"/>
        <w:textAlignment w:val="auto"/>
        <w:rPr>
          <w:rFonts w:hint="eastAsia" w:ascii="宋体" w:hAnsi="宋体" w:eastAsia="宋体" w:cs="宋体"/>
          <w:sz w:val="24"/>
        </w:rPr>
      </w:pPr>
    </w:p>
    <w:p w14:paraId="57B4437C">
      <w:pPr>
        <w:keepNext w:val="0"/>
        <w:keepLines w:val="0"/>
        <w:pageBreakBefore w:val="0"/>
        <w:widowControl w:val="0"/>
        <w:kinsoku/>
        <w:wordWrap/>
        <w:overflowPunct/>
        <w:topLinePunct w:val="0"/>
        <w:autoSpaceDE/>
        <w:autoSpaceDN/>
        <w:bidi w:val="0"/>
        <w:adjustRightInd w:val="0"/>
        <w:snapToGrid/>
        <w:spacing w:before="120" w:line="22" w:lineRule="atLeast"/>
        <w:ind w:firstLine="1920" w:firstLineChars="800"/>
        <w:textAlignment w:val="auto"/>
        <w:rPr>
          <w:rFonts w:hint="eastAsia" w:ascii="宋体" w:hAnsi="宋体" w:eastAsia="宋体" w:cs="宋体"/>
          <w:sz w:val="24"/>
          <w:u w:val="single"/>
        </w:rPr>
      </w:pPr>
      <w:r>
        <w:rPr>
          <w:rFonts w:hint="eastAsia" w:ascii="宋体" w:hAnsi="宋体" w:eastAsia="宋体" w:cs="宋体"/>
          <w:sz w:val="24"/>
        </w:rPr>
        <w:t>甲</w:t>
      </w:r>
      <w:r>
        <w:rPr>
          <w:rFonts w:hint="eastAsia" w:ascii="宋体" w:hAnsi="宋体" w:eastAsia="宋体" w:cs="宋体"/>
          <w:sz w:val="24"/>
          <w:lang w:val="en-US" w:eastAsia="zh-CN"/>
        </w:rPr>
        <w:t xml:space="preserve">    </w:t>
      </w:r>
      <w:r>
        <w:rPr>
          <w:rFonts w:hint="eastAsia" w:ascii="宋体" w:hAnsi="宋体" w:eastAsia="宋体" w:cs="宋体"/>
          <w:sz w:val="24"/>
        </w:rPr>
        <w:t>方：</w:t>
      </w:r>
      <w:r>
        <w:rPr>
          <w:rFonts w:hint="eastAsia" w:ascii="宋体" w:hAnsi="宋体" w:eastAsia="宋体" w:cs="宋体"/>
          <w:sz w:val="24"/>
          <w:u w:val="single"/>
        </w:rPr>
        <w:t xml:space="preserve">                                       </w:t>
      </w:r>
    </w:p>
    <w:p w14:paraId="309E748D">
      <w:pPr>
        <w:keepNext w:val="0"/>
        <w:keepLines w:val="0"/>
        <w:pageBreakBefore w:val="0"/>
        <w:widowControl w:val="0"/>
        <w:kinsoku/>
        <w:wordWrap/>
        <w:overflowPunct/>
        <w:topLinePunct w:val="0"/>
        <w:autoSpaceDE/>
        <w:autoSpaceDN/>
        <w:bidi w:val="0"/>
        <w:adjustRightInd w:val="0"/>
        <w:snapToGrid/>
        <w:spacing w:before="120" w:line="22" w:lineRule="atLeast"/>
        <w:ind w:firstLine="1560" w:firstLineChars="650"/>
        <w:textAlignment w:val="auto"/>
        <w:rPr>
          <w:rFonts w:hint="eastAsia" w:ascii="宋体" w:hAnsi="宋体" w:eastAsia="宋体" w:cs="宋体"/>
          <w:sz w:val="24"/>
        </w:rPr>
      </w:pPr>
    </w:p>
    <w:p w14:paraId="5B10E5AB">
      <w:pPr>
        <w:keepNext w:val="0"/>
        <w:keepLines w:val="0"/>
        <w:pageBreakBefore w:val="0"/>
        <w:widowControl w:val="0"/>
        <w:kinsoku/>
        <w:wordWrap/>
        <w:overflowPunct/>
        <w:topLinePunct w:val="0"/>
        <w:autoSpaceDE/>
        <w:autoSpaceDN/>
        <w:bidi w:val="0"/>
        <w:adjustRightInd w:val="0"/>
        <w:snapToGrid/>
        <w:spacing w:before="120" w:line="22" w:lineRule="atLeast"/>
        <w:ind w:firstLine="1920" w:firstLineChars="800"/>
        <w:textAlignment w:val="auto"/>
        <w:rPr>
          <w:rFonts w:hint="eastAsia" w:ascii="宋体" w:hAnsi="宋体" w:eastAsia="宋体" w:cs="宋体"/>
          <w:sz w:val="24"/>
          <w:u w:val="single"/>
        </w:rPr>
      </w:pPr>
      <w:r>
        <w:rPr>
          <w:rFonts w:hint="eastAsia" w:ascii="宋体" w:hAnsi="宋体" w:eastAsia="宋体" w:cs="宋体"/>
          <w:sz w:val="24"/>
        </w:rPr>
        <w:t>乙</w:t>
      </w:r>
      <w:r>
        <w:rPr>
          <w:rFonts w:hint="eastAsia" w:ascii="宋体" w:hAnsi="宋体" w:eastAsia="宋体" w:cs="宋体"/>
          <w:sz w:val="24"/>
          <w:lang w:val="en-US" w:eastAsia="zh-CN"/>
        </w:rPr>
        <w:t xml:space="preserve">    </w:t>
      </w:r>
      <w:r>
        <w:rPr>
          <w:rFonts w:hint="eastAsia" w:ascii="宋体" w:hAnsi="宋体" w:eastAsia="宋体" w:cs="宋体"/>
          <w:sz w:val="24"/>
        </w:rPr>
        <w:t>方：</w:t>
      </w:r>
      <w:r>
        <w:rPr>
          <w:rFonts w:hint="eastAsia" w:ascii="宋体" w:hAnsi="宋体" w:eastAsia="宋体" w:cs="宋体"/>
          <w:sz w:val="24"/>
          <w:u w:val="single"/>
        </w:rPr>
        <w:t xml:space="preserve">                                       </w:t>
      </w:r>
    </w:p>
    <w:p w14:paraId="036D2181">
      <w:pPr>
        <w:keepNext w:val="0"/>
        <w:keepLines w:val="0"/>
        <w:pageBreakBefore w:val="0"/>
        <w:widowControl w:val="0"/>
        <w:kinsoku/>
        <w:wordWrap/>
        <w:overflowPunct/>
        <w:topLinePunct w:val="0"/>
        <w:autoSpaceDE/>
        <w:autoSpaceDN/>
        <w:bidi w:val="0"/>
        <w:adjustRightInd w:val="0"/>
        <w:snapToGrid/>
        <w:spacing w:before="120" w:line="22" w:lineRule="atLeast"/>
        <w:textAlignment w:val="auto"/>
        <w:rPr>
          <w:rFonts w:hint="eastAsia" w:ascii="宋体" w:hAnsi="宋体" w:eastAsia="宋体" w:cs="宋体"/>
          <w:sz w:val="24"/>
        </w:rPr>
      </w:pPr>
    </w:p>
    <w:p w14:paraId="0953767C">
      <w:pPr>
        <w:keepNext w:val="0"/>
        <w:keepLines w:val="0"/>
        <w:pageBreakBefore w:val="0"/>
        <w:widowControl w:val="0"/>
        <w:kinsoku/>
        <w:wordWrap/>
        <w:overflowPunct/>
        <w:topLinePunct w:val="0"/>
        <w:autoSpaceDE/>
        <w:autoSpaceDN/>
        <w:bidi w:val="0"/>
        <w:adjustRightInd w:val="0"/>
        <w:snapToGrid/>
        <w:spacing w:before="120" w:line="22" w:lineRule="atLeast"/>
        <w:ind w:firstLine="1920" w:firstLineChars="800"/>
        <w:textAlignment w:val="auto"/>
        <w:rPr>
          <w:rFonts w:hint="eastAsia" w:ascii="宋体" w:hAnsi="宋体" w:eastAsia="宋体" w:cs="宋体"/>
          <w:sz w:val="24"/>
          <w:u w:val="single"/>
        </w:rPr>
      </w:pPr>
      <w:r>
        <w:rPr>
          <w:rFonts w:hint="eastAsia" w:ascii="宋体" w:hAnsi="宋体" w:eastAsia="宋体" w:cs="宋体"/>
          <w:sz w:val="24"/>
        </w:rPr>
        <w:t>签</w:t>
      </w:r>
      <w:r>
        <w:rPr>
          <w:rFonts w:hint="eastAsia" w:ascii="宋体" w:hAnsi="宋体" w:eastAsia="宋体" w:cs="宋体"/>
          <w:sz w:val="24"/>
          <w:lang w:val="en-US" w:eastAsia="zh-CN"/>
        </w:rPr>
        <w:t xml:space="preserve"> </w:t>
      </w:r>
      <w:r>
        <w:rPr>
          <w:rFonts w:hint="eastAsia" w:ascii="宋体" w:hAnsi="宋体" w:eastAsia="宋体" w:cs="宋体"/>
          <w:sz w:val="24"/>
        </w:rPr>
        <w:t>订</w:t>
      </w:r>
      <w:r>
        <w:rPr>
          <w:rFonts w:hint="eastAsia" w:ascii="宋体" w:hAnsi="宋体" w:eastAsia="宋体" w:cs="宋体"/>
          <w:sz w:val="24"/>
          <w:lang w:val="en-US" w:eastAsia="zh-CN"/>
        </w:rPr>
        <w:t xml:space="preserve"> </w:t>
      </w:r>
      <w:r>
        <w:rPr>
          <w:rFonts w:hint="eastAsia" w:ascii="宋体" w:hAnsi="宋体" w:eastAsia="宋体" w:cs="宋体"/>
          <w:sz w:val="24"/>
        </w:rPr>
        <w:t>地：</w:t>
      </w:r>
      <w:r>
        <w:rPr>
          <w:rFonts w:hint="eastAsia" w:ascii="宋体" w:hAnsi="宋体" w:eastAsia="宋体" w:cs="宋体"/>
          <w:sz w:val="24"/>
          <w:u w:val="single"/>
        </w:rPr>
        <w:t xml:space="preserve">                                     </w:t>
      </w:r>
    </w:p>
    <w:p w14:paraId="060EC6E0">
      <w:pPr>
        <w:keepNext w:val="0"/>
        <w:keepLines w:val="0"/>
        <w:pageBreakBefore w:val="0"/>
        <w:widowControl w:val="0"/>
        <w:kinsoku/>
        <w:wordWrap/>
        <w:overflowPunct/>
        <w:topLinePunct w:val="0"/>
        <w:autoSpaceDE/>
        <w:autoSpaceDN/>
        <w:bidi w:val="0"/>
        <w:adjustRightInd w:val="0"/>
        <w:snapToGrid/>
        <w:spacing w:before="120" w:line="22" w:lineRule="atLeast"/>
        <w:ind w:firstLine="1560" w:firstLineChars="650"/>
        <w:textAlignment w:val="auto"/>
        <w:rPr>
          <w:rFonts w:hint="eastAsia" w:ascii="宋体" w:hAnsi="宋体" w:eastAsia="宋体" w:cs="宋体"/>
          <w:sz w:val="24"/>
        </w:rPr>
      </w:pPr>
    </w:p>
    <w:p w14:paraId="213A3B41">
      <w:pPr>
        <w:keepNext w:val="0"/>
        <w:keepLines w:val="0"/>
        <w:pageBreakBefore w:val="0"/>
        <w:widowControl w:val="0"/>
        <w:kinsoku/>
        <w:wordWrap/>
        <w:overflowPunct/>
        <w:topLinePunct w:val="0"/>
        <w:autoSpaceDE/>
        <w:autoSpaceDN/>
        <w:bidi w:val="0"/>
        <w:adjustRightInd w:val="0"/>
        <w:snapToGrid/>
        <w:spacing w:before="120" w:line="22" w:lineRule="atLeast"/>
        <w:ind w:firstLine="1920" w:firstLineChars="800"/>
        <w:textAlignment w:val="auto"/>
        <w:rPr>
          <w:rFonts w:hint="eastAsia" w:ascii="宋体" w:hAnsi="宋体" w:eastAsia="宋体" w:cs="宋体"/>
          <w:sz w:val="24"/>
          <w:u w:val="single"/>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74BA93E2">
      <w:pPr>
        <w:spacing w:line="420" w:lineRule="exact"/>
        <w:rPr>
          <w:rFonts w:ascii="宋体" w:hAnsi="宋体" w:cs="宋体"/>
          <w:szCs w:val="21"/>
          <w:u w:val="single"/>
        </w:rPr>
      </w:pPr>
    </w:p>
    <w:p w14:paraId="72E6F317">
      <w:pPr>
        <w:pStyle w:val="63"/>
        <w:ind w:firstLine="420"/>
        <w:rPr>
          <w:rFonts w:cs="宋体"/>
          <w:szCs w:val="21"/>
          <w:u w:val="single"/>
        </w:rPr>
      </w:pPr>
    </w:p>
    <w:p w14:paraId="05C46044">
      <w:pPr>
        <w:pStyle w:val="85"/>
        <w:ind w:firstLine="420"/>
        <w:rPr>
          <w:rFonts w:ascii="宋体" w:hAnsi="宋体" w:cs="宋体"/>
          <w:szCs w:val="21"/>
          <w:u w:val="single"/>
        </w:rPr>
      </w:pPr>
    </w:p>
    <w:p w14:paraId="17FD9DF4">
      <w:pPr>
        <w:rPr>
          <w:rFonts w:ascii="宋体" w:hAnsi="宋体" w:cs="宋体"/>
          <w:szCs w:val="21"/>
          <w:u w:val="single"/>
        </w:rPr>
      </w:pPr>
    </w:p>
    <w:p w14:paraId="30DF57F1">
      <w:pPr>
        <w:pStyle w:val="63"/>
        <w:ind w:firstLine="420"/>
        <w:rPr>
          <w:rFonts w:cs="宋体"/>
          <w:szCs w:val="21"/>
          <w:u w:val="single"/>
        </w:rPr>
      </w:pPr>
    </w:p>
    <w:p w14:paraId="271A3D08">
      <w:pPr>
        <w:pStyle w:val="85"/>
        <w:ind w:firstLine="420"/>
        <w:rPr>
          <w:rFonts w:ascii="宋体" w:hAnsi="宋体" w:cs="宋体"/>
          <w:szCs w:val="21"/>
          <w:u w:val="single"/>
        </w:rPr>
      </w:pPr>
    </w:p>
    <w:p w14:paraId="38FC92B7">
      <w:pPr>
        <w:rPr>
          <w:rFonts w:ascii="宋体" w:hAnsi="宋体" w:cs="宋体"/>
          <w:szCs w:val="21"/>
          <w:u w:val="single"/>
        </w:rPr>
      </w:pPr>
    </w:p>
    <w:p w14:paraId="0C4FF17D">
      <w:pPr>
        <w:pStyle w:val="82"/>
        <w:rPr>
          <w:rFonts w:ascii="宋体" w:hAnsi="宋体" w:eastAsia="宋体"/>
          <w:szCs w:val="21"/>
          <w:u w:val="single"/>
        </w:rPr>
      </w:pPr>
    </w:p>
    <w:p w14:paraId="0FB66427">
      <w:pPr>
        <w:pStyle w:val="82"/>
        <w:rPr>
          <w:rFonts w:ascii="宋体" w:hAnsi="宋体" w:eastAsia="宋体"/>
          <w:szCs w:val="21"/>
          <w:u w:val="single"/>
        </w:rPr>
      </w:pPr>
    </w:p>
    <w:p w14:paraId="282F8807">
      <w:pPr>
        <w:pStyle w:val="82"/>
        <w:rPr>
          <w:rFonts w:ascii="宋体" w:hAnsi="宋体" w:eastAsia="宋体"/>
          <w:szCs w:val="21"/>
          <w:u w:val="single"/>
        </w:rPr>
      </w:pPr>
    </w:p>
    <w:p w14:paraId="73EEB45C">
      <w:pPr>
        <w:pStyle w:val="82"/>
        <w:rPr>
          <w:rFonts w:ascii="宋体" w:hAnsi="宋体" w:eastAsia="宋体"/>
          <w:szCs w:val="21"/>
          <w:u w:val="single"/>
        </w:rPr>
      </w:pPr>
    </w:p>
    <w:p w14:paraId="5DEF1BD2">
      <w:pPr>
        <w:pStyle w:val="82"/>
        <w:rPr>
          <w:rFonts w:ascii="宋体" w:hAnsi="宋体" w:eastAsia="宋体"/>
          <w:szCs w:val="21"/>
          <w:u w:val="single"/>
        </w:rPr>
      </w:pPr>
    </w:p>
    <w:p w14:paraId="62632EAA">
      <w:pPr>
        <w:pStyle w:val="82"/>
        <w:rPr>
          <w:rFonts w:ascii="宋体" w:hAnsi="宋体" w:eastAsia="宋体"/>
          <w:szCs w:val="21"/>
          <w:u w:val="single"/>
        </w:rPr>
      </w:pPr>
    </w:p>
    <w:p w14:paraId="5277FA8A">
      <w:pPr>
        <w:pStyle w:val="82"/>
        <w:rPr>
          <w:rFonts w:ascii="宋体" w:hAnsi="宋体" w:eastAsia="宋体"/>
          <w:szCs w:val="21"/>
          <w:u w:val="single"/>
        </w:rPr>
      </w:pPr>
    </w:p>
    <w:p w14:paraId="7DDB406C">
      <w:pPr>
        <w:pStyle w:val="82"/>
        <w:rPr>
          <w:rFonts w:ascii="宋体" w:hAnsi="宋体" w:eastAsia="宋体"/>
          <w:szCs w:val="21"/>
          <w:u w:val="single"/>
        </w:rPr>
      </w:pPr>
    </w:p>
    <w:p w14:paraId="37257F7B">
      <w:pPr>
        <w:keepNext w:val="0"/>
        <w:keepLines w:val="0"/>
        <w:pageBreakBefore w:val="0"/>
        <w:widowControl w:val="0"/>
        <w:kinsoku/>
        <w:wordWrap/>
        <w:overflowPunct/>
        <w:topLinePunct w:val="0"/>
        <w:autoSpaceDE/>
        <w:autoSpaceDN/>
        <w:bidi w:val="0"/>
        <w:adjustRightInd w:val="0"/>
        <w:snapToGrid/>
        <w:spacing w:line="42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r>
        <w:rPr>
          <w:rFonts w:hint="eastAsia" w:ascii="宋体" w:hAnsi="宋体" w:eastAsia="宋体" w:cs="宋体"/>
          <w:sz w:val="24"/>
          <w:szCs w:val="24"/>
        </w:rPr>
        <w:t>（甲方）</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（项目名称）经</w:t>
      </w:r>
      <w:r>
        <w:rPr>
          <w:rFonts w:hint="eastAsia" w:ascii="宋体" w:hAnsi="宋体" w:eastAsia="宋体" w:cs="宋体"/>
          <w:sz w:val="24"/>
          <w:szCs w:val="24"/>
          <w:lang w:eastAsia="zh-CN"/>
        </w:rPr>
        <w:t>诸暨正开工程咨询有限公司</w:t>
      </w:r>
      <w:r>
        <w:rPr>
          <w:rFonts w:hint="eastAsia" w:ascii="宋体" w:hAnsi="宋体" w:eastAsia="宋体" w:cs="宋体"/>
          <w:sz w:val="24"/>
          <w:szCs w:val="24"/>
        </w:rPr>
        <w:t>以招标文件（编号：</w:t>
      </w:r>
      <w:r>
        <w:rPr>
          <w:rFonts w:hint="eastAsia" w:ascii="宋体" w:hAnsi="宋体" w:eastAsia="宋体" w:cs="宋体"/>
          <w:sz w:val="24"/>
          <w:szCs w:val="24"/>
          <w:lang w:eastAsia="zh-CN"/>
        </w:rPr>
        <w:t>诸正开</w:t>
      </w:r>
      <w:r>
        <w:rPr>
          <w:rFonts w:hint="eastAsia" w:ascii="宋体" w:hAnsi="宋体" w:eastAsia="宋体" w:cs="宋体"/>
          <w:sz w:val="24"/>
          <w:szCs w:val="24"/>
        </w:rPr>
        <w:t>20</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号）进行公开招标。甲方确定</w:t>
      </w:r>
      <w:r>
        <w:rPr>
          <w:rFonts w:hint="eastAsia" w:ascii="宋体" w:hAnsi="宋体" w:eastAsia="宋体" w:cs="宋体"/>
          <w:sz w:val="24"/>
          <w:szCs w:val="24"/>
          <w:u w:val="single"/>
        </w:rPr>
        <w:t xml:space="preserve">                              </w:t>
      </w:r>
      <w:r>
        <w:rPr>
          <w:rFonts w:hint="eastAsia" w:ascii="宋体" w:hAnsi="宋体" w:eastAsia="宋体" w:cs="宋体"/>
          <w:sz w:val="24"/>
          <w:szCs w:val="24"/>
        </w:rPr>
        <w:t>（乙方）为中标人。甲、乙双方依据《中华人民共和国政府采购法》、《中华人民共和国民法典》，在平等自愿的基础上，同意按照下面的条款和条件，签署本合同。</w:t>
      </w:r>
    </w:p>
    <w:p w14:paraId="049CBABE">
      <w:pPr>
        <w:spacing w:line="420" w:lineRule="exact"/>
        <w:rPr>
          <w:rFonts w:ascii="宋体" w:hAnsi="宋体" w:cs="宋体"/>
          <w:b/>
          <w:bCs/>
          <w:sz w:val="24"/>
          <w:u w:val="single"/>
        </w:rPr>
      </w:pPr>
      <w:r>
        <w:rPr>
          <w:rFonts w:hint="eastAsia" w:ascii="宋体" w:hAnsi="宋体" w:cs="宋体"/>
          <w:b/>
          <w:bCs/>
          <w:sz w:val="24"/>
        </w:rPr>
        <w:t>（一）项目采购依据</w:t>
      </w:r>
    </w:p>
    <w:p w14:paraId="2308DA85">
      <w:pPr>
        <w:spacing w:line="420" w:lineRule="exact"/>
        <w:ind w:firstLine="480" w:firstLineChars="200"/>
        <w:rPr>
          <w:rFonts w:ascii="宋体" w:hAnsi="宋体" w:cs="宋体"/>
          <w:sz w:val="24"/>
        </w:rPr>
      </w:pPr>
      <w:r>
        <w:rPr>
          <w:rFonts w:hint="eastAsia" w:ascii="宋体" w:hAnsi="宋体" w:cs="宋体"/>
          <w:sz w:val="24"/>
        </w:rPr>
        <w:t xml:space="preserve">政府采购预算执行确认书。 </w:t>
      </w:r>
    </w:p>
    <w:p w14:paraId="55030A39">
      <w:pPr>
        <w:spacing w:line="420" w:lineRule="exact"/>
        <w:rPr>
          <w:rFonts w:ascii="宋体" w:hAnsi="宋体" w:cs="宋体"/>
          <w:b/>
          <w:bCs/>
          <w:sz w:val="24"/>
        </w:rPr>
      </w:pPr>
      <w:r>
        <w:rPr>
          <w:rFonts w:hint="eastAsia" w:ascii="宋体" w:hAnsi="宋体" w:cs="宋体"/>
          <w:b/>
          <w:bCs/>
          <w:sz w:val="24"/>
        </w:rPr>
        <w:t>（二）下列文件构成本合同的组成部分</w:t>
      </w:r>
    </w:p>
    <w:p w14:paraId="6137D003">
      <w:pPr>
        <w:spacing w:line="420" w:lineRule="exact"/>
        <w:ind w:firstLine="480" w:firstLineChars="200"/>
        <w:rPr>
          <w:rFonts w:ascii="宋体" w:hAnsi="宋体" w:cs="宋体"/>
          <w:sz w:val="24"/>
        </w:rPr>
      </w:pPr>
      <w:r>
        <w:rPr>
          <w:rFonts w:hint="eastAsia" w:ascii="宋体" w:hAnsi="宋体" w:cs="宋体"/>
          <w:sz w:val="24"/>
        </w:rPr>
        <w:t>以下文件为本合同的组成部分，应该认为是一个整体，彼此相互解释，相互补充。</w:t>
      </w:r>
    </w:p>
    <w:p w14:paraId="5D95C97F">
      <w:pPr>
        <w:spacing w:line="420" w:lineRule="exact"/>
        <w:ind w:firstLine="480" w:firstLineChars="200"/>
        <w:rPr>
          <w:rFonts w:ascii="宋体" w:hAnsi="宋体" w:cs="宋体"/>
          <w:sz w:val="24"/>
        </w:rPr>
      </w:pPr>
      <w:r>
        <w:rPr>
          <w:rFonts w:hint="eastAsia" w:ascii="宋体" w:hAnsi="宋体" w:cs="宋体"/>
          <w:sz w:val="24"/>
        </w:rPr>
        <w:t>a. 本合同书</w:t>
      </w:r>
    </w:p>
    <w:p w14:paraId="6FF135BB">
      <w:pPr>
        <w:spacing w:line="420" w:lineRule="exact"/>
        <w:ind w:firstLine="480" w:firstLineChars="200"/>
        <w:rPr>
          <w:rFonts w:ascii="宋体" w:hAnsi="宋体" w:cs="宋体"/>
          <w:sz w:val="24"/>
        </w:rPr>
      </w:pPr>
      <w:r>
        <w:rPr>
          <w:rFonts w:hint="eastAsia" w:ascii="宋体" w:hAnsi="宋体" w:cs="宋体"/>
          <w:sz w:val="24"/>
        </w:rPr>
        <w:t>b. 中标通知书</w:t>
      </w:r>
    </w:p>
    <w:p w14:paraId="1C4A194C">
      <w:pPr>
        <w:spacing w:line="420" w:lineRule="exact"/>
        <w:ind w:firstLine="480" w:firstLineChars="200"/>
        <w:rPr>
          <w:rFonts w:ascii="宋体" w:hAnsi="宋体" w:cs="宋体"/>
          <w:sz w:val="24"/>
        </w:rPr>
      </w:pPr>
      <w:r>
        <w:rPr>
          <w:rFonts w:hint="eastAsia" w:ascii="宋体" w:hAnsi="宋体" w:cs="宋体"/>
          <w:sz w:val="24"/>
        </w:rPr>
        <w:t>c. 询标承诺</w:t>
      </w:r>
    </w:p>
    <w:p w14:paraId="01F20038">
      <w:pPr>
        <w:spacing w:line="420" w:lineRule="exact"/>
        <w:ind w:firstLine="480" w:firstLineChars="200"/>
        <w:rPr>
          <w:rFonts w:ascii="宋体" w:hAnsi="宋体" w:cs="宋体"/>
          <w:sz w:val="24"/>
        </w:rPr>
      </w:pPr>
      <w:r>
        <w:rPr>
          <w:rFonts w:hint="eastAsia" w:ascii="宋体" w:hAnsi="宋体" w:cs="宋体"/>
          <w:sz w:val="24"/>
        </w:rPr>
        <w:t>d. 投标文件</w:t>
      </w:r>
    </w:p>
    <w:p w14:paraId="1ED4265C">
      <w:pPr>
        <w:spacing w:line="420" w:lineRule="exact"/>
        <w:ind w:firstLine="480" w:firstLineChars="200"/>
        <w:rPr>
          <w:rFonts w:ascii="宋体" w:hAnsi="宋体" w:cs="宋体"/>
          <w:sz w:val="24"/>
        </w:rPr>
      </w:pPr>
      <w:r>
        <w:rPr>
          <w:rFonts w:hint="eastAsia" w:ascii="宋体" w:hAnsi="宋体" w:cs="宋体"/>
          <w:sz w:val="24"/>
        </w:rPr>
        <w:t>e. 招标文件</w:t>
      </w:r>
    </w:p>
    <w:p w14:paraId="7C98BA4B">
      <w:pPr>
        <w:rPr>
          <w:rFonts w:ascii="宋体" w:hAnsi="宋体" w:cs="宋体"/>
          <w:b/>
          <w:bCs/>
          <w:sz w:val="24"/>
        </w:rPr>
      </w:pPr>
      <w:r>
        <w:rPr>
          <w:rFonts w:hint="eastAsia" w:ascii="宋体" w:hAnsi="宋体" w:cs="宋体"/>
          <w:b/>
          <w:bCs/>
          <w:sz w:val="24"/>
        </w:rPr>
        <w:t>（三）合同标的物</w:t>
      </w:r>
    </w:p>
    <w:tbl>
      <w:tblPr>
        <w:tblStyle w:val="64"/>
        <w:tblW w:w="8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3960"/>
        <w:gridCol w:w="1080"/>
        <w:gridCol w:w="1260"/>
        <w:gridCol w:w="1440"/>
      </w:tblGrid>
      <w:tr w14:paraId="12237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36" w:type="dxa"/>
            <w:vAlign w:val="center"/>
          </w:tcPr>
          <w:p w14:paraId="16701DBE">
            <w:pPr>
              <w:jc w:val="center"/>
              <w:rPr>
                <w:rFonts w:ascii="宋体" w:hAnsi="宋体" w:cs="宋体"/>
                <w:sz w:val="24"/>
              </w:rPr>
            </w:pPr>
            <w:r>
              <w:rPr>
                <w:rFonts w:hint="eastAsia" w:ascii="宋体" w:hAnsi="宋体" w:cs="宋体"/>
                <w:sz w:val="24"/>
              </w:rPr>
              <w:t>产品名称</w:t>
            </w:r>
          </w:p>
        </w:tc>
        <w:tc>
          <w:tcPr>
            <w:tcW w:w="3960" w:type="dxa"/>
            <w:vAlign w:val="center"/>
          </w:tcPr>
          <w:p w14:paraId="2BB3E89A">
            <w:pPr>
              <w:jc w:val="center"/>
              <w:rPr>
                <w:rFonts w:ascii="宋体" w:hAnsi="宋体" w:cs="宋体"/>
                <w:sz w:val="24"/>
              </w:rPr>
            </w:pPr>
            <w:r>
              <w:rPr>
                <w:rFonts w:hint="eastAsia" w:ascii="宋体" w:hAnsi="宋体" w:cs="宋体"/>
                <w:sz w:val="24"/>
              </w:rPr>
              <w:t xml:space="preserve"> （规格/型号）服务内容</w:t>
            </w:r>
          </w:p>
        </w:tc>
        <w:tc>
          <w:tcPr>
            <w:tcW w:w="1080" w:type="dxa"/>
            <w:vAlign w:val="center"/>
          </w:tcPr>
          <w:p w14:paraId="6BDC9669">
            <w:pPr>
              <w:jc w:val="center"/>
              <w:rPr>
                <w:rFonts w:ascii="宋体" w:hAnsi="宋体" w:cs="宋体"/>
                <w:sz w:val="24"/>
              </w:rPr>
            </w:pPr>
            <w:r>
              <w:rPr>
                <w:rFonts w:hint="eastAsia" w:ascii="宋体" w:hAnsi="宋体" w:cs="宋体"/>
                <w:sz w:val="24"/>
              </w:rPr>
              <w:t>数量</w:t>
            </w:r>
          </w:p>
        </w:tc>
        <w:tc>
          <w:tcPr>
            <w:tcW w:w="1260" w:type="dxa"/>
            <w:vAlign w:val="center"/>
          </w:tcPr>
          <w:p w14:paraId="33B9A411">
            <w:pPr>
              <w:jc w:val="center"/>
              <w:rPr>
                <w:rFonts w:ascii="宋体" w:hAnsi="宋体" w:cs="宋体"/>
                <w:sz w:val="24"/>
              </w:rPr>
            </w:pPr>
            <w:r>
              <w:rPr>
                <w:rFonts w:hint="eastAsia" w:ascii="宋体" w:hAnsi="宋体" w:cs="宋体"/>
                <w:sz w:val="24"/>
              </w:rPr>
              <w:t>单价（元）</w:t>
            </w:r>
          </w:p>
        </w:tc>
        <w:tc>
          <w:tcPr>
            <w:tcW w:w="1440" w:type="dxa"/>
            <w:vAlign w:val="center"/>
          </w:tcPr>
          <w:p w14:paraId="221E635D">
            <w:pPr>
              <w:jc w:val="center"/>
              <w:rPr>
                <w:rFonts w:ascii="宋体" w:hAnsi="宋体" w:cs="宋体"/>
                <w:sz w:val="24"/>
              </w:rPr>
            </w:pPr>
            <w:r>
              <w:rPr>
                <w:rFonts w:hint="eastAsia" w:ascii="宋体" w:hAnsi="宋体" w:cs="宋体"/>
                <w:sz w:val="24"/>
              </w:rPr>
              <w:t>合价（元）</w:t>
            </w:r>
          </w:p>
        </w:tc>
      </w:tr>
      <w:tr w14:paraId="7F34A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36" w:type="dxa"/>
          </w:tcPr>
          <w:p w14:paraId="5E3E8DA6">
            <w:pPr>
              <w:jc w:val="center"/>
              <w:rPr>
                <w:rFonts w:ascii="宋体" w:hAnsi="宋体" w:cs="宋体"/>
                <w:sz w:val="24"/>
              </w:rPr>
            </w:pPr>
          </w:p>
        </w:tc>
        <w:tc>
          <w:tcPr>
            <w:tcW w:w="3960" w:type="dxa"/>
          </w:tcPr>
          <w:p w14:paraId="03E2462A">
            <w:pPr>
              <w:jc w:val="center"/>
              <w:rPr>
                <w:rFonts w:ascii="宋体" w:hAnsi="宋体" w:cs="宋体"/>
                <w:sz w:val="24"/>
              </w:rPr>
            </w:pPr>
          </w:p>
        </w:tc>
        <w:tc>
          <w:tcPr>
            <w:tcW w:w="1080" w:type="dxa"/>
          </w:tcPr>
          <w:p w14:paraId="611409A9">
            <w:pPr>
              <w:jc w:val="center"/>
              <w:rPr>
                <w:rFonts w:ascii="宋体" w:hAnsi="宋体" w:cs="宋体"/>
                <w:sz w:val="24"/>
              </w:rPr>
            </w:pPr>
          </w:p>
        </w:tc>
        <w:tc>
          <w:tcPr>
            <w:tcW w:w="1260" w:type="dxa"/>
          </w:tcPr>
          <w:p w14:paraId="0884869F">
            <w:pPr>
              <w:jc w:val="center"/>
              <w:rPr>
                <w:rFonts w:ascii="宋体" w:hAnsi="宋体" w:cs="宋体"/>
                <w:sz w:val="24"/>
              </w:rPr>
            </w:pPr>
          </w:p>
        </w:tc>
        <w:tc>
          <w:tcPr>
            <w:tcW w:w="1440" w:type="dxa"/>
          </w:tcPr>
          <w:p w14:paraId="7B0B2535">
            <w:pPr>
              <w:jc w:val="center"/>
              <w:rPr>
                <w:rFonts w:ascii="宋体" w:hAnsi="宋体" w:cs="宋体"/>
                <w:sz w:val="24"/>
              </w:rPr>
            </w:pPr>
          </w:p>
        </w:tc>
      </w:tr>
      <w:tr w14:paraId="57824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36" w:type="dxa"/>
          </w:tcPr>
          <w:p w14:paraId="3ED41794">
            <w:pPr>
              <w:jc w:val="center"/>
              <w:rPr>
                <w:rFonts w:ascii="宋体" w:hAnsi="宋体" w:cs="宋体"/>
                <w:sz w:val="24"/>
              </w:rPr>
            </w:pPr>
          </w:p>
        </w:tc>
        <w:tc>
          <w:tcPr>
            <w:tcW w:w="3960" w:type="dxa"/>
          </w:tcPr>
          <w:p w14:paraId="6E3A9C9E">
            <w:pPr>
              <w:jc w:val="center"/>
              <w:rPr>
                <w:rFonts w:ascii="宋体" w:hAnsi="宋体" w:cs="宋体"/>
                <w:sz w:val="24"/>
              </w:rPr>
            </w:pPr>
          </w:p>
        </w:tc>
        <w:tc>
          <w:tcPr>
            <w:tcW w:w="1080" w:type="dxa"/>
          </w:tcPr>
          <w:p w14:paraId="5490E3F8">
            <w:pPr>
              <w:jc w:val="center"/>
              <w:rPr>
                <w:rFonts w:ascii="宋体" w:hAnsi="宋体" w:cs="宋体"/>
                <w:sz w:val="24"/>
              </w:rPr>
            </w:pPr>
          </w:p>
        </w:tc>
        <w:tc>
          <w:tcPr>
            <w:tcW w:w="1260" w:type="dxa"/>
          </w:tcPr>
          <w:p w14:paraId="0BD3895A">
            <w:pPr>
              <w:jc w:val="center"/>
              <w:rPr>
                <w:rFonts w:ascii="宋体" w:hAnsi="宋体" w:cs="宋体"/>
                <w:sz w:val="24"/>
              </w:rPr>
            </w:pPr>
          </w:p>
        </w:tc>
        <w:tc>
          <w:tcPr>
            <w:tcW w:w="1440" w:type="dxa"/>
          </w:tcPr>
          <w:p w14:paraId="4A652B1B">
            <w:pPr>
              <w:jc w:val="center"/>
              <w:rPr>
                <w:rFonts w:ascii="宋体" w:hAnsi="宋体" w:cs="宋体"/>
                <w:sz w:val="24"/>
              </w:rPr>
            </w:pPr>
          </w:p>
        </w:tc>
      </w:tr>
      <w:tr w14:paraId="37B29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36" w:type="dxa"/>
          </w:tcPr>
          <w:p w14:paraId="36827239">
            <w:pPr>
              <w:jc w:val="center"/>
              <w:rPr>
                <w:rFonts w:ascii="宋体" w:hAnsi="宋体" w:cs="宋体"/>
                <w:sz w:val="24"/>
              </w:rPr>
            </w:pPr>
          </w:p>
        </w:tc>
        <w:tc>
          <w:tcPr>
            <w:tcW w:w="3960" w:type="dxa"/>
          </w:tcPr>
          <w:p w14:paraId="436FC1DC">
            <w:pPr>
              <w:jc w:val="center"/>
              <w:rPr>
                <w:rFonts w:ascii="宋体" w:hAnsi="宋体" w:cs="宋体"/>
                <w:sz w:val="24"/>
              </w:rPr>
            </w:pPr>
          </w:p>
        </w:tc>
        <w:tc>
          <w:tcPr>
            <w:tcW w:w="1080" w:type="dxa"/>
          </w:tcPr>
          <w:p w14:paraId="05D17D78">
            <w:pPr>
              <w:jc w:val="center"/>
              <w:rPr>
                <w:rFonts w:ascii="宋体" w:hAnsi="宋体" w:cs="宋体"/>
                <w:sz w:val="24"/>
              </w:rPr>
            </w:pPr>
          </w:p>
        </w:tc>
        <w:tc>
          <w:tcPr>
            <w:tcW w:w="1260" w:type="dxa"/>
          </w:tcPr>
          <w:p w14:paraId="7757882E">
            <w:pPr>
              <w:jc w:val="center"/>
              <w:rPr>
                <w:rFonts w:ascii="宋体" w:hAnsi="宋体" w:cs="宋体"/>
                <w:sz w:val="24"/>
              </w:rPr>
            </w:pPr>
          </w:p>
        </w:tc>
        <w:tc>
          <w:tcPr>
            <w:tcW w:w="1440" w:type="dxa"/>
          </w:tcPr>
          <w:p w14:paraId="6DE3BBE1">
            <w:pPr>
              <w:jc w:val="center"/>
              <w:rPr>
                <w:rFonts w:ascii="宋体" w:hAnsi="宋体" w:cs="宋体"/>
                <w:sz w:val="24"/>
              </w:rPr>
            </w:pPr>
          </w:p>
        </w:tc>
      </w:tr>
    </w:tbl>
    <w:p w14:paraId="418CE073">
      <w:pPr>
        <w:spacing w:line="420" w:lineRule="exact"/>
        <w:ind w:firstLine="480" w:firstLineChars="200"/>
        <w:rPr>
          <w:rFonts w:ascii="宋体" w:hAnsi="宋体" w:cs="宋体"/>
          <w:sz w:val="24"/>
        </w:rPr>
      </w:pPr>
      <w:r>
        <w:rPr>
          <w:rFonts w:hint="eastAsia" w:ascii="宋体" w:hAnsi="宋体" w:cs="宋体"/>
          <w:sz w:val="24"/>
        </w:rPr>
        <w:t>（具体标的服务内容可根据实际修改）</w:t>
      </w:r>
    </w:p>
    <w:p w14:paraId="29841ABC">
      <w:pPr>
        <w:spacing w:line="420" w:lineRule="exact"/>
        <w:rPr>
          <w:rFonts w:ascii="宋体" w:hAnsi="宋体" w:cs="宋体"/>
          <w:b/>
          <w:bCs/>
          <w:sz w:val="24"/>
        </w:rPr>
      </w:pPr>
      <w:r>
        <w:rPr>
          <w:rFonts w:hint="eastAsia" w:ascii="宋体" w:hAnsi="宋体" w:cs="宋体"/>
          <w:b/>
          <w:bCs/>
          <w:sz w:val="24"/>
        </w:rPr>
        <w:t>（四）合同总价</w:t>
      </w:r>
    </w:p>
    <w:p w14:paraId="6A3AC74D">
      <w:pPr>
        <w:keepNext w:val="0"/>
        <w:keepLines w:val="0"/>
        <w:pageBreakBefore w:val="0"/>
        <w:widowControl w:val="0"/>
        <w:kinsoku/>
        <w:wordWrap/>
        <w:overflowPunct/>
        <w:topLinePunct w:val="0"/>
        <w:autoSpaceDE/>
        <w:autoSpaceDN/>
        <w:bidi w:val="0"/>
        <w:adjustRightInd w:val="0"/>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本合同总价为</w:t>
      </w:r>
      <w:r>
        <w:rPr>
          <w:rFonts w:hint="eastAsia" w:ascii="宋体" w:hAnsi="宋体" w:eastAsia="宋体" w:cs="宋体"/>
          <w:sz w:val="24"/>
          <w:szCs w:val="24"/>
          <w:u w:val="single"/>
        </w:rPr>
        <w:t xml:space="preserve">       </w:t>
      </w:r>
      <w:r>
        <w:rPr>
          <w:rFonts w:hint="eastAsia" w:ascii="宋体" w:hAnsi="宋体" w:eastAsia="宋体" w:cs="宋体"/>
          <w:sz w:val="24"/>
          <w:szCs w:val="24"/>
        </w:rPr>
        <w:t>元人民币，大写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6BA0EF51">
      <w:pPr>
        <w:spacing w:line="420" w:lineRule="exact"/>
        <w:rPr>
          <w:rFonts w:ascii="宋体" w:hAnsi="宋体" w:cs="宋体"/>
          <w:b/>
          <w:bCs/>
          <w:sz w:val="24"/>
        </w:rPr>
      </w:pPr>
      <w:r>
        <w:rPr>
          <w:rFonts w:hint="eastAsia" w:ascii="宋体" w:hAnsi="宋体" w:cs="宋体"/>
          <w:b/>
          <w:bCs/>
          <w:sz w:val="24"/>
        </w:rPr>
        <w:t>（五）合同价款的支付</w:t>
      </w:r>
    </w:p>
    <w:p w14:paraId="234E4DE0">
      <w:pPr>
        <w:spacing w:line="420" w:lineRule="exact"/>
        <w:ind w:firstLine="480" w:firstLineChars="200"/>
        <w:rPr>
          <w:rFonts w:ascii="宋体" w:hAnsi="宋体" w:cs="宋体"/>
          <w:sz w:val="24"/>
        </w:rPr>
      </w:pPr>
      <w:r>
        <w:rPr>
          <w:rFonts w:hint="eastAsia" w:ascii="宋体" w:hAnsi="宋体" w:cs="宋体"/>
          <w:sz w:val="24"/>
        </w:rPr>
        <w:t>1.本合同中甲乙双方之间所发生的一切费用以人民币进行结算。</w:t>
      </w:r>
    </w:p>
    <w:p w14:paraId="6D3A3C4B">
      <w:pPr>
        <w:spacing w:line="420" w:lineRule="exact"/>
        <w:ind w:firstLine="480" w:firstLineChars="200"/>
        <w:rPr>
          <w:rFonts w:ascii="宋体" w:hAnsi="宋体" w:cs="宋体"/>
          <w:sz w:val="24"/>
        </w:rPr>
      </w:pPr>
      <w:r>
        <w:rPr>
          <w:rFonts w:hint="eastAsia" w:ascii="宋体" w:hAnsi="宋体" w:cs="宋体"/>
          <w:sz w:val="24"/>
        </w:rPr>
        <w:t>2.支付方式：</w:t>
      </w:r>
    </w:p>
    <w:tbl>
      <w:tblPr>
        <w:tblStyle w:val="64"/>
        <w:tblW w:w="8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985"/>
        <w:gridCol w:w="4394"/>
        <w:gridCol w:w="1413"/>
      </w:tblGrid>
      <w:tr w14:paraId="11FD5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129" w:type="dxa"/>
            <w:vAlign w:val="center"/>
          </w:tcPr>
          <w:p w14:paraId="0985E271">
            <w:pPr>
              <w:jc w:val="center"/>
              <w:rPr>
                <w:rFonts w:ascii="宋体" w:hAnsi="宋体" w:cs="宋体"/>
                <w:sz w:val="24"/>
              </w:rPr>
            </w:pPr>
            <w:r>
              <w:rPr>
                <w:rFonts w:hint="eastAsia" w:ascii="宋体" w:hAnsi="宋体" w:cs="宋体"/>
                <w:sz w:val="24"/>
              </w:rPr>
              <w:t>付款次数</w:t>
            </w:r>
          </w:p>
        </w:tc>
        <w:tc>
          <w:tcPr>
            <w:tcW w:w="1985" w:type="dxa"/>
            <w:vAlign w:val="center"/>
          </w:tcPr>
          <w:p w14:paraId="2BA2F763">
            <w:pPr>
              <w:jc w:val="center"/>
              <w:rPr>
                <w:rFonts w:ascii="宋体" w:hAnsi="宋体" w:cs="宋体"/>
                <w:sz w:val="24"/>
              </w:rPr>
            </w:pPr>
            <w:r>
              <w:rPr>
                <w:rFonts w:hint="eastAsia" w:ascii="宋体" w:hAnsi="宋体" w:cs="宋体"/>
                <w:sz w:val="24"/>
              </w:rPr>
              <w:t>约定支付条件</w:t>
            </w:r>
          </w:p>
        </w:tc>
        <w:tc>
          <w:tcPr>
            <w:tcW w:w="4394" w:type="dxa"/>
            <w:vAlign w:val="center"/>
          </w:tcPr>
          <w:p w14:paraId="283DB906">
            <w:pPr>
              <w:jc w:val="center"/>
              <w:rPr>
                <w:rFonts w:ascii="宋体" w:hAnsi="宋体" w:cs="宋体"/>
                <w:sz w:val="24"/>
              </w:rPr>
            </w:pPr>
            <w:r>
              <w:rPr>
                <w:rFonts w:hint="eastAsia" w:ascii="宋体" w:hAnsi="宋体" w:cs="宋体"/>
                <w:sz w:val="24"/>
              </w:rPr>
              <w:t>付款条件</w:t>
            </w:r>
          </w:p>
        </w:tc>
        <w:tc>
          <w:tcPr>
            <w:tcW w:w="1413" w:type="dxa"/>
            <w:vAlign w:val="center"/>
          </w:tcPr>
          <w:p w14:paraId="7CC4A230">
            <w:pPr>
              <w:jc w:val="center"/>
              <w:rPr>
                <w:rFonts w:ascii="宋体" w:hAnsi="宋体" w:cs="宋体"/>
                <w:sz w:val="24"/>
              </w:rPr>
            </w:pPr>
            <w:r>
              <w:rPr>
                <w:rFonts w:hint="eastAsia" w:ascii="宋体" w:hAnsi="宋体" w:cs="宋体"/>
                <w:sz w:val="24"/>
              </w:rPr>
              <w:t>金额（元）</w:t>
            </w:r>
          </w:p>
        </w:tc>
      </w:tr>
      <w:tr w14:paraId="52FF6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129" w:type="dxa"/>
            <w:vAlign w:val="center"/>
          </w:tcPr>
          <w:p w14:paraId="2C74ACE1">
            <w:pPr>
              <w:jc w:val="center"/>
              <w:rPr>
                <w:rFonts w:ascii="宋体" w:hAnsi="宋体" w:cs="宋体"/>
                <w:sz w:val="24"/>
              </w:rPr>
            </w:pPr>
            <w:r>
              <w:rPr>
                <w:rFonts w:hint="eastAsia" w:ascii="宋体" w:hAnsi="宋体" w:cs="宋体"/>
                <w:sz w:val="24"/>
              </w:rPr>
              <w:t>1</w:t>
            </w:r>
          </w:p>
        </w:tc>
        <w:tc>
          <w:tcPr>
            <w:tcW w:w="1985" w:type="dxa"/>
            <w:vAlign w:val="center"/>
          </w:tcPr>
          <w:p w14:paraId="44D74ED7">
            <w:pPr>
              <w:jc w:val="center"/>
              <w:rPr>
                <w:rFonts w:ascii="宋体" w:hAnsi="宋体" w:cs="宋体"/>
                <w:sz w:val="24"/>
              </w:rPr>
            </w:pPr>
          </w:p>
        </w:tc>
        <w:tc>
          <w:tcPr>
            <w:tcW w:w="4394" w:type="dxa"/>
            <w:vAlign w:val="center"/>
          </w:tcPr>
          <w:p w14:paraId="057CCF5E">
            <w:pPr>
              <w:jc w:val="center"/>
              <w:rPr>
                <w:rFonts w:ascii="宋体" w:hAnsi="宋体" w:cs="宋体"/>
                <w:sz w:val="24"/>
              </w:rPr>
            </w:pPr>
          </w:p>
        </w:tc>
        <w:tc>
          <w:tcPr>
            <w:tcW w:w="1413" w:type="dxa"/>
            <w:vAlign w:val="center"/>
          </w:tcPr>
          <w:p w14:paraId="15FC9FE3">
            <w:pPr>
              <w:jc w:val="center"/>
              <w:rPr>
                <w:rFonts w:ascii="宋体" w:hAnsi="宋体" w:cs="宋体"/>
                <w:sz w:val="24"/>
              </w:rPr>
            </w:pPr>
          </w:p>
        </w:tc>
      </w:tr>
      <w:tr w14:paraId="3F9A5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129" w:type="dxa"/>
            <w:vAlign w:val="center"/>
          </w:tcPr>
          <w:p w14:paraId="10C8F2F7">
            <w:pPr>
              <w:jc w:val="center"/>
              <w:rPr>
                <w:rFonts w:ascii="宋体" w:hAnsi="宋体" w:cs="宋体"/>
                <w:sz w:val="24"/>
              </w:rPr>
            </w:pPr>
            <w:r>
              <w:rPr>
                <w:rFonts w:hint="eastAsia" w:ascii="宋体" w:hAnsi="宋体" w:cs="宋体"/>
                <w:sz w:val="24"/>
              </w:rPr>
              <w:t>2</w:t>
            </w:r>
          </w:p>
        </w:tc>
        <w:tc>
          <w:tcPr>
            <w:tcW w:w="1985" w:type="dxa"/>
            <w:vAlign w:val="center"/>
          </w:tcPr>
          <w:p w14:paraId="6B2DB327">
            <w:pPr>
              <w:jc w:val="center"/>
              <w:rPr>
                <w:rFonts w:ascii="宋体" w:hAnsi="宋体" w:cs="宋体"/>
                <w:sz w:val="24"/>
              </w:rPr>
            </w:pPr>
          </w:p>
        </w:tc>
        <w:tc>
          <w:tcPr>
            <w:tcW w:w="4394" w:type="dxa"/>
            <w:vAlign w:val="center"/>
          </w:tcPr>
          <w:p w14:paraId="2309EA49">
            <w:pPr>
              <w:jc w:val="left"/>
              <w:rPr>
                <w:rFonts w:ascii="宋体" w:hAnsi="宋体" w:cs="宋体"/>
                <w:sz w:val="24"/>
              </w:rPr>
            </w:pPr>
          </w:p>
        </w:tc>
        <w:tc>
          <w:tcPr>
            <w:tcW w:w="1413" w:type="dxa"/>
            <w:vAlign w:val="center"/>
          </w:tcPr>
          <w:p w14:paraId="0A6BDC96">
            <w:pPr>
              <w:jc w:val="center"/>
              <w:rPr>
                <w:rFonts w:ascii="宋体" w:hAnsi="宋体" w:cs="宋体"/>
                <w:sz w:val="24"/>
              </w:rPr>
            </w:pPr>
          </w:p>
        </w:tc>
      </w:tr>
      <w:tr w14:paraId="3F77F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129" w:type="dxa"/>
            <w:vAlign w:val="center"/>
          </w:tcPr>
          <w:p w14:paraId="18BA9CAA">
            <w:pPr>
              <w:jc w:val="center"/>
              <w:rPr>
                <w:rFonts w:ascii="宋体" w:hAnsi="宋体" w:cs="宋体"/>
                <w:sz w:val="24"/>
              </w:rPr>
            </w:pPr>
            <w:r>
              <w:rPr>
                <w:rFonts w:hint="eastAsia" w:ascii="宋体" w:hAnsi="宋体" w:cs="宋体"/>
                <w:sz w:val="24"/>
              </w:rPr>
              <w:t>3</w:t>
            </w:r>
          </w:p>
        </w:tc>
        <w:tc>
          <w:tcPr>
            <w:tcW w:w="1985" w:type="dxa"/>
            <w:vAlign w:val="center"/>
          </w:tcPr>
          <w:p w14:paraId="465D8459">
            <w:pPr>
              <w:rPr>
                <w:rFonts w:ascii="宋体" w:hAnsi="宋体" w:cs="宋体"/>
                <w:sz w:val="24"/>
              </w:rPr>
            </w:pPr>
          </w:p>
        </w:tc>
        <w:tc>
          <w:tcPr>
            <w:tcW w:w="4394" w:type="dxa"/>
            <w:vAlign w:val="center"/>
          </w:tcPr>
          <w:p w14:paraId="3C682797">
            <w:pPr>
              <w:jc w:val="center"/>
              <w:rPr>
                <w:rFonts w:ascii="宋体" w:hAnsi="宋体" w:cs="宋体"/>
                <w:sz w:val="24"/>
              </w:rPr>
            </w:pPr>
          </w:p>
        </w:tc>
        <w:tc>
          <w:tcPr>
            <w:tcW w:w="1413" w:type="dxa"/>
            <w:vAlign w:val="center"/>
          </w:tcPr>
          <w:p w14:paraId="0085307F">
            <w:pPr>
              <w:jc w:val="center"/>
              <w:rPr>
                <w:rFonts w:ascii="宋体" w:hAnsi="宋体" w:cs="宋体"/>
                <w:sz w:val="24"/>
              </w:rPr>
            </w:pPr>
          </w:p>
        </w:tc>
      </w:tr>
    </w:tbl>
    <w:p w14:paraId="7DE12580">
      <w:pPr>
        <w:spacing w:line="420" w:lineRule="exact"/>
        <w:ind w:firstLine="480" w:firstLineChars="200"/>
        <w:rPr>
          <w:rFonts w:ascii="宋体" w:hAnsi="宋体" w:cs="宋体"/>
          <w:sz w:val="24"/>
        </w:rPr>
      </w:pPr>
      <w:r>
        <w:rPr>
          <w:rFonts w:hint="eastAsia" w:ascii="宋体" w:hAnsi="宋体" w:cs="宋体"/>
          <w:sz w:val="24"/>
        </w:rPr>
        <w:t>3.甲方应付合同款至以下乙方指定的银行账户：</w:t>
      </w:r>
    </w:p>
    <w:p w14:paraId="4DC04CAE">
      <w:pPr>
        <w:spacing w:line="420" w:lineRule="exact"/>
        <w:ind w:firstLine="480" w:firstLineChars="200"/>
        <w:rPr>
          <w:rFonts w:ascii="宋体" w:hAnsi="宋体" w:cs="宋体"/>
          <w:sz w:val="24"/>
        </w:rPr>
      </w:pPr>
      <w:r>
        <w:rPr>
          <w:rFonts w:hint="eastAsia" w:ascii="宋体" w:hAnsi="宋体" w:cs="宋体"/>
          <w:sz w:val="24"/>
        </w:rPr>
        <w:t>开户名称：</w:t>
      </w:r>
    </w:p>
    <w:p w14:paraId="3CE2FECC">
      <w:pPr>
        <w:spacing w:line="420" w:lineRule="exact"/>
        <w:ind w:firstLine="480" w:firstLineChars="200"/>
        <w:rPr>
          <w:rFonts w:ascii="宋体" w:hAnsi="宋体" w:cs="宋体"/>
          <w:sz w:val="24"/>
        </w:rPr>
      </w:pPr>
      <w:r>
        <w:rPr>
          <w:rFonts w:hint="eastAsia" w:ascii="宋体" w:hAnsi="宋体" w:cs="宋体"/>
          <w:sz w:val="24"/>
        </w:rPr>
        <w:t>开户银行：</w:t>
      </w:r>
    </w:p>
    <w:p w14:paraId="6C1AE02F">
      <w:pPr>
        <w:spacing w:line="420" w:lineRule="exact"/>
        <w:ind w:firstLine="480" w:firstLineChars="200"/>
        <w:rPr>
          <w:rFonts w:ascii="宋体" w:hAnsi="宋体" w:cs="宋体"/>
          <w:sz w:val="24"/>
        </w:rPr>
      </w:pPr>
      <w:r>
        <w:rPr>
          <w:rFonts w:hint="eastAsia" w:ascii="宋体" w:hAnsi="宋体" w:cs="宋体"/>
          <w:sz w:val="24"/>
        </w:rPr>
        <w:t>账 号：</w:t>
      </w:r>
    </w:p>
    <w:p w14:paraId="2D04748D">
      <w:pPr>
        <w:spacing w:line="420" w:lineRule="exact"/>
        <w:rPr>
          <w:rFonts w:ascii="宋体" w:hAnsi="宋体" w:cs="宋体"/>
          <w:b/>
          <w:bCs/>
          <w:sz w:val="24"/>
        </w:rPr>
      </w:pPr>
      <w:r>
        <w:rPr>
          <w:rFonts w:hint="eastAsia" w:ascii="宋体" w:hAnsi="宋体" w:cs="宋体"/>
          <w:b/>
          <w:bCs/>
          <w:sz w:val="24"/>
        </w:rPr>
        <w:t>（六）履约保证金：详见招标文件。</w:t>
      </w:r>
    </w:p>
    <w:p w14:paraId="28788978">
      <w:pPr>
        <w:spacing w:line="420" w:lineRule="exact"/>
        <w:rPr>
          <w:rFonts w:ascii="宋体" w:hAnsi="宋体" w:cs="宋体"/>
          <w:b/>
          <w:bCs/>
          <w:sz w:val="24"/>
        </w:rPr>
      </w:pPr>
      <w:r>
        <w:rPr>
          <w:rFonts w:hint="eastAsia" w:ascii="宋体" w:hAnsi="宋体" w:cs="宋体"/>
          <w:b/>
          <w:bCs/>
          <w:sz w:val="24"/>
        </w:rPr>
        <w:t>（七）服务要求</w:t>
      </w:r>
    </w:p>
    <w:p w14:paraId="2A443B7C">
      <w:pPr>
        <w:spacing w:line="420" w:lineRule="exact"/>
        <w:ind w:firstLine="480" w:firstLineChars="200"/>
        <w:rPr>
          <w:rFonts w:ascii="宋体" w:hAnsi="宋体" w:cs="宋体"/>
          <w:sz w:val="24"/>
        </w:rPr>
      </w:pPr>
      <w:r>
        <w:rPr>
          <w:rFonts w:hint="eastAsia" w:ascii="宋体" w:hAnsi="宋体" w:cs="宋体"/>
          <w:sz w:val="24"/>
        </w:rPr>
        <w:t>服务期内，乙方应在充分了解甲方现有环境基础上，提供规范化、高质量的服务，具体服务内容与要求详见附件。</w:t>
      </w:r>
    </w:p>
    <w:p w14:paraId="7F1988D4">
      <w:pPr>
        <w:spacing w:line="420" w:lineRule="exact"/>
        <w:ind w:firstLine="480" w:firstLineChars="200"/>
        <w:rPr>
          <w:rFonts w:ascii="宋体" w:hAnsi="宋体" w:cs="宋体"/>
          <w:sz w:val="24"/>
        </w:rPr>
      </w:pPr>
      <w:r>
        <w:rPr>
          <w:rFonts w:hint="eastAsia" w:ascii="宋体" w:hAnsi="宋体" w:cs="宋体"/>
          <w:sz w:val="24"/>
        </w:rPr>
        <w:t>履行期限：</w:t>
      </w:r>
    </w:p>
    <w:p w14:paraId="3F69B204">
      <w:pPr>
        <w:spacing w:line="420" w:lineRule="exact"/>
        <w:ind w:firstLine="480" w:firstLineChars="200"/>
        <w:rPr>
          <w:rFonts w:ascii="宋体" w:hAnsi="宋体" w:cs="宋体"/>
          <w:sz w:val="24"/>
        </w:rPr>
      </w:pPr>
      <w:r>
        <w:rPr>
          <w:rFonts w:hint="eastAsia" w:ascii="宋体" w:hAnsi="宋体" w:cs="宋体"/>
          <w:sz w:val="24"/>
        </w:rPr>
        <w:t>履行地点：</w:t>
      </w:r>
    </w:p>
    <w:p w14:paraId="0203FC4F">
      <w:pPr>
        <w:spacing w:line="420" w:lineRule="exact"/>
        <w:rPr>
          <w:rFonts w:ascii="宋体" w:hAnsi="宋体" w:cs="宋体"/>
          <w:b/>
          <w:bCs/>
          <w:sz w:val="24"/>
        </w:rPr>
      </w:pPr>
      <w:r>
        <w:rPr>
          <w:rFonts w:hint="eastAsia" w:ascii="宋体" w:hAnsi="宋体" w:cs="宋体"/>
          <w:b/>
          <w:bCs/>
          <w:sz w:val="24"/>
        </w:rPr>
        <w:t>（八）服务人员</w:t>
      </w:r>
    </w:p>
    <w:p w14:paraId="2B077660">
      <w:pPr>
        <w:spacing w:line="420" w:lineRule="exact"/>
        <w:ind w:firstLine="480" w:firstLineChars="200"/>
        <w:rPr>
          <w:rFonts w:ascii="宋体" w:hAnsi="宋体" w:cs="宋体"/>
          <w:sz w:val="24"/>
        </w:rPr>
      </w:pPr>
      <w:r>
        <w:rPr>
          <w:rFonts w:hint="eastAsia" w:ascii="宋体" w:hAnsi="宋体" w:cs="宋体"/>
          <w:sz w:val="24"/>
        </w:rPr>
        <w:t>乙方应派遣一名具有专业知识的资深管理人员负责与甲方对接，负责本项目的项目管理，统筹相关工作，监督项目执行与情况汇报，控制工作质量，执行变更和应急情况管理，并根据实际状况调整乙方人员安排，以保证项目的正常高效运作。</w:t>
      </w:r>
    </w:p>
    <w:p w14:paraId="5F565E12">
      <w:pPr>
        <w:spacing w:line="420" w:lineRule="exact"/>
        <w:ind w:firstLine="480" w:firstLineChars="200"/>
        <w:rPr>
          <w:rFonts w:ascii="宋体" w:hAnsi="宋体" w:cs="宋体"/>
          <w:sz w:val="24"/>
        </w:rPr>
      </w:pPr>
      <w:r>
        <w:rPr>
          <w:rFonts w:hint="eastAsia" w:ascii="宋体" w:hAnsi="宋体" w:cs="宋体"/>
          <w:sz w:val="24"/>
        </w:rPr>
        <w:t>乙方应派出响应文件中指定资历和经验的专业服务人员提供服务，负责对其人员进行监督、指导和管理，甲方有权要求撤换不合格的服务人员。若乙方原因，未经甲方书面同意，乙方不得擅自更换指定的服务人员，否则甲方有权解除合同，另行安排服务商，由此造成的损失由乙方承担。</w:t>
      </w:r>
    </w:p>
    <w:p w14:paraId="6164B253">
      <w:pPr>
        <w:spacing w:line="420" w:lineRule="exact"/>
        <w:ind w:firstLine="480" w:firstLineChars="200"/>
        <w:rPr>
          <w:rFonts w:ascii="宋体" w:hAnsi="宋体" w:cs="宋体"/>
          <w:sz w:val="24"/>
        </w:rPr>
      </w:pPr>
      <w:r>
        <w:rPr>
          <w:rFonts w:hint="eastAsia" w:ascii="宋体" w:hAnsi="宋体" w:cs="宋体"/>
          <w:sz w:val="24"/>
        </w:rPr>
        <w:t>甲乙双方指定代表，作为履行本合同服务事宜的主要联系人。</w:t>
      </w:r>
    </w:p>
    <w:p w14:paraId="7E8F8E07">
      <w:pPr>
        <w:spacing w:line="420" w:lineRule="exact"/>
        <w:ind w:firstLine="480" w:firstLineChars="200"/>
        <w:rPr>
          <w:rFonts w:ascii="宋体" w:hAnsi="宋体" w:cs="宋体"/>
          <w:sz w:val="24"/>
          <w:u w:val="single"/>
        </w:rPr>
      </w:pPr>
      <w:r>
        <w:rPr>
          <w:rFonts w:hint="eastAsia" w:ascii="宋体" w:hAnsi="宋体" w:cs="宋体"/>
          <w:sz w:val="24"/>
        </w:rPr>
        <w:t>甲方代表：电话：</w:t>
      </w:r>
    </w:p>
    <w:p w14:paraId="20A6DCA1">
      <w:pPr>
        <w:spacing w:line="420" w:lineRule="exact"/>
        <w:ind w:firstLine="480" w:firstLineChars="200"/>
        <w:rPr>
          <w:rFonts w:ascii="宋体" w:hAnsi="宋体" w:cs="宋体"/>
          <w:sz w:val="24"/>
          <w:u w:val="single"/>
        </w:rPr>
      </w:pPr>
      <w:r>
        <w:rPr>
          <w:rFonts w:hint="eastAsia" w:ascii="宋体" w:hAnsi="宋体" w:cs="宋体"/>
          <w:sz w:val="24"/>
        </w:rPr>
        <w:t>乙方代表：电话：</w:t>
      </w:r>
    </w:p>
    <w:p w14:paraId="3BD8CE56">
      <w:pPr>
        <w:spacing w:line="420" w:lineRule="exact"/>
        <w:rPr>
          <w:rFonts w:ascii="宋体" w:hAnsi="宋体" w:cs="宋体"/>
          <w:b/>
          <w:bCs/>
          <w:sz w:val="24"/>
        </w:rPr>
      </w:pPr>
      <w:r>
        <w:rPr>
          <w:rFonts w:hint="eastAsia" w:ascii="宋体" w:hAnsi="宋体" w:cs="宋体"/>
          <w:b/>
          <w:bCs/>
          <w:sz w:val="24"/>
        </w:rPr>
        <w:t>（九）服务考核</w:t>
      </w:r>
    </w:p>
    <w:p w14:paraId="44F19D75">
      <w:pPr>
        <w:spacing w:line="420" w:lineRule="exact"/>
        <w:ind w:firstLine="480" w:firstLineChars="200"/>
        <w:rPr>
          <w:rFonts w:ascii="宋体" w:hAnsi="宋体" w:cs="宋体"/>
          <w:sz w:val="24"/>
        </w:rPr>
      </w:pPr>
      <w:r>
        <w:rPr>
          <w:rFonts w:hint="eastAsia" w:ascii="宋体" w:hAnsi="宋体" w:cs="宋体"/>
          <w:sz w:val="24"/>
        </w:rPr>
        <w:t>甲方对乙方服务质量进行客观评估，具体考核办法（如有）作为合同附件。</w:t>
      </w:r>
    </w:p>
    <w:p w14:paraId="77B4056C">
      <w:pPr>
        <w:spacing w:line="420" w:lineRule="exact"/>
        <w:ind w:firstLine="480" w:firstLineChars="200"/>
        <w:rPr>
          <w:rFonts w:ascii="宋体" w:hAnsi="宋体" w:cs="宋体"/>
          <w:sz w:val="24"/>
        </w:rPr>
      </w:pPr>
      <w:r>
        <w:rPr>
          <w:rFonts w:hint="eastAsia" w:ascii="宋体" w:hAnsi="宋体" w:cs="宋体"/>
          <w:sz w:val="24"/>
        </w:rPr>
        <w:t>项目完成后，乙方应及时向甲方发出书面履约完成通知，甲方在收到乙方履约完成通知后，按《浙江省财政厅关于印发浙江省政府采购合同暂行办法的通知》（浙财采监〔2017〕11 号）相关规定组织验收。验收小组完成验收后应出具验收书，验收书应包括每一项技术、服务、安全等标准的履约情况。</w:t>
      </w:r>
    </w:p>
    <w:p w14:paraId="6B60E9ED">
      <w:pPr>
        <w:spacing w:line="420" w:lineRule="exact"/>
        <w:rPr>
          <w:rFonts w:ascii="宋体" w:hAnsi="宋体" w:cs="宋体"/>
          <w:b/>
          <w:bCs/>
          <w:sz w:val="24"/>
        </w:rPr>
      </w:pPr>
      <w:r>
        <w:rPr>
          <w:rFonts w:hint="eastAsia" w:ascii="宋体" w:hAnsi="宋体" w:cs="宋体"/>
          <w:b/>
          <w:bCs/>
          <w:sz w:val="24"/>
        </w:rPr>
        <w:t>（十）违约责任</w:t>
      </w:r>
    </w:p>
    <w:p w14:paraId="64D46858">
      <w:pPr>
        <w:spacing w:line="312" w:lineRule="auto"/>
        <w:ind w:firstLine="480" w:firstLineChars="200"/>
        <w:rPr>
          <w:rFonts w:ascii="宋体" w:hAnsi="宋体" w:cs="宋体"/>
          <w:sz w:val="24"/>
        </w:rPr>
      </w:pPr>
      <w:r>
        <w:rPr>
          <w:rFonts w:hint="eastAsia" w:ascii="宋体" w:hAnsi="宋体" w:cs="宋体"/>
          <w:sz w:val="24"/>
        </w:rPr>
        <w:t>除合同规定的不可抗力外，如果乙方没有按照合同规定的时间提供（货物）服务，甲方可要求乙方支付违约金。违约金按合同价的</w:t>
      </w:r>
      <w:r>
        <w:rPr>
          <w:rFonts w:hint="eastAsia" w:ascii="宋体" w:hAnsi="宋体" w:cs="宋体"/>
          <w:sz w:val="24"/>
          <w:u w:val="single"/>
        </w:rPr>
        <w:t>1</w:t>
      </w:r>
      <w:r>
        <w:rPr>
          <w:rFonts w:hint="eastAsia" w:ascii="宋体" w:hAnsi="宋体" w:cs="宋体"/>
          <w:sz w:val="24"/>
        </w:rPr>
        <w:t>%计收。但违约金的最高限额为合同价的</w:t>
      </w:r>
      <w:r>
        <w:rPr>
          <w:rFonts w:hint="eastAsia" w:ascii="宋体" w:hAnsi="宋体" w:cs="宋体"/>
          <w:sz w:val="24"/>
          <w:u w:val="single"/>
        </w:rPr>
        <w:t>3</w:t>
      </w:r>
      <w:r>
        <w:rPr>
          <w:rFonts w:hint="eastAsia" w:ascii="宋体" w:hAnsi="宋体" w:cs="宋体"/>
          <w:sz w:val="24"/>
        </w:rPr>
        <w:t>%。一周按 7 天计算，不足 7 天按一周计算。如果达到最高限额，甲方有权解除合同。</w:t>
      </w:r>
    </w:p>
    <w:p w14:paraId="5A70F2F6">
      <w:pPr>
        <w:spacing w:line="312" w:lineRule="auto"/>
        <w:ind w:firstLine="480" w:firstLineChars="200"/>
        <w:rPr>
          <w:rFonts w:ascii="宋体" w:hAnsi="宋体" w:cs="宋体"/>
          <w:sz w:val="24"/>
        </w:rPr>
      </w:pPr>
      <w:r>
        <w:rPr>
          <w:rFonts w:hint="eastAsia" w:ascii="宋体" w:hAnsi="宋体" w:cs="宋体"/>
          <w:sz w:val="24"/>
        </w:rPr>
        <w:t>项目结束时验收不合格，乙方应在收到甲方通知后</w:t>
      </w:r>
      <w:r>
        <w:rPr>
          <w:rFonts w:hint="eastAsia" w:ascii="宋体" w:hAnsi="宋体" w:cs="宋体"/>
          <w:sz w:val="24"/>
          <w:u w:val="single"/>
        </w:rPr>
        <w:t xml:space="preserve"> 7 </w:t>
      </w:r>
      <w:r>
        <w:rPr>
          <w:rFonts w:hint="eastAsia" w:ascii="宋体" w:hAnsi="宋体" w:cs="宋体"/>
          <w:sz w:val="24"/>
        </w:rPr>
        <w:t>日内退还甲方已支付的合同款，逾期退还合同款的，每日按未退还金额的</w:t>
      </w:r>
      <w:r>
        <w:rPr>
          <w:rFonts w:hint="eastAsia" w:ascii="宋体" w:hAnsi="宋体" w:cs="宋体"/>
          <w:sz w:val="24"/>
          <w:u w:val="single"/>
        </w:rPr>
        <w:t>1</w:t>
      </w:r>
      <w:r>
        <w:rPr>
          <w:rFonts w:hint="eastAsia" w:ascii="宋体" w:hAnsi="宋体" w:cs="宋体"/>
          <w:sz w:val="24"/>
        </w:rPr>
        <w:t>%支付违约金。</w:t>
      </w:r>
    </w:p>
    <w:p w14:paraId="2392EC99">
      <w:pPr>
        <w:spacing w:line="312" w:lineRule="auto"/>
        <w:ind w:firstLine="480" w:firstLineChars="200"/>
        <w:rPr>
          <w:rFonts w:ascii="宋体" w:hAnsi="宋体" w:cs="宋体"/>
          <w:sz w:val="24"/>
        </w:rPr>
      </w:pPr>
      <w:r>
        <w:rPr>
          <w:rFonts w:hint="eastAsia" w:ascii="宋体" w:hAnsi="宋体" w:cs="宋体"/>
          <w:sz w:val="24"/>
        </w:rPr>
        <w:t>其他违约条款双方协商确定：</w:t>
      </w:r>
      <w:r>
        <w:rPr>
          <w:rFonts w:hint="eastAsia" w:ascii="宋体" w:hAnsi="宋体" w:cs="宋体"/>
          <w:sz w:val="24"/>
          <w:u w:val="single"/>
        </w:rPr>
        <w:t xml:space="preserve">  如甲方未按约定支付款项的，应向乙方支付逾期利息，利率为合同订立时1年期贷款市场报价利率。 </w:t>
      </w:r>
    </w:p>
    <w:p w14:paraId="5CD10D6F">
      <w:pPr>
        <w:spacing w:line="420" w:lineRule="exact"/>
        <w:rPr>
          <w:rFonts w:ascii="宋体" w:hAnsi="宋体" w:cs="宋体"/>
          <w:b/>
          <w:bCs/>
          <w:sz w:val="24"/>
        </w:rPr>
      </w:pPr>
      <w:r>
        <w:rPr>
          <w:rFonts w:hint="eastAsia" w:ascii="宋体" w:hAnsi="宋体" w:cs="宋体"/>
          <w:b/>
          <w:bCs/>
          <w:sz w:val="24"/>
        </w:rPr>
        <w:t>（十一）解决争议的方法</w:t>
      </w:r>
    </w:p>
    <w:p w14:paraId="32F5DF22">
      <w:pPr>
        <w:spacing w:line="420" w:lineRule="exact"/>
        <w:ind w:firstLine="480" w:firstLineChars="200"/>
        <w:rPr>
          <w:rFonts w:ascii="宋体" w:hAnsi="宋体" w:cs="宋体"/>
          <w:sz w:val="24"/>
        </w:rPr>
      </w:pPr>
      <w:r>
        <w:rPr>
          <w:rFonts w:hint="eastAsia" w:ascii="宋体" w:hAnsi="宋体" w:cs="宋体"/>
          <w:sz w:val="24"/>
        </w:rPr>
        <w:t>因合同履行中发生的争议，可通过合同当事人双方友好协商解决。如自协商开始之起 15 日内得不到解决，双方应将争议提交政府采购监管部门调解。调解不成的，可向</w:t>
      </w:r>
      <w:r>
        <w:rPr>
          <w:rFonts w:hint="eastAsia" w:ascii="宋体" w:hAnsi="宋体" w:cs="宋体"/>
          <w:sz w:val="24"/>
          <w:u w:val="single"/>
        </w:rPr>
        <w:t>诸暨市</w:t>
      </w:r>
      <w:r>
        <w:rPr>
          <w:rFonts w:hint="eastAsia" w:ascii="宋体" w:hAnsi="宋体" w:cs="宋体"/>
          <w:sz w:val="24"/>
        </w:rPr>
        <w:t>人民法院起诉。诉讼费用除人民法院另有裁决外，应由败诉方负担。</w:t>
      </w:r>
    </w:p>
    <w:p w14:paraId="7744BD56">
      <w:pPr>
        <w:spacing w:line="420" w:lineRule="exact"/>
        <w:rPr>
          <w:rFonts w:ascii="宋体" w:hAnsi="宋体" w:cs="宋体"/>
          <w:b/>
          <w:bCs/>
          <w:sz w:val="24"/>
        </w:rPr>
      </w:pPr>
      <w:r>
        <w:rPr>
          <w:rFonts w:hint="eastAsia" w:ascii="宋体" w:hAnsi="宋体" w:cs="宋体"/>
          <w:b/>
          <w:bCs/>
          <w:sz w:val="24"/>
        </w:rPr>
        <w:t>（十二）违约解除合同</w:t>
      </w:r>
    </w:p>
    <w:p w14:paraId="1569D3B7">
      <w:pPr>
        <w:spacing w:line="420" w:lineRule="exact"/>
        <w:ind w:firstLine="480" w:firstLineChars="200"/>
        <w:rPr>
          <w:rFonts w:ascii="宋体" w:hAnsi="宋体" w:cs="宋体"/>
          <w:sz w:val="24"/>
        </w:rPr>
      </w:pPr>
      <w:r>
        <w:rPr>
          <w:rFonts w:hint="eastAsia" w:ascii="宋体" w:hAnsi="宋体" w:cs="宋体"/>
          <w:sz w:val="24"/>
        </w:rPr>
        <w:t>1.在乙方违约的情况下，甲方可向乙方发出书面通知，部分或全部终止合同,同时保留向乙方追诉的权利：</w:t>
      </w:r>
    </w:p>
    <w:p w14:paraId="1640C8C2">
      <w:pPr>
        <w:spacing w:line="420" w:lineRule="exact"/>
        <w:ind w:firstLine="480" w:firstLineChars="200"/>
        <w:rPr>
          <w:rFonts w:ascii="宋体" w:hAnsi="宋体" w:cs="宋体"/>
          <w:sz w:val="24"/>
        </w:rPr>
      </w:pPr>
      <w:r>
        <w:rPr>
          <w:rFonts w:hint="eastAsia" w:ascii="宋体" w:hAnsi="宋体" w:cs="宋体"/>
          <w:sz w:val="24"/>
        </w:rPr>
        <w:t>乙方未能在合同规定的限期或甲方同意延长的限期内，提供全部或部分标的物的；</w:t>
      </w:r>
    </w:p>
    <w:p w14:paraId="2BF4928A">
      <w:pPr>
        <w:spacing w:line="420" w:lineRule="exact"/>
        <w:ind w:firstLine="480" w:firstLineChars="200"/>
        <w:rPr>
          <w:rFonts w:ascii="宋体" w:hAnsi="宋体" w:cs="宋体"/>
          <w:sz w:val="24"/>
        </w:rPr>
      </w:pPr>
      <w:r>
        <w:rPr>
          <w:rFonts w:hint="eastAsia" w:ascii="宋体" w:hAnsi="宋体" w:cs="宋体"/>
          <w:sz w:val="24"/>
        </w:rPr>
        <w:t>乙方未能履行合同规定的其它主要义务的；</w:t>
      </w:r>
    </w:p>
    <w:p w14:paraId="41869255">
      <w:pPr>
        <w:spacing w:line="420" w:lineRule="exact"/>
        <w:ind w:firstLine="480" w:firstLineChars="200"/>
        <w:rPr>
          <w:rFonts w:ascii="宋体" w:hAnsi="宋体" w:cs="宋体"/>
          <w:sz w:val="24"/>
        </w:rPr>
      </w:pPr>
      <w:r>
        <w:rPr>
          <w:rFonts w:hint="eastAsia" w:ascii="宋体" w:hAnsi="宋体" w:cs="宋体"/>
          <w:sz w:val="24"/>
        </w:rPr>
        <w:t>甲方认为乙方在本合同履行过程中有腐败和欺诈等行为的。</w:t>
      </w:r>
    </w:p>
    <w:p w14:paraId="500F2F6B">
      <w:pPr>
        <w:spacing w:line="420" w:lineRule="exact"/>
        <w:ind w:firstLine="480" w:firstLineChars="200"/>
        <w:rPr>
          <w:rFonts w:ascii="宋体" w:hAnsi="宋体" w:cs="宋体"/>
          <w:sz w:val="24"/>
        </w:rPr>
      </w:pPr>
      <w:r>
        <w:rPr>
          <w:rFonts w:hint="eastAsia" w:ascii="宋体" w:hAnsi="宋体" w:cs="宋体"/>
          <w:sz w:val="24"/>
        </w:rPr>
        <w:t>2.甲方解除合同的，合同于甲方发出书面解除合同通知书送达乙方之日起解除。乙方应在合同解除后</w:t>
      </w:r>
      <w:r>
        <w:rPr>
          <w:rFonts w:hint="eastAsia" w:ascii="宋体" w:hAnsi="宋体" w:cs="宋体"/>
          <w:sz w:val="24"/>
          <w:u w:val="single"/>
        </w:rPr>
        <w:t xml:space="preserve"> 7 </w:t>
      </w:r>
      <w:r>
        <w:rPr>
          <w:rFonts w:hint="eastAsia" w:ascii="宋体" w:hAnsi="宋体" w:cs="宋体"/>
          <w:sz w:val="24"/>
        </w:rPr>
        <w:t>日内退还甲方已支付的合同款，逾期退还合同款的，每日按未退还金额的 %支付违约金。</w:t>
      </w:r>
    </w:p>
    <w:p w14:paraId="2EE9251E">
      <w:pPr>
        <w:spacing w:line="420" w:lineRule="exact"/>
        <w:rPr>
          <w:rFonts w:ascii="宋体" w:hAnsi="宋体" w:cs="宋体"/>
          <w:b/>
          <w:bCs/>
          <w:sz w:val="24"/>
        </w:rPr>
      </w:pPr>
      <w:r>
        <w:rPr>
          <w:rFonts w:hint="eastAsia" w:ascii="宋体" w:hAnsi="宋体" w:cs="宋体"/>
          <w:b/>
          <w:bCs/>
          <w:sz w:val="24"/>
        </w:rPr>
        <w:t>（十三）破产终止合同</w:t>
      </w:r>
    </w:p>
    <w:p w14:paraId="6DED8FCE">
      <w:pPr>
        <w:spacing w:line="420" w:lineRule="exact"/>
        <w:ind w:firstLine="480" w:firstLineChars="200"/>
        <w:rPr>
          <w:rFonts w:ascii="宋体" w:hAnsi="宋体" w:cs="宋体"/>
          <w:sz w:val="24"/>
        </w:rPr>
      </w:pPr>
      <w:r>
        <w:rPr>
          <w:rFonts w:hint="eastAsia" w:ascii="宋体" w:hAnsi="宋体" w:cs="宋体"/>
          <w:sz w:val="24"/>
        </w:rPr>
        <w:t>如果乙方破产或无清偿能力时，甲方经报同级政府采购监督管理部门审批同意后，可在任何时候以书面通知乙方，提出终止合同而不给乙方补偿。该合同的终止将不损害或不影响甲方已经采取或将要采取任何行动或补救措施的权利。</w:t>
      </w:r>
    </w:p>
    <w:p w14:paraId="1FEE5C99">
      <w:pPr>
        <w:spacing w:line="420" w:lineRule="exact"/>
        <w:rPr>
          <w:rFonts w:ascii="宋体" w:hAnsi="宋体" w:cs="宋体"/>
          <w:b/>
          <w:bCs/>
          <w:sz w:val="24"/>
        </w:rPr>
      </w:pPr>
      <w:r>
        <w:rPr>
          <w:rFonts w:hint="eastAsia" w:ascii="宋体" w:hAnsi="宋体" w:cs="宋体"/>
          <w:b/>
          <w:bCs/>
          <w:sz w:val="24"/>
        </w:rPr>
        <w:t>（十四）转让和分包</w:t>
      </w:r>
    </w:p>
    <w:p w14:paraId="56DC9CC6">
      <w:pPr>
        <w:spacing w:line="420" w:lineRule="exact"/>
        <w:ind w:firstLine="480" w:firstLineChars="200"/>
        <w:rPr>
          <w:rFonts w:ascii="宋体" w:hAnsi="宋体" w:cs="宋体"/>
          <w:sz w:val="24"/>
        </w:rPr>
      </w:pPr>
      <w:r>
        <w:rPr>
          <w:rFonts w:hint="eastAsia" w:ascii="宋体" w:hAnsi="宋体" w:cs="宋体"/>
          <w:sz w:val="24"/>
        </w:rPr>
        <w:t>1.政府采购合同不能转让。</w:t>
      </w:r>
    </w:p>
    <w:p w14:paraId="3AB63F26">
      <w:pPr>
        <w:spacing w:line="420" w:lineRule="exact"/>
        <w:ind w:firstLine="480" w:firstLineChars="200"/>
        <w:rPr>
          <w:rFonts w:ascii="宋体" w:hAnsi="宋体" w:cs="宋体"/>
          <w:sz w:val="24"/>
        </w:rPr>
      </w:pPr>
      <w:r>
        <w:rPr>
          <w:rFonts w:hint="eastAsia" w:ascii="宋体" w:hAnsi="宋体" w:cs="宋体"/>
          <w:sz w:val="24"/>
        </w:rPr>
        <w:t>2.本项目内容</w:t>
      </w:r>
      <w:r>
        <w:rPr>
          <w:rFonts w:hint="eastAsia" w:ascii="宋体" w:hAnsi="宋体" w:cs="宋体"/>
          <w:sz w:val="24"/>
          <w:u w:val="single"/>
        </w:rPr>
        <w:t>不</w:t>
      </w:r>
      <w:r>
        <w:rPr>
          <w:rFonts w:hint="eastAsia" w:ascii="宋体" w:hAnsi="宋体" w:cs="宋体"/>
          <w:sz w:val="24"/>
        </w:rPr>
        <w:t>允许分包（按照招标文件要求）。</w:t>
      </w:r>
    </w:p>
    <w:p w14:paraId="07C1CDEA">
      <w:pPr>
        <w:spacing w:line="420" w:lineRule="exact"/>
        <w:rPr>
          <w:rFonts w:ascii="宋体" w:hAnsi="宋体" w:cs="宋体"/>
          <w:b/>
          <w:bCs/>
          <w:sz w:val="24"/>
        </w:rPr>
      </w:pPr>
      <w:r>
        <w:rPr>
          <w:rFonts w:hint="eastAsia" w:ascii="宋体" w:hAnsi="宋体" w:cs="宋体"/>
          <w:b/>
          <w:bCs/>
          <w:sz w:val="24"/>
        </w:rPr>
        <w:t>（十五）合同变更、解除</w:t>
      </w:r>
    </w:p>
    <w:p w14:paraId="61D2D48D">
      <w:pPr>
        <w:spacing w:line="420" w:lineRule="exact"/>
        <w:ind w:firstLine="480" w:firstLineChars="200"/>
        <w:rPr>
          <w:rFonts w:ascii="宋体" w:hAnsi="宋体" w:cs="宋体"/>
          <w:sz w:val="24"/>
        </w:rPr>
      </w:pPr>
      <w:r>
        <w:rPr>
          <w:rFonts w:hint="eastAsia" w:ascii="宋体" w:hAnsi="宋体" w:cs="宋体"/>
          <w:sz w:val="24"/>
        </w:rPr>
        <w:t>甲方和乙方都不得擅自中止或终止本合同，但合同继续履行将损害国家和社会公共利益的除外。不得擅自变更本合同，如必须对合同条款进行改动时，当事人双方须共同签署书面文件，做为合同的补充，并报同级政府采购监督管理部门批准和备案。</w:t>
      </w:r>
    </w:p>
    <w:p w14:paraId="5B5B1504">
      <w:pPr>
        <w:spacing w:line="420" w:lineRule="exact"/>
        <w:rPr>
          <w:rFonts w:ascii="宋体" w:hAnsi="宋体" w:cs="宋体"/>
          <w:b/>
          <w:bCs/>
          <w:sz w:val="24"/>
        </w:rPr>
      </w:pPr>
      <w:r>
        <w:rPr>
          <w:rFonts w:hint="eastAsia" w:ascii="宋体" w:hAnsi="宋体" w:cs="宋体"/>
          <w:b/>
          <w:bCs/>
          <w:sz w:val="24"/>
        </w:rPr>
        <w:t>（十六）通知</w:t>
      </w:r>
    </w:p>
    <w:p w14:paraId="41BA8B71">
      <w:pPr>
        <w:spacing w:line="420" w:lineRule="exact"/>
        <w:ind w:firstLine="480" w:firstLineChars="200"/>
        <w:rPr>
          <w:rFonts w:ascii="宋体" w:hAnsi="宋体" w:cs="宋体"/>
          <w:sz w:val="24"/>
        </w:rPr>
      </w:pPr>
      <w:r>
        <w:rPr>
          <w:rFonts w:hint="eastAsia" w:ascii="宋体" w:hAnsi="宋体" w:cs="宋体"/>
          <w:sz w:val="24"/>
        </w:rPr>
        <w:t>本合同任何一方给另一方的通知，都应以书面形式发送，而另一方也应以书面形式确认并发送到对方明确的地址。</w:t>
      </w:r>
    </w:p>
    <w:p w14:paraId="3C841F1B">
      <w:pPr>
        <w:spacing w:line="420" w:lineRule="exact"/>
        <w:rPr>
          <w:rFonts w:ascii="宋体" w:hAnsi="宋体" w:cs="宋体"/>
          <w:b/>
          <w:bCs/>
          <w:sz w:val="24"/>
        </w:rPr>
      </w:pPr>
      <w:r>
        <w:rPr>
          <w:rFonts w:hint="eastAsia" w:ascii="宋体" w:hAnsi="宋体" w:cs="宋体"/>
          <w:b/>
          <w:bCs/>
          <w:sz w:val="24"/>
        </w:rPr>
        <w:t>（十七）计量单位</w:t>
      </w:r>
    </w:p>
    <w:p w14:paraId="4B3F22FA">
      <w:pPr>
        <w:spacing w:line="420" w:lineRule="exact"/>
        <w:ind w:firstLine="480" w:firstLineChars="200"/>
        <w:rPr>
          <w:rFonts w:ascii="宋体" w:hAnsi="宋体" w:cs="宋体"/>
          <w:sz w:val="24"/>
        </w:rPr>
      </w:pPr>
      <w:r>
        <w:rPr>
          <w:rFonts w:hint="eastAsia" w:ascii="宋体" w:hAnsi="宋体" w:cs="宋体"/>
          <w:sz w:val="24"/>
        </w:rPr>
        <w:t>除技术规范中另有规定外，计量单位均使用国家法定计量单位。</w:t>
      </w:r>
    </w:p>
    <w:p w14:paraId="72D6FDCA">
      <w:pPr>
        <w:spacing w:line="420" w:lineRule="exact"/>
        <w:rPr>
          <w:rFonts w:ascii="宋体" w:hAnsi="宋体" w:cs="宋体"/>
          <w:b/>
          <w:bCs/>
          <w:sz w:val="24"/>
        </w:rPr>
      </w:pPr>
      <w:r>
        <w:rPr>
          <w:rFonts w:hint="eastAsia" w:ascii="宋体" w:hAnsi="宋体" w:cs="宋体"/>
          <w:b/>
          <w:bCs/>
          <w:sz w:val="24"/>
        </w:rPr>
        <w:t>（十八）不可抗力</w:t>
      </w:r>
    </w:p>
    <w:p w14:paraId="381C1990">
      <w:pPr>
        <w:spacing w:line="420" w:lineRule="exact"/>
        <w:ind w:firstLine="480" w:firstLineChars="200"/>
        <w:rPr>
          <w:rFonts w:ascii="宋体" w:hAnsi="宋体" w:cs="宋体"/>
          <w:sz w:val="24"/>
        </w:rPr>
      </w:pPr>
      <w:r>
        <w:rPr>
          <w:rFonts w:hint="eastAsia" w:ascii="宋体" w:hAnsi="宋体" w:cs="宋体"/>
          <w:sz w:val="24"/>
        </w:rPr>
        <w:t>1.如果双方中任何一方遭遇法律规定的不可抗力，致使合同履行受阻时，履行合同的期限应予延长，延长的期限应相当于不可抗力所影响的时间。</w:t>
      </w:r>
    </w:p>
    <w:p w14:paraId="401EC4A4">
      <w:pPr>
        <w:spacing w:line="420" w:lineRule="exact"/>
        <w:ind w:firstLine="480" w:firstLineChars="200"/>
        <w:rPr>
          <w:rFonts w:ascii="宋体" w:hAnsi="宋体" w:cs="宋体"/>
          <w:sz w:val="24"/>
        </w:rPr>
      </w:pPr>
      <w:r>
        <w:rPr>
          <w:rFonts w:hint="eastAsia" w:ascii="宋体" w:hAnsi="宋体" w:cs="宋体"/>
          <w:sz w:val="24"/>
        </w:rPr>
        <w:t>2.受事故影响的一方应在不可抗力的事故发生后尽快书面形式通知另一方，并在事故发生后合同规定时间内，将有关部门出具的证明文件送达另一方。</w:t>
      </w:r>
    </w:p>
    <w:p w14:paraId="1E47C6A2">
      <w:pPr>
        <w:spacing w:line="420" w:lineRule="exact"/>
        <w:ind w:firstLine="480" w:firstLineChars="200"/>
        <w:rPr>
          <w:rFonts w:ascii="宋体" w:hAnsi="宋体" w:cs="宋体"/>
          <w:sz w:val="24"/>
        </w:rPr>
      </w:pPr>
      <w:r>
        <w:rPr>
          <w:rFonts w:hint="eastAsia" w:ascii="宋体" w:hAnsi="宋体" w:cs="宋体"/>
          <w:sz w:val="24"/>
        </w:rPr>
        <w:t>3.不可抗力使合同的某些内容有变更必要的，双方应通过协商达成进一步履行合同的协议，因不可抗力致使合同不能履行的，合同终止。</w:t>
      </w:r>
    </w:p>
    <w:p w14:paraId="305255BD">
      <w:pPr>
        <w:spacing w:line="420" w:lineRule="exact"/>
        <w:rPr>
          <w:rFonts w:ascii="宋体" w:hAnsi="宋体" w:cs="宋体"/>
          <w:b/>
          <w:bCs/>
          <w:sz w:val="24"/>
        </w:rPr>
      </w:pPr>
      <w:r>
        <w:rPr>
          <w:rFonts w:hint="eastAsia" w:ascii="宋体" w:hAnsi="宋体" w:cs="宋体"/>
          <w:b/>
          <w:bCs/>
          <w:sz w:val="24"/>
        </w:rPr>
        <w:t>（十九）合同解释</w:t>
      </w:r>
    </w:p>
    <w:p w14:paraId="10FCDF33">
      <w:pPr>
        <w:spacing w:line="420" w:lineRule="exact"/>
        <w:ind w:firstLine="480" w:firstLineChars="200"/>
        <w:rPr>
          <w:rFonts w:ascii="宋体" w:hAnsi="宋体" w:cs="宋体"/>
          <w:sz w:val="24"/>
        </w:rPr>
      </w:pPr>
      <w:r>
        <w:rPr>
          <w:rFonts w:hint="eastAsia" w:ascii="宋体" w:hAnsi="宋体" w:cs="宋体"/>
          <w:sz w:val="24"/>
        </w:rPr>
        <w:t>本合同应按照《中华人民共和国政府采购法》、《中华人民共和国民法典》等进行解释。</w:t>
      </w:r>
    </w:p>
    <w:p w14:paraId="347211FE">
      <w:pPr>
        <w:spacing w:line="420" w:lineRule="exact"/>
        <w:rPr>
          <w:rFonts w:ascii="宋体" w:hAnsi="宋体" w:cs="宋体"/>
          <w:sz w:val="24"/>
        </w:rPr>
      </w:pPr>
      <w:r>
        <w:rPr>
          <w:rFonts w:hint="eastAsia" w:ascii="宋体" w:hAnsi="宋体" w:cs="宋体"/>
          <w:b/>
          <w:bCs/>
          <w:sz w:val="24"/>
        </w:rPr>
        <w:t>（二十）合同的生效及其他</w:t>
      </w:r>
    </w:p>
    <w:p w14:paraId="6808C7A9">
      <w:pPr>
        <w:spacing w:line="420" w:lineRule="exact"/>
        <w:ind w:firstLine="480" w:firstLineChars="200"/>
        <w:rPr>
          <w:rFonts w:ascii="宋体" w:hAnsi="宋体" w:cs="宋体"/>
          <w:sz w:val="24"/>
        </w:rPr>
      </w:pPr>
      <w:r>
        <w:rPr>
          <w:rFonts w:hint="eastAsia" w:ascii="宋体" w:hAnsi="宋体" w:cs="宋体"/>
          <w:sz w:val="24"/>
        </w:rPr>
        <w:t>1、政府采购项目的采购合同内容的确定应以招标文件和投标文件为基础，不得违背其实质性内容。</w:t>
      </w:r>
    </w:p>
    <w:p w14:paraId="69B71296">
      <w:pPr>
        <w:spacing w:line="420" w:lineRule="exact"/>
        <w:ind w:firstLine="480" w:firstLineChars="200"/>
        <w:rPr>
          <w:rFonts w:ascii="宋体" w:hAnsi="宋体" w:cs="宋体"/>
          <w:sz w:val="24"/>
        </w:rPr>
      </w:pPr>
      <w:r>
        <w:rPr>
          <w:rFonts w:hint="eastAsia" w:ascii="宋体" w:hAnsi="宋体" w:cs="宋体"/>
          <w:sz w:val="24"/>
        </w:rPr>
        <w:t>2、本合同自签字盖章之日起生效。若并非乙方法定代表人签字的，建议要求委托代理人提供法定代表人签字盖章的授权委托书，经办人需妥善保管。</w:t>
      </w:r>
    </w:p>
    <w:p w14:paraId="088EEFEC">
      <w:pPr>
        <w:spacing w:line="420" w:lineRule="exact"/>
        <w:rPr>
          <w:rFonts w:ascii="宋体" w:hAnsi="宋体" w:cs="宋体"/>
          <w:b/>
          <w:bCs/>
          <w:sz w:val="24"/>
        </w:rPr>
      </w:pPr>
      <w:r>
        <w:rPr>
          <w:rFonts w:hint="eastAsia" w:ascii="宋体" w:hAnsi="宋体" w:cs="宋体"/>
          <w:b/>
          <w:bCs/>
          <w:sz w:val="24"/>
        </w:rPr>
        <w:t>（二十一）合同附件（如有）</w:t>
      </w:r>
    </w:p>
    <w:p w14:paraId="02379150">
      <w:pPr>
        <w:spacing w:line="420" w:lineRule="exact"/>
        <w:rPr>
          <w:rFonts w:ascii="宋体" w:hAnsi="宋体" w:cs="宋体"/>
          <w:b/>
          <w:bCs/>
          <w:sz w:val="24"/>
        </w:rPr>
      </w:pPr>
      <w:r>
        <w:rPr>
          <w:rFonts w:hint="eastAsia" w:ascii="宋体" w:hAnsi="宋体" w:cs="宋体"/>
          <w:b/>
          <w:bCs/>
          <w:sz w:val="24"/>
        </w:rPr>
        <w:t>（二十二）合同份数</w:t>
      </w:r>
    </w:p>
    <w:p w14:paraId="35D2350D">
      <w:pPr>
        <w:spacing w:line="360" w:lineRule="exact"/>
        <w:rPr>
          <w:rFonts w:ascii="宋体" w:hAnsi="宋体" w:cs="宋体"/>
          <w:sz w:val="24"/>
        </w:rPr>
      </w:pPr>
      <w:r>
        <w:rPr>
          <w:rFonts w:hint="eastAsia" w:ascii="宋体" w:hAnsi="宋体" w:cs="宋体"/>
          <w:sz w:val="24"/>
        </w:rPr>
        <w:t>本合同一式</w:t>
      </w:r>
      <w:r>
        <w:rPr>
          <w:rFonts w:hint="eastAsia" w:ascii="宋体" w:hAnsi="宋体" w:cs="宋体"/>
          <w:sz w:val="24"/>
          <w:u w:val="single"/>
        </w:rPr>
        <w:t>陆</w:t>
      </w:r>
      <w:r>
        <w:rPr>
          <w:rFonts w:hint="eastAsia" w:ascii="宋体" w:hAnsi="宋体" w:cs="宋体"/>
          <w:sz w:val="24"/>
        </w:rPr>
        <w:t>份，具同等法律效力。</w:t>
      </w:r>
    </w:p>
    <w:tbl>
      <w:tblPr>
        <w:tblStyle w:val="64"/>
        <w:tblW w:w="97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9"/>
        <w:gridCol w:w="4890"/>
      </w:tblGrid>
      <w:tr w14:paraId="1604B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89" w:type="dxa"/>
            <w:vAlign w:val="center"/>
          </w:tcPr>
          <w:p w14:paraId="520BAB6C">
            <w:pPr>
              <w:spacing w:line="360" w:lineRule="exact"/>
              <w:jc w:val="center"/>
              <w:rPr>
                <w:rFonts w:ascii="宋体" w:hAnsi="宋体" w:cs="宋体"/>
                <w:sz w:val="24"/>
              </w:rPr>
            </w:pPr>
            <w:r>
              <w:rPr>
                <w:rFonts w:hint="eastAsia" w:ascii="宋体" w:hAnsi="宋体" w:cs="宋体"/>
                <w:sz w:val="24"/>
              </w:rPr>
              <w:t>甲方</w:t>
            </w:r>
          </w:p>
        </w:tc>
        <w:tc>
          <w:tcPr>
            <w:tcW w:w="4890" w:type="dxa"/>
            <w:vAlign w:val="center"/>
          </w:tcPr>
          <w:p w14:paraId="1455FF81">
            <w:pPr>
              <w:spacing w:line="360" w:lineRule="exact"/>
              <w:jc w:val="center"/>
              <w:rPr>
                <w:rFonts w:ascii="宋体" w:hAnsi="宋体" w:cs="宋体"/>
                <w:sz w:val="24"/>
              </w:rPr>
            </w:pPr>
            <w:r>
              <w:rPr>
                <w:rFonts w:hint="eastAsia" w:ascii="宋体" w:hAnsi="宋体" w:cs="宋体"/>
                <w:sz w:val="24"/>
              </w:rPr>
              <w:t>乙方</w:t>
            </w:r>
          </w:p>
        </w:tc>
      </w:tr>
      <w:tr w14:paraId="3F4C3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8" w:hRule="atLeast"/>
        </w:trPr>
        <w:tc>
          <w:tcPr>
            <w:tcW w:w="4889" w:type="dxa"/>
          </w:tcPr>
          <w:p w14:paraId="050A36CA">
            <w:pPr>
              <w:spacing w:line="360" w:lineRule="exact"/>
              <w:rPr>
                <w:rFonts w:ascii="宋体" w:hAnsi="宋体" w:cs="宋体"/>
                <w:sz w:val="24"/>
              </w:rPr>
            </w:pPr>
            <w:r>
              <w:rPr>
                <w:rFonts w:hint="eastAsia" w:ascii="宋体" w:hAnsi="宋体" w:cs="宋体"/>
                <w:sz w:val="24"/>
              </w:rPr>
              <w:t>单位名称（盖章）</w:t>
            </w:r>
          </w:p>
          <w:p w14:paraId="3D5E29F2">
            <w:pPr>
              <w:spacing w:line="360" w:lineRule="exact"/>
              <w:rPr>
                <w:rFonts w:ascii="宋体" w:hAnsi="宋体" w:cs="宋体"/>
                <w:sz w:val="24"/>
              </w:rPr>
            </w:pPr>
            <w:r>
              <w:rPr>
                <w:rFonts w:hint="eastAsia" w:ascii="宋体" w:hAnsi="宋体" w:cs="宋体"/>
                <w:sz w:val="24"/>
              </w:rPr>
              <w:t>单位地址：</w:t>
            </w:r>
          </w:p>
          <w:p w14:paraId="4942B201">
            <w:pPr>
              <w:spacing w:line="360" w:lineRule="exact"/>
              <w:rPr>
                <w:rFonts w:ascii="宋体" w:hAnsi="宋体" w:cs="宋体"/>
                <w:sz w:val="24"/>
              </w:rPr>
            </w:pPr>
            <w:r>
              <w:rPr>
                <w:rFonts w:hint="eastAsia" w:ascii="宋体" w:hAnsi="宋体" w:cs="宋体"/>
                <w:sz w:val="24"/>
              </w:rPr>
              <w:t>法定代表人：</w:t>
            </w:r>
          </w:p>
          <w:p w14:paraId="62ACF239">
            <w:pPr>
              <w:spacing w:line="360" w:lineRule="exact"/>
              <w:rPr>
                <w:rFonts w:ascii="宋体" w:hAnsi="宋体" w:cs="宋体"/>
                <w:sz w:val="24"/>
              </w:rPr>
            </w:pPr>
            <w:r>
              <w:rPr>
                <w:rFonts w:hint="eastAsia" w:ascii="宋体" w:hAnsi="宋体" w:cs="宋体"/>
                <w:sz w:val="24"/>
              </w:rPr>
              <w:t>委托代理人：</w:t>
            </w:r>
          </w:p>
          <w:p w14:paraId="54517B65">
            <w:pPr>
              <w:spacing w:line="360" w:lineRule="exact"/>
              <w:rPr>
                <w:rFonts w:ascii="宋体" w:hAnsi="宋体" w:cs="宋体"/>
                <w:sz w:val="24"/>
              </w:rPr>
            </w:pPr>
            <w:r>
              <w:rPr>
                <w:rFonts w:hint="eastAsia" w:ascii="宋体" w:hAnsi="宋体" w:cs="宋体"/>
                <w:sz w:val="24"/>
              </w:rPr>
              <w:t>联系电话：</w:t>
            </w:r>
          </w:p>
          <w:p w14:paraId="0C42CFF3">
            <w:pPr>
              <w:spacing w:line="360" w:lineRule="exact"/>
              <w:rPr>
                <w:rFonts w:ascii="宋体" w:hAnsi="宋体" w:cs="宋体"/>
                <w:sz w:val="24"/>
              </w:rPr>
            </w:pPr>
            <w:r>
              <w:rPr>
                <w:rFonts w:hint="eastAsia" w:ascii="宋体" w:hAnsi="宋体" w:cs="宋体"/>
                <w:sz w:val="24"/>
              </w:rPr>
              <w:t>传真号码：</w:t>
            </w:r>
          </w:p>
          <w:p w14:paraId="79A8C379">
            <w:pPr>
              <w:spacing w:line="360" w:lineRule="exact"/>
              <w:rPr>
                <w:rFonts w:ascii="宋体" w:hAnsi="宋体" w:cs="宋体"/>
                <w:sz w:val="24"/>
              </w:rPr>
            </w:pPr>
            <w:r>
              <w:rPr>
                <w:rFonts w:hint="eastAsia" w:ascii="宋体" w:hAnsi="宋体" w:cs="宋体"/>
                <w:sz w:val="24"/>
              </w:rPr>
              <w:t>邮政编码：</w:t>
            </w:r>
          </w:p>
          <w:p w14:paraId="36EFE9CF">
            <w:pPr>
              <w:spacing w:line="360" w:lineRule="exact"/>
              <w:rPr>
                <w:rFonts w:ascii="宋体" w:hAnsi="宋体" w:cs="宋体"/>
                <w:sz w:val="24"/>
              </w:rPr>
            </w:pPr>
            <w:r>
              <w:rPr>
                <w:rFonts w:hint="eastAsia" w:ascii="宋体" w:hAnsi="宋体" w:cs="宋体"/>
                <w:sz w:val="24"/>
              </w:rPr>
              <w:t>开户银行：</w:t>
            </w:r>
          </w:p>
          <w:p w14:paraId="74F89A28">
            <w:pPr>
              <w:spacing w:line="360" w:lineRule="exact"/>
              <w:rPr>
                <w:rFonts w:ascii="宋体" w:hAnsi="宋体" w:cs="宋体"/>
                <w:sz w:val="24"/>
              </w:rPr>
            </w:pPr>
            <w:r>
              <w:rPr>
                <w:rFonts w:hint="eastAsia" w:ascii="宋体" w:hAnsi="宋体" w:cs="宋体"/>
                <w:sz w:val="24"/>
              </w:rPr>
              <w:t>账    号：</w:t>
            </w:r>
          </w:p>
          <w:p w14:paraId="5D11C90F">
            <w:pPr>
              <w:spacing w:line="360" w:lineRule="exact"/>
              <w:rPr>
                <w:rFonts w:ascii="宋体" w:hAnsi="宋体" w:cs="宋体"/>
                <w:sz w:val="24"/>
              </w:rPr>
            </w:pPr>
            <w:r>
              <w:rPr>
                <w:rFonts w:hint="eastAsia" w:ascii="宋体" w:hAnsi="宋体" w:cs="宋体"/>
                <w:sz w:val="24"/>
              </w:rPr>
              <w:t>税    号：</w:t>
            </w:r>
          </w:p>
          <w:p w14:paraId="485DDAD3">
            <w:pPr>
              <w:spacing w:line="360" w:lineRule="exact"/>
              <w:rPr>
                <w:rFonts w:ascii="宋体" w:hAnsi="宋体" w:cs="宋体"/>
                <w:sz w:val="24"/>
              </w:rPr>
            </w:pPr>
            <w:r>
              <w:rPr>
                <w:rFonts w:hint="eastAsia" w:ascii="宋体" w:hAnsi="宋体" w:cs="宋体"/>
                <w:sz w:val="24"/>
              </w:rPr>
              <w:t>签订时间：</w:t>
            </w:r>
          </w:p>
        </w:tc>
        <w:tc>
          <w:tcPr>
            <w:tcW w:w="4890" w:type="dxa"/>
          </w:tcPr>
          <w:p w14:paraId="5FE64FB5">
            <w:pPr>
              <w:spacing w:line="360" w:lineRule="exact"/>
              <w:rPr>
                <w:rFonts w:ascii="宋体" w:hAnsi="宋体" w:cs="宋体"/>
                <w:sz w:val="24"/>
              </w:rPr>
            </w:pPr>
            <w:r>
              <w:rPr>
                <w:rFonts w:hint="eastAsia" w:ascii="宋体" w:hAnsi="宋体" w:cs="宋体"/>
                <w:sz w:val="24"/>
              </w:rPr>
              <w:t>单位名称（盖章）</w:t>
            </w:r>
          </w:p>
          <w:p w14:paraId="116BB81E">
            <w:pPr>
              <w:spacing w:line="360" w:lineRule="exact"/>
              <w:rPr>
                <w:rFonts w:ascii="宋体" w:hAnsi="宋体" w:cs="宋体"/>
                <w:sz w:val="24"/>
              </w:rPr>
            </w:pPr>
            <w:r>
              <w:rPr>
                <w:rFonts w:hint="eastAsia" w:ascii="宋体" w:hAnsi="宋体" w:cs="宋体"/>
                <w:sz w:val="24"/>
              </w:rPr>
              <w:t>单位地址：</w:t>
            </w:r>
          </w:p>
          <w:p w14:paraId="4F4A3388">
            <w:pPr>
              <w:spacing w:line="360" w:lineRule="exact"/>
              <w:rPr>
                <w:rFonts w:ascii="宋体" w:hAnsi="宋体" w:cs="宋体"/>
                <w:sz w:val="24"/>
              </w:rPr>
            </w:pPr>
            <w:r>
              <w:rPr>
                <w:rFonts w:hint="eastAsia" w:ascii="宋体" w:hAnsi="宋体" w:cs="宋体"/>
                <w:sz w:val="24"/>
              </w:rPr>
              <w:t>法定代表人：</w:t>
            </w:r>
          </w:p>
          <w:p w14:paraId="38C6A926">
            <w:pPr>
              <w:spacing w:line="360" w:lineRule="exact"/>
              <w:rPr>
                <w:rFonts w:ascii="宋体" w:hAnsi="宋体" w:cs="宋体"/>
                <w:sz w:val="24"/>
              </w:rPr>
            </w:pPr>
            <w:r>
              <w:rPr>
                <w:rFonts w:hint="eastAsia" w:ascii="宋体" w:hAnsi="宋体" w:cs="宋体"/>
                <w:sz w:val="24"/>
              </w:rPr>
              <w:t>委托代理人：</w:t>
            </w:r>
          </w:p>
          <w:p w14:paraId="0CFDD9C7">
            <w:pPr>
              <w:spacing w:line="360" w:lineRule="exact"/>
              <w:rPr>
                <w:rFonts w:ascii="宋体" w:hAnsi="宋体" w:cs="宋体"/>
                <w:sz w:val="24"/>
              </w:rPr>
            </w:pPr>
            <w:r>
              <w:rPr>
                <w:rFonts w:hint="eastAsia" w:ascii="宋体" w:hAnsi="宋体" w:cs="宋体"/>
                <w:sz w:val="24"/>
              </w:rPr>
              <w:t>联系电话：</w:t>
            </w:r>
          </w:p>
          <w:p w14:paraId="62A31A16">
            <w:pPr>
              <w:spacing w:line="360" w:lineRule="exact"/>
              <w:rPr>
                <w:rFonts w:ascii="宋体" w:hAnsi="宋体" w:cs="宋体"/>
                <w:sz w:val="24"/>
              </w:rPr>
            </w:pPr>
            <w:r>
              <w:rPr>
                <w:rFonts w:hint="eastAsia" w:ascii="宋体" w:hAnsi="宋体" w:cs="宋体"/>
                <w:sz w:val="24"/>
              </w:rPr>
              <w:t>传真号码：</w:t>
            </w:r>
          </w:p>
          <w:p w14:paraId="2605D4F1">
            <w:pPr>
              <w:spacing w:line="360" w:lineRule="exact"/>
              <w:rPr>
                <w:rFonts w:ascii="宋体" w:hAnsi="宋体" w:cs="宋体"/>
                <w:sz w:val="24"/>
              </w:rPr>
            </w:pPr>
            <w:r>
              <w:rPr>
                <w:rFonts w:hint="eastAsia" w:ascii="宋体" w:hAnsi="宋体" w:cs="宋体"/>
                <w:sz w:val="24"/>
              </w:rPr>
              <w:t>邮政编码：</w:t>
            </w:r>
          </w:p>
          <w:p w14:paraId="5D1A3D45">
            <w:pPr>
              <w:spacing w:line="360" w:lineRule="exact"/>
              <w:rPr>
                <w:rFonts w:ascii="宋体" w:hAnsi="宋体" w:cs="宋体"/>
                <w:sz w:val="24"/>
              </w:rPr>
            </w:pPr>
            <w:r>
              <w:rPr>
                <w:rFonts w:hint="eastAsia" w:ascii="宋体" w:hAnsi="宋体" w:cs="宋体"/>
                <w:sz w:val="24"/>
              </w:rPr>
              <w:t>开户银行：</w:t>
            </w:r>
          </w:p>
          <w:p w14:paraId="566D486D">
            <w:pPr>
              <w:spacing w:line="360" w:lineRule="exact"/>
              <w:rPr>
                <w:rFonts w:ascii="宋体" w:hAnsi="宋体" w:cs="宋体"/>
                <w:sz w:val="24"/>
              </w:rPr>
            </w:pPr>
            <w:r>
              <w:rPr>
                <w:rFonts w:hint="eastAsia" w:ascii="宋体" w:hAnsi="宋体" w:cs="宋体"/>
                <w:sz w:val="24"/>
              </w:rPr>
              <w:t>账    号：</w:t>
            </w:r>
          </w:p>
          <w:p w14:paraId="39411558">
            <w:pPr>
              <w:spacing w:line="360" w:lineRule="exact"/>
              <w:rPr>
                <w:rFonts w:ascii="宋体" w:hAnsi="宋体" w:cs="宋体"/>
                <w:sz w:val="24"/>
              </w:rPr>
            </w:pPr>
            <w:r>
              <w:rPr>
                <w:rFonts w:hint="eastAsia" w:ascii="宋体" w:hAnsi="宋体" w:cs="宋体"/>
                <w:sz w:val="24"/>
              </w:rPr>
              <w:t>税    号：</w:t>
            </w:r>
          </w:p>
          <w:p w14:paraId="1D1B01B0">
            <w:pPr>
              <w:spacing w:line="360" w:lineRule="exact"/>
              <w:rPr>
                <w:rFonts w:ascii="宋体" w:hAnsi="宋体" w:cs="宋体"/>
                <w:sz w:val="24"/>
              </w:rPr>
            </w:pPr>
            <w:r>
              <w:rPr>
                <w:rFonts w:hint="eastAsia" w:ascii="宋体" w:hAnsi="宋体" w:cs="宋体"/>
                <w:sz w:val="24"/>
              </w:rPr>
              <w:t>签订时间：</w:t>
            </w:r>
          </w:p>
        </w:tc>
      </w:tr>
    </w:tbl>
    <w:p w14:paraId="705E3F18">
      <w:pPr>
        <w:spacing w:line="360" w:lineRule="exact"/>
        <w:rPr>
          <w:rFonts w:ascii="宋体" w:hAnsi="宋体" w:cs="宋体"/>
          <w:b/>
          <w:sz w:val="24"/>
        </w:rPr>
      </w:pPr>
      <w:r>
        <w:rPr>
          <w:rFonts w:hint="eastAsia" w:ascii="宋体" w:hAnsi="宋体" w:cs="宋体"/>
          <w:b/>
          <w:sz w:val="24"/>
        </w:rPr>
        <w:t>注：</w:t>
      </w:r>
    </w:p>
    <w:p w14:paraId="61D0BBE9">
      <w:pPr>
        <w:spacing w:line="360" w:lineRule="exact"/>
        <w:ind w:firstLine="482" w:firstLineChars="200"/>
        <w:rPr>
          <w:rFonts w:ascii="宋体" w:hAnsi="宋体" w:cs="宋体"/>
          <w:b/>
          <w:sz w:val="24"/>
        </w:rPr>
      </w:pPr>
      <w:r>
        <w:rPr>
          <w:rFonts w:hint="eastAsia" w:ascii="宋体" w:hAnsi="宋体" w:cs="宋体"/>
          <w:b/>
          <w:sz w:val="24"/>
        </w:rPr>
        <w:t>1、如本合同条款与招标文件中实质性内容不相符，以招标文件规定为准，在签订前进行调整。</w:t>
      </w:r>
    </w:p>
    <w:p w14:paraId="0B7BF6D0">
      <w:pPr>
        <w:spacing w:line="360" w:lineRule="exact"/>
        <w:ind w:firstLine="482" w:firstLineChars="200"/>
        <w:rPr>
          <w:rFonts w:ascii="宋体" w:hAnsi="宋体" w:cs="宋体"/>
          <w:b/>
          <w:sz w:val="24"/>
        </w:rPr>
      </w:pPr>
      <w:r>
        <w:rPr>
          <w:rFonts w:hint="eastAsia" w:ascii="宋体" w:hAnsi="宋体" w:cs="宋体"/>
          <w:b/>
          <w:sz w:val="24"/>
        </w:rPr>
        <w:t>2、在正式签订前，应根据招标文件要求、投标文件承诺及项目实际情况拟定更为详尽的合同书。</w:t>
      </w:r>
    </w:p>
    <w:p w14:paraId="00EBFF58">
      <w:pPr>
        <w:spacing w:line="360" w:lineRule="auto"/>
        <w:jc w:val="center"/>
        <w:outlineLvl w:val="0"/>
        <w:rPr>
          <w:rFonts w:ascii="宋体" w:hAnsi="宋体" w:cs="宋体"/>
          <w:b/>
          <w:sz w:val="24"/>
        </w:rPr>
      </w:pPr>
    </w:p>
    <w:p w14:paraId="3F3088F7">
      <w:pPr>
        <w:spacing w:line="360" w:lineRule="auto"/>
        <w:jc w:val="center"/>
        <w:outlineLvl w:val="0"/>
        <w:rPr>
          <w:rFonts w:ascii="宋体" w:hAnsi="宋体" w:cs="宋体"/>
          <w:b/>
          <w:sz w:val="36"/>
          <w:szCs w:val="20"/>
        </w:rPr>
      </w:pPr>
    </w:p>
    <w:p w14:paraId="1315DAED">
      <w:pPr>
        <w:spacing w:line="360" w:lineRule="auto"/>
        <w:jc w:val="center"/>
        <w:outlineLvl w:val="0"/>
        <w:rPr>
          <w:rFonts w:ascii="宋体" w:hAnsi="宋体" w:cs="宋体"/>
          <w:b/>
          <w:sz w:val="36"/>
          <w:szCs w:val="20"/>
        </w:rPr>
      </w:pPr>
    </w:p>
    <w:p w14:paraId="0963675F">
      <w:pPr>
        <w:adjustRightInd/>
        <w:spacing w:line="360" w:lineRule="auto"/>
        <w:jc w:val="center"/>
        <w:outlineLvl w:val="0"/>
        <w:rPr>
          <w:rFonts w:ascii="宋体" w:hAnsi="宋体" w:cs="宋体"/>
          <w:b/>
          <w:kern w:val="44"/>
          <w:sz w:val="36"/>
          <w:szCs w:val="36"/>
        </w:rPr>
      </w:pPr>
    </w:p>
    <w:p w14:paraId="54D0EF13">
      <w:pPr>
        <w:adjustRightInd/>
        <w:spacing w:line="360" w:lineRule="auto"/>
        <w:jc w:val="center"/>
        <w:outlineLvl w:val="0"/>
        <w:rPr>
          <w:rFonts w:ascii="宋体" w:hAnsi="宋体" w:cs="宋体"/>
          <w:b/>
          <w:kern w:val="44"/>
          <w:sz w:val="36"/>
          <w:szCs w:val="36"/>
        </w:rPr>
      </w:pPr>
    </w:p>
    <w:p w14:paraId="558AABF5">
      <w:pPr>
        <w:adjustRightInd/>
        <w:spacing w:line="360" w:lineRule="auto"/>
        <w:jc w:val="center"/>
        <w:outlineLvl w:val="0"/>
        <w:rPr>
          <w:rFonts w:ascii="宋体" w:hAnsi="宋体" w:cs="宋体"/>
          <w:b/>
          <w:kern w:val="44"/>
          <w:sz w:val="36"/>
          <w:szCs w:val="36"/>
        </w:rPr>
      </w:pPr>
    </w:p>
    <w:p w14:paraId="3C242EDF">
      <w:pPr>
        <w:adjustRightInd/>
        <w:spacing w:line="360" w:lineRule="auto"/>
        <w:jc w:val="center"/>
        <w:outlineLvl w:val="0"/>
        <w:rPr>
          <w:rFonts w:ascii="宋体" w:hAnsi="宋体" w:cs="宋体"/>
          <w:b/>
          <w:kern w:val="44"/>
          <w:sz w:val="36"/>
          <w:szCs w:val="36"/>
        </w:rPr>
      </w:pPr>
    </w:p>
    <w:p w14:paraId="5E87D79D">
      <w:pPr>
        <w:adjustRightInd/>
        <w:spacing w:line="360" w:lineRule="auto"/>
        <w:jc w:val="center"/>
        <w:outlineLvl w:val="0"/>
        <w:rPr>
          <w:rFonts w:ascii="宋体" w:hAnsi="宋体" w:cs="宋体"/>
          <w:b/>
          <w:kern w:val="44"/>
          <w:sz w:val="36"/>
          <w:szCs w:val="36"/>
        </w:rPr>
      </w:pPr>
    </w:p>
    <w:p w14:paraId="5691BB74">
      <w:pPr>
        <w:adjustRightInd/>
        <w:spacing w:line="360" w:lineRule="auto"/>
        <w:jc w:val="center"/>
        <w:outlineLvl w:val="0"/>
        <w:rPr>
          <w:rFonts w:ascii="宋体" w:hAnsi="宋体" w:cs="宋体"/>
          <w:b/>
          <w:kern w:val="44"/>
          <w:sz w:val="36"/>
          <w:szCs w:val="36"/>
        </w:rPr>
      </w:pPr>
      <w:r>
        <w:rPr>
          <w:rFonts w:hint="eastAsia" w:ascii="宋体" w:hAnsi="宋体" w:cs="宋体"/>
          <w:b/>
          <w:kern w:val="44"/>
          <w:sz w:val="36"/>
          <w:szCs w:val="36"/>
        </w:rPr>
        <w:t>第六部分</w:t>
      </w:r>
      <w:bookmarkEnd w:id="402"/>
      <w:bookmarkEnd w:id="403"/>
      <w:r>
        <w:rPr>
          <w:rFonts w:hint="eastAsia" w:ascii="宋体" w:hAnsi="宋体" w:cs="宋体"/>
          <w:b/>
          <w:kern w:val="44"/>
          <w:sz w:val="36"/>
          <w:szCs w:val="36"/>
        </w:rPr>
        <w:t>应提交的有关格式范例</w:t>
      </w:r>
    </w:p>
    <w:p w14:paraId="686300F7">
      <w:pPr>
        <w:spacing w:line="360" w:lineRule="auto"/>
        <w:jc w:val="center"/>
        <w:outlineLvl w:val="0"/>
        <w:rPr>
          <w:rFonts w:ascii="宋体" w:hAnsi="宋体" w:cs="宋体"/>
          <w:b/>
          <w:kern w:val="0"/>
          <w:sz w:val="36"/>
          <w:szCs w:val="36"/>
        </w:rPr>
      </w:pPr>
    </w:p>
    <w:p w14:paraId="21AE601B">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资格文件部分</w:t>
      </w:r>
    </w:p>
    <w:p w14:paraId="54BF6555">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目录</w:t>
      </w:r>
    </w:p>
    <w:p w14:paraId="0276EF2A">
      <w:pPr>
        <w:snapToGrid w:val="0"/>
        <w:spacing w:line="360" w:lineRule="auto"/>
        <w:rPr>
          <w:rFonts w:ascii="宋体" w:hAnsi="宋体" w:cs="宋体"/>
          <w:sz w:val="24"/>
        </w:rPr>
      </w:pPr>
    </w:p>
    <w:p w14:paraId="3715A396">
      <w:pPr>
        <w:snapToGrid w:val="0"/>
        <w:spacing w:line="360" w:lineRule="auto"/>
        <w:rPr>
          <w:rFonts w:ascii="宋体" w:hAnsi="宋体" w:cs="宋体"/>
          <w:sz w:val="24"/>
        </w:rPr>
      </w:pPr>
      <w:r>
        <w:rPr>
          <w:rFonts w:hint="eastAsia" w:ascii="宋体" w:hAnsi="宋体" w:cs="宋体"/>
          <w:sz w:val="24"/>
        </w:rPr>
        <w:t>（1）营业执照或事业法人证书复印件（加盖单位公章）…………………………（页码）</w:t>
      </w:r>
    </w:p>
    <w:p w14:paraId="7C1032ED">
      <w:pPr>
        <w:snapToGrid w:val="0"/>
        <w:spacing w:line="360" w:lineRule="auto"/>
        <w:rPr>
          <w:rFonts w:ascii="宋体" w:hAnsi="宋体" w:cs="宋体"/>
          <w:sz w:val="24"/>
        </w:rPr>
      </w:pPr>
      <w:r>
        <w:rPr>
          <w:rFonts w:hint="eastAsia" w:ascii="宋体" w:hAnsi="宋体" w:cs="宋体"/>
          <w:sz w:val="24"/>
        </w:rPr>
        <w:t>（2）符合参加政府采购活动应当具备的一般条件的承诺函………………………（页码）</w:t>
      </w:r>
    </w:p>
    <w:p w14:paraId="7773976E">
      <w:pPr>
        <w:snapToGrid w:val="0"/>
        <w:spacing w:line="360" w:lineRule="auto"/>
        <w:rPr>
          <w:rFonts w:ascii="宋体" w:hAnsi="宋体" w:cs="宋体"/>
          <w:sz w:val="24"/>
        </w:rPr>
      </w:pPr>
      <w:r>
        <w:rPr>
          <w:rFonts w:hint="eastAsia" w:ascii="宋体" w:hAnsi="宋体" w:cs="宋体"/>
          <w:sz w:val="24"/>
        </w:rPr>
        <w:t>（3）落实政府采购政策需满足的资格要求（如需）………………………………（页码）</w:t>
      </w:r>
    </w:p>
    <w:p w14:paraId="52D4CBCE">
      <w:pPr>
        <w:snapToGrid w:val="0"/>
        <w:spacing w:line="360" w:lineRule="auto"/>
        <w:rPr>
          <w:rFonts w:ascii="宋体" w:hAnsi="宋体" w:cs="宋体"/>
          <w:sz w:val="24"/>
        </w:rPr>
      </w:pPr>
      <w:r>
        <w:rPr>
          <w:rFonts w:hint="eastAsia" w:ascii="宋体" w:hAnsi="宋体" w:cs="宋体"/>
          <w:sz w:val="24"/>
        </w:rPr>
        <w:t>（4）本项目的特定资格要求（如需）………………………………………………（页码）</w:t>
      </w:r>
    </w:p>
    <w:p w14:paraId="6F8EB99C">
      <w:pPr>
        <w:snapToGrid w:val="0"/>
        <w:spacing w:line="360" w:lineRule="auto"/>
        <w:ind w:firstLine="480" w:firstLineChars="200"/>
        <w:rPr>
          <w:rFonts w:ascii="宋体" w:hAnsi="宋体" w:cs="宋体"/>
          <w:sz w:val="24"/>
        </w:rPr>
      </w:pPr>
    </w:p>
    <w:p w14:paraId="7DBB680E">
      <w:pPr>
        <w:spacing w:line="360" w:lineRule="auto"/>
        <w:ind w:firstLine="480" w:firstLineChars="200"/>
        <w:rPr>
          <w:rFonts w:ascii="宋体" w:hAnsi="宋体" w:cs="宋体"/>
          <w:sz w:val="24"/>
        </w:rPr>
      </w:pPr>
    </w:p>
    <w:p w14:paraId="74818483">
      <w:pPr>
        <w:snapToGrid w:val="0"/>
        <w:spacing w:line="360" w:lineRule="auto"/>
        <w:ind w:right="480"/>
        <w:jc w:val="center"/>
        <w:rPr>
          <w:rFonts w:ascii="宋体" w:hAnsi="宋体" w:cs="宋体"/>
          <w:b/>
          <w:kern w:val="0"/>
          <w:sz w:val="32"/>
          <w:szCs w:val="32"/>
        </w:rPr>
      </w:pPr>
      <w:r>
        <w:rPr>
          <w:rFonts w:hint="eastAsia" w:ascii="宋体" w:hAnsi="宋体" w:cs="宋体"/>
          <w:kern w:val="0"/>
          <w:sz w:val="24"/>
        </w:rPr>
        <w:br w:type="page"/>
      </w:r>
      <w:r>
        <w:rPr>
          <w:rFonts w:hint="eastAsia" w:ascii="宋体" w:hAnsi="宋体" w:cs="宋体"/>
          <w:b/>
          <w:kern w:val="0"/>
          <w:sz w:val="32"/>
          <w:szCs w:val="32"/>
        </w:rPr>
        <w:t xml:space="preserve">  一、 营业执照或事业法人证书复印件 </w:t>
      </w:r>
    </w:p>
    <w:p w14:paraId="2111664D">
      <w:pPr>
        <w:snapToGrid w:val="0"/>
        <w:spacing w:line="360" w:lineRule="auto"/>
        <w:ind w:right="480"/>
        <w:jc w:val="center"/>
        <w:rPr>
          <w:rFonts w:ascii="宋体" w:hAnsi="宋体" w:cs="宋体"/>
          <w:b/>
          <w:kern w:val="0"/>
          <w:sz w:val="32"/>
          <w:szCs w:val="32"/>
        </w:rPr>
        <w:sectPr>
          <w:headerReference r:id="rId11" w:type="default"/>
          <w:footerReference r:id="rId12" w:type="default"/>
          <w:pgSz w:w="11906" w:h="16838"/>
          <w:pgMar w:top="1077" w:right="1247" w:bottom="964" w:left="1134" w:header="737" w:footer="680" w:gutter="0"/>
          <w:cols w:space="720" w:num="1"/>
          <w:titlePg/>
          <w:docGrid w:type="lines" w:linePitch="312" w:charSpace="0"/>
        </w:sectPr>
      </w:pPr>
    </w:p>
    <w:p w14:paraId="7B3ECA42">
      <w:pPr>
        <w:snapToGrid w:val="0"/>
        <w:spacing w:line="360" w:lineRule="auto"/>
        <w:ind w:right="480"/>
        <w:jc w:val="center"/>
        <w:rPr>
          <w:rFonts w:ascii="宋体" w:hAnsi="宋体" w:cs="宋体"/>
          <w:b/>
          <w:kern w:val="0"/>
          <w:sz w:val="32"/>
          <w:szCs w:val="32"/>
        </w:rPr>
      </w:pPr>
      <w:r>
        <w:rPr>
          <w:rFonts w:hint="eastAsia" w:ascii="宋体" w:hAnsi="宋体" w:cs="宋体"/>
          <w:b/>
          <w:kern w:val="0"/>
          <w:sz w:val="32"/>
          <w:szCs w:val="32"/>
        </w:rPr>
        <w:t>二、符合参加政府采购活动应当具备的一般条件的承诺函</w:t>
      </w:r>
    </w:p>
    <w:p w14:paraId="6736C313">
      <w:pPr>
        <w:snapToGrid w:val="0"/>
        <w:spacing w:line="420" w:lineRule="exact"/>
        <w:rPr>
          <w:rFonts w:ascii="宋体" w:hAnsi="宋体" w:cs="宋体"/>
          <w:sz w:val="24"/>
        </w:rPr>
      </w:pPr>
      <w:r>
        <w:rPr>
          <w:rFonts w:hint="eastAsia" w:ascii="宋体" w:hAnsi="宋体" w:cs="宋体"/>
          <w:sz w:val="24"/>
        </w:rPr>
        <w:t>（采购人）、（采购代理机构）</w:t>
      </w:r>
    </w:p>
    <w:p w14:paraId="02AC9E2F">
      <w:pPr>
        <w:snapToGrid w:val="0"/>
        <w:spacing w:line="420" w:lineRule="exact"/>
        <w:ind w:firstLine="480" w:firstLineChars="200"/>
        <w:rPr>
          <w:rFonts w:ascii="宋体" w:hAnsi="宋体" w:cs="宋体"/>
          <w:sz w:val="24"/>
        </w:rPr>
      </w:pPr>
      <w:r>
        <w:rPr>
          <w:rFonts w:hint="eastAsia" w:ascii="宋体" w:hAnsi="宋体" w:cs="宋体"/>
          <w:sz w:val="24"/>
        </w:rPr>
        <w:t>我方参与（项目名称）【招标编号：（采购编号）】政府采购活动，郑重承诺：</w:t>
      </w:r>
    </w:p>
    <w:p w14:paraId="08F80858">
      <w:pPr>
        <w:snapToGrid w:val="0"/>
        <w:spacing w:line="420" w:lineRule="exact"/>
        <w:ind w:firstLine="480" w:firstLineChars="200"/>
        <w:rPr>
          <w:rFonts w:ascii="宋体" w:hAnsi="宋体" w:cs="宋体"/>
          <w:sz w:val="24"/>
        </w:rPr>
      </w:pPr>
      <w:r>
        <w:rPr>
          <w:rFonts w:hint="eastAsia" w:ascii="宋体" w:hAnsi="宋体" w:cs="宋体"/>
          <w:sz w:val="24"/>
        </w:rPr>
        <w:t>（一）我方具备《中华人民共和国政府采购法》第二十二条规定的以下条件：</w:t>
      </w:r>
    </w:p>
    <w:p w14:paraId="32074393">
      <w:pPr>
        <w:snapToGrid w:val="0"/>
        <w:spacing w:line="420" w:lineRule="exact"/>
        <w:ind w:firstLine="480" w:firstLineChars="200"/>
        <w:rPr>
          <w:rFonts w:ascii="宋体" w:hAnsi="宋体" w:cs="宋体"/>
          <w:sz w:val="24"/>
        </w:rPr>
      </w:pPr>
      <w:r>
        <w:rPr>
          <w:rFonts w:hint="eastAsia" w:ascii="宋体" w:hAnsi="宋体" w:cs="宋体"/>
          <w:sz w:val="24"/>
        </w:rPr>
        <w:t>1、具有独立承担民事责任的能力；</w:t>
      </w:r>
    </w:p>
    <w:p w14:paraId="404D55A6">
      <w:pPr>
        <w:snapToGrid w:val="0"/>
        <w:spacing w:line="420" w:lineRule="exact"/>
        <w:ind w:firstLine="480" w:firstLineChars="200"/>
        <w:rPr>
          <w:rFonts w:ascii="宋体" w:hAnsi="宋体" w:cs="宋体"/>
          <w:sz w:val="24"/>
        </w:rPr>
      </w:pPr>
      <w:r>
        <w:rPr>
          <w:rFonts w:hint="eastAsia" w:ascii="宋体" w:hAnsi="宋体" w:cs="宋体"/>
          <w:sz w:val="24"/>
        </w:rPr>
        <w:t xml:space="preserve">2、具有良好的商业信誉和健全的财务会计制度； </w:t>
      </w:r>
    </w:p>
    <w:p w14:paraId="10F5C5F9">
      <w:pPr>
        <w:snapToGrid w:val="0"/>
        <w:spacing w:line="420" w:lineRule="exact"/>
        <w:ind w:firstLine="480" w:firstLineChars="200"/>
        <w:rPr>
          <w:rFonts w:ascii="宋体" w:hAnsi="宋体" w:cs="宋体"/>
          <w:sz w:val="24"/>
        </w:rPr>
      </w:pPr>
      <w:r>
        <w:rPr>
          <w:rFonts w:hint="eastAsia" w:ascii="宋体" w:hAnsi="宋体" w:cs="宋体"/>
          <w:sz w:val="24"/>
        </w:rPr>
        <w:t>3、具有履行合同所必需的设备和专业技术能力；</w:t>
      </w:r>
    </w:p>
    <w:p w14:paraId="432A0FA3">
      <w:pPr>
        <w:snapToGrid w:val="0"/>
        <w:spacing w:line="420" w:lineRule="exact"/>
        <w:ind w:firstLine="480" w:firstLineChars="200"/>
        <w:rPr>
          <w:rFonts w:ascii="宋体" w:hAnsi="宋体" w:cs="宋体"/>
          <w:sz w:val="24"/>
        </w:rPr>
      </w:pPr>
      <w:r>
        <w:rPr>
          <w:rFonts w:hint="eastAsia" w:ascii="宋体" w:hAnsi="宋体" w:cs="宋体"/>
          <w:sz w:val="24"/>
        </w:rPr>
        <w:t>4、有依法缴纳税收和社会保障资金的良好记录；</w:t>
      </w:r>
    </w:p>
    <w:p w14:paraId="3F4A8A03">
      <w:pPr>
        <w:snapToGrid w:val="0"/>
        <w:spacing w:line="420" w:lineRule="exact"/>
        <w:ind w:firstLine="480" w:firstLineChars="200"/>
        <w:rPr>
          <w:rFonts w:ascii="宋体" w:hAnsi="宋体" w:cs="宋体"/>
          <w:sz w:val="24"/>
        </w:rPr>
      </w:pPr>
      <w:r>
        <w:rPr>
          <w:rFonts w:hint="eastAsia" w:ascii="宋体" w:hAnsi="宋体" w:cs="宋体"/>
          <w:sz w:val="24"/>
        </w:rPr>
        <w:t>5、我方在参加本次政府采购活动前三年内，在经营活动中没有重大违法记录（即我方没有因违法经营受到刑事处罚，没有被责令停产停业、被吊销许可证或者执照、被处以较大数额罚款等行政处罚，没有因违法经营被禁止参加政府采购活动的期限未满情形）。</w:t>
      </w:r>
    </w:p>
    <w:p w14:paraId="3931C36E">
      <w:pPr>
        <w:snapToGrid w:val="0"/>
        <w:spacing w:line="420" w:lineRule="exact"/>
        <w:ind w:firstLine="480" w:firstLineChars="200"/>
        <w:rPr>
          <w:rFonts w:ascii="宋体" w:hAnsi="宋体" w:cs="宋体"/>
          <w:sz w:val="24"/>
        </w:rPr>
      </w:pPr>
      <w:r>
        <w:rPr>
          <w:rFonts w:hint="eastAsia" w:ascii="宋体" w:hAnsi="宋体" w:cs="宋体"/>
          <w:sz w:val="24"/>
        </w:rPr>
        <w:t>6、法律、行政法规规定的其他条件。</w:t>
      </w:r>
    </w:p>
    <w:p w14:paraId="51F2A40B">
      <w:pPr>
        <w:snapToGrid w:val="0"/>
        <w:spacing w:line="420" w:lineRule="exact"/>
        <w:ind w:firstLine="480" w:firstLineChars="200"/>
        <w:rPr>
          <w:rFonts w:ascii="宋体" w:hAnsi="宋体" w:cs="宋体"/>
          <w:sz w:val="24"/>
        </w:rPr>
      </w:pPr>
      <w:r>
        <w:rPr>
          <w:rFonts w:hint="eastAsia" w:ascii="宋体" w:hAnsi="宋体" w:cs="宋体"/>
          <w:sz w:val="24"/>
        </w:rPr>
        <w:t>（二）我方未被“信用中国”（www.creditchina.gov.cn)、中国政府采购网（www.ccgp.gov.cn）列入失信被执行人、重大税收违法案件当事人名单、政府采购严重违法失信行为记录名单。</w:t>
      </w:r>
    </w:p>
    <w:p w14:paraId="10A7860D">
      <w:pPr>
        <w:snapToGrid w:val="0"/>
        <w:spacing w:line="420" w:lineRule="exact"/>
        <w:ind w:firstLine="480" w:firstLineChars="200"/>
        <w:rPr>
          <w:rFonts w:ascii="宋体" w:hAnsi="宋体" w:cs="宋体"/>
          <w:sz w:val="24"/>
        </w:rPr>
      </w:pPr>
      <w:r>
        <w:rPr>
          <w:rFonts w:hint="eastAsia" w:ascii="宋体" w:hAnsi="宋体" w:cs="宋体"/>
          <w:sz w:val="24"/>
        </w:rPr>
        <w:t>（三）不存在以下情况：</w:t>
      </w:r>
    </w:p>
    <w:p w14:paraId="1AC7B593">
      <w:pPr>
        <w:snapToGrid w:val="0"/>
        <w:spacing w:line="420" w:lineRule="exact"/>
        <w:ind w:firstLine="480" w:firstLineChars="200"/>
        <w:rPr>
          <w:rFonts w:ascii="宋体" w:hAnsi="宋体" w:cs="宋体"/>
          <w:sz w:val="24"/>
        </w:rPr>
      </w:pPr>
      <w:r>
        <w:rPr>
          <w:rFonts w:hint="eastAsia" w:ascii="宋体" w:hAnsi="宋体" w:cs="宋体"/>
          <w:sz w:val="24"/>
        </w:rPr>
        <w:t>1、单位负责人为同一人或者存在直接控股、管理关系的不同供应商参加同一合同项下的政府采购活动的；</w:t>
      </w:r>
    </w:p>
    <w:p w14:paraId="12177AFA">
      <w:pPr>
        <w:snapToGrid w:val="0"/>
        <w:spacing w:line="420" w:lineRule="exact"/>
        <w:ind w:firstLine="480" w:firstLineChars="200"/>
        <w:rPr>
          <w:rFonts w:ascii="宋体" w:hAnsi="宋体" w:cs="宋体"/>
          <w:sz w:val="24"/>
        </w:rPr>
      </w:pPr>
      <w:r>
        <w:rPr>
          <w:rFonts w:hint="eastAsia" w:ascii="宋体" w:hAnsi="宋体" w:cs="宋体"/>
          <w:sz w:val="24"/>
        </w:rPr>
        <w:t>2、为采购项目提供整体设计、规范编制或者项目管理、监理、检测等服务后再参加该采购项目的其他采购活动的。</w:t>
      </w:r>
    </w:p>
    <w:p w14:paraId="349CA6D0">
      <w:pPr>
        <w:spacing w:line="420" w:lineRule="exact"/>
        <w:ind w:firstLine="512" w:firstLineChars="200"/>
        <w:rPr>
          <w:rFonts w:ascii="宋体" w:hAnsi="宋体" w:cs="宋体"/>
          <w:spacing w:val="8"/>
          <w:sz w:val="24"/>
        </w:rPr>
      </w:pPr>
      <w:r>
        <w:rPr>
          <w:rFonts w:hint="eastAsia" w:ascii="宋体" w:hAnsi="宋体" w:cs="宋体"/>
          <w:spacing w:val="8"/>
          <w:sz w:val="24"/>
        </w:rPr>
        <w:t>我方对上述承诺的所有内容的真实性负责。如有虚假，将依法承担相应责任，我方对此无任何异议。</w:t>
      </w:r>
    </w:p>
    <w:p w14:paraId="0090BADC">
      <w:pPr>
        <w:spacing w:line="420" w:lineRule="exact"/>
        <w:ind w:firstLine="512" w:firstLineChars="200"/>
        <w:rPr>
          <w:rFonts w:ascii="宋体" w:hAnsi="宋体" w:cs="宋体"/>
          <w:spacing w:val="8"/>
          <w:sz w:val="24"/>
        </w:rPr>
      </w:pPr>
      <w:r>
        <w:rPr>
          <w:rFonts w:hint="eastAsia" w:ascii="宋体" w:hAnsi="宋体" w:cs="宋体"/>
          <w:spacing w:val="8"/>
          <w:sz w:val="24"/>
        </w:rPr>
        <w:t>特此承诺！</w:t>
      </w:r>
    </w:p>
    <w:p w14:paraId="0B811B1C">
      <w:pPr>
        <w:pStyle w:val="3"/>
        <w:spacing w:line="420" w:lineRule="exact"/>
        <w:ind w:left="0" w:firstLine="643" w:firstLineChars="200"/>
        <w:rPr>
          <w:rFonts w:ascii="宋体" w:hAnsi="宋体" w:eastAsia="宋体" w:cs="宋体"/>
          <w:lang w:val="en-US"/>
        </w:rPr>
      </w:pPr>
    </w:p>
    <w:p w14:paraId="0F0978E3">
      <w:pPr>
        <w:rPr>
          <w:rFonts w:ascii="宋体" w:hAnsi="宋体" w:cs="宋体"/>
        </w:rPr>
      </w:pPr>
    </w:p>
    <w:p w14:paraId="4C25D61A">
      <w:pPr>
        <w:snapToGrid w:val="0"/>
        <w:spacing w:line="360" w:lineRule="auto"/>
        <w:ind w:firstLine="5520" w:firstLineChars="2300"/>
        <w:rPr>
          <w:rFonts w:ascii="宋体" w:hAnsi="宋体" w:cs="宋体"/>
          <w:kern w:val="0"/>
          <w:sz w:val="24"/>
        </w:rPr>
      </w:pPr>
      <w:r>
        <w:rPr>
          <w:rFonts w:hint="eastAsia" w:ascii="宋体" w:hAnsi="宋体" w:cs="宋体"/>
          <w:kern w:val="0"/>
          <w:sz w:val="24"/>
        </w:rPr>
        <w:t>投</w:t>
      </w:r>
      <w:r>
        <w:rPr>
          <w:rFonts w:hint="eastAsia" w:ascii="宋体" w:hAnsi="宋体" w:cs="宋体"/>
          <w:kern w:val="0"/>
          <w:sz w:val="24"/>
          <w:lang w:val="zh-CN"/>
        </w:rPr>
        <w:t>标人名称(电子签名)：</w:t>
      </w:r>
    </w:p>
    <w:p w14:paraId="2A25F497">
      <w:pPr>
        <w:snapToGrid w:val="0"/>
        <w:spacing w:line="360" w:lineRule="auto"/>
        <w:rPr>
          <w:rFonts w:ascii="宋体" w:hAnsi="宋体" w:cs="宋体"/>
          <w:kern w:val="0"/>
          <w:sz w:val="24"/>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月日</w:t>
      </w:r>
    </w:p>
    <w:p w14:paraId="254BF41F">
      <w:pPr>
        <w:snapToGrid w:val="0"/>
        <w:spacing w:line="360" w:lineRule="auto"/>
        <w:ind w:right="480"/>
        <w:jc w:val="center"/>
        <w:rPr>
          <w:rFonts w:ascii="宋体" w:hAnsi="宋体" w:cs="宋体"/>
          <w:b/>
          <w:kern w:val="0"/>
          <w:sz w:val="32"/>
          <w:szCs w:val="32"/>
        </w:rPr>
      </w:pPr>
    </w:p>
    <w:p w14:paraId="32878C9D">
      <w:pPr>
        <w:snapToGrid w:val="0"/>
        <w:spacing w:line="360" w:lineRule="auto"/>
        <w:ind w:right="480"/>
        <w:jc w:val="center"/>
        <w:rPr>
          <w:rFonts w:ascii="宋体" w:hAnsi="宋体" w:cs="宋体"/>
          <w:b/>
          <w:kern w:val="0"/>
          <w:sz w:val="32"/>
          <w:szCs w:val="32"/>
        </w:rPr>
      </w:pPr>
    </w:p>
    <w:p w14:paraId="36417ED2">
      <w:pPr>
        <w:snapToGrid w:val="0"/>
        <w:spacing w:line="360" w:lineRule="auto"/>
        <w:ind w:right="480"/>
        <w:jc w:val="center"/>
        <w:rPr>
          <w:rFonts w:ascii="宋体" w:hAnsi="宋体" w:cs="宋体"/>
          <w:b/>
          <w:kern w:val="0"/>
          <w:sz w:val="32"/>
          <w:szCs w:val="32"/>
        </w:rPr>
      </w:pPr>
    </w:p>
    <w:p w14:paraId="1AC2758F">
      <w:pPr>
        <w:snapToGrid w:val="0"/>
        <w:spacing w:line="360" w:lineRule="auto"/>
        <w:ind w:right="480"/>
        <w:jc w:val="center"/>
        <w:rPr>
          <w:rFonts w:ascii="宋体" w:hAnsi="宋体" w:cs="宋体"/>
          <w:b/>
          <w:kern w:val="0"/>
          <w:sz w:val="32"/>
          <w:szCs w:val="32"/>
        </w:rPr>
      </w:pPr>
    </w:p>
    <w:p w14:paraId="72AB96B2">
      <w:pPr>
        <w:snapToGrid w:val="0"/>
        <w:spacing w:line="360" w:lineRule="auto"/>
        <w:ind w:right="480"/>
        <w:jc w:val="center"/>
        <w:rPr>
          <w:rFonts w:ascii="宋体" w:hAnsi="宋体" w:cs="宋体"/>
          <w:b/>
          <w:kern w:val="0"/>
          <w:sz w:val="32"/>
          <w:szCs w:val="32"/>
        </w:rPr>
      </w:pPr>
      <w:r>
        <w:rPr>
          <w:rFonts w:hint="eastAsia" w:ascii="宋体" w:hAnsi="宋体" w:cs="宋体"/>
          <w:b/>
          <w:kern w:val="0"/>
          <w:sz w:val="32"/>
          <w:szCs w:val="32"/>
        </w:rPr>
        <w:t>三、落实政府采购政策需满足的资格要求</w:t>
      </w:r>
    </w:p>
    <w:p w14:paraId="30AB10F6">
      <w:pPr>
        <w:spacing w:line="360" w:lineRule="exact"/>
        <w:rPr>
          <w:rFonts w:ascii="宋体" w:hAnsi="宋体" w:cs="宋体"/>
          <w:sz w:val="24"/>
        </w:rPr>
      </w:pPr>
      <w:r>
        <w:rPr>
          <w:rFonts w:hint="eastAsia" w:ascii="宋体" w:hAnsi="宋体" w:cs="宋体"/>
          <w:sz w:val="24"/>
        </w:rPr>
        <w:t>（根据招标公告落实政府采购政策需满足的资格要求选择提供相应的材料；未要求的，无需提供）</w:t>
      </w:r>
    </w:p>
    <w:p w14:paraId="16A31A96">
      <w:pPr>
        <w:numPr>
          <w:ilvl w:val="0"/>
          <w:numId w:val="4"/>
        </w:numPr>
        <w:snapToGrid w:val="0"/>
        <w:spacing w:line="360" w:lineRule="exact"/>
        <w:ind w:firstLine="480" w:firstLineChars="200"/>
        <w:jc w:val="left"/>
        <w:rPr>
          <w:rFonts w:ascii="宋体" w:hAnsi="宋体" w:cs="宋体"/>
          <w:sz w:val="24"/>
        </w:rPr>
      </w:pPr>
      <w:r>
        <w:rPr>
          <w:rFonts w:hint="eastAsia" w:ascii="宋体" w:hAnsi="宋体" w:cs="宋体"/>
          <w:sz w:val="24"/>
        </w:rPr>
        <w:t xml:space="preserve">专门面向中小企业，货物全部由符合政策要求的中小企业（或小微企业）制造或者服务全部由符合政策要求的中小企业（或小微企业）承接的，提供相应的中小企业声明函（附件4）。 </w:t>
      </w:r>
    </w:p>
    <w:p w14:paraId="678CC1CD">
      <w:pPr>
        <w:pStyle w:val="89"/>
        <w:spacing w:line="360" w:lineRule="exact"/>
        <w:ind w:firstLine="480" w:firstLineChars="200"/>
        <w:rPr>
          <w:rFonts w:ascii="宋体" w:hAnsi="宋体" w:cs="宋体"/>
          <w:sz w:val="24"/>
          <w:szCs w:val="24"/>
        </w:rPr>
      </w:pPr>
      <w:r>
        <w:rPr>
          <w:rFonts w:hint="eastAsia" w:ascii="宋体" w:hAnsi="宋体" w:cs="宋体"/>
          <w:sz w:val="24"/>
          <w:szCs w:val="24"/>
        </w:rPr>
        <w:t>B.要求以联合体形式参加的，提供联合协议和中小企业声明函（附件4），联合协议中中小企业合同金额应当达到招标公告载明的比例；如果供应商本身提供所有标的均由中小企业制造或承接的，视同符合了资格条件，无需再与其他中小企业组成联合体参加政府采购活动，无需提供联合协议。</w:t>
      </w:r>
    </w:p>
    <w:p w14:paraId="24E9E8BB">
      <w:pPr>
        <w:snapToGrid w:val="0"/>
        <w:spacing w:before="50" w:after="50" w:line="360" w:lineRule="auto"/>
        <w:jc w:val="center"/>
        <w:rPr>
          <w:rFonts w:ascii="宋体" w:hAnsi="宋体" w:cs="宋体"/>
          <w:b/>
          <w:kern w:val="0"/>
          <w:sz w:val="32"/>
          <w:szCs w:val="32"/>
          <w:lang w:val="zh-CN"/>
        </w:rPr>
      </w:pPr>
      <w:r>
        <w:rPr>
          <w:rFonts w:hint="eastAsia" w:ascii="宋体" w:hAnsi="宋体" w:cs="宋体"/>
          <w:b/>
          <w:kern w:val="0"/>
          <w:sz w:val="32"/>
          <w:szCs w:val="32"/>
          <w:lang w:val="zh-CN"/>
        </w:rPr>
        <w:t>联合协议</w:t>
      </w:r>
    </w:p>
    <w:p w14:paraId="68204061">
      <w:pPr>
        <w:snapToGrid w:val="0"/>
        <w:spacing w:line="360" w:lineRule="exact"/>
        <w:ind w:firstLine="578"/>
        <w:rPr>
          <w:rFonts w:ascii="宋体" w:hAnsi="宋体" w:cs="宋体"/>
          <w:kern w:val="0"/>
          <w:sz w:val="24"/>
          <w:lang w:val="zh-CN"/>
        </w:rPr>
      </w:pPr>
      <w:r>
        <w:rPr>
          <w:rFonts w:hint="eastAsia" w:ascii="宋体" w:hAnsi="宋体" w:cs="宋体"/>
          <w:kern w:val="0"/>
          <w:sz w:val="24"/>
          <w:u w:val="single"/>
        </w:rPr>
        <w:t>（联合体所有成员名称）</w:t>
      </w:r>
      <w:r>
        <w:rPr>
          <w:rFonts w:hint="eastAsia" w:ascii="宋体" w:hAnsi="宋体" w:cs="宋体"/>
          <w:kern w:val="0"/>
          <w:sz w:val="24"/>
        </w:rPr>
        <w:t>自愿</w:t>
      </w:r>
      <w:r>
        <w:rPr>
          <w:rFonts w:hint="eastAsia" w:ascii="宋体" w:hAnsi="宋体" w:cs="宋体"/>
          <w:kern w:val="0"/>
          <w:sz w:val="24"/>
          <w:lang w:val="zh-CN"/>
        </w:rPr>
        <w:t>组成一个联合体，以一个投标人的身份</w:t>
      </w:r>
      <w:r>
        <w:rPr>
          <w:rFonts w:hint="eastAsia" w:ascii="宋体" w:hAnsi="宋体" w:cs="宋体"/>
          <w:kern w:val="0"/>
          <w:sz w:val="24"/>
        </w:rPr>
        <w:t>参加</w:t>
      </w:r>
      <w:r>
        <w:rPr>
          <w:rFonts w:hint="eastAsia" w:ascii="宋体" w:hAnsi="宋体" w:cs="宋体"/>
          <w:sz w:val="24"/>
        </w:rPr>
        <w:t>（项目名称）【招标编号：（采购编号）】</w:t>
      </w:r>
      <w:r>
        <w:rPr>
          <w:rFonts w:hint="eastAsia" w:ascii="宋体" w:hAnsi="宋体" w:cs="宋体"/>
          <w:kern w:val="0"/>
          <w:sz w:val="24"/>
          <w:lang w:val="zh-CN"/>
        </w:rPr>
        <w:t xml:space="preserve">投标。 </w:t>
      </w:r>
    </w:p>
    <w:p w14:paraId="2F4ECEC1">
      <w:pPr>
        <w:snapToGrid w:val="0"/>
        <w:spacing w:line="360" w:lineRule="exact"/>
        <w:ind w:firstLine="578"/>
        <w:rPr>
          <w:rFonts w:ascii="宋体" w:hAnsi="宋体" w:cs="宋体"/>
          <w:kern w:val="0"/>
          <w:sz w:val="24"/>
          <w:lang w:val="zh-CN"/>
        </w:rPr>
      </w:pPr>
      <w:r>
        <w:rPr>
          <w:rFonts w:hint="eastAsia" w:ascii="宋体" w:hAnsi="宋体" w:cs="宋体"/>
          <w:kern w:val="0"/>
          <w:sz w:val="24"/>
          <w:lang w:val="zh-CN"/>
        </w:rPr>
        <w:t>一、各方一致决定，</w:t>
      </w:r>
      <w:r>
        <w:rPr>
          <w:rFonts w:hint="eastAsia" w:ascii="宋体" w:hAnsi="宋体" w:cs="宋体"/>
          <w:kern w:val="0"/>
          <w:sz w:val="24"/>
          <w:u w:val="single"/>
        </w:rPr>
        <w:t>（某联合体成员名称）</w:t>
      </w:r>
      <w:r>
        <w:rPr>
          <w:rFonts w:hint="eastAsia" w:ascii="宋体" w:hAnsi="宋体" w:cs="宋体"/>
          <w:kern w:val="0"/>
          <w:sz w:val="24"/>
        </w:rPr>
        <w:t>为联合体</w:t>
      </w:r>
      <w:r>
        <w:rPr>
          <w:rFonts w:hint="eastAsia" w:ascii="宋体" w:hAnsi="宋体" w:cs="宋体"/>
          <w:kern w:val="0"/>
          <w:sz w:val="24"/>
          <w:lang w:val="zh-CN"/>
        </w:rPr>
        <w:t>牵头人</w:t>
      </w:r>
      <w:r>
        <w:rPr>
          <w:rFonts w:hint="eastAsia" w:ascii="宋体" w:hAnsi="宋体" w:cs="宋体"/>
          <w:sz w:val="24"/>
        </w:rPr>
        <w:t>，代表所有联合体成员负责投标和合同实施阶段的主办、协调工作</w:t>
      </w:r>
      <w:r>
        <w:rPr>
          <w:rFonts w:hint="eastAsia" w:ascii="宋体" w:hAnsi="宋体" w:cs="宋体"/>
          <w:kern w:val="0"/>
          <w:sz w:val="24"/>
          <w:lang w:val="zh-CN"/>
        </w:rPr>
        <w:t>。</w:t>
      </w:r>
    </w:p>
    <w:p w14:paraId="0E03B0AC">
      <w:pPr>
        <w:snapToGrid w:val="0"/>
        <w:spacing w:line="360" w:lineRule="exact"/>
        <w:ind w:firstLine="578"/>
        <w:rPr>
          <w:rFonts w:ascii="宋体" w:hAnsi="宋体" w:cs="宋体"/>
          <w:kern w:val="0"/>
          <w:sz w:val="24"/>
          <w:lang w:val="zh-CN"/>
        </w:rPr>
      </w:pPr>
      <w:r>
        <w:rPr>
          <w:rFonts w:hint="eastAsia" w:ascii="宋体" w:hAnsi="宋体" w:cs="宋体"/>
          <w:kern w:val="0"/>
          <w:sz w:val="24"/>
          <w:lang w:val="zh-CN"/>
        </w:rPr>
        <w:t>二、</w:t>
      </w:r>
      <w:r>
        <w:rPr>
          <w:rFonts w:hint="eastAsia" w:ascii="宋体" w:hAnsi="宋体" w:cs="宋体"/>
          <w:sz w:val="24"/>
        </w:rPr>
        <w:t>所有联合体成员各方签署授权书，授权书载明的</w:t>
      </w:r>
      <w:r>
        <w:rPr>
          <w:rFonts w:hint="eastAsia" w:ascii="宋体" w:hAnsi="宋体" w:cs="宋体"/>
          <w:kern w:val="0"/>
          <w:sz w:val="24"/>
          <w:lang w:val="zh-CN"/>
        </w:rPr>
        <w:t>授权代表根据招标文件规定及投标内容而对采购人、采购代理机构所作的任何合法承诺，包括书面澄清及相应等均对联合投标各方产生约束力。</w:t>
      </w:r>
    </w:p>
    <w:p w14:paraId="000CAB8D">
      <w:pPr>
        <w:snapToGrid w:val="0"/>
        <w:spacing w:line="360" w:lineRule="exact"/>
        <w:ind w:firstLine="578"/>
        <w:rPr>
          <w:rFonts w:ascii="宋体" w:hAnsi="宋体" w:cs="宋体"/>
          <w:kern w:val="0"/>
          <w:sz w:val="24"/>
          <w:lang w:val="zh-CN"/>
        </w:rPr>
      </w:pPr>
      <w:r>
        <w:rPr>
          <w:rFonts w:hint="eastAsia" w:ascii="宋体" w:hAnsi="宋体" w:cs="宋体"/>
          <w:kern w:val="0"/>
          <w:sz w:val="24"/>
          <w:lang w:val="zh-CN"/>
        </w:rPr>
        <w:t>三、本次联合投标中，分工如下：</w:t>
      </w:r>
      <w:r>
        <w:rPr>
          <w:rFonts w:hint="eastAsia" w:ascii="宋体" w:hAnsi="宋体" w:cs="宋体"/>
          <w:kern w:val="0"/>
          <w:sz w:val="24"/>
          <w:u w:val="single"/>
        </w:rPr>
        <w:t>（联合体其中一方成员名称）</w:t>
      </w:r>
      <w:r>
        <w:rPr>
          <w:rFonts w:hint="eastAsia" w:ascii="宋体" w:hAnsi="宋体" w:cs="宋体"/>
          <w:kern w:val="0"/>
          <w:sz w:val="24"/>
          <w:lang w:val="zh-CN"/>
        </w:rPr>
        <w:t>承担的工作和义务为：；</w:t>
      </w:r>
      <w:r>
        <w:rPr>
          <w:rFonts w:hint="eastAsia" w:ascii="宋体" w:hAnsi="宋体" w:cs="宋体"/>
          <w:kern w:val="0"/>
          <w:sz w:val="24"/>
          <w:u w:val="single"/>
        </w:rPr>
        <w:t>（联合体其中一方成员名称）</w:t>
      </w:r>
      <w:r>
        <w:rPr>
          <w:rFonts w:hint="eastAsia" w:ascii="宋体" w:hAnsi="宋体" w:cs="宋体"/>
          <w:kern w:val="0"/>
          <w:sz w:val="24"/>
          <w:lang w:val="zh-CN"/>
        </w:rPr>
        <w:t>承担的工作和义务为： ；……。</w:t>
      </w:r>
    </w:p>
    <w:p w14:paraId="40D3DA6C">
      <w:pPr>
        <w:snapToGrid w:val="0"/>
        <w:spacing w:line="360" w:lineRule="exact"/>
        <w:ind w:firstLine="578"/>
        <w:rPr>
          <w:rFonts w:ascii="宋体" w:hAnsi="宋体" w:cs="宋体"/>
          <w:kern w:val="0"/>
          <w:sz w:val="24"/>
          <w:lang w:val="zh-CN"/>
        </w:rPr>
      </w:pPr>
      <w:r>
        <w:rPr>
          <w:rFonts w:hint="eastAsia" w:ascii="宋体" w:hAnsi="宋体" w:cs="宋体"/>
          <w:kern w:val="0"/>
          <w:sz w:val="24"/>
          <w:lang w:val="zh-CN"/>
        </w:rPr>
        <w:t>四、</w:t>
      </w:r>
      <w:r>
        <w:rPr>
          <w:rFonts w:hint="eastAsia" w:ascii="宋体" w:hAnsi="宋体" w:cs="宋体"/>
          <w:sz w:val="24"/>
        </w:rPr>
        <w:t>中小企业合同金额达到%，小微企业合同金额达到%</w:t>
      </w:r>
      <w:r>
        <w:rPr>
          <w:rFonts w:hint="eastAsia" w:ascii="宋体" w:hAnsi="宋体" w:cs="宋体"/>
          <w:kern w:val="0"/>
          <w:sz w:val="24"/>
          <w:lang w:val="zh-CN"/>
        </w:rPr>
        <w:t>。</w:t>
      </w:r>
    </w:p>
    <w:p w14:paraId="40F4F346">
      <w:pPr>
        <w:snapToGrid w:val="0"/>
        <w:spacing w:line="360" w:lineRule="exact"/>
        <w:ind w:firstLine="578"/>
        <w:rPr>
          <w:rFonts w:ascii="宋体" w:hAnsi="宋体" w:cs="宋体"/>
          <w:kern w:val="0"/>
          <w:sz w:val="24"/>
          <w:lang w:val="zh-CN"/>
        </w:rPr>
      </w:pPr>
      <w:r>
        <w:rPr>
          <w:rFonts w:hint="eastAsia" w:ascii="宋体" w:hAnsi="宋体" w:cs="宋体"/>
          <w:kern w:val="0"/>
          <w:sz w:val="24"/>
          <w:lang w:val="zh-CN"/>
        </w:rPr>
        <w:t>五、如果中标，</w:t>
      </w:r>
      <w:r>
        <w:rPr>
          <w:rFonts w:hint="eastAsia" w:ascii="宋体" w:hAnsi="宋体" w:cs="宋体"/>
          <w:sz w:val="24"/>
        </w:rPr>
        <w:t>联合体各成员方共同与采购人签订合同，并就采购合同约定的事项对采购人承担连带责任。</w:t>
      </w:r>
    </w:p>
    <w:p w14:paraId="3D35BE5D">
      <w:pPr>
        <w:snapToGrid w:val="0"/>
        <w:spacing w:line="360" w:lineRule="exact"/>
        <w:ind w:firstLine="578"/>
        <w:rPr>
          <w:rFonts w:ascii="宋体" w:hAnsi="宋体" w:cs="宋体"/>
          <w:kern w:val="0"/>
          <w:sz w:val="24"/>
          <w:lang w:val="zh-CN"/>
        </w:rPr>
      </w:pPr>
      <w:r>
        <w:rPr>
          <w:rFonts w:hint="eastAsia" w:ascii="宋体" w:hAnsi="宋体" w:cs="宋体"/>
          <w:kern w:val="0"/>
          <w:sz w:val="24"/>
          <w:lang w:val="zh-CN"/>
        </w:rPr>
        <w:t>六、有关本次联合投标的其他事宜：</w:t>
      </w:r>
    </w:p>
    <w:p w14:paraId="562AD15B">
      <w:pPr>
        <w:snapToGrid w:val="0"/>
        <w:spacing w:line="360" w:lineRule="exact"/>
        <w:ind w:firstLine="578"/>
        <w:rPr>
          <w:rFonts w:ascii="宋体" w:hAnsi="宋体" w:cs="宋体"/>
          <w:kern w:val="0"/>
          <w:sz w:val="24"/>
          <w:lang w:val="zh-CN"/>
        </w:rPr>
      </w:pPr>
      <w:r>
        <w:rPr>
          <w:rFonts w:hint="eastAsia" w:ascii="宋体" w:hAnsi="宋体" w:cs="宋体"/>
          <w:kern w:val="0"/>
          <w:sz w:val="24"/>
          <w:lang w:val="zh-CN"/>
        </w:rPr>
        <w:t>1、联合体各方不再单独参加或者与其他供应商另外组成联合体参加同一合同项下的政府采购活动。</w:t>
      </w:r>
    </w:p>
    <w:p w14:paraId="1086F95F">
      <w:pPr>
        <w:snapToGrid w:val="0"/>
        <w:spacing w:line="360" w:lineRule="exact"/>
        <w:ind w:firstLine="578"/>
        <w:rPr>
          <w:rFonts w:ascii="宋体" w:hAnsi="宋体" w:cs="宋体"/>
          <w:kern w:val="0"/>
          <w:sz w:val="24"/>
          <w:lang w:val="zh-CN"/>
        </w:rPr>
      </w:pPr>
      <w:r>
        <w:rPr>
          <w:rFonts w:hint="eastAsia" w:ascii="宋体" w:hAnsi="宋体" w:cs="宋体"/>
          <w:kern w:val="0"/>
          <w:sz w:val="24"/>
          <w:lang w:val="zh-CN"/>
        </w:rPr>
        <w:t>2、联合体中有同类资质的各方按照联合体分工承担相同工作的，按照资质等级较低的供应商确定资质等级。</w:t>
      </w:r>
    </w:p>
    <w:p w14:paraId="7E197BFD">
      <w:pPr>
        <w:snapToGrid w:val="0"/>
        <w:spacing w:line="360" w:lineRule="exact"/>
        <w:ind w:firstLine="578"/>
        <w:rPr>
          <w:rFonts w:ascii="宋体" w:hAnsi="宋体" w:cs="宋体"/>
          <w:kern w:val="0"/>
          <w:sz w:val="24"/>
          <w:lang w:val="zh-CN"/>
        </w:rPr>
      </w:pPr>
      <w:r>
        <w:rPr>
          <w:rFonts w:hint="eastAsia" w:ascii="宋体" w:hAnsi="宋体" w:cs="宋体"/>
          <w:kern w:val="0"/>
          <w:sz w:val="24"/>
          <w:lang w:val="zh-CN"/>
        </w:rPr>
        <w:t>3、本协议提交采购人、采购代理机构后，联合体各方不得以任何形式对上述内容进行修改或撤销。</w:t>
      </w:r>
    </w:p>
    <w:p w14:paraId="130CBAD6">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联合体成员名称(电子签名/公章)：</w:t>
      </w:r>
    </w:p>
    <w:p w14:paraId="12AE9EC5">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联合体成员名称(电子签名/公章)：</w:t>
      </w:r>
    </w:p>
    <w:p w14:paraId="42C81826">
      <w:pPr>
        <w:snapToGrid w:val="0"/>
        <w:spacing w:line="360" w:lineRule="auto"/>
        <w:ind w:firstLine="5760" w:firstLineChars="2400"/>
        <w:rPr>
          <w:rFonts w:ascii="宋体" w:hAnsi="宋体" w:cs="宋体"/>
        </w:rPr>
      </w:pPr>
      <w:r>
        <w:rPr>
          <w:rFonts w:hint="eastAsia" w:ascii="宋体" w:hAnsi="宋体" w:cs="宋体"/>
          <w:kern w:val="0"/>
          <w:sz w:val="24"/>
          <w:lang w:val="zh-CN"/>
        </w:rPr>
        <w:t>……</w:t>
      </w:r>
    </w:p>
    <w:p w14:paraId="44238043">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日期：  年  月   日</w:t>
      </w:r>
    </w:p>
    <w:p w14:paraId="17A34502">
      <w:pPr>
        <w:spacing w:line="360" w:lineRule="exact"/>
        <w:ind w:firstLine="482" w:firstLineChars="200"/>
        <w:rPr>
          <w:rFonts w:ascii="宋体" w:hAnsi="宋体" w:cs="宋体"/>
          <w:sz w:val="24"/>
        </w:rPr>
      </w:pPr>
      <w:r>
        <w:rPr>
          <w:rFonts w:hint="eastAsia" w:ascii="宋体" w:hAnsi="宋体" w:cs="宋体"/>
          <w:b/>
          <w:sz w:val="24"/>
        </w:rPr>
        <w:t>C、</w:t>
      </w:r>
      <w:r>
        <w:rPr>
          <w:rFonts w:hint="eastAsia" w:ascii="宋体" w:hAnsi="宋体" w:cs="宋体"/>
          <w:sz w:val="24"/>
        </w:rPr>
        <w:t>要求合同分包的，提供分包意向协议和中小企业声明函（附件4），分包意向协议中中小企业合同金额应当达到招标公告载明的比例；如果供应商本身提供所有标的均由中小企业制造或承接，视同符合了资格条件，无需再向中小企业分包，无需提供分包意向协议。</w:t>
      </w:r>
    </w:p>
    <w:p w14:paraId="6A62CE72">
      <w:pPr>
        <w:snapToGrid w:val="0"/>
        <w:spacing w:line="420" w:lineRule="exact"/>
        <w:ind w:firstLine="3534" w:firstLineChars="1100"/>
        <w:rPr>
          <w:rFonts w:ascii="宋体" w:hAnsi="宋体" w:cs="宋体"/>
          <w:b/>
          <w:kern w:val="0"/>
          <w:sz w:val="32"/>
          <w:szCs w:val="32"/>
        </w:rPr>
      </w:pPr>
    </w:p>
    <w:p w14:paraId="3E1DE9F6">
      <w:pPr>
        <w:snapToGrid w:val="0"/>
        <w:spacing w:line="420" w:lineRule="exact"/>
        <w:ind w:firstLine="3534" w:firstLineChars="1100"/>
        <w:rPr>
          <w:rFonts w:ascii="宋体" w:hAnsi="宋体" w:cs="宋体"/>
          <w:b/>
          <w:kern w:val="0"/>
          <w:sz w:val="32"/>
          <w:szCs w:val="32"/>
        </w:rPr>
      </w:pPr>
      <w:r>
        <w:rPr>
          <w:rFonts w:hint="eastAsia" w:ascii="宋体" w:hAnsi="宋体" w:cs="宋体"/>
          <w:b/>
          <w:kern w:val="0"/>
          <w:sz w:val="32"/>
          <w:szCs w:val="32"/>
        </w:rPr>
        <w:t>分包意向协议</w:t>
      </w:r>
    </w:p>
    <w:p w14:paraId="4A7BE0D3">
      <w:pPr>
        <w:widowControl/>
        <w:spacing w:line="420" w:lineRule="exact"/>
        <w:ind w:firstLine="120" w:firstLineChars="50"/>
        <w:jc w:val="left"/>
        <w:rPr>
          <w:rFonts w:ascii="宋体" w:hAnsi="宋体" w:cs="宋体"/>
          <w:sz w:val="24"/>
        </w:rPr>
      </w:pPr>
      <w:r>
        <w:rPr>
          <w:rFonts w:hint="eastAsia" w:ascii="宋体" w:hAnsi="宋体" w:cs="宋体"/>
          <w:sz w:val="24"/>
        </w:rPr>
        <w:t>（</w:t>
      </w:r>
      <w:r>
        <w:rPr>
          <w:rFonts w:hint="eastAsia" w:ascii="宋体" w:hAnsi="宋体" w:cs="宋体"/>
          <w:b/>
          <w:sz w:val="24"/>
        </w:rPr>
        <w:t>中标后以分包方式履行合同的，提供分包意向协议；采购人不同意分包或者投标人中标后不以分包方式履行合同的，则不需要提供。</w:t>
      </w:r>
      <w:r>
        <w:rPr>
          <w:rFonts w:hint="eastAsia" w:ascii="宋体" w:hAnsi="宋体" w:cs="宋体"/>
          <w:sz w:val="24"/>
        </w:rPr>
        <w:t>）</w:t>
      </w:r>
    </w:p>
    <w:p w14:paraId="779CFB61">
      <w:pPr>
        <w:snapToGrid w:val="0"/>
        <w:spacing w:line="360" w:lineRule="exact"/>
        <w:ind w:firstLine="578"/>
        <w:rPr>
          <w:rFonts w:ascii="宋体" w:hAnsi="宋体" w:cs="宋体"/>
          <w:kern w:val="0"/>
          <w:sz w:val="24"/>
          <w:lang w:val="zh-CN"/>
        </w:rPr>
      </w:pPr>
      <w:r>
        <w:rPr>
          <w:rFonts w:hint="eastAsia" w:ascii="宋体" w:hAnsi="宋体" w:cs="宋体"/>
          <w:kern w:val="0"/>
          <w:sz w:val="24"/>
          <w:u w:val="single"/>
        </w:rPr>
        <w:t>（投标人名称）</w:t>
      </w:r>
      <w:r>
        <w:rPr>
          <w:rFonts w:hint="eastAsia" w:ascii="宋体" w:hAnsi="宋体" w:cs="宋体"/>
          <w:kern w:val="0"/>
          <w:sz w:val="24"/>
          <w:lang w:val="zh-CN"/>
        </w:rPr>
        <w:t>若成为</w:t>
      </w:r>
      <w:r>
        <w:rPr>
          <w:rFonts w:hint="eastAsia" w:ascii="宋体" w:hAnsi="宋体" w:cs="宋体"/>
          <w:sz w:val="24"/>
        </w:rPr>
        <w:t>（项目名称）【招标编号：（采购编号）】</w:t>
      </w:r>
      <w:r>
        <w:rPr>
          <w:rFonts w:hint="eastAsia" w:ascii="宋体" w:hAnsi="宋体" w:cs="宋体"/>
          <w:kern w:val="0"/>
          <w:sz w:val="24"/>
          <w:lang w:val="zh-CN"/>
        </w:rPr>
        <w:t>的中标供应商，将依法采取分包方式履行合同。</w:t>
      </w:r>
      <w:r>
        <w:rPr>
          <w:rFonts w:hint="eastAsia" w:ascii="宋体" w:hAnsi="宋体" w:cs="宋体"/>
          <w:kern w:val="0"/>
          <w:sz w:val="24"/>
          <w:u w:val="single"/>
        </w:rPr>
        <w:t>（投标人名称）</w:t>
      </w:r>
      <w:r>
        <w:rPr>
          <w:rFonts w:hint="eastAsia" w:ascii="宋体" w:hAnsi="宋体" w:cs="宋体"/>
          <w:kern w:val="0"/>
          <w:sz w:val="24"/>
        </w:rPr>
        <w:t>与</w:t>
      </w:r>
      <w:r>
        <w:rPr>
          <w:rFonts w:hint="eastAsia" w:ascii="宋体" w:hAnsi="宋体" w:cs="宋体"/>
          <w:kern w:val="0"/>
          <w:sz w:val="24"/>
          <w:u w:val="single"/>
        </w:rPr>
        <w:t>（所有分包供应商名称）</w:t>
      </w:r>
      <w:r>
        <w:rPr>
          <w:rFonts w:hint="eastAsia" w:ascii="宋体" w:hAnsi="宋体" w:cs="宋体"/>
          <w:kern w:val="0"/>
          <w:sz w:val="24"/>
        </w:rPr>
        <w:t>达成分包意向协议</w:t>
      </w:r>
      <w:r>
        <w:rPr>
          <w:rFonts w:hint="eastAsia" w:ascii="宋体" w:hAnsi="宋体" w:cs="宋体"/>
          <w:kern w:val="0"/>
          <w:sz w:val="24"/>
          <w:lang w:val="zh-CN"/>
        </w:rPr>
        <w:t xml:space="preserve">。 </w:t>
      </w:r>
    </w:p>
    <w:p w14:paraId="36265A3F">
      <w:pPr>
        <w:snapToGrid w:val="0"/>
        <w:spacing w:line="360" w:lineRule="exact"/>
        <w:ind w:firstLine="576"/>
        <w:rPr>
          <w:rFonts w:ascii="宋体" w:hAnsi="宋体" w:cs="宋体"/>
          <w:kern w:val="0"/>
          <w:sz w:val="24"/>
          <w:lang w:val="zh-CN"/>
        </w:rPr>
      </w:pPr>
      <w:r>
        <w:rPr>
          <w:rFonts w:hint="eastAsia" w:ascii="宋体" w:hAnsi="宋体" w:cs="宋体"/>
          <w:kern w:val="0"/>
          <w:sz w:val="24"/>
          <w:lang w:val="zh-CN"/>
        </w:rPr>
        <w:t>一、分包标的及数量</w:t>
      </w:r>
    </w:p>
    <w:p w14:paraId="60CCC50B">
      <w:pPr>
        <w:snapToGrid w:val="0"/>
        <w:spacing w:line="360" w:lineRule="exact"/>
        <w:ind w:firstLine="576"/>
        <w:rPr>
          <w:rFonts w:ascii="宋体" w:hAnsi="宋体" w:cs="宋体"/>
          <w:kern w:val="0"/>
          <w:sz w:val="24"/>
          <w:lang w:val="zh-CN"/>
        </w:rPr>
      </w:pPr>
      <w:r>
        <w:rPr>
          <w:rFonts w:hint="eastAsia" w:ascii="宋体" w:hAnsi="宋体" w:cs="宋体"/>
          <w:kern w:val="0"/>
          <w:sz w:val="24"/>
          <w:u w:val="single"/>
        </w:rPr>
        <w:t>（投标人名称）</w:t>
      </w:r>
      <w:r>
        <w:rPr>
          <w:rFonts w:hint="eastAsia" w:ascii="宋体" w:hAnsi="宋体" w:cs="宋体"/>
          <w:kern w:val="0"/>
          <w:sz w:val="24"/>
          <w:lang w:val="zh-CN"/>
        </w:rPr>
        <w:t>将</w:t>
      </w:r>
      <w:r>
        <w:rPr>
          <w:rFonts w:hint="eastAsia" w:ascii="宋体" w:hAnsi="宋体" w:cs="宋体"/>
          <w:kern w:val="0"/>
          <w:sz w:val="24"/>
          <w:u w:val="single"/>
        </w:rPr>
        <w:t xml:space="preserve">XX工作内容   </w:t>
      </w:r>
      <w:r>
        <w:rPr>
          <w:rFonts w:hint="eastAsia" w:ascii="宋体" w:hAnsi="宋体" w:cs="宋体"/>
          <w:sz w:val="24"/>
        </w:rPr>
        <w:t>分包给</w:t>
      </w:r>
      <w:r>
        <w:rPr>
          <w:rFonts w:hint="eastAsia" w:ascii="宋体" w:hAnsi="宋体" w:cs="宋体"/>
          <w:kern w:val="0"/>
          <w:sz w:val="24"/>
          <w:u w:val="single"/>
        </w:rPr>
        <w:t>（某分包供应商名称）</w:t>
      </w:r>
      <w:r>
        <w:rPr>
          <w:rFonts w:hint="eastAsia" w:ascii="宋体" w:hAnsi="宋体" w:cs="宋体"/>
          <w:kern w:val="0"/>
          <w:sz w:val="24"/>
          <w:lang w:val="zh-CN"/>
        </w:rPr>
        <w:t>，</w:t>
      </w:r>
      <w:r>
        <w:rPr>
          <w:rFonts w:hint="eastAsia" w:ascii="宋体" w:hAnsi="宋体" w:cs="宋体"/>
          <w:kern w:val="0"/>
          <w:sz w:val="24"/>
          <w:u w:val="single"/>
        </w:rPr>
        <w:t>（某分包供应商名称），</w:t>
      </w:r>
      <w:r>
        <w:rPr>
          <w:rFonts w:hint="eastAsia" w:ascii="宋体" w:hAnsi="宋体" w:cs="宋体"/>
          <w:kern w:val="0"/>
          <w:sz w:val="24"/>
          <w:lang w:val="zh-CN"/>
        </w:rPr>
        <w:t>具备承</w:t>
      </w:r>
      <w:r>
        <w:rPr>
          <w:rFonts w:hint="eastAsia" w:ascii="宋体" w:hAnsi="宋体" w:cs="宋体"/>
          <w:kern w:val="0"/>
          <w:sz w:val="24"/>
        </w:rPr>
        <w:t>担</w:t>
      </w:r>
      <w:r>
        <w:rPr>
          <w:rFonts w:hint="eastAsia" w:ascii="宋体" w:hAnsi="宋体" w:cs="宋体"/>
          <w:kern w:val="0"/>
          <w:sz w:val="24"/>
          <w:u w:val="single"/>
          <w:lang w:val="zh-CN"/>
        </w:rPr>
        <w:t>XX工作内容</w:t>
      </w:r>
      <w:r>
        <w:rPr>
          <w:rFonts w:hint="eastAsia" w:ascii="宋体" w:hAnsi="宋体" w:cs="宋体"/>
          <w:kern w:val="0"/>
          <w:sz w:val="24"/>
          <w:lang w:val="zh-CN"/>
        </w:rPr>
        <w:t>相应资质条件且不得再次分包；</w:t>
      </w:r>
    </w:p>
    <w:p w14:paraId="1253CCED">
      <w:pPr>
        <w:pStyle w:val="3"/>
        <w:spacing w:line="360" w:lineRule="exact"/>
        <w:ind w:left="0" w:firstLine="229" w:firstLineChars="95"/>
        <w:rPr>
          <w:rFonts w:ascii="宋体" w:hAnsi="宋体" w:eastAsia="宋体" w:cs="宋体"/>
        </w:rPr>
      </w:pPr>
      <w:r>
        <w:rPr>
          <w:rFonts w:hint="eastAsia" w:ascii="宋体" w:hAnsi="宋体" w:eastAsia="宋体" w:cs="宋体"/>
          <w:kern w:val="0"/>
          <w:sz w:val="24"/>
          <w:szCs w:val="24"/>
        </w:rPr>
        <w:t>……</w:t>
      </w:r>
    </w:p>
    <w:p w14:paraId="2BA8CEA3">
      <w:pPr>
        <w:snapToGrid w:val="0"/>
        <w:spacing w:line="360" w:lineRule="exact"/>
        <w:ind w:firstLine="576"/>
        <w:rPr>
          <w:rFonts w:ascii="宋体" w:hAnsi="宋体" w:cs="宋体"/>
          <w:kern w:val="0"/>
          <w:sz w:val="24"/>
          <w:lang w:val="zh-CN"/>
        </w:rPr>
      </w:pPr>
      <w:r>
        <w:rPr>
          <w:rFonts w:hint="eastAsia" w:ascii="宋体" w:hAnsi="宋体" w:cs="宋体"/>
          <w:kern w:val="0"/>
          <w:sz w:val="24"/>
          <w:lang w:val="zh-CN"/>
        </w:rPr>
        <w:t>二、分包工作履行期限、地点、方式</w:t>
      </w:r>
    </w:p>
    <w:p w14:paraId="5076E6B7">
      <w:pPr>
        <w:snapToGrid w:val="0"/>
        <w:spacing w:line="360" w:lineRule="exact"/>
        <w:ind w:firstLine="576"/>
        <w:rPr>
          <w:rFonts w:ascii="宋体" w:hAnsi="宋体" w:cs="宋体"/>
          <w:u w:val="single"/>
        </w:rPr>
      </w:pPr>
    </w:p>
    <w:p w14:paraId="122D57C7">
      <w:pPr>
        <w:snapToGrid w:val="0"/>
        <w:spacing w:line="360" w:lineRule="exact"/>
        <w:ind w:firstLine="576"/>
        <w:rPr>
          <w:rFonts w:ascii="宋体" w:hAnsi="宋体" w:cs="宋体"/>
          <w:kern w:val="0"/>
          <w:sz w:val="24"/>
          <w:lang w:val="zh-CN"/>
        </w:rPr>
      </w:pPr>
      <w:r>
        <w:rPr>
          <w:rFonts w:hint="eastAsia" w:ascii="宋体" w:hAnsi="宋体" w:cs="宋体"/>
          <w:kern w:val="0"/>
          <w:sz w:val="24"/>
          <w:lang w:val="zh-CN"/>
        </w:rPr>
        <w:t>三、质量</w:t>
      </w:r>
    </w:p>
    <w:p w14:paraId="46E79912">
      <w:pPr>
        <w:snapToGrid w:val="0"/>
        <w:spacing w:line="360" w:lineRule="exact"/>
        <w:ind w:firstLine="576"/>
        <w:rPr>
          <w:rFonts w:ascii="宋体" w:hAnsi="宋体" w:cs="宋体"/>
          <w:kern w:val="0"/>
          <w:sz w:val="24"/>
          <w:lang w:val="zh-CN"/>
        </w:rPr>
      </w:pPr>
    </w:p>
    <w:p w14:paraId="26B69C13">
      <w:pPr>
        <w:snapToGrid w:val="0"/>
        <w:spacing w:line="360" w:lineRule="exact"/>
        <w:ind w:firstLine="576"/>
        <w:rPr>
          <w:rFonts w:ascii="宋体" w:hAnsi="宋体" w:cs="宋体"/>
          <w:kern w:val="0"/>
          <w:sz w:val="24"/>
          <w:lang w:val="zh-CN"/>
        </w:rPr>
      </w:pPr>
      <w:r>
        <w:rPr>
          <w:rFonts w:hint="eastAsia" w:ascii="宋体" w:hAnsi="宋体" w:cs="宋体"/>
          <w:kern w:val="0"/>
          <w:sz w:val="24"/>
          <w:lang w:val="zh-CN"/>
        </w:rPr>
        <w:t>四、价款或者报酬</w:t>
      </w:r>
    </w:p>
    <w:p w14:paraId="6827A3BC">
      <w:pPr>
        <w:snapToGrid w:val="0"/>
        <w:spacing w:line="360" w:lineRule="exact"/>
        <w:rPr>
          <w:rFonts w:ascii="宋体" w:hAnsi="宋体" w:cs="宋体"/>
          <w:kern w:val="0"/>
          <w:sz w:val="24"/>
          <w:lang w:val="zh-CN"/>
        </w:rPr>
      </w:pPr>
    </w:p>
    <w:p w14:paraId="77E51C83">
      <w:pPr>
        <w:snapToGrid w:val="0"/>
        <w:spacing w:line="360" w:lineRule="exact"/>
        <w:ind w:firstLine="576"/>
        <w:rPr>
          <w:rFonts w:ascii="宋体" w:hAnsi="宋体" w:cs="宋体"/>
          <w:kern w:val="0"/>
          <w:sz w:val="24"/>
          <w:lang w:val="zh-CN"/>
        </w:rPr>
      </w:pPr>
      <w:r>
        <w:rPr>
          <w:rFonts w:hint="eastAsia" w:ascii="宋体" w:hAnsi="宋体" w:cs="宋体"/>
          <w:kern w:val="0"/>
          <w:sz w:val="24"/>
          <w:lang w:val="zh-CN"/>
        </w:rPr>
        <w:t>五、违约责任</w:t>
      </w:r>
    </w:p>
    <w:p w14:paraId="55BC0C22">
      <w:pPr>
        <w:snapToGrid w:val="0"/>
        <w:spacing w:line="360" w:lineRule="exact"/>
        <w:ind w:firstLine="576"/>
        <w:rPr>
          <w:rFonts w:ascii="宋体" w:hAnsi="宋体" w:cs="宋体"/>
          <w:kern w:val="0"/>
          <w:sz w:val="24"/>
          <w:lang w:val="zh-CN"/>
        </w:rPr>
      </w:pPr>
    </w:p>
    <w:p w14:paraId="3EFEE06D">
      <w:pPr>
        <w:snapToGrid w:val="0"/>
        <w:spacing w:line="360" w:lineRule="exact"/>
        <w:ind w:firstLine="576"/>
        <w:rPr>
          <w:rFonts w:ascii="宋体" w:hAnsi="宋体" w:cs="宋体"/>
          <w:kern w:val="0"/>
          <w:sz w:val="24"/>
          <w:lang w:val="zh-CN"/>
        </w:rPr>
      </w:pPr>
      <w:r>
        <w:rPr>
          <w:rFonts w:hint="eastAsia" w:ascii="宋体" w:hAnsi="宋体" w:cs="宋体"/>
          <w:kern w:val="0"/>
          <w:sz w:val="24"/>
          <w:lang w:val="zh-CN"/>
        </w:rPr>
        <w:t>六、争议解决的办法</w:t>
      </w:r>
    </w:p>
    <w:p w14:paraId="6DF13546">
      <w:pPr>
        <w:snapToGrid w:val="0"/>
        <w:spacing w:line="360" w:lineRule="exact"/>
        <w:ind w:firstLine="576"/>
        <w:rPr>
          <w:rFonts w:ascii="宋体" w:hAnsi="宋体" w:cs="宋体"/>
          <w:kern w:val="0"/>
          <w:sz w:val="24"/>
          <w:lang w:val="zh-CN"/>
        </w:rPr>
      </w:pPr>
    </w:p>
    <w:p w14:paraId="79A30485">
      <w:pPr>
        <w:snapToGrid w:val="0"/>
        <w:spacing w:line="360" w:lineRule="exact"/>
        <w:ind w:firstLine="576"/>
        <w:rPr>
          <w:rFonts w:ascii="宋体" w:hAnsi="宋体" w:cs="宋体"/>
          <w:kern w:val="0"/>
          <w:sz w:val="24"/>
          <w:lang w:val="zh-CN"/>
        </w:rPr>
      </w:pPr>
      <w:r>
        <w:rPr>
          <w:rFonts w:hint="eastAsia" w:ascii="宋体" w:hAnsi="宋体" w:cs="宋体"/>
          <w:kern w:val="0"/>
          <w:sz w:val="24"/>
          <w:lang w:val="zh-CN"/>
        </w:rPr>
        <w:t>七、其他</w:t>
      </w:r>
    </w:p>
    <w:p w14:paraId="721D8A4B">
      <w:pPr>
        <w:snapToGrid w:val="0"/>
        <w:spacing w:line="420" w:lineRule="exact"/>
        <w:ind w:left="5038" w:leftChars="342" w:hanging="4320" w:hangingChars="1800"/>
        <w:rPr>
          <w:rFonts w:ascii="宋体" w:hAnsi="宋体" w:cs="宋体"/>
          <w:kern w:val="0"/>
          <w:sz w:val="24"/>
          <w:lang w:val="zh-CN"/>
        </w:rPr>
      </w:pPr>
      <w:r>
        <w:rPr>
          <w:rFonts w:hint="eastAsia" w:ascii="宋体" w:hAnsi="宋体" w:cs="宋体"/>
          <w:sz w:val="24"/>
        </w:rPr>
        <w:t>中小企业合同金额达到%，小微企业合同金额达到%</w:t>
      </w:r>
      <w:r>
        <w:rPr>
          <w:rFonts w:hint="eastAsia" w:ascii="宋体" w:hAnsi="宋体" w:cs="宋体"/>
          <w:kern w:val="0"/>
          <w:sz w:val="24"/>
          <w:lang w:val="zh-CN"/>
        </w:rPr>
        <w:t xml:space="preserve">  。                                           </w:t>
      </w:r>
    </w:p>
    <w:p w14:paraId="5D456C97">
      <w:pPr>
        <w:snapToGrid w:val="0"/>
        <w:spacing w:line="420" w:lineRule="exact"/>
        <w:ind w:left="5038" w:leftChars="342" w:hanging="4320" w:hangingChars="1800"/>
        <w:rPr>
          <w:rFonts w:ascii="宋体" w:hAnsi="宋体" w:cs="宋体"/>
          <w:kern w:val="0"/>
          <w:sz w:val="24"/>
          <w:lang w:val="zh-CN"/>
        </w:rPr>
      </w:pPr>
    </w:p>
    <w:p w14:paraId="62CA1CAE">
      <w:pPr>
        <w:snapToGrid w:val="0"/>
        <w:spacing w:line="420" w:lineRule="exact"/>
        <w:ind w:left="5040" w:hanging="5040" w:hangingChars="2100"/>
        <w:jc w:val="center"/>
        <w:rPr>
          <w:rFonts w:ascii="宋体" w:hAnsi="宋体" w:cs="宋体"/>
          <w:kern w:val="0"/>
          <w:sz w:val="24"/>
          <w:lang w:val="zh-CN"/>
        </w:rPr>
      </w:pPr>
      <w:r>
        <w:rPr>
          <w:rFonts w:hint="eastAsia" w:ascii="宋体" w:hAnsi="宋体" w:cs="宋体"/>
          <w:kern w:val="0"/>
          <w:sz w:val="24"/>
          <w:lang w:val="zh-CN"/>
        </w:rPr>
        <w:t>投标人名称(电子签名)：</w:t>
      </w:r>
    </w:p>
    <w:p w14:paraId="5CCDCD8F">
      <w:pPr>
        <w:snapToGrid w:val="0"/>
        <w:spacing w:line="420" w:lineRule="exact"/>
        <w:ind w:firstLine="5640" w:firstLineChars="2350"/>
        <w:rPr>
          <w:rFonts w:ascii="宋体" w:hAnsi="宋体" w:cs="宋体"/>
          <w:kern w:val="0"/>
          <w:sz w:val="24"/>
          <w:lang w:val="zh-CN"/>
        </w:rPr>
      </w:pPr>
      <w:r>
        <w:rPr>
          <w:rFonts w:hint="eastAsia" w:ascii="宋体" w:hAnsi="宋体" w:cs="宋体"/>
          <w:kern w:val="0"/>
          <w:sz w:val="24"/>
          <w:lang w:val="zh-CN"/>
        </w:rPr>
        <w:t>分包供应商名称：</w:t>
      </w:r>
    </w:p>
    <w:p w14:paraId="083BA5B6">
      <w:pPr>
        <w:snapToGrid w:val="0"/>
        <w:spacing w:line="360" w:lineRule="auto"/>
        <w:ind w:firstLine="5760" w:firstLineChars="2400"/>
        <w:rPr>
          <w:rFonts w:ascii="宋体" w:hAnsi="宋体" w:cs="宋体"/>
        </w:rPr>
      </w:pPr>
      <w:r>
        <w:rPr>
          <w:rFonts w:hint="eastAsia" w:ascii="宋体" w:hAnsi="宋体" w:cs="宋体"/>
          <w:kern w:val="0"/>
          <w:sz w:val="24"/>
          <w:lang w:val="zh-CN"/>
        </w:rPr>
        <w:t>……</w:t>
      </w:r>
    </w:p>
    <w:p w14:paraId="5F1FAA77">
      <w:pPr>
        <w:spacing w:line="360" w:lineRule="auto"/>
        <w:jc w:val="center"/>
        <w:rPr>
          <w:rFonts w:ascii="宋体" w:hAnsi="宋体" w:cs="宋体"/>
          <w:kern w:val="0"/>
          <w:sz w:val="24"/>
          <w:lang w:val="zh-CN"/>
        </w:rPr>
      </w:pPr>
      <w:r>
        <w:rPr>
          <w:rFonts w:hint="eastAsia" w:ascii="宋体" w:hAnsi="宋体" w:cs="宋体"/>
          <w:kern w:val="0"/>
          <w:sz w:val="24"/>
          <w:lang w:val="zh-CN"/>
        </w:rPr>
        <w:t xml:space="preserve">                                        日期：  年  月   日</w:t>
      </w:r>
    </w:p>
    <w:p w14:paraId="70C1D317">
      <w:pPr>
        <w:widowControl/>
        <w:spacing w:line="360" w:lineRule="auto"/>
        <w:ind w:left="150"/>
        <w:jc w:val="center"/>
        <w:rPr>
          <w:rFonts w:ascii="宋体" w:hAnsi="宋体" w:cs="宋体"/>
          <w:b/>
          <w:kern w:val="0"/>
          <w:sz w:val="32"/>
          <w:szCs w:val="32"/>
        </w:rPr>
      </w:pPr>
    </w:p>
    <w:p w14:paraId="7ABADB16">
      <w:pPr>
        <w:widowControl/>
        <w:spacing w:line="360" w:lineRule="auto"/>
        <w:ind w:left="150"/>
        <w:jc w:val="center"/>
        <w:rPr>
          <w:rFonts w:ascii="宋体" w:hAnsi="宋体" w:cs="宋体"/>
          <w:b/>
          <w:kern w:val="0"/>
          <w:sz w:val="32"/>
          <w:szCs w:val="32"/>
        </w:rPr>
      </w:pPr>
    </w:p>
    <w:p w14:paraId="53ACA2C3">
      <w:pPr>
        <w:widowControl/>
        <w:spacing w:line="360" w:lineRule="auto"/>
        <w:ind w:left="150"/>
        <w:jc w:val="center"/>
        <w:rPr>
          <w:rFonts w:ascii="宋体" w:hAnsi="宋体" w:cs="宋体"/>
          <w:b/>
          <w:kern w:val="0"/>
          <w:sz w:val="32"/>
          <w:szCs w:val="32"/>
        </w:rPr>
      </w:pPr>
    </w:p>
    <w:p w14:paraId="2ED7E87D">
      <w:pPr>
        <w:widowControl/>
        <w:spacing w:line="360" w:lineRule="auto"/>
        <w:ind w:left="150"/>
        <w:jc w:val="center"/>
        <w:rPr>
          <w:rFonts w:ascii="宋体" w:hAnsi="宋体" w:cs="宋体"/>
          <w:b/>
          <w:kern w:val="0"/>
          <w:sz w:val="32"/>
          <w:szCs w:val="32"/>
        </w:rPr>
      </w:pPr>
    </w:p>
    <w:p w14:paraId="21DF3595">
      <w:pPr>
        <w:widowControl/>
        <w:spacing w:line="360" w:lineRule="auto"/>
        <w:ind w:left="150"/>
        <w:jc w:val="center"/>
        <w:rPr>
          <w:rFonts w:ascii="宋体" w:hAnsi="宋体" w:cs="宋体"/>
          <w:b/>
          <w:kern w:val="0"/>
          <w:sz w:val="32"/>
          <w:szCs w:val="32"/>
        </w:rPr>
      </w:pPr>
    </w:p>
    <w:p w14:paraId="6F21194F">
      <w:pPr>
        <w:widowControl/>
        <w:spacing w:line="360" w:lineRule="auto"/>
        <w:ind w:left="150"/>
        <w:jc w:val="center"/>
        <w:rPr>
          <w:rFonts w:ascii="宋体" w:hAnsi="宋体" w:cs="宋体"/>
          <w:b/>
          <w:kern w:val="0"/>
          <w:sz w:val="32"/>
          <w:szCs w:val="32"/>
        </w:rPr>
      </w:pPr>
      <w:r>
        <w:rPr>
          <w:rFonts w:hint="eastAsia" w:ascii="宋体" w:hAnsi="宋体" w:cs="宋体"/>
          <w:b/>
          <w:kern w:val="0"/>
          <w:sz w:val="32"/>
          <w:szCs w:val="32"/>
        </w:rPr>
        <w:t>四、本项目的特定资格要求</w:t>
      </w:r>
    </w:p>
    <w:p w14:paraId="3F57A3F5">
      <w:pPr>
        <w:spacing w:line="360" w:lineRule="auto"/>
        <w:jc w:val="center"/>
        <w:rPr>
          <w:rFonts w:ascii="宋体" w:hAnsi="宋体" w:cs="宋体"/>
          <w:sz w:val="24"/>
        </w:rPr>
      </w:pPr>
      <w:r>
        <w:rPr>
          <w:rFonts w:hint="eastAsia" w:ascii="宋体" w:hAnsi="宋体" w:cs="宋体"/>
          <w:sz w:val="24"/>
        </w:rPr>
        <w:t>（根据招标公告本项目的特定资格要求提供相应的材料；未要求的，无需提供）</w:t>
      </w:r>
    </w:p>
    <w:p w14:paraId="388E106E">
      <w:pPr>
        <w:rPr>
          <w:rFonts w:ascii="宋体" w:hAnsi="宋体" w:cs="宋体"/>
        </w:rPr>
      </w:pPr>
    </w:p>
    <w:p w14:paraId="6FE949FC">
      <w:pPr>
        <w:snapToGrid w:val="0"/>
        <w:spacing w:line="360" w:lineRule="auto"/>
        <w:ind w:right="480"/>
        <w:jc w:val="center"/>
        <w:rPr>
          <w:rFonts w:ascii="宋体" w:hAnsi="宋体" w:cs="宋体"/>
          <w:b/>
          <w:kern w:val="0"/>
          <w:sz w:val="32"/>
          <w:szCs w:val="32"/>
        </w:rPr>
      </w:pPr>
    </w:p>
    <w:p w14:paraId="1BA6B305">
      <w:pPr>
        <w:snapToGrid w:val="0"/>
        <w:spacing w:line="360" w:lineRule="auto"/>
        <w:ind w:right="480"/>
        <w:jc w:val="center"/>
        <w:rPr>
          <w:rFonts w:ascii="宋体" w:hAnsi="宋体" w:cs="宋体"/>
          <w:b/>
          <w:kern w:val="0"/>
          <w:sz w:val="32"/>
          <w:szCs w:val="32"/>
        </w:rPr>
      </w:pPr>
    </w:p>
    <w:p w14:paraId="696ADC68">
      <w:pPr>
        <w:snapToGrid w:val="0"/>
        <w:spacing w:line="360" w:lineRule="auto"/>
        <w:ind w:right="480"/>
        <w:jc w:val="center"/>
        <w:rPr>
          <w:rFonts w:ascii="宋体" w:hAnsi="宋体" w:cs="宋体"/>
          <w:b/>
          <w:kern w:val="0"/>
          <w:sz w:val="32"/>
          <w:szCs w:val="32"/>
        </w:rPr>
      </w:pPr>
    </w:p>
    <w:p w14:paraId="0AD8282A">
      <w:pPr>
        <w:snapToGrid w:val="0"/>
        <w:spacing w:line="360" w:lineRule="auto"/>
        <w:ind w:right="480"/>
        <w:jc w:val="center"/>
        <w:rPr>
          <w:rFonts w:ascii="宋体" w:hAnsi="宋体" w:cs="宋体"/>
          <w:b/>
          <w:kern w:val="0"/>
          <w:sz w:val="32"/>
          <w:szCs w:val="32"/>
        </w:rPr>
      </w:pPr>
    </w:p>
    <w:p w14:paraId="1F228665">
      <w:pPr>
        <w:snapToGrid w:val="0"/>
        <w:spacing w:line="360" w:lineRule="auto"/>
        <w:ind w:right="480"/>
        <w:jc w:val="center"/>
        <w:rPr>
          <w:rFonts w:ascii="宋体" w:hAnsi="宋体" w:cs="宋体"/>
          <w:b/>
          <w:kern w:val="0"/>
          <w:sz w:val="32"/>
          <w:szCs w:val="32"/>
        </w:rPr>
      </w:pPr>
    </w:p>
    <w:p w14:paraId="4CF57224">
      <w:pPr>
        <w:snapToGrid w:val="0"/>
        <w:spacing w:line="360" w:lineRule="auto"/>
        <w:ind w:right="480"/>
        <w:jc w:val="center"/>
        <w:rPr>
          <w:rFonts w:ascii="宋体" w:hAnsi="宋体" w:cs="宋体"/>
          <w:b/>
          <w:kern w:val="0"/>
          <w:sz w:val="32"/>
          <w:szCs w:val="32"/>
        </w:rPr>
      </w:pPr>
    </w:p>
    <w:p w14:paraId="625EC913">
      <w:pPr>
        <w:pStyle w:val="3"/>
        <w:rPr>
          <w:rFonts w:ascii="宋体" w:hAnsi="宋体" w:eastAsia="宋体" w:cs="宋体"/>
          <w:lang w:val="en-US"/>
        </w:rPr>
      </w:pPr>
    </w:p>
    <w:p w14:paraId="6B14C4CE">
      <w:pPr>
        <w:rPr>
          <w:rFonts w:ascii="宋体" w:hAnsi="宋体" w:cs="宋体"/>
        </w:rPr>
      </w:pPr>
    </w:p>
    <w:p w14:paraId="786D382A">
      <w:pPr>
        <w:pStyle w:val="3"/>
        <w:rPr>
          <w:rFonts w:ascii="宋体" w:hAnsi="宋体" w:eastAsia="宋体" w:cs="宋体"/>
          <w:lang w:val="en-US"/>
        </w:rPr>
      </w:pPr>
    </w:p>
    <w:p w14:paraId="4F6AE4A7">
      <w:pPr>
        <w:rPr>
          <w:rFonts w:ascii="宋体" w:hAnsi="宋体" w:cs="宋体"/>
        </w:rPr>
      </w:pPr>
    </w:p>
    <w:p w14:paraId="7D1E3B25">
      <w:pPr>
        <w:pStyle w:val="3"/>
        <w:rPr>
          <w:rFonts w:ascii="宋体" w:hAnsi="宋体" w:eastAsia="宋体" w:cs="宋体"/>
          <w:lang w:val="en-US"/>
        </w:rPr>
      </w:pPr>
    </w:p>
    <w:p w14:paraId="01092A05">
      <w:pPr>
        <w:rPr>
          <w:rFonts w:ascii="宋体" w:hAnsi="宋体" w:cs="宋体"/>
        </w:rPr>
      </w:pPr>
    </w:p>
    <w:p w14:paraId="4EDA5652">
      <w:pPr>
        <w:pStyle w:val="3"/>
        <w:rPr>
          <w:rFonts w:ascii="宋体" w:hAnsi="宋体" w:eastAsia="宋体" w:cs="宋体"/>
          <w:lang w:val="en-US"/>
        </w:rPr>
      </w:pPr>
    </w:p>
    <w:p w14:paraId="3F49FB78">
      <w:pPr>
        <w:rPr>
          <w:rFonts w:ascii="宋体" w:hAnsi="宋体" w:cs="宋体"/>
        </w:rPr>
      </w:pPr>
    </w:p>
    <w:p w14:paraId="780BFD82">
      <w:pPr>
        <w:pStyle w:val="3"/>
        <w:rPr>
          <w:rFonts w:ascii="宋体" w:hAnsi="宋体" w:eastAsia="宋体" w:cs="宋体"/>
          <w:lang w:val="en-US"/>
        </w:rPr>
      </w:pPr>
    </w:p>
    <w:p w14:paraId="79D49763">
      <w:pPr>
        <w:rPr>
          <w:rFonts w:ascii="宋体" w:hAnsi="宋体" w:cs="宋体"/>
        </w:rPr>
      </w:pPr>
    </w:p>
    <w:p w14:paraId="4CC67E01">
      <w:pPr>
        <w:spacing w:line="360" w:lineRule="auto"/>
        <w:jc w:val="center"/>
        <w:outlineLvl w:val="0"/>
        <w:rPr>
          <w:rFonts w:ascii="宋体" w:hAnsi="宋体" w:cs="宋体"/>
          <w:b/>
          <w:kern w:val="0"/>
          <w:sz w:val="36"/>
          <w:szCs w:val="36"/>
        </w:rPr>
      </w:pPr>
    </w:p>
    <w:p w14:paraId="594F9354">
      <w:pPr>
        <w:snapToGrid w:val="0"/>
        <w:spacing w:line="360" w:lineRule="auto"/>
        <w:ind w:right="480"/>
        <w:jc w:val="center"/>
        <w:rPr>
          <w:rFonts w:ascii="宋体" w:hAnsi="宋体" w:cs="宋体"/>
          <w:b/>
          <w:kern w:val="0"/>
          <w:sz w:val="32"/>
          <w:szCs w:val="32"/>
        </w:rPr>
      </w:pPr>
    </w:p>
    <w:p w14:paraId="006975C0">
      <w:pPr>
        <w:spacing w:line="360" w:lineRule="auto"/>
        <w:ind w:right="420" w:firstLine="3213" w:firstLineChars="1000"/>
        <w:rPr>
          <w:rFonts w:ascii="宋体" w:hAnsi="宋体" w:cs="宋体"/>
          <w:b/>
          <w:kern w:val="0"/>
          <w:sz w:val="32"/>
          <w:szCs w:val="32"/>
        </w:rPr>
      </w:pPr>
    </w:p>
    <w:p w14:paraId="6699F56F">
      <w:pPr>
        <w:spacing w:line="360" w:lineRule="auto"/>
        <w:ind w:right="420" w:firstLine="3213" w:firstLineChars="1000"/>
        <w:rPr>
          <w:rFonts w:ascii="宋体" w:hAnsi="宋体" w:cs="宋体"/>
          <w:b/>
          <w:kern w:val="0"/>
          <w:sz w:val="32"/>
          <w:szCs w:val="32"/>
        </w:rPr>
      </w:pPr>
    </w:p>
    <w:p w14:paraId="4E2DA990">
      <w:pPr>
        <w:spacing w:line="360" w:lineRule="auto"/>
        <w:ind w:right="420" w:firstLine="3213" w:firstLineChars="1000"/>
        <w:rPr>
          <w:rFonts w:ascii="宋体" w:hAnsi="宋体" w:cs="宋体"/>
          <w:b/>
          <w:kern w:val="0"/>
          <w:sz w:val="32"/>
          <w:szCs w:val="32"/>
        </w:rPr>
      </w:pPr>
    </w:p>
    <w:p w14:paraId="3E9276C8">
      <w:pPr>
        <w:spacing w:line="360" w:lineRule="auto"/>
        <w:ind w:right="420" w:firstLine="3213" w:firstLineChars="1000"/>
        <w:rPr>
          <w:rFonts w:ascii="宋体" w:hAnsi="宋体" w:cs="宋体"/>
          <w:b/>
          <w:kern w:val="0"/>
          <w:sz w:val="32"/>
          <w:szCs w:val="32"/>
        </w:rPr>
      </w:pPr>
    </w:p>
    <w:p w14:paraId="76E98F45">
      <w:pPr>
        <w:spacing w:line="360" w:lineRule="auto"/>
        <w:ind w:right="420" w:firstLine="3213" w:firstLineChars="1000"/>
        <w:rPr>
          <w:rFonts w:ascii="宋体" w:hAnsi="宋体" w:cs="宋体"/>
          <w:b/>
          <w:kern w:val="0"/>
          <w:sz w:val="32"/>
          <w:szCs w:val="32"/>
        </w:rPr>
      </w:pPr>
    </w:p>
    <w:p w14:paraId="6857C47F">
      <w:pPr>
        <w:spacing w:line="360" w:lineRule="auto"/>
        <w:ind w:right="420" w:firstLine="3213" w:firstLineChars="1000"/>
        <w:rPr>
          <w:rFonts w:ascii="宋体" w:hAnsi="宋体" w:cs="宋体"/>
          <w:b/>
          <w:kern w:val="0"/>
          <w:sz w:val="32"/>
          <w:szCs w:val="32"/>
        </w:rPr>
      </w:pPr>
      <w:r>
        <w:rPr>
          <w:rFonts w:hint="eastAsia" w:ascii="宋体" w:hAnsi="宋体" w:cs="宋体"/>
          <w:b/>
          <w:kern w:val="0"/>
          <w:sz w:val="32"/>
          <w:szCs w:val="32"/>
        </w:rPr>
        <w:t>商务技术文件部分</w:t>
      </w:r>
    </w:p>
    <w:p w14:paraId="72506233">
      <w:pPr>
        <w:spacing w:line="360" w:lineRule="auto"/>
        <w:jc w:val="center"/>
        <w:outlineLvl w:val="0"/>
        <w:rPr>
          <w:rFonts w:ascii="宋体" w:hAnsi="宋体" w:cs="宋体"/>
          <w:b/>
          <w:kern w:val="0"/>
          <w:sz w:val="24"/>
        </w:rPr>
      </w:pPr>
    </w:p>
    <w:p w14:paraId="4C450279">
      <w:pPr>
        <w:spacing w:line="360" w:lineRule="auto"/>
        <w:jc w:val="center"/>
        <w:outlineLvl w:val="0"/>
        <w:rPr>
          <w:rFonts w:ascii="宋体" w:hAnsi="宋体" w:cs="宋体"/>
          <w:b/>
          <w:kern w:val="0"/>
          <w:sz w:val="32"/>
          <w:szCs w:val="32"/>
        </w:rPr>
      </w:pPr>
      <w:r>
        <w:rPr>
          <w:rFonts w:hint="eastAsia" w:ascii="宋体" w:hAnsi="宋体" w:cs="宋体"/>
          <w:b/>
          <w:kern w:val="0"/>
          <w:sz w:val="32"/>
          <w:szCs w:val="32"/>
        </w:rPr>
        <w:t>目录</w:t>
      </w:r>
    </w:p>
    <w:p w14:paraId="25E79FAA">
      <w:pPr>
        <w:snapToGrid w:val="0"/>
        <w:spacing w:line="360" w:lineRule="auto"/>
        <w:ind w:firstLine="480" w:firstLineChars="200"/>
        <w:rPr>
          <w:rFonts w:ascii="宋体" w:hAnsi="宋体" w:cs="宋体"/>
          <w:sz w:val="24"/>
        </w:rPr>
      </w:pPr>
      <w:r>
        <w:rPr>
          <w:rFonts w:hint="eastAsia" w:ascii="宋体" w:hAnsi="宋体" w:cs="宋体"/>
          <w:sz w:val="24"/>
        </w:rPr>
        <w:t>（1）投标函……………………………………………………………………………（页码）</w:t>
      </w:r>
    </w:p>
    <w:p w14:paraId="35497029">
      <w:pPr>
        <w:snapToGrid w:val="0"/>
        <w:spacing w:line="360" w:lineRule="auto"/>
        <w:ind w:firstLine="480" w:firstLineChars="200"/>
        <w:rPr>
          <w:rFonts w:ascii="宋体" w:hAnsi="宋体" w:cs="宋体"/>
          <w:sz w:val="24"/>
        </w:rPr>
      </w:pPr>
      <w:r>
        <w:rPr>
          <w:rFonts w:hint="eastAsia" w:ascii="宋体" w:hAnsi="宋体" w:cs="宋体"/>
          <w:sz w:val="24"/>
        </w:rPr>
        <w:t>（2）授权委托书或法定代表人（单位负责人、自然人本人）身份证明………（页码）</w:t>
      </w:r>
    </w:p>
    <w:p w14:paraId="4A0B9D66">
      <w:pPr>
        <w:snapToGrid w:val="0"/>
        <w:spacing w:line="360" w:lineRule="auto"/>
        <w:ind w:firstLine="480" w:firstLineChars="200"/>
        <w:rPr>
          <w:rFonts w:ascii="宋体" w:hAnsi="宋体" w:cs="宋体"/>
          <w:sz w:val="24"/>
        </w:rPr>
      </w:pPr>
      <w:r>
        <w:rPr>
          <w:rFonts w:hint="eastAsia" w:ascii="宋体" w:hAnsi="宋体" w:cs="宋体"/>
          <w:sz w:val="24"/>
        </w:rPr>
        <w:t>（3）联合协议（如需）………………………………………………………………（页码）</w:t>
      </w:r>
    </w:p>
    <w:p w14:paraId="0D613297">
      <w:pPr>
        <w:snapToGrid w:val="0"/>
        <w:spacing w:line="360" w:lineRule="auto"/>
        <w:ind w:firstLine="480" w:firstLineChars="200"/>
        <w:rPr>
          <w:rFonts w:ascii="宋体" w:hAnsi="宋体" w:cs="宋体"/>
          <w:sz w:val="24"/>
        </w:rPr>
      </w:pPr>
      <w:r>
        <w:rPr>
          <w:rFonts w:hint="eastAsia" w:ascii="宋体" w:hAnsi="宋体" w:cs="宋体"/>
          <w:sz w:val="24"/>
        </w:rPr>
        <w:t>（4）分包意向协议（如需）…………………………………………………………（页码）</w:t>
      </w:r>
    </w:p>
    <w:p w14:paraId="720C8B50">
      <w:pPr>
        <w:snapToGrid w:val="0"/>
        <w:spacing w:line="360" w:lineRule="auto"/>
        <w:ind w:firstLine="480" w:firstLineChars="200"/>
        <w:rPr>
          <w:rFonts w:ascii="宋体" w:hAnsi="宋体" w:cs="宋体"/>
          <w:sz w:val="24"/>
        </w:rPr>
      </w:pPr>
      <w:r>
        <w:rPr>
          <w:rFonts w:hint="eastAsia" w:ascii="宋体" w:hAnsi="宋体" w:cs="宋体"/>
          <w:sz w:val="24"/>
        </w:rPr>
        <w:t>（5）符合性审查资料…………………………………………………………………（页码）</w:t>
      </w:r>
    </w:p>
    <w:p w14:paraId="1ED42523">
      <w:pPr>
        <w:snapToGrid w:val="0"/>
        <w:spacing w:line="360" w:lineRule="auto"/>
        <w:ind w:firstLine="480" w:firstLineChars="200"/>
        <w:rPr>
          <w:rFonts w:ascii="宋体" w:hAnsi="宋体" w:cs="宋体"/>
          <w:sz w:val="24"/>
        </w:rPr>
      </w:pPr>
      <w:r>
        <w:rPr>
          <w:rFonts w:hint="eastAsia" w:ascii="宋体" w:hAnsi="宋体" w:cs="宋体"/>
          <w:sz w:val="24"/>
        </w:rPr>
        <w:t>（6）评标标准相应的商务技术资料（如需）………………………………………（页码）</w:t>
      </w:r>
    </w:p>
    <w:p w14:paraId="70D71D23">
      <w:pPr>
        <w:snapToGrid w:val="0"/>
        <w:spacing w:line="360" w:lineRule="auto"/>
        <w:ind w:firstLine="480" w:firstLineChars="200"/>
        <w:rPr>
          <w:rFonts w:ascii="宋体" w:hAnsi="宋体" w:cs="宋体"/>
          <w:sz w:val="24"/>
        </w:rPr>
      </w:pPr>
      <w:r>
        <w:rPr>
          <w:rFonts w:hint="eastAsia" w:ascii="宋体" w:hAnsi="宋体" w:cs="宋体"/>
          <w:sz w:val="24"/>
        </w:rPr>
        <w:t>（7）商务技术偏离表…………………………………………………………………（页码）</w:t>
      </w:r>
    </w:p>
    <w:p w14:paraId="2C986F78">
      <w:pPr>
        <w:snapToGrid w:val="0"/>
        <w:spacing w:line="360" w:lineRule="auto"/>
        <w:ind w:firstLine="480" w:firstLineChars="200"/>
        <w:rPr>
          <w:rFonts w:ascii="宋体" w:hAnsi="宋体" w:cs="宋体"/>
          <w:sz w:val="24"/>
        </w:rPr>
      </w:pPr>
      <w:r>
        <w:rPr>
          <w:rFonts w:hint="eastAsia" w:ascii="宋体" w:hAnsi="宋体" w:cs="宋体"/>
          <w:sz w:val="24"/>
          <w:lang w:val="zh-CN"/>
        </w:rPr>
        <w:t>（</w:t>
      </w:r>
      <w:r>
        <w:rPr>
          <w:rFonts w:hint="eastAsia" w:ascii="宋体" w:hAnsi="宋体" w:cs="宋体"/>
          <w:sz w:val="24"/>
        </w:rPr>
        <w:t>8</w:t>
      </w:r>
      <w:r>
        <w:rPr>
          <w:rFonts w:hint="eastAsia" w:ascii="宋体" w:hAnsi="宋体" w:cs="宋体"/>
          <w:sz w:val="24"/>
          <w:lang w:val="zh-CN"/>
        </w:rPr>
        <w:t>）政府采购供应商廉洁自律承诺书</w:t>
      </w:r>
      <w:r>
        <w:rPr>
          <w:rFonts w:hint="eastAsia" w:ascii="宋体" w:hAnsi="宋体" w:cs="宋体"/>
          <w:sz w:val="24"/>
        </w:rPr>
        <w:t>………………………………………………（页码）</w:t>
      </w:r>
    </w:p>
    <w:p w14:paraId="60173F93">
      <w:pPr>
        <w:snapToGrid w:val="0"/>
        <w:spacing w:line="360" w:lineRule="auto"/>
        <w:jc w:val="center"/>
        <w:rPr>
          <w:rFonts w:ascii="宋体" w:hAnsi="宋体" w:cs="宋体"/>
          <w:b/>
          <w:kern w:val="0"/>
          <w:sz w:val="32"/>
          <w:szCs w:val="32"/>
          <w:lang w:val="zh-CN"/>
        </w:rPr>
      </w:pPr>
    </w:p>
    <w:p w14:paraId="4B709303">
      <w:pPr>
        <w:snapToGrid w:val="0"/>
        <w:spacing w:line="360" w:lineRule="auto"/>
        <w:jc w:val="center"/>
        <w:rPr>
          <w:rFonts w:ascii="宋体" w:hAnsi="宋体" w:cs="宋体"/>
          <w:b/>
          <w:kern w:val="0"/>
          <w:sz w:val="32"/>
          <w:szCs w:val="32"/>
          <w:lang w:val="zh-CN"/>
        </w:rPr>
      </w:pPr>
    </w:p>
    <w:p w14:paraId="276F989B">
      <w:pPr>
        <w:snapToGrid w:val="0"/>
        <w:spacing w:line="360" w:lineRule="auto"/>
        <w:jc w:val="center"/>
        <w:rPr>
          <w:rFonts w:ascii="宋体" w:hAnsi="宋体" w:cs="宋体"/>
          <w:b/>
          <w:kern w:val="0"/>
          <w:sz w:val="32"/>
          <w:szCs w:val="32"/>
          <w:lang w:val="zh-CN"/>
        </w:rPr>
      </w:pPr>
    </w:p>
    <w:p w14:paraId="04A73CA0">
      <w:pPr>
        <w:snapToGrid w:val="0"/>
        <w:spacing w:line="360" w:lineRule="auto"/>
        <w:jc w:val="center"/>
        <w:rPr>
          <w:rFonts w:ascii="宋体" w:hAnsi="宋体" w:cs="宋体"/>
          <w:b/>
          <w:kern w:val="0"/>
          <w:sz w:val="32"/>
          <w:szCs w:val="32"/>
          <w:lang w:val="zh-CN"/>
        </w:rPr>
      </w:pPr>
    </w:p>
    <w:p w14:paraId="43CC2322">
      <w:pPr>
        <w:snapToGrid w:val="0"/>
        <w:spacing w:line="360" w:lineRule="auto"/>
        <w:jc w:val="center"/>
        <w:rPr>
          <w:rFonts w:ascii="宋体" w:hAnsi="宋体" w:cs="宋体"/>
          <w:b/>
          <w:kern w:val="0"/>
          <w:sz w:val="32"/>
          <w:szCs w:val="32"/>
          <w:lang w:val="zh-CN"/>
        </w:rPr>
      </w:pPr>
    </w:p>
    <w:p w14:paraId="0B4D5CDB">
      <w:pPr>
        <w:snapToGrid w:val="0"/>
        <w:spacing w:line="360" w:lineRule="auto"/>
        <w:jc w:val="center"/>
        <w:outlineLvl w:val="0"/>
        <w:rPr>
          <w:rFonts w:ascii="宋体" w:hAnsi="宋体" w:cs="宋体"/>
          <w:b/>
          <w:kern w:val="0"/>
          <w:sz w:val="32"/>
          <w:szCs w:val="32"/>
        </w:rPr>
      </w:pPr>
    </w:p>
    <w:p w14:paraId="112EE32E">
      <w:pPr>
        <w:snapToGrid w:val="0"/>
        <w:spacing w:line="360" w:lineRule="auto"/>
        <w:jc w:val="center"/>
        <w:outlineLvl w:val="0"/>
        <w:rPr>
          <w:rFonts w:ascii="宋体" w:hAnsi="宋体" w:cs="宋体"/>
          <w:b/>
          <w:kern w:val="0"/>
          <w:sz w:val="32"/>
          <w:szCs w:val="32"/>
        </w:rPr>
      </w:pPr>
    </w:p>
    <w:p w14:paraId="47B329D3">
      <w:pPr>
        <w:rPr>
          <w:rFonts w:ascii="宋体" w:hAnsi="宋体" w:cs="宋体"/>
        </w:rPr>
      </w:pPr>
    </w:p>
    <w:p w14:paraId="4A40F423">
      <w:pPr>
        <w:snapToGrid w:val="0"/>
        <w:spacing w:line="360" w:lineRule="auto"/>
        <w:jc w:val="center"/>
        <w:outlineLvl w:val="0"/>
        <w:rPr>
          <w:rFonts w:ascii="宋体" w:hAnsi="宋体" w:cs="宋体"/>
          <w:b/>
          <w:kern w:val="0"/>
          <w:sz w:val="32"/>
          <w:szCs w:val="32"/>
        </w:rPr>
      </w:pPr>
    </w:p>
    <w:p w14:paraId="03866369">
      <w:pPr>
        <w:snapToGrid w:val="0"/>
        <w:spacing w:line="360" w:lineRule="auto"/>
        <w:jc w:val="center"/>
        <w:outlineLvl w:val="0"/>
        <w:rPr>
          <w:rFonts w:ascii="宋体" w:hAnsi="宋体" w:cs="宋体"/>
          <w:b/>
          <w:kern w:val="0"/>
          <w:sz w:val="32"/>
          <w:szCs w:val="32"/>
        </w:rPr>
      </w:pPr>
    </w:p>
    <w:p w14:paraId="771BECDB">
      <w:pPr>
        <w:snapToGrid w:val="0"/>
        <w:spacing w:line="360" w:lineRule="auto"/>
        <w:jc w:val="center"/>
        <w:outlineLvl w:val="0"/>
        <w:rPr>
          <w:rFonts w:ascii="宋体" w:hAnsi="宋体" w:cs="宋体"/>
          <w:b/>
          <w:kern w:val="0"/>
          <w:sz w:val="32"/>
          <w:szCs w:val="32"/>
        </w:rPr>
      </w:pPr>
    </w:p>
    <w:p w14:paraId="286AF250">
      <w:pPr>
        <w:snapToGrid w:val="0"/>
        <w:spacing w:line="360" w:lineRule="auto"/>
        <w:jc w:val="center"/>
        <w:outlineLvl w:val="0"/>
        <w:rPr>
          <w:rFonts w:ascii="宋体" w:hAnsi="宋体" w:cs="宋体"/>
          <w:b/>
          <w:kern w:val="0"/>
          <w:sz w:val="32"/>
          <w:szCs w:val="32"/>
        </w:rPr>
      </w:pPr>
    </w:p>
    <w:p w14:paraId="6ECCC3DA">
      <w:pPr>
        <w:snapToGrid w:val="0"/>
        <w:spacing w:line="360" w:lineRule="auto"/>
        <w:jc w:val="center"/>
        <w:outlineLvl w:val="0"/>
        <w:rPr>
          <w:rFonts w:ascii="宋体" w:hAnsi="宋体" w:cs="宋体"/>
          <w:b/>
          <w:kern w:val="0"/>
          <w:sz w:val="32"/>
          <w:szCs w:val="32"/>
        </w:rPr>
      </w:pPr>
    </w:p>
    <w:p w14:paraId="10B4F85C">
      <w:pPr>
        <w:snapToGrid w:val="0"/>
        <w:spacing w:line="360" w:lineRule="auto"/>
        <w:jc w:val="center"/>
        <w:outlineLvl w:val="0"/>
        <w:rPr>
          <w:rFonts w:ascii="宋体" w:hAnsi="宋体" w:cs="宋体"/>
          <w:b/>
          <w:kern w:val="0"/>
          <w:sz w:val="32"/>
          <w:szCs w:val="32"/>
        </w:rPr>
      </w:pPr>
    </w:p>
    <w:p w14:paraId="4B377482">
      <w:pPr>
        <w:snapToGrid w:val="0"/>
        <w:spacing w:line="360" w:lineRule="auto"/>
        <w:jc w:val="center"/>
        <w:outlineLvl w:val="0"/>
        <w:rPr>
          <w:rFonts w:ascii="宋体" w:hAnsi="宋体" w:cs="宋体"/>
          <w:b/>
          <w:kern w:val="0"/>
          <w:sz w:val="32"/>
          <w:szCs w:val="32"/>
        </w:rPr>
      </w:pPr>
    </w:p>
    <w:p w14:paraId="5BE251B0">
      <w:pPr>
        <w:snapToGrid w:val="0"/>
        <w:spacing w:line="360" w:lineRule="auto"/>
        <w:jc w:val="center"/>
        <w:outlineLvl w:val="0"/>
        <w:rPr>
          <w:rFonts w:ascii="宋体" w:hAnsi="宋体" w:cs="宋体"/>
          <w:b/>
          <w:sz w:val="32"/>
          <w:szCs w:val="32"/>
        </w:rPr>
      </w:pPr>
      <w:r>
        <w:rPr>
          <w:rFonts w:hint="eastAsia" w:ascii="宋体" w:hAnsi="宋体" w:cs="宋体"/>
          <w:b/>
          <w:kern w:val="0"/>
          <w:sz w:val="32"/>
          <w:szCs w:val="32"/>
        </w:rPr>
        <w:t>一、投标</w:t>
      </w:r>
      <w:r>
        <w:rPr>
          <w:rFonts w:hint="eastAsia" w:ascii="宋体" w:hAnsi="宋体" w:cs="宋体"/>
          <w:b/>
          <w:sz w:val="32"/>
          <w:szCs w:val="32"/>
        </w:rPr>
        <w:t>函</w:t>
      </w:r>
    </w:p>
    <w:p w14:paraId="70DA3414">
      <w:pPr>
        <w:snapToGrid w:val="0"/>
        <w:spacing w:line="420" w:lineRule="exact"/>
        <w:rPr>
          <w:rFonts w:ascii="宋体" w:hAnsi="宋体" w:cs="宋体"/>
          <w:sz w:val="24"/>
        </w:rPr>
      </w:pPr>
      <w:r>
        <w:rPr>
          <w:rFonts w:hint="eastAsia" w:ascii="宋体" w:hAnsi="宋体" w:cs="宋体"/>
          <w:sz w:val="24"/>
        </w:rPr>
        <w:t>（采购人）、（采购代理机构）：</w:t>
      </w:r>
    </w:p>
    <w:p w14:paraId="48F41C4F">
      <w:pPr>
        <w:snapToGrid w:val="0"/>
        <w:spacing w:line="420" w:lineRule="exact"/>
        <w:ind w:firstLine="480" w:firstLineChars="200"/>
        <w:rPr>
          <w:rFonts w:ascii="宋体" w:hAnsi="宋体" w:cs="宋体"/>
          <w:sz w:val="24"/>
        </w:rPr>
      </w:pPr>
      <w:r>
        <w:rPr>
          <w:rFonts w:hint="eastAsia" w:ascii="宋体" w:hAnsi="宋体" w:cs="宋体"/>
          <w:sz w:val="24"/>
        </w:rPr>
        <w:t>我方参加你方组织的（项目名称）【招标编号：（采购编号）】招标的有关活动，并对此项目进行投标。为此：</w:t>
      </w:r>
    </w:p>
    <w:p w14:paraId="65A0BCAB">
      <w:pPr>
        <w:snapToGrid w:val="0"/>
        <w:spacing w:line="420" w:lineRule="exact"/>
        <w:ind w:firstLine="480" w:firstLineChars="200"/>
        <w:rPr>
          <w:rFonts w:ascii="宋体" w:hAnsi="宋体" w:cs="宋体"/>
          <w:sz w:val="24"/>
        </w:rPr>
      </w:pPr>
      <w:r>
        <w:rPr>
          <w:rFonts w:hint="eastAsia" w:ascii="宋体" w:hAnsi="宋体" w:cs="宋体"/>
          <w:sz w:val="24"/>
        </w:rPr>
        <w:t>1、我方承诺投标有效期从提交投标文件的截止之日起天（不少于90天）</w:t>
      </w:r>
      <w:r>
        <w:rPr>
          <w:rFonts w:hint="eastAsia" w:ascii="宋体" w:hAnsi="宋体" w:cs="宋体"/>
        </w:rPr>
        <w:t>，</w:t>
      </w:r>
      <w:r>
        <w:rPr>
          <w:rFonts w:hint="eastAsia" w:ascii="宋体" w:hAnsi="宋体" w:cs="宋体"/>
          <w:sz w:val="24"/>
        </w:rPr>
        <w:t>本投标文件在投标有效期满之前均具有约束力。</w:t>
      </w:r>
    </w:p>
    <w:p w14:paraId="581AE2AC">
      <w:pPr>
        <w:snapToGrid w:val="0"/>
        <w:spacing w:line="420" w:lineRule="exact"/>
        <w:ind w:firstLine="480" w:firstLineChars="200"/>
        <w:rPr>
          <w:rFonts w:ascii="宋体" w:hAnsi="宋体" w:cs="宋体"/>
          <w:sz w:val="24"/>
        </w:rPr>
      </w:pPr>
      <w:r>
        <w:rPr>
          <w:rFonts w:hint="eastAsia" w:ascii="宋体" w:hAnsi="宋体" w:cs="宋体"/>
          <w:sz w:val="24"/>
        </w:rPr>
        <w:t>2、我方的投标文件包括以下内容：</w:t>
      </w:r>
    </w:p>
    <w:p w14:paraId="70D66227">
      <w:pPr>
        <w:snapToGrid w:val="0"/>
        <w:spacing w:line="420" w:lineRule="exact"/>
        <w:ind w:left="210" w:leftChars="100" w:firstLine="480" w:firstLineChars="200"/>
        <w:rPr>
          <w:rFonts w:ascii="宋体" w:hAnsi="宋体" w:cs="宋体"/>
          <w:sz w:val="24"/>
        </w:rPr>
      </w:pPr>
      <w:r>
        <w:rPr>
          <w:rFonts w:hint="eastAsia" w:ascii="宋体" w:hAnsi="宋体" w:cs="宋体"/>
          <w:sz w:val="24"/>
        </w:rPr>
        <w:t>2.1资格文件：</w:t>
      </w:r>
    </w:p>
    <w:p w14:paraId="4A0736A9">
      <w:pPr>
        <w:snapToGrid w:val="0"/>
        <w:spacing w:line="420" w:lineRule="exact"/>
        <w:ind w:left="420" w:leftChars="200" w:firstLine="480" w:firstLineChars="200"/>
        <w:rPr>
          <w:rFonts w:ascii="宋体" w:hAnsi="宋体" w:cs="宋体"/>
          <w:sz w:val="24"/>
        </w:rPr>
      </w:pPr>
      <w:r>
        <w:rPr>
          <w:rFonts w:hint="eastAsia" w:ascii="宋体" w:hAnsi="宋体" w:cs="宋体"/>
          <w:sz w:val="24"/>
        </w:rPr>
        <w:t>2.1.1营业执照（或事业法人证书）</w:t>
      </w:r>
    </w:p>
    <w:p w14:paraId="79B01A59">
      <w:pPr>
        <w:snapToGrid w:val="0"/>
        <w:spacing w:line="420" w:lineRule="exact"/>
        <w:ind w:left="420" w:leftChars="200" w:firstLine="480" w:firstLineChars="200"/>
        <w:rPr>
          <w:rFonts w:ascii="宋体" w:hAnsi="宋体" w:cs="宋体"/>
          <w:sz w:val="24"/>
        </w:rPr>
      </w:pPr>
      <w:r>
        <w:rPr>
          <w:rFonts w:hint="eastAsia" w:ascii="宋体" w:hAnsi="宋体" w:cs="宋体"/>
          <w:sz w:val="24"/>
        </w:rPr>
        <w:t>2.1.2承诺函；</w:t>
      </w:r>
    </w:p>
    <w:p w14:paraId="26E559DF">
      <w:pPr>
        <w:snapToGrid w:val="0"/>
        <w:spacing w:line="420" w:lineRule="exact"/>
        <w:ind w:left="420" w:leftChars="200" w:firstLine="480" w:firstLineChars="200"/>
        <w:rPr>
          <w:rFonts w:ascii="宋体" w:hAnsi="宋体" w:cs="宋体"/>
          <w:sz w:val="24"/>
        </w:rPr>
      </w:pPr>
      <w:r>
        <w:rPr>
          <w:rFonts w:hint="eastAsia" w:ascii="宋体" w:hAnsi="宋体" w:cs="宋体"/>
          <w:sz w:val="24"/>
        </w:rPr>
        <w:t>2.1.3落实政府采购政策需满足的资格要求（如果有）；</w:t>
      </w:r>
    </w:p>
    <w:p w14:paraId="16563740">
      <w:pPr>
        <w:snapToGrid w:val="0"/>
        <w:spacing w:line="420" w:lineRule="exact"/>
        <w:ind w:left="420" w:leftChars="200" w:firstLine="480" w:firstLineChars="200"/>
        <w:rPr>
          <w:rFonts w:ascii="宋体" w:hAnsi="宋体" w:cs="宋体"/>
          <w:sz w:val="24"/>
        </w:rPr>
      </w:pPr>
      <w:r>
        <w:rPr>
          <w:rFonts w:hint="eastAsia" w:ascii="宋体" w:hAnsi="宋体" w:cs="宋体"/>
          <w:sz w:val="24"/>
        </w:rPr>
        <w:t>2.1.4本项目的特定资格要求（如果有）。</w:t>
      </w:r>
    </w:p>
    <w:p w14:paraId="1D7687A9">
      <w:pPr>
        <w:snapToGrid w:val="0"/>
        <w:spacing w:line="420" w:lineRule="exact"/>
        <w:ind w:left="210" w:leftChars="100"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2商务技术</w:t>
      </w:r>
      <w:r>
        <w:rPr>
          <w:rFonts w:hint="eastAsia" w:ascii="宋体" w:hAnsi="宋体" w:cs="宋体"/>
          <w:sz w:val="24"/>
          <w:lang w:val="zh-CN"/>
        </w:rPr>
        <w:t>文件：</w:t>
      </w:r>
    </w:p>
    <w:p w14:paraId="3531B7BB">
      <w:pPr>
        <w:snapToGrid w:val="0"/>
        <w:spacing w:line="420" w:lineRule="exact"/>
        <w:ind w:left="420" w:leftChars="200" w:firstLine="480" w:firstLineChars="200"/>
        <w:rPr>
          <w:rFonts w:ascii="宋体" w:hAnsi="宋体" w:cs="宋体"/>
          <w:sz w:val="24"/>
        </w:rPr>
      </w:pPr>
      <w:r>
        <w:rPr>
          <w:rFonts w:hint="eastAsia" w:ascii="宋体" w:hAnsi="宋体" w:cs="宋体"/>
          <w:sz w:val="24"/>
        </w:rPr>
        <w:t>2.2.1投标函；</w:t>
      </w:r>
    </w:p>
    <w:p w14:paraId="6CBF2747">
      <w:pPr>
        <w:snapToGrid w:val="0"/>
        <w:spacing w:line="420" w:lineRule="exact"/>
        <w:ind w:left="420" w:leftChars="200" w:firstLine="480" w:firstLineChars="200"/>
        <w:rPr>
          <w:rFonts w:ascii="宋体" w:hAnsi="宋体" w:cs="宋体"/>
          <w:sz w:val="24"/>
        </w:rPr>
      </w:pPr>
      <w:r>
        <w:rPr>
          <w:rFonts w:hint="eastAsia" w:ascii="宋体" w:hAnsi="宋体" w:cs="宋体"/>
          <w:sz w:val="24"/>
        </w:rPr>
        <w:t>2.2.2授权委托书或法定代表人（单位负责人）身份证明；</w:t>
      </w:r>
    </w:p>
    <w:p w14:paraId="0D1E8453">
      <w:pPr>
        <w:snapToGrid w:val="0"/>
        <w:spacing w:line="420" w:lineRule="exact"/>
        <w:ind w:left="420" w:leftChars="200" w:firstLine="480" w:firstLineChars="200"/>
        <w:rPr>
          <w:rFonts w:ascii="宋体" w:hAnsi="宋体" w:cs="宋体"/>
          <w:sz w:val="24"/>
        </w:rPr>
      </w:pPr>
      <w:r>
        <w:rPr>
          <w:rFonts w:hint="eastAsia" w:ascii="宋体" w:hAnsi="宋体" w:cs="宋体"/>
          <w:sz w:val="24"/>
        </w:rPr>
        <w:t>2.2.3联合协议（如果有）；</w:t>
      </w:r>
    </w:p>
    <w:p w14:paraId="3228FCBE">
      <w:pPr>
        <w:snapToGrid w:val="0"/>
        <w:spacing w:line="420" w:lineRule="exact"/>
        <w:ind w:left="420" w:leftChars="200" w:firstLine="480" w:firstLineChars="200"/>
        <w:rPr>
          <w:rFonts w:ascii="宋体" w:hAnsi="宋体" w:cs="宋体"/>
          <w:sz w:val="24"/>
        </w:rPr>
      </w:pPr>
      <w:r>
        <w:rPr>
          <w:rFonts w:hint="eastAsia" w:ascii="宋体" w:hAnsi="宋体" w:cs="宋体"/>
          <w:sz w:val="24"/>
        </w:rPr>
        <w:t>2.2.4分包意向协议（如果有）；</w:t>
      </w:r>
    </w:p>
    <w:p w14:paraId="041AD068">
      <w:pPr>
        <w:snapToGrid w:val="0"/>
        <w:spacing w:line="420" w:lineRule="exact"/>
        <w:ind w:left="420" w:leftChars="200" w:firstLine="480" w:firstLineChars="200"/>
        <w:rPr>
          <w:rFonts w:ascii="宋体" w:hAnsi="宋体" w:cs="宋体"/>
          <w:sz w:val="24"/>
        </w:rPr>
      </w:pPr>
      <w:r>
        <w:rPr>
          <w:rFonts w:hint="eastAsia" w:ascii="宋体" w:hAnsi="宋体" w:cs="宋体"/>
          <w:sz w:val="24"/>
        </w:rPr>
        <w:t>2.2.5符合性审查资料；</w:t>
      </w:r>
    </w:p>
    <w:p w14:paraId="5926CB84">
      <w:pPr>
        <w:snapToGrid w:val="0"/>
        <w:spacing w:line="420" w:lineRule="exact"/>
        <w:ind w:left="420" w:leftChars="200" w:firstLine="480" w:firstLineChars="200"/>
        <w:rPr>
          <w:rFonts w:ascii="宋体" w:hAnsi="宋体" w:cs="宋体"/>
          <w:sz w:val="24"/>
        </w:rPr>
      </w:pPr>
      <w:r>
        <w:rPr>
          <w:rFonts w:hint="eastAsia" w:ascii="宋体" w:hAnsi="宋体" w:cs="宋体"/>
          <w:sz w:val="24"/>
        </w:rPr>
        <w:t>2.2.6评标标准相应的商务技术资料；</w:t>
      </w:r>
    </w:p>
    <w:p w14:paraId="3CC01FA5">
      <w:pPr>
        <w:snapToGrid w:val="0"/>
        <w:spacing w:line="420" w:lineRule="exact"/>
        <w:ind w:left="420" w:leftChars="200" w:firstLine="480" w:firstLineChars="200"/>
        <w:rPr>
          <w:rFonts w:ascii="宋体" w:hAnsi="宋体" w:cs="宋体"/>
          <w:sz w:val="24"/>
        </w:rPr>
      </w:pPr>
      <w:r>
        <w:rPr>
          <w:rFonts w:hint="eastAsia" w:ascii="宋体" w:hAnsi="宋体" w:cs="宋体"/>
          <w:sz w:val="24"/>
        </w:rPr>
        <w:t>2.2.7商务技术偏离表；</w:t>
      </w:r>
    </w:p>
    <w:p w14:paraId="3CFC6279">
      <w:pPr>
        <w:snapToGrid w:val="0"/>
        <w:spacing w:line="420" w:lineRule="exact"/>
        <w:ind w:left="420" w:leftChars="200"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8</w:t>
      </w:r>
      <w:r>
        <w:rPr>
          <w:rFonts w:hint="eastAsia" w:ascii="宋体" w:hAnsi="宋体" w:cs="宋体"/>
          <w:sz w:val="24"/>
          <w:lang w:val="zh-CN"/>
        </w:rPr>
        <w:t>政府采购供应商廉洁自律承诺书；</w:t>
      </w:r>
    </w:p>
    <w:p w14:paraId="7E3E883E">
      <w:pPr>
        <w:snapToGrid w:val="0"/>
        <w:spacing w:line="420" w:lineRule="exact"/>
        <w:ind w:left="210" w:leftChars="100"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3报价文件</w:t>
      </w:r>
    </w:p>
    <w:p w14:paraId="73FC3B7D">
      <w:pPr>
        <w:snapToGrid w:val="0"/>
        <w:spacing w:line="420" w:lineRule="exact"/>
        <w:ind w:left="420" w:leftChars="200" w:firstLine="480" w:firstLineChars="200"/>
        <w:rPr>
          <w:rFonts w:ascii="宋体" w:hAnsi="宋体" w:cs="宋体"/>
          <w:sz w:val="24"/>
        </w:rPr>
      </w:pPr>
      <w:r>
        <w:rPr>
          <w:rFonts w:hint="eastAsia" w:ascii="宋体" w:hAnsi="宋体" w:cs="宋体"/>
          <w:sz w:val="24"/>
        </w:rPr>
        <w:t>2.3.1开标一览表（报价表）；</w:t>
      </w:r>
    </w:p>
    <w:p w14:paraId="3AECAF34">
      <w:pPr>
        <w:snapToGrid w:val="0"/>
        <w:spacing w:line="420" w:lineRule="exact"/>
        <w:ind w:left="420" w:leftChars="200" w:firstLine="480" w:firstLineChars="200"/>
        <w:rPr>
          <w:rFonts w:ascii="宋体" w:hAnsi="宋体" w:cs="宋体"/>
          <w:sz w:val="24"/>
        </w:rPr>
      </w:pPr>
      <w:r>
        <w:rPr>
          <w:rFonts w:hint="eastAsia" w:ascii="宋体" w:hAnsi="宋体" w:cs="宋体"/>
          <w:sz w:val="24"/>
        </w:rPr>
        <w:t>2.3.2中小企业声明函（如果有）。</w:t>
      </w:r>
    </w:p>
    <w:p w14:paraId="1E9F871E">
      <w:pPr>
        <w:snapToGrid w:val="0"/>
        <w:spacing w:line="420" w:lineRule="exact"/>
        <w:ind w:firstLine="480" w:firstLineChars="200"/>
        <w:rPr>
          <w:rFonts w:ascii="宋体" w:hAnsi="宋体" w:cs="宋体"/>
          <w:sz w:val="24"/>
        </w:rPr>
      </w:pPr>
      <w:r>
        <w:rPr>
          <w:rFonts w:hint="eastAsia" w:ascii="宋体" w:hAnsi="宋体" w:cs="宋体"/>
          <w:sz w:val="24"/>
        </w:rPr>
        <w:t>3、我方承诺除商务技术偏离表列出的偏离外，我方响应招标文件的全部要求。</w:t>
      </w:r>
    </w:p>
    <w:p w14:paraId="6FA6A8F2">
      <w:pPr>
        <w:snapToGrid w:val="0"/>
        <w:spacing w:line="420" w:lineRule="exact"/>
        <w:ind w:firstLine="480" w:firstLineChars="200"/>
        <w:rPr>
          <w:rFonts w:ascii="宋体" w:hAnsi="宋体" w:cs="宋体"/>
          <w:sz w:val="24"/>
        </w:rPr>
      </w:pPr>
      <w:r>
        <w:rPr>
          <w:rFonts w:hint="eastAsia" w:ascii="宋体" w:hAnsi="宋体" w:cs="宋体"/>
          <w:sz w:val="24"/>
        </w:rPr>
        <w:t>4、如我方中标，我方承诺：</w:t>
      </w:r>
    </w:p>
    <w:p w14:paraId="6507BFF9">
      <w:pPr>
        <w:snapToGrid w:val="0"/>
        <w:spacing w:line="420" w:lineRule="exact"/>
        <w:ind w:left="210" w:leftChars="100" w:firstLine="480" w:firstLineChars="200"/>
        <w:rPr>
          <w:rFonts w:ascii="宋体" w:hAnsi="宋体" w:cs="宋体"/>
          <w:sz w:val="24"/>
        </w:rPr>
      </w:pPr>
      <w:r>
        <w:rPr>
          <w:rFonts w:hint="eastAsia" w:ascii="宋体" w:hAnsi="宋体" w:cs="宋体"/>
          <w:sz w:val="24"/>
        </w:rPr>
        <w:t xml:space="preserve">4.1在收到中标通知书后，在中标通知书规定的期限内与你方签订合同； </w:t>
      </w:r>
    </w:p>
    <w:p w14:paraId="0685BFC2">
      <w:pPr>
        <w:snapToGrid w:val="0"/>
        <w:spacing w:line="420" w:lineRule="exact"/>
        <w:ind w:left="210" w:leftChars="100" w:firstLine="480" w:firstLineChars="200"/>
        <w:rPr>
          <w:rFonts w:ascii="宋体" w:hAnsi="宋体" w:cs="宋体"/>
          <w:sz w:val="24"/>
        </w:rPr>
      </w:pPr>
      <w:r>
        <w:rPr>
          <w:rFonts w:hint="eastAsia" w:ascii="宋体" w:hAnsi="宋体" w:cs="宋体"/>
          <w:sz w:val="24"/>
        </w:rPr>
        <w:t xml:space="preserve">4.2在签订合同时不向你方提出附加条件； </w:t>
      </w:r>
    </w:p>
    <w:p w14:paraId="54801D6C">
      <w:pPr>
        <w:snapToGrid w:val="0"/>
        <w:spacing w:line="420" w:lineRule="exact"/>
        <w:ind w:left="210" w:leftChars="100" w:firstLine="480" w:firstLineChars="200"/>
        <w:rPr>
          <w:rFonts w:ascii="宋体" w:hAnsi="宋体" w:cs="宋体"/>
          <w:sz w:val="24"/>
        </w:rPr>
      </w:pPr>
      <w:r>
        <w:rPr>
          <w:rFonts w:hint="eastAsia" w:ascii="宋体" w:hAnsi="宋体" w:cs="宋体"/>
          <w:sz w:val="24"/>
        </w:rPr>
        <w:t xml:space="preserve">4.3按照招标文件要求提交履约保证金； </w:t>
      </w:r>
    </w:p>
    <w:p w14:paraId="0EF445C1">
      <w:pPr>
        <w:snapToGrid w:val="0"/>
        <w:spacing w:line="420" w:lineRule="exact"/>
        <w:ind w:left="210" w:leftChars="100" w:firstLine="480" w:firstLineChars="200"/>
        <w:rPr>
          <w:rFonts w:ascii="宋体" w:hAnsi="宋体" w:cs="宋体"/>
          <w:sz w:val="24"/>
        </w:rPr>
      </w:pPr>
      <w:r>
        <w:rPr>
          <w:rFonts w:hint="eastAsia" w:ascii="宋体" w:hAnsi="宋体" w:cs="宋体"/>
          <w:sz w:val="24"/>
        </w:rPr>
        <w:t xml:space="preserve">4.4在合同约定的期限内完成合同规定的全部义务。 </w:t>
      </w:r>
    </w:p>
    <w:p w14:paraId="3F2B0980">
      <w:pPr>
        <w:snapToGrid w:val="0"/>
        <w:spacing w:line="420" w:lineRule="exact"/>
        <w:ind w:firstLine="480" w:firstLineChars="200"/>
        <w:rPr>
          <w:rFonts w:ascii="宋体" w:hAnsi="宋体" w:cs="宋体"/>
          <w:sz w:val="24"/>
        </w:rPr>
      </w:pPr>
      <w:r>
        <w:rPr>
          <w:rFonts w:hint="eastAsia" w:ascii="宋体" w:hAnsi="宋体" w:cs="宋体"/>
          <w:sz w:val="24"/>
        </w:rPr>
        <w:t>5、其他补充说明:。</w:t>
      </w:r>
    </w:p>
    <w:p w14:paraId="3658CADE">
      <w:pPr>
        <w:spacing w:line="360" w:lineRule="auto"/>
        <w:ind w:firstLine="3600" w:firstLineChars="1500"/>
        <w:jc w:val="center"/>
        <w:rPr>
          <w:rFonts w:ascii="宋体" w:hAnsi="宋体" w:cs="宋体"/>
          <w:sz w:val="24"/>
        </w:rPr>
      </w:pPr>
      <w:r>
        <w:rPr>
          <w:rFonts w:hint="eastAsia" w:ascii="宋体" w:hAnsi="宋体" w:cs="宋体"/>
          <w:sz w:val="24"/>
        </w:rPr>
        <w:t xml:space="preserve">投标人名称（电子签名）：                          </w:t>
      </w:r>
    </w:p>
    <w:p w14:paraId="1E663CB1">
      <w:pPr>
        <w:spacing w:line="360" w:lineRule="auto"/>
        <w:jc w:val="center"/>
        <w:rPr>
          <w:rFonts w:ascii="宋体" w:hAnsi="宋体" w:cs="宋体"/>
          <w:sz w:val="24"/>
        </w:rPr>
      </w:pPr>
      <w:r>
        <w:rPr>
          <w:rFonts w:hint="eastAsia" w:ascii="宋体" w:hAnsi="宋体" w:cs="宋体"/>
          <w:sz w:val="24"/>
        </w:rPr>
        <w:t>日期：  年   月   日</w:t>
      </w:r>
    </w:p>
    <w:p w14:paraId="5BCC76FC">
      <w:pPr>
        <w:jc w:val="center"/>
        <w:rPr>
          <w:rFonts w:ascii="宋体" w:hAnsi="宋体" w:cs="宋体"/>
          <w:b/>
          <w:kern w:val="0"/>
          <w:sz w:val="32"/>
          <w:szCs w:val="32"/>
          <w:lang w:val="zh-CN"/>
        </w:rPr>
      </w:pPr>
    </w:p>
    <w:p w14:paraId="01A30F96">
      <w:pPr>
        <w:jc w:val="center"/>
        <w:rPr>
          <w:rFonts w:ascii="宋体" w:hAnsi="宋体" w:cs="宋体"/>
          <w:b/>
          <w:kern w:val="0"/>
          <w:sz w:val="32"/>
          <w:szCs w:val="32"/>
          <w:lang w:val="zh-CN"/>
        </w:rPr>
      </w:pPr>
      <w:r>
        <w:rPr>
          <w:rFonts w:hint="eastAsia" w:ascii="宋体" w:hAnsi="宋体" w:cs="宋体"/>
          <w:b/>
          <w:kern w:val="0"/>
          <w:sz w:val="32"/>
          <w:szCs w:val="32"/>
          <w:lang w:val="zh-CN"/>
        </w:rPr>
        <w:t>二、授权委托书或法定代表人（单位负责人、自然人本人）身份证明</w:t>
      </w:r>
    </w:p>
    <w:p w14:paraId="4A78A528">
      <w:pPr>
        <w:snapToGrid w:val="0"/>
        <w:spacing w:line="360" w:lineRule="auto"/>
        <w:jc w:val="center"/>
        <w:rPr>
          <w:rFonts w:ascii="宋体" w:hAnsi="宋体" w:cs="宋体"/>
          <w:sz w:val="32"/>
          <w:szCs w:val="32"/>
        </w:rPr>
      </w:pPr>
      <w:r>
        <w:rPr>
          <w:rFonts w:hint="eastAsia" w:ascii="宋体" w:hAnsi="宋体" w:cs="宋体"/>
          <w:b/>
          <w:kern w:val="0"/>
          <w:sz w:val="32"/>
          <w:szCs w:val="32"/>
          <w:lang w:val="zh-CN"/>
        </w:rPr>
        <w:t xml:space="preserve">授权委托书（适用于非联合体投标）    </w:t>
      </w:r>
    </w:p>
    <w:p w14:paraId="06155B0F">
      <w:pPr>
        <w:spacing w:line="420" w:lineRule="exact"/>
        <w:rPr>
          <w:rFonts w:ascii="宋体" w:hAnsi="宋体" w:cs="宋体"/>
          <w:sz w:val="24"/>
        </w:rPr>
      </w:pPr>
      <w:r>
        <w:rPr>
          <w:rFonts w:hint="eastAsia" w:ascii="宋体" w:hAnsi="宋体" w:cs="宋体"/>
          <w:sz w:val="24"/>
        </w:rPr>
        <w:t>（采购人）、（采购代理机构）</w:t>
      </w:r>
      <w:r>
        <w:rPr>
          <w:rFonts w:hint="eastAsia" w:ascii="宋体" w:hAnsi="宋体" w:cs="宋体"/>
          <w:sz w:val="24"/>
          <w:lang w:val="zh-CN"/>
        </w:rPr>
        <w:t>：</w:t>
      </w:r>
    </w:p>
    <w:p w14:paraId="009A6B04">
      <w:pPr>
        <w:snapToGrid w:val="0"/>
        <w:spacing w:line="420" w:lineRule="exact"/>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委托（姓名）为我方代理人（身份证号码：，手机</w:t>
      </w:r>
      <w:r>
        <w:rPr>
          <w:rFonts w:hint="eastAsia" w:ascii="宋体" w:hAnsi="宋体" w:cs="宋体"/>
          <w:kern w:val="0"/>
          <w:sz w:val="24"/>
        </w:rPr>
        <w:t>号码</w:t>
      </w:r>
      <w:r>
        <w:rPr>
          <w:rFonts w:hint="eastAsia" w:ascii="宋体" w:hAnsi="宋体" w:cs="宋体"/>
          <w:kern w:val="0"/>
          <w:sz w:val="24"/>
          <w:lang w:val="zh-CN"/>
        </w:rPr>
        <w:t>：），以我方名义处理</w:t>
      </w:r>
      <w:r>
        <w:rPr>
          <w:rFonts w:hint="eastAsia" w:ascii="宋体" w:hAnsi="宋体" w:cs="宋体"/>
          <w:sz w:val="24"/>
        </w:rPr>
        <w:t>（项目名称）【招标编号：（采购编号）】</w:t>
      </w:r>
      <w:r>
        <w:rPr>
          <w:rFonts w:hint="eastAsia" w:ascii="宋体" w:hAnsi="宋体" w:cs="宋体"/>
          <w:kern w:val="0"/>
          <w:sz w:val="24"/>
          <w:lang w:val="zh-CN"/>
        </w:rPr>
        <w:t>政府采购投标的一切事项，其法律后果由我方承担。</w:t>
      </w:r>
    </w:p>
    <w:p w14:paraId="12D9D5E5">
      <w:pPr>
        <w:snapToGrid w:val="0"/>
        <w:spacing w:line="420" w:lineRule="exact"/>
        <w:rPr>
          <w:rFonts w:ascii="宋体" w:hAnsi="宋体" w:cs="宋体"/>
          <w:kern w:val="0"/>
          <w:sz w:val="24"/>
        </w:rPr>
      </w:pP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______</w:t>
      </w:r>
      <w:r>
        <w:rPr>
          <w:rFonts w:hint="eastAsia" w:ascii="宋体" w:hAnsi="宋体" w:cs="宋体"/>
          <w:kern w:val="0"/>
          <w:sz w:val="24"/>
          <w:lang w:val="zh-CN"/>
        </w:rPr>
        <w:t>年</w:t>
      </w:r>
      <w:r>
        <w:rPr>
          <w:rFonts w:hint="eastAsia" w:ascii="宋体" w:hAnsi="宋体" w:cs="宋体"/>
          <w:kern w:val="0"/>
          <w:sz w:val="24"/>
        </w:rPr>
        <w:t>____</w:t>
      </w:r>
      <w:r>
        <w:rPr>
          <w:rFonts w:hint="eastAsia" w:ascii="宋体" w:hAnsi="宋体" w:cs="宋体"/>
          <w:kern w:val="0"/>
          <w:sz w:val="24"/>
          <w:lang w:val="zh-CN"/>
        </w:rPr>
        <w:t>月</w:t>
      </w:r>
      <w:r>
        <w:rPr>
          <w:rFonts w:hint="eastAsia" w:ascii="宋体" w:hAnsi="宋体" w:cs="宋体"/>
          <w:kern w:val="0"/>
          <w:sz w:val="24"/>
        </w:rPr>
        <w:t>____</w:t>
      </w:r>
      <w:r>
        <w:rPr>
          <w:rFonts w:hint="eastAsia" w:ascii="宋体" w:hAnsi="宋体" w:cs="宋体"/>
          <w:kern w:val="0"/>
          <w:sz w:val="24"/>
          <w:lang w:val="zh-CN"/>
        </w:rPr>
        <w:t>日起至</w:t>
      </w:r>
      <w:r>
        <w:rPr>
          <w:rFonts w:hint="eastAsia" w:ascii="宋体" w:hAnsi="宋体" w:cs="宋体"/>
          <w:kern w:val="0"/>
          <w:sz w:val="24"/>
        </w:rPr>
        <w:t>______</w:t>
      </w:r>
      <w:r>
        <w:rPr>
          <w:rFonts w:hint="eastAsia" w:ascii="宋体" w:hAnsi="宋体" w:cs="宋体"/>
          <w:kern w:val="0"/>
          <w:sz w:val="24"/>
          <w:lang w:val="zh-CN"/>
        </w:rPr>
        <w:t>年</w:t>
      </w:r>
      <w:r>
        <w:rPr>
          <w:rFonts w:hint="eastAsia" w:ascii="宋体" w:hAnsi="宋体" w:cs="宋体"/>
          <w:kern w:val="0"/>
          <w:sz w:val="24"/>
        </w:rPr>
        <w:t>____</w:t>
      </w:r>
      <w:r>
        <w:rPr>
          <w:rFonts w:hint="eastAsia" w:ascii="宋体" w:hAnsi="宋体" w:cs="宋体"/>
          <w:kern w:val="0"/>
          <w:sz w:val="24"/>
          <w:lang w:val="zh-CN"/>
        </w:rPr>
        <w:t>月</w:t>
      </w:r>
      <w:r>
        <w:rPr>
          <w:rFonts w:hint="eastAsia" w:ascii="宋体" w:hAnsi="宋体" w:cs="宋体"/>
          <w:kern w:val="0"/>
          <w:sz w:val="24"/>
        </w:rPr>
        <w:t>____</w:t>
      </w:r>
      <w:r>
        <w:rPr>
          <w:rFonts w:hint="eastAsia" w:ascii="宋体" w:hAnsi="宋体" w:cs="宋体"/>
          <w:kern w:val="0"/>
          <w:sz w:val="24"/>
          <w:lang w:val="zh-CN"/>
        </w:rPr>
        <w:t>日止。</w:t>
      </w:r>
    </w:p>
    <w:p w14:paraId="2C71856D">
      <w:pPr>
        <w:snapToGrid w:val="0"/>
        <w:spacing w:line="420" w:lineRule="exact"/>
        <w:rPr>
          <w:rFonts w:ascii="宋体" w:hAnsi="宋体" w:cs="宋体"/>
          <w:kern w:val="0"/>
          <w:sz w:val="24"/>
        </w:rPr>
      </w:pPr>
      <w:r>
        <w:rPr>
          <w:rFonts w:hint="eastAsia" w:ascii="宋体" w:hAnsi="宋体" w:cs="宋体"/>
          <w:kern w:val="0"/>
          <w:sz w:val="24"/>
          <w:lang w:val="zh-CN"/>
        </w:rPr>
        <w:t>特此告知。</w:t>
      </w:r>
    </w:p>
    <w:p w14:paraId="4AEAA738">
      <w:pPr>
        <w:snapToGrid w:val="0"/>
        <w:rPr>
          <w:rFonts w:ascii="宋体" w:hAnsi="宋体" w:cs="宋体"/>
          <w:kern w:val="0"/>
          <w:sz w:val="24"/>
          <w:lang w:val="zh-CN"/>
        </w:rPr>
      </w:pPr>
    </w:p>
    <w:p w14:paraId="5B00964E">
      <w:pPr>
        <w:jc w:val="center"/>
        <w:rPr>
          <w:rFonts w:ascii="宋体" w:hAnsi="宋体" w:cs="宋体"/>
          <w:b/>
          <w:kern w:val="0"/>
          <w:sz w:val="32"/>
          <w:szCs w:val="32"/>
        </w:rPr>
      </w:pPr>
    </w:p>
    <w:p w14:paraId="0A8B17CC">
      <w:pPr>
        <w:snapToGrid w:val="0"/>
        <w:spacing w:line="360" w:lineRule="auto"/>
        <w:rPr>
          <w:rFonts w:ascii="宋体" w:hAnsi="宋体" w:cs="宋体"/>
          <w:kern w:val="0"/>
          <w:sz w:val="24"/>
          <w:lang w:val="zh-CN"/>
        </w:rPr>
      </w:pPr>
    </w:p>
    <w:p w14:paraId="43AFA144">
      <w:pPr>
        <w:snapToGrid w:val="0"/>
        <w:spacing w:line="360" w:lineRule="auto"/>
        <w:rPr>
          <w:rFonts w:ascii="宋体" w:hAnsi="宋体" w:cs="宋体"/>
          <w:kern w:val="0"/>
          <w:sz w:val="24"/>
        </w:rPr>
      </w:pPr>
      <w:r>
        <w:rPr>
          <w:rFonts w:hint="eastAsia" w:ascii="宋体" w:hAnsi="宋体" w:cs="宋体"/>
          <w:kern w:val="0"/>
          <w:sz w:val="24"/>
          <w:lang w:val="zh-CN"/>
        </w:rPr>
        <w:t xml:space="preserve">   投标人名称(电子签名)：</w:t>
      </w:r>
    </w:p>
    <w:p w14:paraId="49BA633D">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签发日期：  年  月   日</w:t>
      </w:r>
    </w:p>
    <w:p w14:paraId="0030435B">
      <w:pPr>
        <w:autoSpaceDE w:val="0"/>
        <w:autoSpaceDN w:val="0"/>
        <w:spacing w:line="420" w:lineRule="exact"/>
        <w:rPr>
          <w:rFonts w:ascii="宋体" w:hAnsi="宋体" w:cs="宋体"/>
          <w:b/>
          <w:bCs/>
          <w:i/>
          <w:iCs/>
          <w:spacing w:val="-6"/>
          <w:sz w:val="24"/>
          <w:u w:val="single"/>
        </w:rPr>
      </w:pPr>
    </w:p>
    <w:p w14:paraId="475F36FE">
      <w:pPr>
        <w:autoSpaceDE w:val="0"/>
        <w:autoSpaceDN w:val="0"/>
        <w:spacing w:line="420" w:lineRule="exact"/>
        <w:rPr>
          <w:rFonts w:ascii="宋体" w:hAnsi="宋体" w:cs="宋体"/>
        </w:rPr>
      </w:pPr>
    </w:p>
    <w:p w14:paraId="04C36E8D">
      <w:pPr>
        <w:autoSpaceDE w:val="0"/>
        <w:autoSpaceDN w:val="0"/>
        <w:spacing w:line="420" w:lineRule="exact"/>
        <w:rPr>
          <w:rFonts w:ascii="宋体" w:hAnsi="宋体" w:cs="宋体"/>
          <w:b/>
          <w:bCs/>
          <w:i/>
          <w:iCs/>
          <w:spacing w:val="-6"/>
          <w:sz w:val="24"/>
          <w:u w:val="single"/>
        </w:rPr>
      </w:pPr>
    </w:p>
    <w:p w14:paraId="70F3E39E">
      <w:pPr>
        <w:autoSpaceDE w:val="0"/>
        <w:autoSpaceDN w:val="0"/>
        <w:spacing w:line="420" w:lineRule="exact"/>
        <w:rPr>
          <w:rFonts w:ascii="宋体" w:hAnsi="宋体" w:cs="宋体"/>
          <w:b/>
          <w:bCs/>
          <w:spacing w:val="-6"/>
          <w:sz w:val="24"/>
          <w:u w:val="single"/>
        </w:rPr>
      </w:pPr>
      <w:r>
        <w:rPr>
          <w:rFonts w:hint="eastAsia" w:ascii="宋体" w:hAnsi="宋体" w:cs="宋体"/>
          <w:b/>
          <w:bCs/>
          <w:spacing w:val="-6"/>
          <w:sz w:val="24"/>
          <w:u w:val="single"/>
        </w:rPr>
        <w:t>说明：</w:t>
      </w:r>
    </w:p>
    <w:p w14:paraId="53ECAF11">
      <w:pPr>
        <w:spacing w:line="420" w:lineRule="exact"/>
        <w:ind w:firstLine="482" w:firstLineChars="200"/>
        <w:rPr>
          <w:rFonts w:ascii="宋体" w:hAnsi="宋体" w:cs="宋体"/>
          <w:b/>
          <w:sz w:val="24"/>
          <w:u w:val="single"/>
        </w:rPr>
      </w:pPr>
      <w:r>
        <w:rPr>
          <w:rFonts w:hint="eastAsia" w:ascii="宋体" w:hAnsi="宋体" w:cs="宋体"/>
          <w:b/>
          <w:sz w:val="24"/>
          <w:u w:val="single"/>
        </w:rPr>
        <w:t>1、法定代表人、单位负责人或自然人本人代表投标人参加投标的，提供法定代表人（单位负责人、自然人本人）身份证件复印件。</w:t>
      </w:r>
    </w:p>
    <w:p w14:paraId="3A8E8B5C">
      <w:pPr>
        <w:spacing w:line="420" w:lineRule="exact"/>
        <w:ind w:firstLine="482" w:firstLineChars="200"/>
        <w:rPr>
          <w:rFonts w:ascii="宋体" w:hAnsi="宋体" w:cs="宋体"/>
          <w:b/>
          <w:sz w:val="24"/>
          <w:u w:val="single"/>
        </w:rPr>
        <w:sectPr>
          <w:pgSz w:w="11906" w:h="16838"/>
          <w:pgMar w:top="1247" w:right="1247" w:bottom="1247" w:left="1134" w:header="964" w:footer="850" w:gutter="0"/>
          <w:cols w:space="720" w:num="1"/>
          <w:titlePg/>
          <w:docGrid w:type="lines" w:linePitch="312" w:charSpace="0"/>
        </w:sectPr>
      </w:pPr>
      <w:r>
        <w:rPr>
          <w:rFonts w:hint="eastAsia" w:ascii="宋体" w:hAnsi="宋体" w:cs="宋体"/>
          <w:b/>
          <w:sz w:val="24"/>
          <w:u w:val="single"/>
        </w:rPr>
        <w:t>2、法定代表人（单位负责人、自然人本人）以外的其他人员代表投标人参加投标时，应当按本格式要求编制、提交《授权委托书》。</w:t>
      </w:r>
    </w:p>
    <w:p w14:paraId="7AAEADB7">
      <w:pPr>
        <w:snapToGrid w:val="0"/>
        <w:spacing w:line="360" w:lineRule="auto"/>
        <w:jc w:val="center"/>
        <w:rPr>
          <w:rFonts w:ascii="宋体" w:hAnsi="宋体" w:cs="宋体"/>
          <w:sz w:val="32"/>
          <w:szCs w:val="32"/>
        </w:rPr>
      </w:pPr>
      <w:r>
        <w:rPr>
          <w:rFonts w:hint="eastAsia" w:ascii="宋体" w:hAnsi="宋体" w:cs="宋体"/>
          <w:b/>
          <w:kern w:val="0"/>
          <w:sz w:val="32"/>
          <w:szCs w:val="32"/>
          <w:lang w:val="zh-CN"/>
        </w:rPr>
        <w:t xml:space="preserve">授权委托书（适用于联合体投标）    </w:t>
      </w:r>
    </w:p>
    <w:p w14:paraId="180F838E">
      <w:pPr>
        <w:spacing w:line="420" w:lineRule="exact"/>
        <w:rPr>
          <w:rFonts w:ascii="宋体" w:hAnsi="宋体" w:cs="宋体"/>
          <w:sz w:val="24"/>
        </w:rPr>
      </w:pPr>
      <w:r>
        <w:rPr>
          <w:rFonts w:hint="eastAsia" w:ascii="宋体" w:hAnsi="宋体" w:cs="宋体"/>
          <w:sz w:val="24"/>
        </w:rPr>
        <w:t>（采购人）、（采购代理机构）</w:t>
      </w:r>
      <w:r>
        <w:rPr>
          <w:rFonts w:hint="eastAsia" w:ascii="宋体" w:hAnsi="宋体" w:cs="宋体"/>
          <w:sz w:val="24"/>
          <w:lang w:val="zh-CN"/>
        </w:rPr>
        <w:t>：</w:t>
      </w:r>
    </w:p>
    <w:p w14:paraId="68D5F762">
      <w:pPr>
        <w:snapToGrid w:val="0"/>
        <w:spacing w:line="420" w:lineRule="exact"/>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委托（姓名）为我方代理人（身份证号码：，手机</w:t>
      </w:r>
      <w:r>
        <w:rPr>
          <w:rFonts w:hint="eastAsia" w:ascii="宋体" w:hAnsi="宋体" w:cs="宋体"/>
          <w:kern w:val="0"/>
          <w:sz w:val="24"/>
        </w:rPr>
        <w:t>号码</w:t>
      </w:r>
      <w:r>
        <w:rPr>
          <w:rFonts w:hint="eastAsia" w:ascii="宋体" w:hAnsi="宋体" w:cs="宋体"/>
          <w:kern w:val="0"/>
          <w:sz w:val="24"/>
          <w:lang w:val="zh-CN"/>
        </w:rPr>
        <w:t>：），以我方名义处理</w:t>
      </w:r>
      <w:r>
        <w:rPr>
          <w:rFonts w:hint="eastAsia" w:ascii="宋体" w:hAnsi="宋体" w:cs="宋体"/>
          <w:sz w:val="24"/>
        </w:rPr>
        <w:t>（项目名称）【招标编号：（采购编号）】</w:t>
      </w:r>
      <w:r>
        <w:rPr>
          <w:rFonts w:hint="eastAsia" w:ascii="宋体" w:hAnsi="宋体" w:cs="宋体"/>
          <w:kern w:val="0"/>
          <w:sz w:val="24"/>
          <w:lang w:val="zh-CN"/>
        </w:rPr>
        <w:t>政府采购投标的一切事项，其法律后果由我方承担。</w:t>
      </w:r>
    </w:p>
    <w:p w14:paraId="6BAFDA87">
      <w:pPr>
        <w:snapToGrid w:val="0"/>
        <w:spacing w:line="420" w:lineRule="exact"/>
        <w:rPr>
          <w:rFonts w:ascii="宋体" w:hAnsi="宋体" w:cs="宋体"/>
          <w:kern w:val="0"/>
          <w:sz w:val="24"/>
        </w:rPr>
      </w:pP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______</w:t>
      </w:r>
      <w:r>
        <w:rPr>
          <w:rFonts w:hint="eastAsia" w:ascii="宋体" w:hAnsi="宋体" w:cs="宋体"/>
          <w:kern w:val="0"/>
          <w:sz w:val="24"/>
          <w:lang w:val="zh-CN"/>
        </w:rPr>
        <w:t>年</w:t>
      </w:r>
      <w:r>
        <w:rPr>
          <w:rFonts w:hint="eastAsia" w:ascii="宋体" w:hAnsi="宋体" w:cs="宋体"/>
          <w:kern w:val="0"/>
          <w:sz w:val="24"/>
        </w:rPr>
        <w:t>____</w:t>
      </w:r>
      <w:r>
        <w:rPr>
          <w:rFonts w:hint="eastAsia" w:ascii="宋体" w:hAnsi="宋体" w:cs="宋体"/>
          <w:kern w:val="0"/>
          <w:sz w:val="24"/>
          <w:lang w:val="zh-CN"/>
        </w:rPr>
        <w:t>月</w:t>
      </w:r>
      <w:r>
        <w:rPr>
          <w:rFonts w:hint="eastAsia" w:ascii="宋体" w:hAnsi="宋体" w:cs="宋体"/>
          <w:kern w:val="0"/>
          <w:sz w:val="24"/>
        </w:rPr>
        <w:t>____</w:t>
      </w:r>
      <w:r>
        <w:rPr>
          <w:rFonts w:hint="eastAsia" w:ascii="宋体" w:hAnsi="宋体" w:cs="宋体"/>
          <w:kern w:val="0"/>
          <w:sz w:val="24"/>
          <w:lang w:val="zh-CN"/>
        </w:rPr>
        <w:t>日起至</w:t>
      </w:r>
      <w:r>
        <w:rPr>
          <w:rFonts w:hint="eastAsia" w:ascii="宋体" w:hAnsi="宋体" w:cs="宋体"/>
          <w:kern w:val="0"/>
          <w:sz w:val="24"/>
        </w:rPr>
        <w:t>______</w:t>
      </w:r>
      <w:r>
        <w:rPr>
          <w:rFonts w:hint="eastAsia" w:ascii="宋体" w:hAnsi="宋体" w:cs="宋体"/>
          <w:kern w:val="0"/>
          <w:sz w:val="24"/>
          <w:lang w:val="zh-CN"/>
        </w:rPr>
        <w:t>年</w:t>
      </w:r>
      <w:r>
        <w:rPr>
          <w:rFonts w:hint="eastAsia" w:ascii="宋体" w:hAnsi="宋体" w:cs="宋体"/>
          <w:kern w:val="0"/>
          <w:sz w:val="24"/>
        </w:rPr>
        <w:t>____</w:t>
      </w:r>
      <w:r>
        <w:rPr>
          <w:rFonts w:hint="eastAsia" w:ascii="宋体" w:hAnsi="宋体" w:cs="宋体"/>
          <w:kern w:val="0"/>
          <w:sz w:val="24"/>
          <w:lang w:val="zh-CN"/>
        </w:rPr>
        <w:t>月</w:t>
      </w:r>
      <w:r>
        <w:rPr>
          <w:rFonts w:hint="eastAsia" w:ascii="宋体" w:hAnsi="宋体" w:cs="宋体"/>
          <w:kern w:val="0"/>
          <w:sz w:val="24"/>
        </w:rPr>
        <w:t>____</w:t>
      </w:r>
      <w:r>
        <w:rPr>
          <w:rFonts w:hint="eastAsia" w:ascii="宋体" w:hAnsi="宋体" w:cs="宋体"/>
          <w:kern w:val="0"/>
          <w:sz w:val="24"/>
          <w:lang w:val="zh-CN"/>
        </w:rPr>
        <w:t>日止。</w:t>
      </w:r>
    </w:p>
    <w:p w14:paraId="426601B8">
      <w:pPr>
        <w:snapToGrid w:val="0"/>
        <w:spacing w:line="420" w:lineRule="exact"/>
        <w:rPr>
          <w:rFonts w:ascii="宋体" w:hAnsi="宋体" w:cs="宋体"/>
          <w:kern w:val="0"/>
          <w:sz w:val="24"/>
        </w:rPr>
      </w:pPr>
      <w:r>
        <w:rPr>
          <w:rFonts w:hint="eastAsia" w:ascii="宋体" w:hAnsi="宋体" w:cs="宋体"/>
          <w:kern w:val="0"/>
          <w:sz w:val="24"/>
          <w:lang w:val="zh-CN"/>
        </w:rPr>
        <w:t>特此告知。</w:t>
      </w:r>
    </w:p>
    <w:p w14:paraId="61D62552">
      <w:pPr>
        <w:snapToGrid w:val="0"/>
        <w:spacing w:line="360" w:lineRule="auto"/>
        <w:rPr>
          <w:rFonts w:ascii="宋体" w:hAnsi="宋体" w:cs="宋体"/>
          <w:kern w:val="0"/>
          <w:sz w:val="24"/>
          <w:lang w:val="zh-CN"/>
        </w:rPr>
      </w:pPr>
    </w:p>
    <w:p w14:paraId="62930B0D">
      <w:pPr>
        <w:snapToGrid w:val="0"/>
        <w:spacing w:line="360" w:lineRule="auto"/>
        <w:rPr>
          <w:rFonts w:ascii="宋体" w:hAnsi="宋体" w:cs="宋体"/>
          <w:kern w:val="0"/>
          <w:sz w:val="24"/>
          <w:lang w:val="zh-CN"/>
        </w:rPr>
      </w:pPr>
    </w:p>
    <w:p w14:paraId="130DB5FC">
      <w:pPr>
        <w:snapToGrid w:val="0"/>
        <w:spacing w:line="360" w:lineRule="auto"/>
        <w:rPr>
          <w:rFonts w:ascii="宋体" w:hAnsi="宋体" w:cs="宋体"/>
          <w:kern w:val="0"/>
          <w:sz w:val="24"/>
          <w:lang w:val="zh-CN"/>
        </w:rPr>
      </w:pPr>
      <w:r>
        <w:rPr>
          <w:rFonts w:hint="eastAsia" w:ascii="宋体" w:hAnsi="宋体" w:cs="宋体"/>
          <w:kern w:val="0"/>
          <w:sz w:val="24"/>
          <w:lang w:val="zh-CN"/>
        </w:rPr>
        <w:t>联合体成员名称(电子签名/公章)：</w:t>
      </w:r>
    </w:p>
    <w:p w14:paraId="59CCD9A2">
      <w:pPr>
        <w:snapToGrid w:val="0"/>
        <w:spacing w:line="360" w:lineRule="auto"/>
        <w:jc w:val="center"/>
        <w:rPr>
          <w:rFonts w:ascii="宋体" w:hAnsi="宋体" w:cs="宋体"/>
          <w:kern w:val="0"/>
          <w:sz w:val="24"/>
          <w:lang w:val="zh-CN"/>
        </w:rPr>
      </w:pPr>
      <w:r>
        <w:rPr>
          <w:rFonts w:hint="eastAsia" w:ascii="宋体" w:hAnsi="宋体" w:cs="宋体"/>
          <w:kern w:val="0"/>
          <w:sz w:val="24"/>
          <w:lang w:val="zh-CN"/>
        </w:rPr>
        <w:t>联合体成员名称(电子签名/公章)：</w:t>
      </w:r>
    </w:p>
    <w:p w14:paraId="21B416EA">
      <w:pPr>
        <w:snapToGrid w:val="0"/>
        <w:spacing w:line="360" w:lineRule="auto"/>
        <w:jc w:val="center"/>
        <w:rPr>
          <w:rFonts w:ascii="宋体" w:hAnsi="宋体" w:cs="宋体"/>
          <w:kern w:val="0"/>
          <w:sz w:val="24"/>
          <w:lang w:val="zh-CN"/>
        </w:rPr>
      </w:pPr>
      <w:r>
        <w:rPr>
          <w:rFonts w:hint="eastAsia" w:ascii="宋体" w:hAnsi="宋体" w:cs="宋体"/>
          <w:kern w:val="0"/>
          <w:sz w:val="24"/>
          <w:lang w:val="zh-CN"/>
        </w:rPr>
        <w:t>……</w:t>
      </w:r>
    </w:p>
    <w:p w14:paraId="7230350A">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日期：  年  月   日</w:t>
      </w:r>
    </w:p>
    <w:p w14:paraId="23EFB369">
      <w:pPr>
        <w:snapToGrid w:val="0"/>
        <w:spacing w:line="360" w:lineRule="auto"/>
        <w:jc w:val="right"/>
        <w:rPr>
          <w:rFonts w:ascii="宋体" w:hAnsi="宋体" w:cs="宋体"/>
          <w:kern w:val="0"/>
          <w:sz w:val="24"/>
          <w:lang w:val="zh-CN"/>
        </w:rPr>
      </w:pPr>
    </w:p>
    <w:p w14:paraId="32F961DD">
      <w:pPr>
        <w:snapToGrid w:val="0"/>
        <w:spacing w:line="360" w:lineRule="auto"/>
        <w:rPr>
          <w:rFonts w:ascii="宋体" w:hAnsi="宋体" w:cs="宋体"/>
          <w:sz w:val="24"/>
        </w:rPr>
      </w:pPr>
    </w:p>
    <w:p w14:paraId="7B59EC67">
      <w:pPr>
        <w:autoSpaceDE w:val="0"/>
        <w:autoSpaceDN w:val="0"/>
        <w:spacing w:line="420" w:lineRule="exact"/>
        <w:rPr>
          <w:rFonts w:ascii="宋体" w:hAnsi="宋体" w:cs="宋体"/>
          <w:b/>
          <w:bCs/>
          <w:spacing w:val="-6"/>
          <w:sz w:val="24"/>
          <w:u w:val="single"/>
        </w:rPr>
      </w:pPr>
      <w:r>
        <w:rPr>
          <w:rFonts w:hint="eastAsia" w:ascii="宋体" w:hAnsi="宋体" w:cs="宋体"/>
          <w:b/>
          <w:bCs/>
          <w:spacing w:val="-6"/>
          <w:sz w:val="24"/>
          <w:u w:val="single"/>
        </w:rPr>
        <w:t>说明：</w:t>
      </w:r>
    </w:p>
    <w:p w14:paraId="2B416072">
      <w:pPr>
        <w:spacing w:line="420" w:lineRule="exact"/>
        <w:ind w:firstLine="482" w:firstLineChars="200"/>
        <w:rPr>
          <w:rFonts w:ascii="宋体" w:hAnsi="宋体" w:cs="宋体"/>
          <w:b/>
          <w:sz w:val="24"/>
          <w:u w:val="single"/>
        </w:rPr>
      </w:pPr>
      <w:r>
        <w:rPr>
          <w:rFonts w:hint="eastAsia" w:ascii="宋体" w:hAnsi="宋体" w:cs="宋体"/>
          <w:b/>
          <w:sz w:val="24"/>
          <w:u w:val="single"/>
        </w:rPr>
        <w:t>1、法定代表人、单位负责人或自然人本人代表投标人参加投标的，提供法定代表人（单位负责人、自然人本人）身份证件复印件。</w:t>
      </w:r>
    </w:p>
    <w:p w14:paraId="5E522336">
      <w:pPr>
        <w:spacing w:line="420" w:lineRule="exact"/>
        <w:ind w:firstLine="482" w:firstLineChars="200"/>
        <w:rPr>
          <w:rFonts w:ascii="宋体" w:hAnsi="宋体" w:cs="宋体"/>
          <w:b/>
          <w:sz w:val="24"/>
          <w:u w:val="single"/>
        </w:rPr>
        <w:sectPr>
          <w:pgSz w:w="11906" w:h="16838"/>
          <w:pgMar w:top="1247" w:right="1247" w:bottom="1247" w:left="1134" w:header="850" w:footer="850" w:gutter="0"/>
          <w:cols w:space="720" w:num="1"/>
          <w:titlePg/>
          <w:docGrid w:type="lines" w:linePitch="312" w:charSpace="0"/>
        </w:sectPr>
      </w:pPr>
      <w:r>
        <w:rPr>
          <w:rFonts w:hint="eastAsia" w:ascii="宋体" w:hAnsi="宋体" w:cs="宋体"/>
          <w:b/>
          <w:sz w:val="24"/>
          <w:u w:val="single"/>
        </w:rPr>
        <w:t>2、法定代表人（单位负责人、自然人本人）以外的其他人员代表投标人参加投标时，应当按本格式要求编制、提交《授权委托书》。</w:t>
      </w:r>
    </w:p>
    <w:p w14:paraId="38C5A83F">
      <w:pPr>
        <w:autoSpaceDE w:val="0"/>
        <w:autoSpaceDN w:val="0"/>
        <w:spacing w:beforeLines="100" w:line="420" w:lineRule="exact"/>
        <w:jc w:val="center"/>
        <w:rPr>
          <w:rFonts w:ascii="宋体" w:hAnsi="宋体" w:cs="宋体"/>
          <w:b/>
          <w:sz w:val="24"/>
        </w:rPr>
      </w:pPr>
      <w:r>
        <w:rPr>
          <w:rFonts w:hint="eastAsia" w:ascii="宋体" w:hAnsi="宋体" w:cs="宋体"/>
          <w:b/>
          <w:kern w:val="0"/>
          <w:sz w:val="32"/>
          <w:szCs w:val="32"/>
          <w:lang w:val="zh-CN"/>
        </w:rPr>
        <w:t>法定代表人、单位负责人或自然人本人</w:t>
      </w:r>
      <w:r>
        <w:rPr>
          <w:rFonts w:hint="eastAsia" w:ascii="宋体" w:hAnsi="宋体" w:cs="宋体"/>
          <w:b/>
          <w:sz w:val="30"/>
          <w:szCs w:val="30"/>
        </w:rPr>
        <w:t>的身份证明（适用于法定代表人、单位负责人或者自然人本人代表投标人参加投标）</w:t>
      </w:r>
    </w:p>
    <w:p w14:paraId="5F682208">
      <w:pPr>
        <w:pStyle w:val="182"/>
        <w:spacing w:line="360" w:lineRule="auto"/>
        <w:rPr>
          <w:rFonts w:hAnsi="宋体" w:cs="宋体"/>
          <w:bCs/>
          <w:sz w:val="24"/>
        </w:rPr>
      </w:pPr>
      <w:r>
        <w:rPr>
          <w:rFonts w:hint="eastAsia" w:hAnsi="宋体" w:cs="宋体"/>
          <w:bCs/>
          <w:sz w:val="24"/>
        </w:rPr>
        <w:t>身份证件扫描件：</w:t>
      </w:r>
    </w:p>
    <w:tbl>
      <w:tblPr>
        <w:tblStyle w:val="6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8695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1C82BBCF">
            <w:pPr>
              <w:pStyle w:val="182"/>
              <w:adjustRightInd w:val="0"/>
              <w:spacing w:line="360" w:lineRule="auto"/>
              <w:rPr>
                <w:rFonts w:hAnsi="宋体" w:cs="宋体"/>
                <w:bCs/>
                <w:sz w:val="24"/>
                <w:szCs w:val="21"/>
              </w:rPr>
            </w:pPr>
            <w:r>
              <w:rPr>
                <w:rFonts w:hint="eastAsia" w:hAnsi="宋体" w:cs="宋体"/>
                <w:bCs/>
                <w:sz w:val="24"/>
                <w:szCs w:val="21"/>
              </w:rPr>
              <w:t>正面：                                 反面：</w:t>
            </w:r>
          </w:p>
          <w:p w14:paraId="08CBC40C">
            <w:pPr>
              <w:pStyle w:val="182"/>
              <w:adjustRightInd w:val="0"/>
              <w:spacing w:line="360" w:lineRule="auto"/>
              <w:rPr>
                <w:rFonts w:hAnsi="宋体" w:cs="宋体"/>
                <w:bCs/>
                <w:sz w:val="24"/>
                <w:szCs w:val="21"/>
              </w:rPr>
            </w:pPr>
          </w:p>
        </w:tc>
      </w:tr>
    </w:tbl>
    <w:p w14:paraId="5E82D754">
      <w:pPr>
        <w:snapToGrid w:val="0"/>
        <w:spacing w:line="360" w:lineRule="auto"/>
        <w:ind w:firstLine="576"/>
        <w:jc w:val="center"/>
        <w:rPr>
          <w:rFonts w:ascii="宋体" w:hAnsi="宋体" w:cs="宋体"/>
          <w:kern w:val="0"/>
          <w:sz w:val="24"/>
          <w:lang w:val="zh-CN"/>
        </w:rPr>
      </w:pPr>
    </w:p>
    <w:p w14:paraId="1172A26B">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投标人名称(电子签名)：                              </w:t>
      </w:r>
    </w:p>
    <w:p w14:paraId="2FFA0D6B">
      <w:pPr>
        <w:spacing w:line="360" w:lineRule="auto"/>
        <w:jc w:val="center"/>
        <w:rPr>
          <w:rFonts w:ascii="宋体" w:hAnsi="宋体" w:cs="宋体"/>
          <w:kern w:val="0"/>
          <w:sz w:val="24"/>
          <w:lang w:val="zh-CN"/>
        </w:rPr>
      </w:pPr>
      <w:r>
        <w:rPr>
          <w:rFonts w:hint="eastAsia" w:ascii="宋体" w:hAnsi="宋体" w:cs="宋体"/>
          <w:kern w:val="0"/>
          <w:sz w:val="24"/>
          <w:lang w:val="zh-CN"/>
        </w:rPr>
        <w:t xml:space="preserve">                   日期：  年  月  日</w:t>
      </w:r>
    </w:p>
    <w:p w14:paraId="51D6D936">
      <w:pPr>
        <w:jc w:val="center"/>
        <w:rPr>
          <w:rFonts w:ascii="宋体" w:hAnsi="宋体" w:cs="宋体"/>
          <w:b/>
          <w:kern w:val="0"/>
          <w:sz w:val="32"/>
          <w:szCs w:val="32"/>
        </w:rPr>
      </w:pPr>
    </w:p>
    <w:p w14:paraId="7E414DA2">
      <w:pPr>
        <w:jc w:val="center"/>
        <w:rPr>
          <w:rFonts w:ascii="宋体" w:hAnsi="宋体" w:cs="宋体"/>
          <w:b/>
          <w:kern w:val="0"/>
          <w:sz w:val="32"/>
          <w:szCs w:val="32"/>
        </w:rPr>
      </w:pPr>
    </w:p>
    <w:p w14:paraId="1F350B35">
      <w:pPr>
        <w:jc w:val="center"/>
        <w:rPr>
          <w:rFonts w:ascii="宋体" w:hAnsi="宋体" w:cs="宋体"/>
          <w:b/>
          <w:kern w:val="0"/>
          <w:sz w:val="32"/>
          <w:szCs w:val="32"/>
        </w:rPr>
      </w:pPr>
    </w:p>
    <w:p w14:paraId="216292C7">
      <w:pPr>
        <w:jc w:val="center"/>
        <w:rPr>
          <w:rFonts w:ascii="宋体" w:hAnsi="宋体" w:cs="宋体"/>
          <w:b/>
          <w:kern w:val="0"/>
          <w:sz w:val="32"/>
          <w:szCs w:val="32"/>
        </w:rPr>
      </w:pPr>
    </w:p>
    <w:p w14:paraId="1FEB17F8">
      <w:pPr>
        <w:jc w:val="center"/>
        <w:rPr>
          <w:rFonts w:ascii="宋体" w:hAnsi="宋体" w:cs="宋体"/>
          <w:b/>
          <w:kern w:val="0"/>
          <w:sz w:val="32"/>
          <w:szCs w:val="32"/>
        </w:rPr>
      </w:pPr>
    </w:p>
    <w:p w14:paraId="060C37F7">
      <w:pPr>
        <w:jc w:val="center"/>
        <w:rPr>
          <w:rFonts w:ascii="宋体" w:hAnsi="宋体" w:cs="宋体"/>
          <w:b/>
          <w:kern w:val="0"/>
          <w:sz w:val="32"/>
          <w:szCs w:val="32"/>
        </w:rPr>
      </w:pPr>
    </w:p>
    <w:p w14:paraId="63382835">
      <w:pPr>
        <w:jc w:val="center"/>
        <w:rPr>
          <w:rFonts w:ascii="宋体" w:hAnsi="宋体" w:cs="宋体"/>
          <w:b/>
          <w:kern w:val="0"/>
          <w:sz w:val="32"/>
          <w:szCs w:val="32"/>
        </w:rPr>
      </w:pPr>
    </w:p>
    <w:p w14:paraId="26212BFF">
      <w:pPr>
        <w:jc w:val="center"/>
        <w:rPr>
          <w:rFonts w:ascii="宋体" w:hAnsi="宋体" w:cs="宋体"/>
          <w:b/>
          <w:kern w:val="0"/>
          <w:sz w:val="32"/>
          <w:szCs w:val="32"/>
        </w:rPr>
      </w:pPr>
    </w:p>
    <w:p w14:paraId="4CDCD4D7">
      <w:pPr>
        <w:jc w:val="center"/>
        <w:rPr>
          <w:rFonts w:ascii="宋体" w:hAnsi="宋体" w:cs="宋体"/>
          <w:b/>
          <w:kern w:val="0"/>
          <w:sz w:val="32"/>
          <w:szCs w:val="32"/>
        </w:rPr>
      </w:pPr>
    </w:p>
    <w:p w14:paraId="6EA9488B">
      <w:pPr>
        <w:jc w:val="center"/>
        <w:rPr>
          <w:rFonts w:ascii="宋体" w:hAnsi="宋体" w:cs="宋体"/>
          <w:b/>
          <w:kern w:val="0"/>
          <w:sz w:val="32"/>
          <w:szCs w:val="32"/>
        </w:rPr>
      </w:pPr>
    </w:p>
    <w:p w14:paraId="726FBFE4">
      <w:pPr>
        <w:jc w:val="center"/>
        <w:rPr>
          <w:rFonts w:ascii="宋体" w:hAnsi="宋体" w:cs="宋体"/>
          <w:b/>
          <w:kern w:val="0"/>
          <w:sz w:val="32"/>
          <w:szCs w:val="32"/>
        </w:rPr>
      </w:pPr>
    </w:p>
    <w:p w14:paraId="4B289C4B">
      <w:pPr>
        <w:jc w:val="center"/>
        <w:rPr>
          <w:rFonts w:ascii="宋体" w:hAnsi="宋体" w:cs="宋体"/>
          <w:b/>
          <w:kern w:val="0"/>
          <w:sz w:val="32"/>
          <w:szCs w:val="32"/>
        </w:rPr>
      </w:pPr>
    </w:p>
    <w:p w14:paraId="474CC7EC">
      <w:pPr>
        <w:jc w:val="center"/>
        <w:rPr>
          <w:rFonts w:ascii="宋体" w:hAnsi="宋体" w:cs="宋体"/>
          <w:b/>
          <w:kern w:val="0"/>
          <w:sz w:val="32"/>
          <w:szCs w:val="32"/>
        </w:rPr>
      </w:pPr>
    </w:p>
    <w:p w14:paraId="12E0D250">
      <w:pPr>
        <w:jc w:val="center"/>
        <w:rPr>
          <w:rFonts w:ascii="宋体" w:hAnsi="宋体" w:cs="宋体"/>
          <w:b/>
          <w:kern w:val="0"/>
          <w:sz w:val="32"/>
          <w:szCs w:val="32"/>
        </w:rPr>
      </w:pPr>
    </w:p>
    <w:p w14:paraId="73085E4A">
      <w:pPr>
        <w:jc w:val="center"/>
        <w:rPr>
          <w:rFonts w:ascii="宋体" w:hAnsi="宋体" w:cs="宋体"/>
          <w:b/>
          <w:kern w:val="0"/>
          <w:sz w:val="32"/>
          <w:szCs w:val="32"/>
        </w:rPr>
      </w:pPr>
    </w:p>
    <w:p w14:paraId="70399654">
      <w:pPr>
        <w:jc w:val="center"/>
        <w:rPr>
          <w:rFonts w:ascii="宋体" w:hAnsi="宋体" w:cs="宋体"/>
          <w:b/>
          <w:kern w:val="0"/>
          <w:sz w:val="32"/>
          <w:szCs w:val="32"/>
          <w:lang w:val="zh-CN"/>
        </w:rPr>
      </w:pPr>
      <w:r>
        <w:rPr>
          <w:rFonts w:hint="eastAsia" w:ascii="宋体" w:hAnsi="宋体" w:cs="宋体"/>
          <w:b/>
          <w:kern w:val="0"/>
          <w:sz w:val="32"/>
          <w:szCs w:val="32"/>
        </w:rPr>
        <w:t>三、</w:t>
      </w:r>
      <w:r>
        <w:rPr>
          <w:rFonts w:hint="eastAsia" w:ascii="宋体" w:hAnsi="宋体" w:cs="宋体"/>
          <w:b/>
          <w:kern w:val="0"/>
          <w:sz w:val="32"/>
          <w:szCs w:val="32"/>
          <w:lang w:val="zh-CN"/>
        </w:rPr>
        <w:t>联合协议</w:t>
      </w:r>
    </w:p>
    <w:p w14:paraId="73A9E05B">
      <w:pPr>
        <w:widowControl/>
        <w:spacing w:line="360" w:lineRule="exact"/>
        <w:ind w:firstLine="482" w:firstLineChars="200"/>
        <w:jc w:val="left"/>
        <w:rPr>
          <w:rFonts w:ascii="宋体" w:hAnsi="宋体" w:cs="宋体"/>
          <w:b/>
          <w:sz w:val="24"/>
        </w:rPr>
      </w:pPr>
      <w:r>
        <w:rPr>
          <w:rFonts w:hint="eastAsia" w:ascii="宋体" w:hAnsi="宋体" w:cs="宋体"/>
          <w:b/>
          <w:sz w:val="24"/>
        </w:rPr>
        <w:t>（以联合体形式投标的，提供联合协议；本项目不接受联合体投标或者投标人不以联合体形式投标的，则不需要提供）</w:t>
      </w:r>
    </w:p>
    <w:p w14:paraId="43D65B98">
      <w:pPr>
        <w:snapToGrid w:val="0"/>
        <w:spacing w:line="360" w:lineRule="exact"/>
        <w:ind w:firstLine="576"/>
        <w:rPr>
          <w:rFonts w:ascii="宋体" w:hAnsi="宋体" w:cs="宋体"/>
          <w:kern w:val="0"/>
          <w:sz w:val="24"/>
          <w:lang w:val="zh-CN"/>
        </w:rPr>
      </w:pPr>
      <w:r>
        <w:rPr>
          <w:rFonts w:hint="eastAsia" w:ascii="宋体" w:hAnsi="宋体" w:cs="宋体"/>
          <w:kern w:val="0"/>
          <w:sz w:val="24"/>
          <w:u w:val="single"/>
        </w:rPr>
        <w:t>（联合体所有成员名称）</w:t>
      </w:r>
      <w:r>
        <w:rPr>
          <w:rFonts w:hint="eastAsia" w:ascii="宋体" w:hAnsi="宋体" w:cs="宋体"/>
          <w:kern w:val="0"/>
          <w:sz w:val="24"/>
        </w:rPr>
        <w:t>自愿</w:t>
      </w:r>
      <w:r>
        <w:rPr>
          <w:rFonts w:hint="eastAsia" w:ascii="宋体" w:hAnsi="宋体" w:cs="宋体"/>
          <w:kern w:val="0"/>
          <w:sz w:val="24"/>
          <w:lang w:val="zh-CN"/>
        </w:rPr>
        <w:t>组成一个联合体，以一个投标人的身份</w:t>
      </w:r>
      <w:r>
        <w:rPr>
          <w:rFonts w:hint="eastAsia" w:ascii="宋体" w:hAnsi="宋体" w:cs="宋体"/>
          <w:kern w:val="0"/>
          <w:sz w:val="24"/>
        </w:rPr>
        <w:t>参加</w:t>
      </w:r>
      <w:r>
        <w:rPr>
          <w:rFonts w:hint="eastAsia" w:ascii="宋体" w:hAnsi="宋体" w:cs="宋体"/>
          <w:sz w:val="24"/>
        </w:rPr>
        <w:t>（项目名称）【招标编号：（采购编号）】</w:t>
      </w:r>
      <w:r>
        <w:rPr>
          <w:rFonts w:hint="eastAsia" w:ascii="宋体" w:hAnsi="宋体" w:cs="宋体"/>
          <w:kern w:val="0"/>
          <w:sz w:val="24"/>
          <w:lang w:val="zh-CN"/>
        </w:rPr>
        <w:t xml:space="preserve">投标。 </w:t>
      </w:r>
    </w:p>
    <w:p w14:paraId="7703546D">
      <w:pPr>
        <w:snapToGrid w:val="0"/>
        <w:spacing w:line="360" w:lineRule="exact"/>
        <w:ind w:firstLine="576"/>
        <w:rPr>
          <w:rFonts w:ascii="宋体" w:hAnsi="宋体" w:cs="宋体"/>
          <w:kern w:val="0"/>
          <w:sz w:val="24"/>
          <w:lang w:val="zh-CN"/>
        </w:rPr>
      </w:pPr>
      <w:r>
        <w:rPr>
          <w:rFonts w:hint="eastAsia" w:ascii="宋体" w:hAnsi="宋体" w:cs="宋体"/>
          <w:kern w:val="0"/>
          <w:sz w:val="24"/>
          <w:lang w:val="zh-CN"/>
        </w:rPr>
        <w:t>一、各方一致决定，</w:t>
      </w:r>
      <w:r>
        <w:rPr>
          <w:rFonts w:hint="eastAsia" w:ascii="宋体" w:hAnsi="宋体" w:cs="宋体"/>
          <w:kern w:val="0"/>
          <w:sz w:val="24"/>
          <w:u w:val="single"/>
        </w:rPr>
        <w:t>（某联合体成员名称）</w:t>
      </w:r>
      <w:r>
        <w:rPr>
          <w:rFonts w:hint="eastAsia" w:ascii="宋体" w:hAnsi="宋体" w:cs="宋体"/>
          <w:kern w:val="0"/>
          <w:sz w:val="24"/>
        </w:rPr>
        <w:t>为联合体</w:t>
      </w:r>
      <w:r>
        <w:rPr>
          <w:rFonts w:hint="eastAsia" w:ascii="宋体" w:hAnsi="宋体" w:cs="宋体"/>
          <w:kern w:val="0"/>
          <w:sz w:val="24"/>
          <w:lang w:val="zh-CN"/>
        </w:rPr>
        <w:t>牵头人</w:t>
      </w:r>
      <w:r>
        <w:rPr>
          <w:rFonts w:hint="eastAsia" w:ascii="宋体" w:hAnsi="宋体" w:cs="宋体"/>
          <w:sz w:val="24"/>
        </w:rPr>
        <w:t>，代表所有联合体成员负责投标和合同实施阶段的主办、协调工作</w:t>
      </w:r>
      <w:r>
        <w:rPr>
          <w:rFonts w:hint="eastAsia" w:ascii="宋体" w:hAnsi="宋体" w:cs="宋体"/>
          <w:kern w:val="0"/>
          <w:sz w:val="24"/>
          <w:lang w:val="zh-CN"/>
        </w:rPr>
        <w:t>。</w:t>
      </w:r>
    </w:p>
    <w:p w14:paraId="0670C136">
      <w:pPr>
        <w:snapToGrid w:val="0"/>
        <w:spacing w:line="360" w:lineRule="exact"/>
        <w:ind w:firstLine="576"/>
        <w:rPr>
          <w:rFonts w:ascii="宋体" w:hAnsi="宋体" w:cs="宋体"/>
          <w:kern w:val="0"/>
          <w:sz w:val="24"/>
          <w:lang w:val="zh-CN"/>
        </w:rPr>
      </w:pPr>
      <w:r>
        <w:rPr>
          <w:rFonts w:hint="eastAsia" w:ascii="宋体" w:hAnsi="宋体" w:cs="宋体"/>
          <w:kern w:val="0"/>
          <w:sz w:val="24"/>
          <w:lang w:val="zh-CN"/>
        </w:rPr>
        <w:t>二、</w:t>
      </w:r>
      <w:r>
        <w:rPr>
          <w:rFonts w:hint="eastAsia" w:ascii="宋体" w:hAnsi="宋体" w:cs="宋体"/>
          <w:sz w:val="24"/>
        </w:rPr>
        <w:t>所有联合体成员各方签署授权书，授权书载明的</w:t>
      </w:r>
      <w:r>
        <w:rPr>
          <w:rFonts w:hint="eastAsia" w:ascii="宋体" w:hAnsi="宋体" w:cs="宋体"/>
          <w:kern w:val="0"/>
          <w:sz w:val="24"/>
          <w:lang w:val="zh-CN"/>
        </w:rPr>
        <w:t>授权代表根据招标文件规定及投标内容而对采购人、采购代理机构所作的任何合法承诺，包括书面澄清及相应等均对联合投标各方产生约束力。</w:t>
      </w:r>
    </w:p>
    <w:p w14:paraId="5CF626CE">
      <w:pPr>
        <w:snapToGrid w:val="0"/>
        <w:spacing w:line="360" w:lineRule="exact"/>
        <w:ind w:firstLine="576"/>
        <w:rPr>
          <w:rFonts w:ascii="宋体" w:hAnsi="宋体" w:cs="宋体"/>
          <w:kern w:val="0"/>
          <w:sz w:val="24"/>
          <w:lang w:val="zh-CN"/>
        </w:rPr>
      </w:pPr>
      <w:r>
        <w:rPr>
          <w:rFonts w:hint="eastAsia" w:ascii="宋体" w:hAnsi="宋体" w:cs="宋体"/>
          <w:kern w:val="0"/>
          <w:sz w:val="24"/>
          <w:lang w:val="zh-CN"/>
        </w:rPr>
        <w:t>三、本次联合投标中，分工如下：</w:t>
      </w:r>
      <w:r>
        <w:rPr>
          <w:rFonts w:hint="eastAsia" w:ascii="宋体" w:hAnsi="宋体" w:cs="宋体"/>
          <w:kern w:val="0"/>
          <w:sz w:val="24"/>
          <w:u w:val="single"/>
        </w:rPr>
        <w:t>（联合体其中一方成员名称）</w:t>
      </w:r>
      <w:r>
        <w:rPr>
          <w:rFonts w:hint="eastAsia" w:ascii="宋体" w:hAnsi="宋体" w:cs="宋体"/>
          <w:kern w:val="0"/>
          <w:sz w:val="24"/>
          <w:lang w:val="zh-CN"/>
        </w:rPr>
        <w:t>承担的工作和义务为：；……。</w:t>
      </w:r>
    </w:p>
    <w:p w14:paraId="05A0A9EE">
      <w:pPr>
        <w:snapToGrid w:val="0"/>
        <w:spacing w:line="360" w:lineRule="exact"/>
        <w:ind w:firstLine="576"/>
        <w:rPr>
          <w:rFonts w:ascii="宋体" w:hAnsi="宋体" w:cs="宋体"/>
          <w:b/>
          <w:kern w:val="0"/>
          <w:sz w:val="24"/>
          <w:lang w:val="zh-CN"/>
        </w:rPr>
      </w:pPr>
      <w:r>
        <w:rPr>
          <w:rFonts w:hint="eastAsia" w:ascii="宋体" w:hAnsi="宋体" w:cs="宋体"/>
          <w:kern w:val="0"/>
          <w:sz w:val="24"/>
          <w:lang w:val="zh-CN"/>
        </w:rPr>
        <w:t>四、</w:t>
      </w:r>
      <w:r>
        <w:rPr>
          <w:rFonts w:hint="eastAsia" w:ascii="宋体" w:hAnsi="宋体" w:cs="宋体"/>
          <w:kern w:val="0"/>
          <w:sz w:val="24"/>
          <w:u w:val="single"/>
        </w:rPr>
        <w:t>（联合体其中一方成员名称）</w:t>
      </w:r>
      <w:r>
        <w:rPr>
          <w:rFonts w:hint="eastAsia" w:ascii="宋体" w:hAnsi="宋体" w:cs="宋体"/>
          <w:kern w:val="0"/>
          <w:sz w:val="24"/>
        </w:rPr>
        <w:t>提供的全部货物由小微企业制造，其合同份额占到合同总金额%以上；</w:t>
      </w:r>
      <w:r>
        <w:rPr>
          <w:rFonts w:hint="eastAsia" w:ascii="宋体" w:hAnsi="宋体" w:cs="宋体"/>
          <w:kern w:val="0"/>
          <w:sz w:val="24"/>
          <w:lang w:val="zh-CN"/>
        </w:rPr>
        <w:t>……。</w:t>
      </w:r>
      <w:r>
        <w:rPr>
          <w:rFonts w:hint="eastAsia" w:ascii="宋体" w:hAnsi="宋体" w:cs="宋体"/>
          <w:b/>
          <w:kern w:val="0"/>
          <w:sz w:val="24"/>
          <w:lang w:val="zh-CN"/>
        </w:rPr>
        <w:t>（未预留份额专门面向中小企业采购的采购项目，以及预留份额中的非预留部分采购包，接受联合体投标的，联合体其中一方提供的货物全部由小微企业制造，且其合同份额占到合同总金额 30%以上，对联合体报价给予</w:t>
      </w:r>
      <w:r>
        <w:rPr>
          <w:rFonts w:hint="eastAsia" w:ascii="宋体" w:hAnsi="宋体" w:cs="宋体"/>
          <w:b/>
          <w:kern w:val="0"/>
          <w:sz w:val="24"/>
        </w:rPr>
        <w:t>6</w:t>
      </w:r>
      <w:r>
        <w:rPr>
          <w:rFonts w:hint="eastAsia" w:ascii="宋体" w:hAnsi="宋体" w:cs="宋体"/>
          <w:b/>
          <w:kern w:val="0"/>
          <w:sz w:val="24"/>
          <w:lang w:val="zh-CN"/>
        </w:rPr>
        <w:t>%的扣除）</w:t>
      </w:r>
    </w:p>
    <w:p w14:paraId="05D3DE30">
      <w:pPr>
        <w:snapToGrid w:val="0"/>
        <w:spacing w:line="360" w:lineRule="exact"/>
        <w:ind w:firstLine="578"/>
        <w:rPr>
          <w:rFonts w:ascii="宋体" w:hAnsi="宋体" w:cs="宋体"/>
          <w:kern w:val="0"/>
          <w:sz w:val="24"/>
          <w:lang w:val="zh-CN"/>
        </w:rPr>
      </w:pPr>
      <w:r>
        <w:rPr>
          <w:rFonts w:hint="eastAsia" w:ascii="宋体" w:hAnsi="宋体" w:cs="宋体"/>
          <w:kern w:val="0"/>
          <w:sz w:val="24"/>
          <w:lang w:val="zh-CN"/>
        </w:rPr>
        <w:t>五、如果中标，</w:t>
      </w:r>
      <w:r>
        <w:rPr>
          <w:rFonts w:hint="eastAsia" w:ascii="宋体" w:hAnsi="宋体" w:cs="宋体"/>
          <w:sz w:val="24"/>
        </w:rPr>
        <w:t>联合体各成员方共同与采购人签订合同，并就采购合同约定的事项对采购人承担连带责任。</w:t>
      </w:r>
    </w:p>
    <w:p w14:paraId="0E9CCD66">
      <w:pPr>
        <w:snapToGrid w:val="0"/>
        <w:spacing w:line="360" w:lineRule="exact"/>
        <w:ind w:firstLine="578"/>
        <w:rPr>
          <w:rFonts w:ascii="宋体" w:hAnsi="宋体" w:cs="宋体"/>
          <w:kern w:val="0"/>
          <w:sz w:val="24"/>
          <w:lang w:val="zh-CN"/>
        </w:rPr>
      </w:pPr>
      <w:r>
        <w:rPr>
          <w:rFonts w:hint="eastAsia" w:ascii="宋体" w:hAnsi="宋体" w:cs="宋体"/>
          <w:kern w:val="0"/>
          <w:sz w:val="24"/>
          <w:lang w:val="zh-CN"/>
        </w:rPr>
        <w:t>六、有关本次联合投标的其他事宜：</w:t>
      </w:r>
    </w:p>
    <w:p w14:paraId="55905F94">
      <w:pPr>
        <w:snapToGrid w:val="0"/>
        <w:spacing w:line="360" w:lineRule="exact"/>
        <w:ind w:firstLine="578"/>
        <w:rPr>
          <w:rFonts w:ascii="宋体" w:hAnsi="宋体" w:cs="宋体"/>
          <w:kern w:val="0"/>
          <w:sz w:val="24"/>
          <w:lang w:val="zh-CN"/>
        </w:rPr>
      </w:pPr>
      <w:r>
        <w:rPr>
          <w:rFonts w:hint="eastAsia" w:ascii="宋体" w:hAnsi="宋体" w:cs="宋体"/>
          <w:kern w:val="0"/>
          <w:sz w:val="24"/>
          <w:lang w:val="zh-CN"/>
        </w:rPr>
        <w:t>1、联合体各方不再单独参加或者与其他供应商另外组成联合体参加同一合同项下的政府采购活动。</w:t>
      </w:r>
    </w:p>
    <w:p w14:paraId="715634B9">
      <w:pPr>
        <w:snapToGrid w:val="0"/>
        <w:spacing w:line="360" w:lineRule="exact"/>
        <w:ind w:firstLine="578"/>
        <w:rPr>
          <w:rFonts w:ascii="宋体" w:hAnsi="宋体" w:cs="宋体"/>
          <w:kern w:val="0"/>
          <w:sz w:val="24"/>
          <w:lang w:val="zh-CN"/>
        </w:rPr>
      </w:pPr>
      <w:r>
        <w:rPr>
          <w:rFonts w:hint="eastAsia" w:ascii="宋体" w:hAnsi="宋体" w:cs="宋体"/>
          <w:kern w:val="0"/>
          <w:sz w:val="24"/>
          <w:lang w:val="zh-CN"/>
        </w:rPr>
        <w:t>2、联合体中有同类资质的各方按照联合体分工承担相同工作的，按照资质等级较低的供应商确定资质等级。</w:t>
      </w:r>
    </w:p>
    <w:p w14:paraId="24EBBF4E">
      <w:pPr>
        <w:snapToGrid w:val="0"/>
        <w:spacing w:line="360" w:lineRule="exact"/>
        <w:ind w:firstLine="578"/>
        <w:rPr>
          <w:rFonts w:ascii="宋体" w:hAnsi="宋体" w:cs="宋体"/>
          <w:kern w:val="0"/>
          <w:sz w:val="24"/>
          <w:lang w:val="zh-CN"/>
        </w:rPr>
      </w:pPr>
      <w:r>
        <w:rPr>
          <w:rFonts w:hint="eastAsia" w:ascii="宋体" w:hAnsi="宋体" w:cs="宋体"/>
          <w:kern w:val="0"/>
          <w:sz w:val="24"/>
          <w:lang w:val="zh-CN"/>
        </w:rPr>
        <w:t>3、本协议提交采购人、采购代理机构后，联合体各方不得以任何形式对上述内容进行修改或撤销。</w:t>
      </w:r>
    </w:p>
    <w:p w14:paraId="097C91B2">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联合体成员名称(电子签名/公章)：</w:t>
      </w:r>
    </w:p>
    <w:p w14:paraId="37C208ED">
      <w:pPr>
        <w:snapToGrid w:val="0"/>
        <w:spacing w:line="360" w:lineRule="auto"/>
        <w:ind w:firstLine="5760" w:firstLineChars="2400"/>
        <w:rPr>
          <w:rFonts w:ascii="宋体" w:hAnsi="宋体" w:cs="宋体"/>
        </w:rPr>
      </w:pPr>
      <w:r>
        <w:rPr>
          <w:rFonts w:hint="eastAsia" w:ascii="宋体" w:hAnsi="宋体" w:cs="宋体"/>
          <w:kern w:val="0"/>
          <w:sz w:val="24"/>
          <w:lang w:val="zh-CN"/>
        </w:rPr>
        <w:t>……</w:t>
      </w:r>
    </w:p>
    <w:p w14:paraId="5139CD67">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日期：  年  月   日</w:t>
      </w:r>
    </w:p>
    <w:p w14:paraId="028174A2">
      <w:pPr>
        <w:snapToGrid w:val="0"/>
        <w:spacing w:line="360" w:lineRule="auto"/>
        <w:ind w:right="480"/>
        <w:rPr>
          <w:rFonts w:ascii="宋体" w:hAnsi="宋体" w:cs="宋体"/>
          <w:b/>
          <w:kern w:val="0"/>
          <w:sz w:val="32"/>
          <w:szCs w:val="32"/>
          <w:lang w:val="zh-CN"/>
        </w:rPr>
        <w:sectPr>
          <w:headerReference r:id="rId14" w:type="first"/>
          <w:footerReference r:id="rId16" w:type="first"/>
          <w:headerReference r:id="rId13" w:type="default"/>
          <w:footerReference r:id="rId15" w:type="default"/>
          <w:pgSz w:w="11906" w:h="16838"/>
          <w:pgMar w:top="1276" w:right="1134" w:bottom="1247" w:left="1134" w:header="1020" w:footer="992" w:gutter="0"/>
          <w:cols w:space="720" w:num="1"/>
          <w:titlePg/>
          <w:docGrid w:linePitch="312" w:charSpace="0"/>
        </w:sectPr>
      </w:pPr>
    </w:p>
    <w:p w14:paraId="3E034BEA">
      <w:pPr>
        <w:snapToGrid w:val="0"/>
        <w:spacing w:line="360" w:lineRule="auto"/>
        <w:ind w:firstLine="3534" w:firstLineChars="1100"/>
        <w:rPr>
          <w:rFonts w:ascii="宋体" w:hAnsi="宋体" w:cs="宋体"/>
          <w:b/>
          <w:kern w:val="0"/>
          <w:sz w:val="32"/>
          <w:szCs w:val="32"/>
        </w:rPr>
      </w:pPr>
      <w:r>
        <w:rPr>
          <w:rFonts w:hint="eastAsia" w:ascii="宋体" w:hAnsi="宋体" w:cs="宋体"/>
          <w:b/>
          <w:kern w:val="0"/>
          <w:sz w:val="32"/>
          <w:szCs w:val="32"/>
        </w:rPr>
        <w:t>四、分包意向协议</w:t>
      </w:r>
    </w:p>
    <w:p w14:paraId="2917C3CC">
      <w:pPr>
        <w:widowControl/>
        <w:spacing w:line="420" w:lineRule="exact"/>
        <w:ind w:firstLine="120" w:firstLineChars="50"/>
        <w:jc w:val="left"/>
        <w:rPr>
          <w:rFonts w:ascii="宋体" w:hAnsi="宋体" w:cs="宋体"/>
          <w:sz w:val="24"/>
        </w:rPr>
      </w:pPr>
      <w:r>
        <w:rPr>
          <w:rFonts w:hint="eastAsia" w:ascii="宋体" w:hAnsi="宋体" w:cs="宋体"/>
          <w:sz w:val="24"/>
        </w:rPr>
        <w:t>（</w:t>
      </w:r>
      <w:r>
        <w:rPr>
          <w:rFonts w:hint="eastAsia" w:ascii="宋体" w:hAnsi="宋体" w:cs="宋体"/>
          <w:b/>
          <w:sz w:val="24"/>
        </w:rPr>
        <w:t>中标后以分包方式履行合同的，提供分包意向协议；采购人不同意分包或者投标人中标后不以分包方式履行合同的，则不需要提供。</w:t>
      </w:r>
      <w:r>
        <w:rPr>
          <w:rFonts w:hint="eastAsia" w:ascii="宋体" w:hAnsi="宋体" w:cs="宋体"/>
          <w:sz w:val="24"/>
        </w:rPr>
        <w:t>）</w:t>
      </w:r>
    </w:p>
    <w:p w14:paraId="464F9DA3">
      <w:pPr>
        <w:snapToGrid w:val="0"/>
        <w:spacing w:line="420" w:lineRule="exact"/>
        <w:ind w:firstLine="576"/>
        <w:rPr>
          <w:rFonts w:ascii="宋体" w:hAnsi="宋体" w:cs="宋体"/>
          <w:kern w:val="0"/>
          <w:sz w:val="24"/>
          <w:lang w:val="zh-CN"/>
        </w:rPr>
      </w:pPr>
      <w:r>
        <w:rPr>
          <w:rFonts w:hint="eastAsia" w:ascii="宋体" w:hAnsi="宋体" w:cs="宋体"/>
          <w:kern w:val="0"/>
          <w:sz w:val="24"/>
          <w:u w:val="single"/>
        </w:rPr>
        <w:t>（投标人名称）</w:t>
      </w:r>
      <w:r>
        <w:rPr>
          <w:rFonts w:hint="eastAsia" w:ascii="宋体" w:hAnsi="宋体" w:cs="宋体"/>
          <w:kern w:val="0"/>
          <w:sz w:val="24"/>
          <w:lang w:val="zh-CN"/>
        </w:rPr>
        <w:t>若成为</w:t>
      </w:r>
      <w:r>
        <w:rPr>
          <w:rFonts w:hint="eastAsia" w:ascii="宋体" w:hAnsi="宋体" w:cs="宋体"/>
          <w:sz w:val="24"/>
        </w:rPr>
        <w:t>（项目名称）【招标编号：（采购编号）】</w:t>
      </w:r>
      <w:r>
        <w:rPr>
          <w:rFonts w:hint="eastAsia" w:ascii="宋体" w:hAnsi="宋体" w:cs="宋体"/>
          <w:kern w:val="0"/>
          <w:sz w:val="24"/>
          <w:lang w:val="zh-CN"/>
        </w:rPr>
        <w:t>的中标供应商，将依法采取分包方式履行合同。</w:t>
      </w:r>
      <w:r>
        <w:rPr>
          <w:rFonts w:hint="eastAsia" w:ascii="宋体" w:hAnsi="宋体" w:cs="宋体"/>
          <w:kern w:val="0"/>
          <w:sz w:val="24"/>
          <w:u w:val="single"/>
        </w:rPr>
        <w:t>（投标人名称）</w:t>
      </w:r>
      <w:r>
        <w:rPr>
          <w:rFonts w:hint="eastAsia" w:ascii="宋体" w:hAnsi="宋体" w:cs="宋体"/>
          <w:kern w:val="0"/>
          <w:sz w:val="24"/>
        </w:rPr>
        <w:t>与</w:t>
      </w:r>
      <w:r>
        <w:rPr>
          <w:rFonts w:hint="eastAsia" w:ascii="宋体" w:hAnsi="宋体" w:cs="宋体"/>
          <w:kern w:val="0"/>
          <w:sz w:val="24"/>
          <w:u w:val="single"/>
        </w:rPr>
        <w:t>（所有分包供应商名称）</w:t>
      </w:r>
      <w:r>
        <w:rPr>
          <w:rFonts w:hint="eastAsia" w:ascii="宋体" w:hAnsi="宋体" w:cs="宋体"/>
          <w:kern w:val="0"/>
          <w:sz w:val="24"/>
        </w:rPr>
        <w:t>达成分包意向协议</w:t>
      </w:r>
      <w:r>
        <w:rPr>
          <w:rFonts w:hint="eastAsia" w:ascii="宋体" w:hAnsi="宋体" w:cs="宋体"/>
          <w:kern w:val="0"/>
          <w:sz w:val="24"/>
          <w:lang w:val="zh-CN"/>
        </w:rPr>
        <w:t xml:space="preserve">。 </w:t>
      </w:r>
    </w:p>
    <w:p w14:paraId="5034A3C4">
      <w:pPr>
        <w:snapToGrid w:val="0"/>
        <w:spacing w:line="420" w:lineRule="exact"/>
        <w:ind w:firstLine="576"/>
        <w:rPr>
          <w:rFonts w:ascii="宋体" w:hAnsi="宋体" w:cs="宋体"/>
          <w:kern w:val="0"/>
          <w:sz w:val="24"/>
          <w:lang w:val="zh-CN"/>
        </w:rPr>
      </w:pPr>
      <w:r>
        <w:rPr>
          <w:rFonts w:hint="eastAsia" w:ascii="宋体" w:hAnsi="宋体" w:cs="宋体"/>
          <w:kern w:val="0"/>
          <w:sz w:val="24"/>
          <w:lang w:val="zh-CN"/>
        </w:rPr>
        <w:t>一、分包标的及数量</w:t>
      </w:r>
    </w:p>
    <w:p w14:paraId="1FE4F6F2">
      <w:pPr>
        <w:snapToGrid w:val="0"/>
        <w:spacing w:line="420" w:lineRule="exact"/>
        <w:ind w:firstLine="576"/>
        <w:rPr>
          <w:rFonts w:ascii="宋体" w:hAnsi="宋体" w:cs="宋体"/>
          <w:kern w:val="0"/>
          <w:sz w:val="24"/>
          <w:lang w:val="zh-CN"/>
        </w:rPr>
      </w:pPr>
      <w:r>
        <w:rPr>
          <w:rFonts w:hint="eastAsia" w:ascii="宋体" w:hAnsi="宋体" w:cs="宋体"/>
          <w:kern w:val="0"/>
          <w:sz w:val="24"/>
          <w:u w:val="single"/>
        </w:rPr>
        <w:t>（投标人名称）</w:t>
      </w:r>
      <w:r>
        <w:rPr>
          <w:rFonts w:hint="eastAsia" w:ascii="宋体" w:hAnsi="宋体" w:cs="宋体"/>
          <w:kern w:val="0"/>
          <w:sz w:val="24"/>
          <w:lang w:val="zh-CN"/>
        </w:rPr>
        <w:t>将</w:t>
      </w:r>
      <w:r>
        <w:rPr>
          <w:rFonts w:hint="eastAsia" w:ascii="宋体" w:hAnsi="宋体" w:cs="宋体"/>
          <w:u w:val="single"/>
        </w:rPr>
        <w:t xml:space="preserve">   XX工作内容   </w:t>
      </w:r>
      <w:r>
        <w:rPr>
          <w:rFonts w:hint="eastAsia" w:ascii="宋体" w:hAnsi="宋体" w:cs="宋体"/>
          <w:sz w:val="24"/>
        </w:rPr>
        <w:t>分包给</w:t>
      </w:r>
      <w:r>
        <w:rPr>
          <w:rFonts w:hint="eastAsia" w:ascii="宋体" w:hAnsi="宋体" w:cs="宋体"/>
          <w:kern w:val="0"/>
          <w:sz w:val="24"/>
          <w:u w:val="single"/>
        </w:rPr>
        <w:t>（某分包供应商名称）</w:t>
      </w:r>
      <w:r>
        <w:rPr>
          <w:rFonts w:hint="eastAsia" w:ascii="宋体" w:hAnsi="宋体" w:cs="宋体"/>
          <w:kern w:val="0"/>
          <w:sz w:val="24"/>
          <w:lang w:val="zh-CN"/>
        </w:rPr>
        <w:t>，</w:t>
      </w:r>
      <w:r>
        <w:rPr>
          <w:rFonts w:hint="eastAsia" w:ascii="宋体" w:hAnsi="宋体" w:cs="宋体"/>
          <w:kern w:val="0"/>
          <w:sz w:val="24"/>
          <w:u w:val="single"/>
        </w:rPr>
        <w:t>（某分包供应商名称），</w:t>
      </w:r>
      <w:r>
        <w:rPr>
          <w:rFonts w:hint="eastAsia" w:ascii="宋体" w:hAnsi="宋体" w:cs="宋体"/>
          <w:kern w:val="0"/>
          <w:sz w:val="24"/>
          <w:lang w:val="zh-CN"/>
        </w:rPr>
        <w:t>具备承</w:t>
      </w:r>
      <w:r>
        <w:rPr>
          <w:rFonts w:hint="eastAsia" w:ascii="宋体" w:hAnsi="宋体" w:cs="宋体"/>
          <w:kern w:val="0"/>
          <w:sz w:val="24"/>
        </w:rPr>
        <w:t>担</w:t>
      </w:r>
      <w:r>
        <w:rPr>
          <w:rFonts w:hint="eastAsia" w:ascii="宋体" w:hAnsi="宋体" w:cs="宋体"/>
          <w:kern w:val="0"/>
          <w:sz w:val="24"/>
          <w:u w:val="single"/>
          <w:lang w:val="zh-CN"/>
        </w:rPr>
        <w:t>XX工作内容</w:t>
      </w:r>
      <w:r>
        <w:rPr>
          <w:rFonts w:hint="eastAsia" w:ascii="宋体" w:hAnsi="宋体" w:cs="宋体"/>
          <w:kern w:val="0"/>
          <w:sz w:val="24"/>
          <w:lang w:val="zh-CN"/>
        </w:rPr>
        <w:t>相应资质条件且不得再次分包；</w:t>
      </w:r>
    </w:p>
    <w:p w14:paraId="6E7EB8FA">
      <w:pPr>
        <w:pStyle w:val="3"/>
        <w:ind w:left="664" w:leftChars="316" w:firstLine="229" w:firstLineChars="95"/>
        <w:rPr>
          <w:rFonts w:ascii="宋体" w:hAnsi="宋体" w:eastAsia="宋体" w:cs="宋体"/>
        </w:rPr>
      </w:pPr>
      <w:r>
        <w:rPr>
          <w:rFonts w:hint="eastAsia" w:ascii="宋体" w:hAnsi="宋体" w:eastAsia="宋体" w:cs="宋体"/>
          <w:kern w:val="0"/>
          <w:sz w:val="24"/>
          <w:szCs w:val="24"/>
        </w:rPr>
        <w:t>……</w:t>
      </w:r>
    </w:p>
    <w:p w14:paraId="52A7D62C">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二、分包工作履行期限、地点、方式</w:t>
      </w:r>
    </w:p>
    <w:p w14:paraId="13FB87FF">
      <w:pPr>
        <w:snapToGrid w:val="0"/>
        <w:spacing w:line="360" w:lineRule="auto"/>
        <w:ind w:firstLine="576"/>
        <w:rPr>
          <w:rFonts w:ascii="宋体" w:hAnsi="宋体" w:cs="宋体"/>
          <w:u w:val="single"/>
        </w:rPr>
      </w:pPr>
    </w:p>
    <w:p w14:paraId="3F16B1AB">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三、质量</w:t>
      </w:r>
    </w:p>
    <w:p w14:paraId="6B8CAE74">
      <w:pPr>
        <w:snapToGrid w:val="0"/>
        <w:spacing w:line="360" w:lineRule="auto"/>
        <w:ind w:firstLine="576"/>
        <w:rPr>
          <w:rFonts w:ascii="宋体" w:hAnsi="宋体" w:cs="宋体"/>
          <w:kern w:val="0"/>
          <w:sz w:val="24"/>
          <w:lang w:val="zh-CN"/>
        </w:rPr>
      </w:pPr>
    </w:p>
    <w:p w14:paraId="67462837">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四、价款或者报酬</w:t>
      </w:r>
    </w:p>
    <w:p w14:paraId="4155611A">
      <w:pPr>
        <w:snapToGrid w:val="0"/>
        <w:spacing w:line="360" w:lineRule="auto"/>
        <w:ind w:left="573" w:leftChars="273"/>
        <w:rPr>
          <w:rFonts w:ascii="宋体" w:hAnsi="宋体" w:cs="宋体"/>
          <w:kern w:val="0"/>
          <w:sz w:val="24"/>
          <w:lang w:val="zh-CN"/>
        </w:rPr>
      </w:pPr>
    </w:p>
    <w:p w14:paraId="5AC05742">
      <w:pPr>
        <w:snapToGrid w:val="0"/>
        <w:spacing w:line="360" w:lineRule="auto"/>
        <w:ind w:left="573" w:leftChars="273"/>
        <w:rPr>
          <w:rFonts w:ascii="宋体" w:hAnsi="宋体" w:cs="宋体"/>
          <w:kern w:val="0"/>
          <w:sz w:val="24"/>
          <w:lang w:val="zh-CN"/>
        </w:rPr>
      </w:pPr>
      <w:r>
        <w:rPr>
          <w:rFonts w:hint="eastAsia" w:ascii="宋体" w:hAnsi="宋体" w:cs="宋体"/>
          <w:kern w:val="0"/>
          <w:sz w:val="24"/>
          <w:lang w:val="zh-CN"/>
        </w:rPr>
        <w:t>五、违约责任</w:t>
      </w:r>
    </w:p>
    <w:p w14:paraId="5275BF70">
      <w:pPr>
        <w:snapToGrid w:val="0"/>
        <w:spacing w:line="360" w:lineRule="auto"/>
        <w:ind w:firstLine="576"/>
        <w:rPr>
          <w:rFonts w:ascii="宋体" w:hAnsi="宋体" w:cs="宋体"/>
          <w:kern w:val="0"/>
          <w:sz w:val="24"/>
          <w:lang w:val="zh-CN"/>
        </w:rPr>
      </w:pPr>
    </w:p>
    <w:p w14:paraId="2F37FF8F">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六、争议解决的办法</w:t>
      </w:r>
    </w:p>
    <w:p w14:paraId="407808A5">
      <w:pPr>
        <w:snapToGrid w:val="0"/>
        <w:spacing w:line="360" w:lineRule="auto"/>
        <w:ind w:firstLine="576"/>
        <w:rPr>
          <w:rFonts w:ascii="宋体" w:hAnsi="宋体" w:cs="宋体"/>
          <w:kern w:val="0"/>
          <w:sz w:val="24"/>
          <w:lang w:val="zh-CN"/>
        </w:rPr>
      </w:pPr>
    </w:p>
    <w:p w14:paraId="66DB4F21">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七、其他</w:t>
      </w:r>
    </w:p>
    <w:p w14:paraId="5BF58F44">
      <w:pPr>
        <w:snapToGrid w:val="0"/>
        <w:spacing w:line="420" w:lineRule="exact"/>
        <w:ind w:firstLine="578"/>
        <w:rPr>
          <w:rFonts w:ascii="宋体" w:hAnsi="宋体" w:cs="宋体"/>
          <w:b/>
          <w:color w:val="FF0000"/>
          <w:kern w:val="0"/>
          <w:sz w:val="24"/>
          <w:lang w:val="zh-CN"/>
        </w:rPr>
      </w:pPr>
      <w:r>
        <w:rPr>
          <w:rFonts w:hint="eastAsia" w:ascii="宋体" w:hAnsi="宋体" w:cs="宋体"/>
          <w:kern w:val="0"/>
          <w:sz w:val="24"/>
          <w:u w:val="single"/>
        </w:rPr>
        <w:t>（分包供应商名称）提供的货物全部由小微企业制造，</w:t>
      </w:r>
      <w:r>
        <w:rPr>
          <w:rFonts w:hint="eastAsia" w:ascii="宋体" w:hAnsi="宋体" w:cs="宋体"/>
          <w:kern w:val="0"/>
          <w:sz w:val="24"/>
        </w:rPr>
        <w:t>其合同份额占到合同总金额%以上</w:t>
      </w:r>
      <w:r>
        <w:rPr>
          <w:rFonts w:hint="eastAsia" w:ascii="宋体" w:hAnsi="宋体" w:cs="宋体"/>
        </w:rPr>
        <w:t>。</w:t>
      </w:r>
      <w:r>
        <w:rPr>
          <w:rFonts w:hint="eastAsia" w:ascii="宋体" w:hAnsi="宋体" w:cs="宋体"/>
          <w:b/>
          <w:kern w:val="0"/>
          <w:sz w:val="24"/>
          <w:lang w:val="zh-CN"/>
        </w:rPr>
        <w:t>（未预留份额专门面向中小企业采购的采购项目，以及预留份额中的非预留部分采购包，允许分包的，分包供应商提供的货物全部由小微企业制造，且其合同份额占到合同总金额 30%以上的，对大中型企业的报价给予</w:t>
      </w:r>
      <w:r>
        <w:rPr>
          <w:rFonts w:hint="eastAsia" w:ascii="宋体" w:hAnsi="宋体" w:cs="宋体"/>
          <w:b/>
          <w:kern w:val="0"/>
          <w:sz w:val="24"/>
        </w:rPr>
        <w:t>6</w:t>
      </w:r>
      <w:r>
        <w:rPr>
          <w:rFonts w:hint="eastAsia" w:ascii="宋体" w:hAnsi="宋体" w:cs="宋体"/>
          <w:b/>
          <w:kern w:val="0"/>
          <w:sz w:val="24"/>
          <w:lang w:val="zh-CN"/>
        </w:rPr>
        <w:t>%的扣除）</w:t>
      </w:r>
    </w:p>
    <w:p w14:paraId="27F3F971">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投标人名称(电子签名)：</w:t>
      </w:r>
    </w:p>
    <w:p w14:paraId="3492A597">
      <w:pPr>
        <w:snapToGrid w:val="0"/>
        <w:spacing w:line="360" w:lineRule="auto"/>
        <w:ind w:firstLine="5640" w:firstLineChars="2350"/>
        <w:rPr>
          <w:rFonts w:ascii="宋体" w:hAnsi="宋体" w:cs="宋体"/>
          <w:kern w:val="0"/>
          <w:sz w:val="24"/>
          <w:lang w:val="zh-CN"/>
        </w:rPr>
      </w:pPr>
      <w:r>
        <w:rPr>
          <w:rFonts w:hint="eastAsia" w:ascii="宋体" w:hAnsi="宋体" w:cs="宋体"/>
          <w:kern w:val="0"/>
          <w:sz w:val="24"/>
          <w:lang w:val="zh-CN"/>
        </w:rPr>
        <w:t>分包供应商名称：</w:t>
      </w:r>
    </w:p>
    <w:p w14:paraId="384CC902">
      <w:pPr>
        <w:snapToGrid w:val="0"/>
        <w:spacing w:line="360" w:lineRule="auto"/>
        <w:ind w:firstLine="5760" w:firstLineChars="2400"/>
        <w:rPr>
          <w:rFonts w:ascii="宋体" w:hAnsi="宋体" w:cs="宋体"/>
        </w:rPr>
      </w:pPr>
      <w:r>
        <w:rPr>
          <w:rFonts w:hint="eastAsia" w:ascii="宋体" w:hAnsi="宋体" w:cs="宋体"/>
          <w:kern w:val="0"/>
          <w:sz w:val="24"/>
          <w:lang w:val="zh-CN"/>
        </w:rPr>
        <w:t>……</w:t>
      </w:r>
    </w:p>
    <w:p w14:paraId="517C3A27">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日期：  年  月   日</w:t>
      </w:r>
    </w:p>
    <w:p w14:paraId="611850DA">
      <w:pPr>
        <w:spacing w:line="360" w:lineRule="auto"/>
        <w:jc w:val="center"/>
        <w:rPr>
          <w:rFonts w:ascii="宋体" w:hAnsi="宋体" w:cs="宋体"/>
          <w:b/>
          <w:kern w:val="0"/>
          <w:sz w:val="32"/>
          <w:szCs w:val="32"/>
        </w:rPr>
      </w:pPr>
    </w:p>
    <w:p w14:paraId="4FC3A5DD">
      <w:pPr>
        <w:spacing w:line="360" w:lineRule="auto"/>
        <w:jc w:val="center"/>
        <w:rPr>
          <w:rFonts w:ascii="宋体" w:hAnsi="宋体" w:cs="宋体"/>
          <w:b/>
          <w:kern w:val="0"/>
          <w:sz w:val="32"/>
          <w:szCs w:val="32"/>
        </w:rPr>
      </w:pPr>
      <w:r>
        <w:rPr>
          <w:rFonts w:hint="eastAsia" w:ascii="宋体" w:hAnsi="宋体" w:cs="宋体"/>
          <w:b/>
          <w:kern w:val="0"/>
          <w:sz w:val="32"/>
          <w:szCs w:val="32"/>
        </w:rPr>
        <w:t>五、符合性审查资料</w:t>
      </w:r>
    </w:p>
    <w:tbl>
      <w:tblPr>
        <w:tblStyle w:val="64"/>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3714"/>
      </w:tblGrid>
      <w:tr w14:paraId="452A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46" w:type="dxa"/>
            <w:vAlign w:val="center"/>
          </w:tcPr>
          <w:p w14:paraId="08E5223F">
            <w:pPr>
              <w:snapToGrid w:val="0"/>
              <w:spacing w:line="420" w:lineRule="exact"/>
              <w:jc w:val="center"/>
              <w:rPr>
                <w:rFonts w:ascii="宋体" w:hAnsi="宋体" w:cs="宋体"/>
                <w:b/>
                <w:sz w:val="24"/>
              </w:rPr>
            </w:pPr>
            <w:r>
              <w:rPr>
                <w:rFonts w:hint="eastAsia" w:ascii="宋体" w:hAnsi="宋体" w:cs="宋体"/>
                <w:b/>
                <w:sz w:val="24"/>
              </w:rPr>
              <w:t>序号</w:t>
            </w:r>
          </w:p>
        </w:tc>
        <w:tc>
          <w:tcPr>
            <w:tcW w:w="4991" w:type="dxa"/>
            <w:vAlign w:val="center"/>
          </w:tcPr>
          <w:p w14:paraId="56003E04">
            <w:pPr>
              <w:snapToGrid w:val="0"/>
              <w:spacing w:line="420" w:lineRule="exact"/>
              <w:jc w:val="center"/>
              <w:rPr>
                <w:rFonts w:ascii="宋体" w:hAnsi="宋体" w:cs="宋体"/>
                <w:b/>
                <w:sz w:val="24"/>
              </w:rPr>
            </w:pPr>
            <w:r>
              <w:rPr>
                <w:rFonts w:hint="eastAsia" w:ascii="宋体" w:hAnsi="宋体" w:cs="宋体"/>
                <w:b/>
                <w:sz w:val="24"/>
              </w:rPr>
              <w:t>实质性要求</w:t>
            </w:r>
          </w:p>
        </w:tc>
        <w:tc>
          <w:tcPr>
            <w:tcW w:w="3714" w:type="dxa"/>
            <w:vAlign w:val="center"/>
          </w:tcPr>
          <w:p w14:paraId="5BA8A5E7">
            <w:pPr>
              <w:snapToGrid w:val="0"/>
              <w:spacing w:line="420" w:lineRule="exact"/>
              <w:jc w:val="center"/>
              <w:rPr>
                <w:rFonts w:ascii="宋体" w:hAnsi="宋体" w:cs="宋体"/>
                <w:b/>
                <w:sz w:val="24"/>
              </w:rPr>
            </w:pPr>
            <w:r>
              <w:rPr>
                <w:rFonts w:hint="eastAsia" w:ascii="宋体" w:hAnsi="宋体" w:cs="宋体"/>
                <w:b/>
                <w:sz w:val="24"/>
              </w:rPr>
              <w:t>需要提供的符合性审查资料</w:t>
            </w:r>
          </w:p>
        </w:tc>
      </w:tr>
      <w:tr w14:paraId="63047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14:paraId="75C74DDA">
            <w:pPr>
              <w:spacing w:line="420" w:lineRule="exact"/>
              <w:jc w:val="center"/>
              <w:rPr>
                <w:rFonts w:ascii="宋体" w:hAnsi="宋体" w:cs="宋体"/>
                <w:sz w:val="24"/>
              </w:rPr>
            </w:pPr>
            <w:r>
              <w:rPr>
                <w:rFonts w:hint="eastAsia" w:ascii="宋体" w:hAnsi="宋体" w:cs="宋体"/>
                <w:sz w:val="24"/>
              </w:rPr>
              <w:t>1</w:t>
            </w:r>
          </w:p>
        </w:tc>
        <w:tc>
          <w:tcPr>
            <w:tcW w:w="4991" w:type="dxa"/>
            <w:vAlign w:val="center"/>
          </w:tcPr>
          <w:p w14:paraId="144E9174">
            <w:pPr>
              <w:spacing w:line="420" w:lineRule="exact"/>
              <w:jc w:val="left"/>
              <w:rPr>
                <w:rFonts w:ascii="宋体" w:hAnsi="宋体" w:cs="宋体"/>
                <w:sz w:val="24"/>
              </w:rPr>
            </w:pPr>
            <w:r>
              <w:rPr>
                <w:rFonts w:hint="eastAsia" w:ascii="宋体" w:hAnsi="宋体" w:cs="宋体"/>
                <w:sz w:val="24"/>
              </w:rPr>
              <w:t>投标文件按照招标文件要求签署、盖章。</w:t>
            </w:r>
          </w:p>
        </w:tc>
        <w:tc>
          <w:tcPr>
            <w:tcW w:w="3714" w:type="dxa"/>
            <w:vAlign w:val="center"/>
          </w:tcPr>
          <w:p w14:paraId="3CDD8244">
            <w:pPr>
              <w:spacing w:line="420" w:lineRule="exact"/>
              <w:jc w:val="left"/>
              <w:rPr>
                <w:rFonts w:ascii="宋体" w:hAnsi="宋体" w:cs="宋体"/>
                <w:sz w:val="24"/>
              </w:rPr>
            </w:pPr>
            <w:r>
              <w:rPr>
                <w:rFonts w:hint="eastAsia" w:ascii="宋体" w:hAnsi="宋体" w:cs="宋体"/>
                <w:sz w:val="24"/>
              </w:rPr>
              <w:t>需要使用电子签名或者签字盖章的投标文件的组成部分</w:t>
            </w:r>
          </w:p>
        </w:tc>
      </w:tr>
      <w:tr w14:paraId="681C7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14:paraId="0C005644">
            <w:pPr>
              <w:spacing w:line="420" w:lineRule="exact"/>
              <w:jc w:val="center"/>
              <w:rPr>
                <w:rFonts w:ascii="宋体" w:hAnsi="宋体" w:cs="宋体"/>
                <w:sz w:val="24"/>
              </w:rPr>
            </w:pPr>
            <w:r>
              <w:rPr>
                <w:rFonts w:hint="eastAsia" w:ascii="宋体" w:hAnsi="宋体" w:cs="宋体"/>
                <w:sz w:val="24"/>
              </w:rPr>
              <w:t>2</w:t>
            </w:r>
          </w:p>
        </w:tc>
        <w:tc>
          <w:tcPr>
            <w:tcW w:w="4991" w:type="dxa"/>
            <w:vAlign w:val="center"/>
          </w:tcPr>
          <w:p w14:paraId="1BF018A1">
            <w:pPr>
              <w:spacing w:line="420" w:lineRule="exact"/>
              <w:jc w:val="left"/>
              <w:rPr>
                <w:rFonts w:ascii="宋体" w:hAnsi="宋体" w:cs="宋体"/>
                <w:sz w:val="24"/>
              </w:rPr>
            </w:pPr>
            <w:r>
              <w:rPr>
                <w:rFonts w:hint="eastAsia" w:ascii="宋体" w:hAnsi="宋体" w:cs="宋体"/>
                <w:sz w:val="24"/>
              </w:rPr>
              <w:t>采购人拟采购的产品属于政府强制采购的节能产品品目清单范围的，投标人按招标文件要求提供国家确定的认证机构出具的、处于有效期之内的节能产品认证证书。</w:t>
            </w:r>
          </w:p>
        </w:tc>
        <w:tc>
          <w:tcPr>
            <w:tcW w:w="3714" w:type="dxa"/>
            <w:vAlign w:val="center"/>
          </w:tcPr>
          <w:p w14:paraId="7D1F8E0D">
            <w:pPr>
              <w:spacing w:line="420" w:lineRule="exact"/>
              <w:jc w:val="left"/>
              <w:rPr>
                <w:rFonts w:ascii="宋体" w:hAnsi="宋体" w:cs="宋体"/>
                <w:sz w:val="24"/>
              </w:rPr>
            </w:pPr>
            <w:r>
              <w:rPr>
                <w:rFonts w:hint="eastAsia" w:ascii="宋体" w:hAnsi="宋体" w:cs="宋体"/>
                <w:sz w:val="24"/>
              </w:rPr>
              <w:t>节能产品认证证书（本项目拟采购的产品不属于政府强制采购的节能产品品目清单范围的，无需提供）</w:t>
            </w:r>
          </w:p>
        </w:tc>
      </w:tr>
      <w:tr w14:paraId="32AED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14:paraId="1AE6EF6B">
            <w:pPr>
              <w:spacing w:line="420" w:lineRule="exact"/>
              <w:jc w:val="center"/>
              <w:rPr>
                <w:rFonts w:ascii="宋体" w:hAnsi="宋体" w:cs="宋体"/>
                <w:sz w:val="24"/>
              </w:rPr>
            </w:pPr>
            <w:r>
              <w:rPr>
                <w:rFonts w:hint="eastAsia" w:ascii="宋体" w:hAnsi="宋体" w:cs="宋体"/>
                <w:sz w:val="24"/>
              </w:rPr>
              <w:t>3</w:t>
            </w:r>
          </w:p>
        </w:tc>
        <w:tc>
          <w:tcPr>
            <w:tcW w:w="4991" w:type="dxa"/>
            <w:vAlign w:val="center"/>
          </w:tcPr>
          <w:p w14:paraId="7BD9C835">
            <w:pPr>
              <w:spacing w:line="420" w:lineRule="exact"/>
              <w:jc w:val="left"/>
              <w:rPr>
                <w:rFonts w:ascii="宋体" w:hAnsi="宋体" w:cs="宋体"/>
                <w:sz w:val="24"/>
              </w:rPr>
            </w:pPr>
            <w:r>
              <w:rPr>
                <w:rFonts w:hint="eastAsia" w:ascii="宋体" w:hAnsi="宋体" w:cs="宋体"/>
                <w:sz w:val="24"/>
              </w:rPr>
              <w:t>投标文件中承诺的投标有效期不少于招标文件中载明的投标有效期。</w:t>
            </w:r>
          </w:p>
        </w:tc>
        <w:tc>
          <w:tcPr>
            <w:tcW w:w="3714" w:type="dxa"/>
            <w:vAlign w:val="center"/>
          </w:tcPr>
          <w:p w14:paraId="6B6DB943">
            <w:pPr>
              <w:spacing w:line="420" w:lineRule="exact"/>
              <w:jc w:val="left"/>
              <w:rPr>
                <w:rFonts w:ascii="宋体" w:hAnsi="宋体" w:cs="宋体"/>
                <w:sz w:val="24"/>
              </w:rPr>
            </w:pPr>
            <w:r>
              <w:rPr>
                <w:rFonts w:hint="eastAsia" w:ascii="宋体" w:hAnsi="宋体" w:cs="宋体"/>
                <w:sz w:val="24"/>
              </w:rPr>
              <w:t>投标函</w:t>
            </w:r>
          </w:p>
        </w:tc>
      </w:tr>
      <w:tr w14:paraId="3013D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14:paraId="04C0D0B6">
            <w:pPr>
              <w:spacing w:line="420" w:lineRule="exact"/>
              <w:jc w:val="center"/>
              <w:rPr>
                <w:rFonts w:ascii="宋体" w:hAnsi="宋体" w:cs="宋体"/>
                <w:sz w:val="24"/>
              </w:rPr>
            </w:pPr>
            <w:r>
              <w:rPr>
                <w:rFonts w:hint="eastAsia" w:ascii="宋体" w:hAnsi="宋体" w:cs="宋体"/>
                <w:sz w:val="24"/>
              </w:rPr>
              <w:t>4</w:t>
            </w:r>
          </w:p>
        </w:tc>
        <w:tc>
          <w:tcPr>
            <w:tcW w:w="4991" w:type="dxa"/>
            <w:vAlign w:val="center"/>
          </w:tcPr>
          <w:p w14:paraId="2947D325">
            <w:pPr>
              <w:spacing w:line="420" w:lineRule="exact"/>
              <w:jc w:val="left"/>
              <w:rPr>
                <w:rFonts w:ascii="宋体" w:hAnsi="宋体" w:cs="宋体"/>
                <w:sz w:val="24"/>
              </w:rPr>
            </w:pPr>
            <w:r>
              <w:rPr>
                <w:rFonts w:hint="eastAsia" w:ascii="宋体" w:hAnsi="宋体" w:cs="宋体"/>
                <w:sz w:val="24"/>
              </w:rPr>
              <w:t>投标文件满足招标文件的其它实质性要求。</w:t>
            </w:r>
          </w:p>
        </w:tc>
        <w:tc>
          <w:tcPr>
            <w:tcW w:w="3714" w:type="dxa"/>
            <w:vAlign w:val="center"/>
          </w:tcPr>
          <w:p w14:paraId="2140CD12">
            <w:pPr>
              <w:spacing w:line="420" w:lineRule="exact"/>
              <w:jc w:val="left"/>
              <w:rPr>
                <w:rFonts w:ascii="宋体" w:hAnsi="宋体" w:cs="宋体"/>
                <w:sz w:val="24"/>
              </w:rPr>
            </w:pPr>
            <w:r>
              <w:rPr>
                <w:rFonts w:hint="eastAsia" w:ascii="宋体" w:hAnsi="宋体" w:cs="宋体"/>
                <w:sz w:val="24"/>
              </w:rPr>
              <w:t>招标文件其它实质性要求相应的材料（“★” 系指实质性要求条款，招标文件无其它实质性要求的，无需提供）</w:t>
            </w:r>
          </w:p>
        </w:tc>
      </w:tr>
    </w:tbl>
    <w:p w14:paraId="33CD280B">
      <w:pPr>
        <w:jc w:val="center"/>
        <w:rPr>
          <w:rFonts w:ascii="宋体" w:hAnsi="宋体" w:cs="宋体"/>
          <w:b/>
          <w:kern w:val="0"/>
          <w:sz w:val="32"/>
          <w:szCs w:val="32"/>
        </w:rPr>
      </w:pPr>
    </w:p>
    <w:p w14:paraId="7CCD4A4A">
      <w:pPr>
        <w:jc w:val="center"/>
        <w:rPr>
          <w:rFonts w:ascii="宋体" w:hAnsi="宋体" w:cs="宋体"/>
          <w:b/>
          <w:kern w:val="0"/>
          <w:sz w:val="32"/>
          <w:szCs w:val="32"/>
        </w:rPr>
      </w:pPr>
    </w:p>
    <w:p w14:paraId="35E204F0">
      <w:pPr>
        <w:jc w:val="center"/>
        <w:rPr>
          <w:rFonts w:ascii="宋体" w:hAnsi="宋体" w:cs="宋体"/>
          <w:b/>
          <w:kern w:val="0"/>
          <w:sz w:val="32"/>
          <w:szCs w:val="32"/>
        </w:rPr>
      </w:pPr>
    </w:p>
    <w:p w14:paraId="1D6725D7">
      <w:pPr>
        <w:jc w:val="center"/>
        <w:rPr>
          <w:rFonts w:ascii="宋体" w:hAnsi="宋体" w:cs="宋体"/>
          <w:b/>
          <w:kern w:val="0"/>
          <w:sz w:val="32"/>
          <w:szCs w:val="32"/>
        </w:rPr>
      </w:pPr>
    </w:p>
    <w:p w14:paraId="557095F3">
      <w:pPr>
        <w:jc w:val="center"/>
        <w:rPr>
          <w:rFonts w:ascii="宋体" w:hAnsi="宋体" w:cs="宋体"/>
          <w:b/>
          <w:kern w:val="0"/>
          <w:sz w:val="32"/>
          <w:szCs w:val="32"/>
        </w:rPr>
      </w:pPr>
    </w:p>
    <w:p w14:paraId="6CC87882">
      <w:pPr>
        <w:jc w:val="center"/>
        <w:rPr>
          <w:rFonts w:ascii="宋体" w:hAnsi="宋体" w:cs="宋体"/>
          <w:b/>
          <w:kern w:val="0"/>
          <w:sz w:val="32"/>
          <w:szCs w:val="32"/>
        </w:rPr>
      </w:pPr>
    </w:p>
    <w:p w14:paraId="77EEC975">
      <w:pPr>
        <w:jc w:val="center"/>
        <w:rPr>
          <w:rFonts w:ascii="宋体" w:hAnsi="宋体" w:cs="宋体"/>
          <w:b/>
          <w:kern w:val="0"/>
          <w:sz w:val="32"/>
          <w:szCs w:val="32"/>
        </w:rPr>
      </w:pPr>
    </w:p>
    <w:p w14:paraId="4D95E09F">
      <w:pPr>
        <w:tabs>
          <w:tab w:val="left" w:pos="2107"/>
          <w:tab w:val="center" w:pos="4594"/>
        </w:tabs>
        <w:spacing w:afterLines="100"/>
        <w:jc w:val="left"/>
        <w:rPr>
          <w:rFonts w:ascii="宋体" w:hAnsi="宋体" w:cs="宋体"/>
          <w:b/>
          <w:kern w:val="0"/>
          <w:sz w:val="32"/>
          <w:szCs w:val="32"/>
        </w:rPr>
      </w:pPr>
      <w:r>
        <w:rPr>
          <w:rFonts w:hint="eastAsia" w:ascii="宋体" w:hAnsi="宋体" w:cs="宋体"/>
          <w:b/>
          <w:kern w:val="0"/>
          <w:sz w:val="32"/>
          <w:szCs w:val="32"/>
        </w:rPr>
        <w:tab/>
      </w:r>
    </w:p>
    <w:p w14:paraId="11D57060">
      <w:pPr>
        <w:tabs>
          <w:tab w:val="left" w:pos="2107"/>
          <w:tab w:val="center" w:pos="4594"/>
        </w:tabs>
        <w:spacing w:afterLines="100"/>
        <w:jc w:val="left"/>
        <w:rPr>
          <w:rFonts w:ascii="宋体" w:hAnsi="宋体" w:cs="宋体"/>
          <w:b/>
          <w:kern w:val="0"/>
          <w:sz w:val="32"/>
          <w:szCs w:val="32"/>
        </w:rPr>
      </w:pPr>
    </w:p>
    <w:p w14:paraId="5732AB46">
      <w:pPr>
        <w:tabs>
          <w:tab w:val="left" w:pos="2107"/>
          <w:tab w:val="center" w:pos="4594"/>
        </w:tabs>
        <w:spacing w:afterLines="100"/>
        <w:jc w:val="left"/>
        <w:rPr>
          <w:rFonts w:ascii="宋体" w:hAnsi="宋体" w:cs="宋体"/>
          <w:b/>
          <w:kern w:val="0"/>
          <w:sz w:val="32"/>
          <w:szCs w:val="32"/>
        </w:rPr>
      </w:pPr>
    </w:p>
    <w:p w14:paraId="47675286">
      <w:pPr>
        <w:tabs>
          <w:tab w:val="left" w:pos="2107"/>
          <w:tab w:val="center" w:pos="4594"/>
        </w:tabs>
        <w:spacing w:afterLines="100"/>
        <w:jc w:val="left"/>
        <w:rPr>
          <w:rFonts w:ascii="宋体" w:hAnsi="宋体" w:cs="宋体"/>
          <w:b/>
          <w:kern w:val="0"/>
          <w:sz w:val="32"/>
          <w:szCs w:val="32"/>
        </w:rPr>
      </w:pPr>
    </w:p>
    <w:p w14:paraId="5C6FBAE9">
      <w:pPr>
        <w:tabs>
          <w:tab w:val="left" w:pos="2107"/>
          <w:tab w:val="center" w:pos="4594"/>
        </w:tabs>
        <w:spacing w:afterLines="100"/>
        <w:jc w:val="left"/>
        <w:rPr>
          <w:rFonts w:ascii="宋体" w:hAnsi="宋体" w:cs="宋体"/>
          <w:b/>
          <w:kern w:val="0"/>
          <w:sz w:val="32"/>
          <w:szCs w:val="32"/>
        </w:rPr>
      </w:pPr>
    </w:p>
    <w:p w14:paraId="2E0E6A48">
      <w:pPr>
        <w:tabs>
          <w:tab w:val="left" w:pos="2107"/>
          <w:tab w:val="center" w:pos="4594"/>
        </w:tabs>
        <w:spacing w:afterLines="100"/>
        <w:jc w:val="left"/>
        <w:rPr>
          <w:rFonts w:ascii="宋体" w:hAnsi="宋体" w:cs="宋体"/>
          <w:b/>
          <w:kern w:val="0"/>
          <w:sz w:val="32"/>
          <w:szCs w:val="32"/>
        </w:rPr>
      </w:pPr>
    </w:p>
    <w:p w14:paraId="43D131D3">
      <w:pPr>
        <w:tabs>
          <w:tab w:val="left" w:pos="2107"/>
          <w:tab w:val="center" w:pos="4594"/>
        </w:tabs>
        <w:spacing w:afterLines="100"/>
        <w:jc w:val="center"/>
        <w:rPr>
          <w:rFonts w:ascii="宋体" w:hAnsi="宋体" w:cs="宋体"/>
          <w:b/>
          <w:kern w:val="0"/>
          <w:sz w:val="32"/>
          <w:szCs w:val="32"/>
        </w:rPr>
      </w:pPr>
    </w:p>
    <w:p w14:paraId="3E207ED9">
      <w:pPr>
        <w:tabs>
          <w:tab w:val="left" w:pos="2107"/>
          <w:tab w:val="center" w:pos="4594"/>
        </w:tabs>
        <w:spacing w:afterLines="100"/>
        <w:jc w:val="center"/>
        <w:rPr>
          <w:rFonts w:ascii="宋体" w:hAnsi="宋体" w:cs="宋体"/>
        </w:rPr>
      </w:pPr>
      <w:r>
        <w:rPr>
          <w:rFonts w:hint="eastAsia" w:ascii="宋体" w:hAnsi="宋体" w:cs="宋体"/>
          <w:b/>
          <w:kern w:val="0"/>
          <w:sz w:val="32"/>
          <w:szCs w:val="32"/>
        </w:rPr>
        <w:t>六、评标标准相应的商务技术资料</w:t>
      </w:r>
    </w:p>
    <w:p w14:paraId="152ED2F7">
      <w:pPr>
        <w:snapToGrid w:val="0"/>
        <w:spacing w:line="420" w:lineRule="exact"/>
        <w:jc w:val="left"/>
        <w:rPr>
          <w:rFonts w:ascii="宋体" w:hAnsi="宋体" w:cs="宋体"/>
          <w:b/>
          <w:sz w:val="24"/>
        </w:rPr>
      </w:pPr>
      <w:r>
        <w:rPr>
          <w:rFonts w:hint="eastAsia" w:ascii="宋体" w:hAnsi="宋体" w:cs="宋体"/>
          <w:b/>
          <w:sz w:val="24"/>
        </w:rPr>
        <w:t>（按招标文件第四部分评标办法前附表中“投标文件中评标标准相应的商务技术资料目录”提供资料）</w:t>
      </w:r>
    </w:p>
    <w:p w14:paraId="586036B1">
      <w:pPr>
        <w:jc w:val="center"/>
        <w:rPr>
          <w:rFonts w:ascii="宋体" w:hAnsi="宋体" w:cs="宋体"/>
          <w:b/>
          <w:kern w:val="0"/>
          <w:sz w:val="32"/>
          <w:szCs w:val="32"/>
        </w:rPr>
      </w:pPr>
    </w:p>
    <w:p w14:paraId="121BAB7A">
      <w:pPr>
        <w:jc w:val="center"/>
        <w:rPr>
          <w:rFonts w:ascii="宋体" w:hAnsi="宋体" w:cs="宋体"/>
          <w:b/>
          <w:kern w:val="0"/>
          <w:sz w:val="32"/>
          <w:szCs w:val="32"/>
        </w:rPr>
      </w:pPr>
    </w:p>
    <w:p w14:paraId="7283D8A8">
      <w:pPr>
        <w:jc w:val="center"/>
        <w:rPr>
          <w:rFonts w:ascii="宋体" w:hAnsi="宋体" w:cs="宋体"/>
          <w:b/>
          <w:kern w:val="0"/>
          <w:sz w:val="32"/>
          <w:szCs w:val="32"/>
        </w:rPr>
      </w:pPr>
    </w:p>
    <w:p w14:paraId="41D7CEA0">
      <w:pPr>
        <w:jc w:val="center"/>
        <w:rPr>
          <w:rFonts w:ascii="宋体" w:hAnsi="宋体" w:cs="宋体"/>
          <w:b/>
          <w:kern w:val="0"/>
          <w:sz w:val="32"/>
          <w:szCs w:val="32"/>
        </w:rPr>
      </w:pPr>
    </w:p>
    <w:p w14:paraId="29B99DF7">
      <w:pPr>
        <w:jc w:val="center"/>
        <w:rPr>
          <w:rFonts w:ascii="宋体" w:hAnsi="宋体" w:cs="宋体"/>
          <w:b/>
          <w:kern w:val="0"/>
          <w:sz w:val="32"/>
          <w:szCs w:val="32"/>
        </w:rPr>
      </w:pPr>
    </w:p>
    <w:p w14:paraId="23E3014E">
      <w:pPr>
        <w:jc w:val="center"/>
        <w:rPr>
          <w:rFonts w:ascii="宋体" w:hAnsi="宋体" w:cs="宋体"/>
          <w:b/>
          <w:kern w:val="0"/>
          <w:sz w:val="32"/>
          <w:szCs w:val="32"/>
        </w:rPr>
      </w:pPr>
    </w:p>
    <w:p w14:paraId="669850AD">
      <w:pPr>
        <w:jc w:val="center"/>
        <w:rPr>
          <w:rFonts w:ascii="宋体" w:hAnsi="宋体" w:cs="宋体"/>
          <w:b/>
          <w:kern w:val="0"/>
          <w:sz w:val="32"/>
          <w:szCs w:val="32"/>
        </w:rPr>
      </w:pPr>
    </w:p>
    <w:p w14:paraId="2DD38620">
      <w:pPr>
        <w:jc w:val="center"/>
        <w:rPr>
          <w:rFonts w:ascii="宋体" w:hAnsi="宋体" w:cs="宋体"/>
          <w:b/>
          <w:kern w:val="0"/>
          <w:sz w:val="32"/>
          <w:szCs w:val="32"/>
        </w:rPr>
      </w:pPr>
    </w:p>
    <w:p w14:paraId="5FB2EF7B">
      <w:pPr>
        <w:jc w:val="center"/>
        <w:rPr>
          <w:rFonts w:ascii="宋体" w:hAnsi="宋体" w:cs="宋体"/>
          <w:b/>
          <w:kern w:val="0"/>
          <w:sz w:val="32"/>
          <w:szCs w:val="32"/>
        </w:rPr>
      </w:pPr>
    </w:p>
    <w:p w14:paraId="5CDB09AB">
      <w:pPr>
        <w:jc w:val="center"/>
        <w:rPr>
          <w:rFonts w:ascii="宋体" w:hAnsi="宋体" w:cs="宋体"/>
          <w:b/>
          <w:kern w:val="0"/>
          <w:sz w:val="32"/>
          <w:szCs w:val="32"/>
        </w:rPr>
      </w:pPr>
    </w:p>
    <w:p w14:paraId="316C8586">
      <w:pPr>
        <w:jc w:val="center"/>
        <w:rPr>
          <w:rFonts w:ascii="宋体" w:hAnsi="宋体" w:cs="宋体"/>
          <w:b/>
          <w:kern w:val="0"/>
          <w:sz w:val="32"/>
          <w:szCs w:val="32"/>
        </w:rPr>
      </w:pPr>
    </w:p>
    <w:p w14:paraId="6F529ECA">
      <w:pPr>
        <w:jc w:val="center"/>
        <w:rPr>
          <w:rFonts w:ascii="宋体" w:hAnsi="宋体" w:cs="宋体"/>
          <w:b/>
          <w:kern w:val="0"/>
          <w:sz w:val="32"/>
          <w:szCs w:val="32"/>
        </w:rPr>
      </w:pPr>
    </w:p>
    <w:p w14:paraId="78A45C53">
      <w:pPr>
        <w:jc w:val="center"/>
        <w:rPr>
          <w:rFonts w:ascii="宋体" w:hAnsi="宋体" w:cs="宋体"/>
          <w:b/>
          <w:kern w:val="0"/>
          <w:sz w:val="32"/>
          <w:szCs w:val="32"/>
        </w:rPr>
      </w:pPr>
    </w:p>
    <w:p w14:paraId="29341FC0">
      <w:pPr>
        <w:jc w:val="center"/>
        <w:rPr>
          <w:rFonts w:ascii="宋体" w:hAnsi="宋体" w:cs="宋体"/>
          <w:b/>
          <w:kern w:val="0"/>
          <w:sz w:val="32"/>
          <w:szCs w:val="32"/>
        </w:rPr>
      </w:pPr>
    </w:p>
    <w:p w14:paraId="415CD8D2">
      <w:pPr>
        <w:jc w:val="center"/>
        <w:rPr>
          <w:rFonts w:ascii="宋体" w:hAnsi="宋体" w:cs="宋体"/>
          <w:b/>
          <w:kern w:val="0"/>
          <w:sz w:val="32"/>
          <w:szCs w:val="32"/>
        </w:rPr>
      </w:pPr>
    </w:p>
    <w:p w14:paraId="66C91914">
      <w:pPr>
        <w:jc w:val="center"/>
        <w:rPr>
          <w:rFonts w:ascii="宋体" w:hAnsi="宋体" w:cs="宋体"/>
          <w:b/>
          <w:kern w:val="0"/>
          <w:sz w:val="32"/>
          <w:szCs w:val="32"/>
        </w:rPr>
      </w:pPr>
    </w:p>
    <w:p w14:paraId="742FFBD5">
      <w:pPr>
        <w:jc w:val="center"/>
        <w:rPr>
          <w:rFonts w:ascii="宋体" w:hAnsi="宋体" w:cs="宋体"/>
          <w:b/>
          <w:kern w:val="0"/>
          <w:sz w:val="32"/>
          <w:szCs w:val="32"/>
        </w:rPr>
      </w:pPr>
    </w:p>
    <w:p w14:paraId="0B9C474E">
      <w:pPr>
        <w:jc w:val="center"/>
        <w:rPr>
          <w:rFonts w:ascii="宋体" w:hAnsi="宋体" w:cs="宋体"/>
          <w:b/>
          <w:kern w:val="0"/>
          <w:sz w:val="32"/>
          <w:szCs w:val="32"/>
        </w:rPr>
      </w:pPr>
    </w:p>
    <w:p w14:paraId="4D9E2E47">
      <w:pPr>
        <w:jc w:val="center"/>
        <w:rPr>
          <w:rFonts w:ascii="宋体" w:hAnsi="宋体" w:cs="宋体"/>
          <w:b/>
          <w:kern w:val="0"/>
          <w:sz w:val="32"/>
          <w:szCs w:val="32"/>
        </w:rPr>
      </w:pPr>
    </w:p>
    <w:p w14:paraId="5DCA25AC">
      <w:pPr>
        <w:jc w:val="center"/>
        <w:rPr>
          <w:rFonts w:ascii="宋体" w:hAnsi="宋体" w:cs="宋体"/>
          <w:b/>
          <w:kern w:val="0"/>
          <w:sz w:val="32"/>
          <w:szCs w:val="32"/>
        </w:rPr>
      </w:pPr>
    </w:p>
    <w:p w14:paraId="38EC0AFC">
      <w:pPr>
        <w:jc w:val="center"/>
        <w:rPr>
          <w:rFonts w:ascii="宋体" w:hAnsi="宋体" w:cs="宋体"/>
          <w:b/>
          <w:kern w:val="0"/>
          <w:sz w:val="32"/>
          <w:szCs w:val="32"/>
        </w:rPr>
      </w:pPr>
    </w:p>
    <w:p w14:paraId="255DE42B">
      <w:pPr>
        <w:jc w:val="center"/>
        <w:rPr>
          <w:rFonts w:ascii="宋体" w:hAnsi="宋体" w:cs="宋体"/>
          <w:b/>
          <w:kern w:val="0"/>
          <w:sz w:val="32"/>
          <w:szCs w:val="32"/>
        </w:rPr>
      </w:pPr>
    </w:p>
    <w:p w14:paraId="51F500AD">
      <w:pPr>
        <w:spacing w:afterLines="150"/>
        <w:jc w:val="center"/>
        <w:rPr>
          <w:rFonts w:ascii="宋体" w:hAnsi="宋体" w:cs="宋体"/>
          <w:b/>
          <w:kern w:val="0"/>
          <w:sz w:val="32"/>
          <w:szCs w:val="32"/>
        </w:rPr>
      </w:pPr>
    </w:p>
    <w:p w14:paraId="6FE02113">
      <w:pPr>
        <w:spacing w:afterLines="150"/>
        <w:jc w:val="center"/>
        <w:rPr>
          <w:rFonts w:ascii="宋体" w:hAnsi="宋体" w:cs="宋体"/>
          <w:b/>
          <w:kern w:val="0"/>
          <w:sz w:val="32"/>
          <w:szCs w:val="32"/>
        </w:rPr>
      </w:pPr>
    </w:p>
    <w:p w14:paraId="2A8AF8E7">
      <w:pPr>
        <w:spacing w:afterLines="150"/>
        <w:jc w:val="center"/>
        <w:rPr>
          <w:rFonts w:ascii="宋体" w:hAnsi="宋体" w:cs="宋体"/>
          <w:b/>
          <w:kern w:val="0"/>
          <w:sz w:val="32"/>
          <w:szCs w:val="32"/>
        </w:rPr>
      </w:pPr>
    </w:p>
    <w:p w14:paraId="540ECB15">
      <w:pPr>
        <w:spacing w:afterLines="150"/>
        <w:jc w:val="center"/>
        <w:rPr>
          <w:rFonts w:ascii="宋体" w:hAnsi="宋体" w:cs="宋体"/>
          <w:b/>
          <w:kern w:val="0"/>
          <w:sz w:val="32"/>
          <w:szCs w:val="32"/>
        </w:rPr>
      </w:pPr>
    </w:p>
    <w:p w14:paraId="6AB2CF4E">
      <w:pPr>
        <w:spacing w:afterLines="150"/>
        <w:jc w:val="center"/>
        <w:rPr>
          <w:rFonts w:ascii="宋体" w:hAnsi="宋体" w:cs="宋体"/>
          <w:b/>
          <w:kern w:val="0"/>
          <w:sz w:val="32"/>
          <w:szCs w:val="32"/>
        </w:rPr>
      </w:pPr>
      <w:r>
        <w:rPr>
          <w:rFonts w:hint="eastAsia" w:ascii="宋体" w:hAnsi="宋体" w:cs="宋体"/>
          <w:b/>
          <w:kern w:val="0"/>
          <w:sz w:val="32"/>
          <w:szCs w:val="32"/>
        </w:rPr>
        <w:t>七、商务技术偏离表</w:t>
      </w:r>
    </w:p>
    <w:tbl>
      <w:tblPr>
        <w:tblStyle w:val="64"/>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289"/>
        <w:gridCol w:w="3940"/>
        <w:gridCol w:w="1276"/>
      </w:tblGrid>
      <w:tr w14:paraId="07F6D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CFDCF97">
            <w:pPr>
              <w:spacing w:line="420" w:lineRule="exact"/>
              <w:jc w:val="center"/>
              <w:rPr>
                <w:rFonts w:ascii="宋体" w:hAnsi="宋体" w:cs="宋体"/>
                <w:b/>
                <w:bCs/>
                <w:sz w:val="24"/>
              </w:rPr>
            </w:pPr>
            <w:r>
              <w:rPr>
                <w:rFonts w:hint="eastAsia" w:ascii="宋体" w:hAnsi="宋体" w:cs="宋体"/>
                <w:b/>
                <w:bCs/>
                <w:sz w:val="24"/>
              </w:rPr>
              <w:t>序号</w:t>
            </w:r>
          </w:p>
        </w:tc>
        <w:tc>
          <w:tcPr>
            <w:tcW w:w="3289" w:type="dxa"/>
          </w:tcPr>
          <w:p w14:paraId="0F69277F">
            <w:pPr>
              <w:spacing w:line="420" w:lineRule="exact"/>
              <w:jc w:val="center"/>
              <w:rPr>
                <w:rFonts w:ascii="宋体" w:hAnsi="宋体" w:cs="宋体"/>
                <w:b/>
                <w:bCs/>
                <w:sz w:val="24"/>
              </w:rPr>
            </w:pPr>
            <w:r>
              <w:rPr>
                <w:rFonts w:hint="eastAsia" w:ascii="宋体" w:hAnsi="宋体" w:cs="宋体"/>
                <w:b/>
                <w:bCs/>
                <w:sz w:val="24"/>
              </w:rPr>
              <w:t>招标文件章节及具体内容</w:t>
            </w:r>
          </w:p>
        </w:tc>
        <w:tc>
          <w:tcPr>
            <w:tcW w:w="3940" w:type="dxa"/>
          </w:tcPr>
          <w:p w14:paraId="09B34C2E">
            <w:pPr>
              <w:spacing w:line="420" w:lineRule="exact"/>
              <w:jc w:val="center"/>
              <w:rPr>
                <w:rFonts w:ascii="宋体" w:hAnsi="宋体" w:cs="宋体"/>
                <w:b/>
                <w:bCs/>
                <w:sz w:val="24"/>
              </w:rPr>
            </w:pPr>
            <w:r>
              <w:rPr>
                <w:rFonts w:hint="eastAsia" w:ascii="宋体" w:hAnsi="宋体" w:cs="宋体"/>
                <w:b/>
                <w:bCs/>
                <w:sz w:val="24"/>
              </w:rPr>
              <w:t>投标文件章节（页码）及具体内容</w:t>
            </w:r>
          </w:p>
        </w:tc>
        <w:tc>
          <w:tcPr>
            <w:tcW w:w="1276" w:type="dxa"/>
          </w:tcPr>
          <w:p w14:paraId="203B0734">
            <w:pPr>
              <w:spacing w:line="420" w:lineRule="exact"/>
              <w:jc w:val="center"/>
              <w:rPr>
                <w:rFonts w:ascii="宋体" w:hAnsi="宋体" w:cs="宋体"/>
                <w:b/>
                <w:bCs/>
                <w:sz w:val="24"/>
              </w:rPr>
            </w:pPr>
            <w:r>
              <w:rPr>
                <w:rFonts w:hint="eastAsia" w:ascii="宋体" w:hAnsi="宋体" w:cs="宋体"/>
                <w:b/>
                <w:bCs/>
                <w:sz w:val="24"/>
              </w:rPr>
              <w:t>偏离说明</w:t>
            </w:r>
          </w:p>
        </w:tc>
      </w:tr>
      <w:tr w14:paraId="5C104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3CD4999">
            <w:pPr>
              <w:spacing w:line="420" w:lineRule="exact"/>
              <w:jc w:val="center"/>
              <w:rPr>
                <w:rFonts w:ascii="宋体" w:hAnsi="宋体" w:cs="宋体"/>
                <w:kern w:val="0"/>
                <w:sz w:val="24"/>
              </w:rPr>
            </w:pPr>
            <w:r>
              <w:rPr>
                <w:rFonts w:hint="eastAsia" w:ascii="宋体" w:hAnsi="宋体" w:cs="宋体"/>
                <w:kern w:val="0"/>
                <w:sz w:val="24"/>
              </w:rPr>
              <w:t>1</w:t>
            </w:r>
          </w:p>
        </w:tc>
        <w:tc>
          <w:tcPr>
            <w:tcW w:w="3289" w:type="dxa"/>
          </w:tcPr>
          <w:p w14:paraId="60A6E2B0">
            <w:pPr>
              <w:spacing w:line="420" w:lineRule="exact"/>
              <w:jc w:val="center"/>
              <w:rPr>
                <w:rFonts w:ascii="宋体" w:hAnsi="宋体" w:cs="宋体"/>
                <w:b/>
                <w:kern w:val="0"/>
                <w:sz w:val="32"/>
                <w:szCs w:val="32"/>
              </w:rPr>
            </w:pPr>
          </w:p>
        </w:tc>
        <w:tc>
          <w:tcPr>
            <w:tcW w:w="3940" w:type="dxa"/>
          </w:tcPr>
          <w:p w14:paraId="14718544">
            <w:pPr>
              <w:spacing w:line="420" w:lineRule="exact"/>
              <w:jc w:val="center"/>
              <w:rPr>
                <w:rFonts w:ascii="宋体" w:hAnsi="宋体" w:cs="宋体"/>
                <w:b/>
                <w:kern w:val="0"/>
                <w:sz w:val="32"/>
                <w:szCs w:val="32"/>
              </w:rPr>
            </w:pPr>
          </w:p>
        </w:tc>
        <w:tc>
          <w:tcPr>
            <w:tcW w:w="1276" w:type="dxa"/>
          </w:tcPr>
          <w:p w14:paraId="116DB57A">
            <w:pPr>
              <w:spacing w:line="420" w:lineRule="exact"/>
              <w:jc w:val="center"/>
              <w:rPr>
                <w:rFonts w:ascii="宋体" w:hAnsi="宋体" w:cs="宋体"/>
                <w:b/>
                <w:kern w:val="0"/>
                <w:sz w:val="32"/>
                <w:szCs w:val="32"/>
              </w:rPr>
            </w:pPr>
          </w:p>
        </w:tc>
      </w:tr>
      <w:tr w14:paraId="60FC6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B577538">
            <w:pPr>
              <w:spacing w:line="420" w:lineRule="exact"/>
              <w:jc w:val="center"/>
              <w:rPr>
                <w:rFonts w:ascii="宋体" w:hAnsi="宋体" w:cs="宋体"/>
                <w:kern w:val="0"/>
                <w:sz w:val="24"/>
              </w:rPr>
            </w:pPr>
            <w:r>
              <w:rPr>
                <w:rFonts w:hint="eastAsia" w:ascii="宋体" w:hAnsi="宋体" w:cs="宋体"/>
                <w:kern w:val="0"/>
                <w:sz w:val="24"/>
              </w:rPr>
              <w:t>2</w:t>
            </w:r>
          </w:p>
        </w:tc>
        <w:tc>
          <w:tcPr>
            <w:tcW w:w="3289" w:type="dxa"/>
          </w:tcPr>
          <w:p w14:paraId="775265F6">
            <w:pPr>
              <w:spacing w:line="420" w:lineRule="exact"/>
              <w:jc w:val="center"/>
              <w:rPr>
                <w:rFonts w:ascii="宋体" w:hAnsi="宋体" w:cs="宋体"/>
                <w:b/>
                <w:kern w:val="0"/>
                <w:sz w:val="32"/>
                <w:szCs w:val="32"/>
              </w:rPr>
            </w:pPr>
          </w:p>
        </w:tc>
        <w:tc>
          <w:tcPr>
            <w:tcW w:w="3940" w:type="dxa"/>
          </w:tcPr>
          <w:p w14:paraId="1093135E">
            <w:pPr>
              <w:spacing w:line="420" w:lineRule="exact"/>
              <w:jc w:val="center"/>
              <w:rPr>
                <w:rFonts w:ascii="宋体" w:hAnsi="宋体" w:cs="宋体"/>
                <w:b/>
                <w:kern w:val="0"/>
                <w:sz w:val="32"/>
                <w:szCs w:val="32"/>
              </w:rPr>
            </w:pPr>
          </w:p>
        </w:tc>
        <w:tc>
          <w:tcPr>
            <w:tcW w:w="1276" w:type="dxa"/>
          </w:tcPr>
          <w:p w14:paraId="1AE4787A">
            <w:pPr>
              <w:spacing w:line="420" w:lineRule="exact"/>
              <w:jc w:val="center"/>
              <w:rPr>
                <w:rFonts w:ascii="宋体" w:hAnsi="宋体" w:cs="宋体"/>
                <w:b/>
                <w:kern w:val="0"/>
                <w:sz w:val="32"/>
                <w:szCs w:val="32"/>
              </w:rPr>
            </w:pPr>
          </w:p>
        </w:tc>
      </w:tr>
      <w:tr w14:paraId="20543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6D0A6FF">
            <w:pPr>
              <w:spacing w:line="420" w:lineRule="exact"/>
              <w:jc w:val="center"/>
              <w:rPr>
                <w:rFonts w:ascii="宋体" w:hAnsi="宋体" w:cs="宋体"/>
                <w:kern w:val="0"/>
                <w:sz w:val="24"/>
              </w:rPr>
            </w:pPr>
            <w:r>
              <w:rPr>
                <w:rFonts w:hint="eastAsia" w:ascii="宋体" w:hAnsi="宋体" w:cs="宋体"/>
                <w:kern w:val="0"/>
                <w:sz w:val="24"/>
              </w:rPr>
              <w:t>……</w:t>
            </w:r>
          </w:p>
        </w:tc>
        <w:tc>
          <w:tcPr>
            <w:tcW w:w="3289" w:type="dxa"/>
          </w:tcPr>
          <w:p w14:paraId="3DB161A4">
            <w:pPr>
              <w:spacing w:line="420" w:lineRule="exact"/>
              <w:jc w:val="center"/>
              <w:rPr>
                <w:rFonts w:ascii="宋体" w:hAnsi="宋体" w:cs="宋体"/>
                <w:b/>
                <w:kern w:val="0"/>
                <w:sz w:val="32"/>
                <w:szCs w:val="32"/>
              </w:rPr>
            </w:pPr>
          </w:p>
        </w:tc>
        <w:tc>
          <w:tcPr>
            <w:tcW w:w="3940" w:type="dxa"/>
          </w:tcPr>
          <w:p w14:paraId="2A0CD535">
            <w:pPr>
              <w:spacing w:line="420" w:lineRule="exact"/>
              <w:jc w:val="center"/>
              <w:rPr>
                <w:rFonts w:ascii="宋体" w:hAnsi="宋体" w:cs="宋体"/>
                <w:b/>
                <w:kern w:val="0"/>
                <w:sz w:val="32"/>
                <w:szCs w:val="32"/>
              </w:rPr>
            </w:pPr>
          </w:p>
        </w:tc>
        <w:tc>
          <w:tcPr>
            <w:tcW w:w="1276" w:type="dxa"/>
          </w:tcPr>
          <w:p w14:paraId="0566855E">
            <w:pPr>
              <w:spacing w:line="420" w:lineRule="exact"/>
              <w:jc w:val="center"/>
              <w:rPr>
                <w:rFonts w:ascii="宋体" w:hAnsi="宋体" w:cs="宋体"/>
                <w:b/>
                <w:kern w:val="0"/>
                <w:sz w:val="32"/>
                <w:szCs w:val="32"/>
              </w:rPr>
            </w:pPr>
          </w:p>
        </w:tc>
      </w:tr>
    </w:tbl>
    <w:p w14:paraId="0A797D4B">
      <w:pPr>
        <w:pStyle w:val="34"/>
        <w:spacing w:line="420" w:lineRule="exact"/>
        <w:rPr>
          <w:rFonts w:hAnsi="宋体" w:cs="宋体"/>
          <w:kern w:val="0"/>
          <w:sz w:val="24"/>
          <w:szCs w:val="24"/>
        </w:rPr>
      </w:pPr>
      <w:r>
        <w:rPr>
          <w:rFonts w:hint="eastAsia" w:hAnsi="宋体" w:cs="宋体"/>
          <w:kern w:val="0"/>
          <w:sz w:val="24"/>
          <w:szCs w:val="24"/>
        </w:rPr>
        <w:t>注：</w:t>
      </w:r>
    </w:p>
    <w:p w14:paraId="791432C8">
      <w:pPr>
        <w:pStyle w:val="34"/>
        <w:spacing w:line="420" w:lineRule="exact"/>
        <w:ind w:firstLine="480" w:firstLineChars="200"/>
        <w:rPr>
          <w:rFonts w:hAnsi="宋体" w:cs="宋体"/>
          <w:kern w:val="0"/>
          <w:sz w:val="24"/>
          <w:szCs w:val="24"/>
        </w:rPr>
      </w:pPr>
      <w:r>
        <w:rPr>
          <w:rFonts w:hint="eastAsia" w:hAnsi="宋体" w:cs="宋体"/>
          <w:kern w:val="0"/>
          <w:sz w:val="24"/>
          <w:szCs w:val="24"/>
        </w:rPr>
        <w:t>1、此表须与招标文件“采购需求”相应标项内的所有技术规格、商务条款（含技术、功能、配置、附加必备条件、售后服务、安装、验收、付款方式等）相比较且一一对应真实逐条填列，并在“偏离情况”栏注明“正偏离”、“负偏离”或“无偏离”。</w:t>
      </w:r>
    </w:p>
    <w:p w14:paraId="7CA0EE94">
      <w:pPr>
        <w:pStyle w:val="34"/>
        <w:spacing w:line="420" w:lineRule="exact"/>
        <w:ind w:firstLine="480" w:firstLineChars="200"/>
        <w:rPr>
          <w:rFonts w:hAnsi="宋体" w:cs="宋体"/>
          <w:kern w:val="0"/>
          <w:sz w:val="24"/>
          <w:szCs w:val="24"/>
        </w:rPr>
      </w:pPr>
      <w:r>
        <w:rPr>
          <w:rFonts w:hint="eastAsia" w:hAnsi="宋体" w:cs="宋体"/>
          <w:kern w:val="0"/>
          <w:sz w:val="24"/>
          <w:szCs w:val="24"/>
        </w:rPr>
        <w:t>2、投标人递交的技术规格书中必须真实逐条列明，否则由投标人自行承担相关风险。</w:t>
      </w:r>
    </w:p>
    <w:p w14:paraId="3FCD937A">
      <w:pPr>
        <w:pStyle w:val="34"/>
        <w:spacing w:line="420" w:lineRule="exact"/>
        <w:ind w:firstLine="480" w:firstLineChars="200"/>
        <w:rPr>
          <w:rFonts w:hAnsi="宋体" w:cs="宋体"/>
          <w:kern w:val="0"/>
          <w:sz w:val="24"/>
          <w:szCs w:val="24"/>
        </w:rPr>
      </w:pPr>
      <w:r>
        <w:rPr>
          <w:rFonts w:hint="eastAsia" w:hAnsi="宋体" w:cs="宋体"/>
          <w:kern w:val="0"/>
          <w:sz w:val="24"/>
          <w:szCs w:val="24"/>
        </w:rPr>
        <w:t>3、此表在不改变格式的情况下可自行制作。</w:t>
      </w:r>
    </w:p>
    <w:p w14:paraId="43643A81">
      <w:pPr>
        <w:pStyle w:val="34"/>
        <w:spacing w:line="420" w:lineRule="exact"/>
        <w:ind w:firstLine="480" w:firstLineChars="200"/>
        <w:rPr>
          <w:rFonts w:hAnsi="宋体" w:cs="宋体"/>
          <w:kern w:val="0"/>
          <w:sz w:val="24"/>
          <w:szCs w:val="24"/>
        </w:rPr>
      </w:pPr>
      <w:r>
        <w:rPr>
          <w:rFonts w:hint="eastAsia" w:hAnsi="宋体" w:cs="宋体"/>
          <w:kern w:val="0"/>
          <w:sz w:val="24"/>
          <w:szCs w:val="24"/>
        </w:rPr>
        <w:t>4、此表置于商务技术文件中。</w:t>
      </w:r>
    </w:p>
    <w:p w14:paraId="7889E66F">
      <w:pPr>
        <w:pStyle w:val="34"/>
        <w:spacing w:line="420" w:lineRule="exact"/>
        <w:ind w:firstLine="480" w:firstLineChars="200"/>
        <w:rPr>
          <w:rFonts w:hAnsi="宋体" w:cs="宋体"/>
          <w:kern w:val="0"/>
          <w:sz w:val="24"/>
          <w:szCs w:val="24"/>
        </w:rPr>
      </w:pPr>
    </w:p>
    <w:p w14:paraId="422C95A9">
      <w:pPr>
        <w:pStyle w:val="34"/>
        <w:spacing w:line="420" w:lineRule="exact"/>
        <w:ind w:firstLine="480" w:firstLineChars="200"/>
        <w:rPr>
          <w:rFonts w:hAnsi="宋体" w:cs="宋体"/>
          <w:kern w:val="0"/>
          <w:sz w:val="24"/>
          <w:szCs w:val="24"/>
        </w:rPr>
      </w:pPr>
    </w:p>
    <w:p w14:paraId="06EBA235">
      <w:pPr>
        <w:pStyle w:val="34"/>
        <w:spacing w:line="420" w:lineRule="exact"/>
        <w:ind w:firstLine="480" w:firstLineChars="200"/>
        <w:rPr>
          <w:rFonts w:hAnsi="宋体" w:cs="宋体"/>
          <w:kern w:val="0"/>
          <w:sz w:val="24"/>
          <w:szCs w:val="24"/>
          <w:u w:val="single"/>
        </w:rPr>
      </w:pPr>
      <w:r>
        <w:rPr>
          <w:rFonts w:hint="eastAsia" w:hAnsi="宋体" w:cs="宋体"/>
          <w:kern w:val="0"/>
          <w:sz w:val="24"/>
          <w:szCs w:val="24"/>
        </w:rPr>
        <w:t>投标人名称（电子签名）：</w:t>
      </w:r>
    </w:p>
    <w:p w14:paraId="0FF03B19">
      <w:pPr>
        <w:pStyle w:val="34"/>
        <w:spacing w:line="420" w:lineRule="exact"/>
        <w:ind w:firstLine="480" w:firstLineChars="200"/>
        <w:rPr>
          <w:rFonts w:hAnsi="宋体" w:cs="宋体"/>
          <w:kern w:val="0"/>
          <w:sz w:val="24"/>
          <w:szCs w:val="24"/>
        </w:rPr>
      </w:pPr>
      <w:r>
        <w:rPr>
          <w:rFonts w:hint="eastAsia" w:hAnsi="宋体" w:cs="宋体"/>
          <w:kern w:val="0"/>
          <w:sz w:val="24"/>
          <w:szCs w:val="24"/>
        </w:rPr>
        <w:t>日      期：     年    月    日</w:t>
      </w:r>
    </w:p>
    <w:p w14:paraId="7FA0F78A">
      <w:pPr>
        <w:pStyle w:val="34"/>
        <w:spacing w:line="420" w:lineRule="exact"/>
        <w:ind w:firstLine="480" w:firstLineChars="200"/>
        <w:rPr>
          <w:rFonts w:hAnsi="宋体" w:cs="宋体"/>
          <w:kern w:val="0"/>
          <w:sz w:val="24"/>
          <w:szCs w:val="24"/>
        </w:rPr>
      </w:pPr>
    </w:p>
    <w:p w14:paraId="1D449438">
      <w:pPr>
        <w:spacing w:line="420" w:lineRule="exact"/>
        <w:jc w:val="center"/>
        <w:rPr>
          <w:rFonts w:ascii="宋体" w:hAnsi="宋体" w:cs="宋体"/>
          <w:b/>
          <w:kern w:val="0"/>
          <w:sz w:val="32"/>
          <w:szCs w:val="32"/>
        </w:rPr>
      </w:pPr>
    </w:p>
    <w:p w14:paraId="4E7A8F22">
      <w:pPr>
        <w:jc w:val="center"/>
        <w:rPr>
          <w:rFonts w:ascii="宋体" w:hAnsi="宋体" w:cs="宋体"/>
          <w:b/>
          <w:kern w:val="0"/>
          <w:sz w:val="32"/>
          <w:szCs w:val="32"/>
        </w:rPr>
      </w:pPr>
    </w:p>
    <w:p w14:paraId="249EF053">
      <w:pPr>
        <w:jc w:val="center"/>
        <w:rPr>
          <w:rFonts w:ascii="宋体" w:hAnsi="宋体" w:cs="宋体"/>
          <w:b/>
          <w:kern w:val="0"/>
          <w:sz w:val="32"/>
          <w:szCs w:val="32"/>
        </w:rPr>
      </w:pPr>
    </w:p>
    <w:p w14:paraId="014F01E7">
      <w:pPr>
        <w:jc w:val="center"/>
        <w:rPr>
          <w:rFonts w:ascii="宋体" w:hAnsi="宋体" w:cs="宋体"/>
          <w:b/>
          <w:kern w:val="0"/>
          <w:sz w:val="32"/>
          <w:szCs w:val="32"/>
        </w:rPr>
      </w:pPr>
    </w:p>
    <w:p w14:paraId="49964224">
      <w:pPr>
        <w:jc w:val="center"/>
        <w:rPr>
          <w:rFonts w:ascii="宋体" w:hAnsi="宋体" w:cs="宋体"/>
          <w:b/>
          <w:kern w:val="0"/>
          <w:sz w:val="32"/>
          <w:szCs w:val="32"/>
        </w:rPr>
      </w:pPr>
    </w:p>
    <w:p w14:paraId="42F38F43">
      <w:pPr>
        <w:jc w:val="center"/>
        <w:rPr>
          <w:rFonts w:ascii="宋体" w:hAnsi="宋体" w:cs="宋体"/>
          <w:b/>
          <w:kern w:val="0"/>
          <w:sz w:val="32"/>
          <w:szCs w:val="32"/>
        </w:rPr>
      </w:pPr>
    </w:p>
    <w:p w14:paraId="0A726B93">
      <w:pPr>
        <w:jc w:val="center"/>
        <w:rPr>
          <w:rFonts w:ascii="宋体" w:hAnsi="宋体" w:cs="宋体"/>
          <w:b/>
          <w:kern w:val="0"/>
          <w:sz w:val="32"/>
          <w:szCs w:val="32"/>
        </w:rPr>
      </w:pPr>
    </w:p>
    <w:p w14:paraId="5D1C1A86">
      <w:pPr>
        <w:jc w:val="center"/>
        <w:rPr>
          <w:rFonts w:ascii="宋体" w:hAnsi="宋体" w:cs="宋体"/>
          <w:b/>
          <w:kern w:val="0"/>
          <w:sz w:val="32"/>
          <w:szCs w:val="32"/>
        </w:rPr>
      </w:pPr>
    </w:p>
    <w:p w14:paraId="32B8AD4D">
      <w:pPr>
        <w:jc w:val="center"/>
        <w:rPr>
          <w:rFonts w:ascii="宋体" w:hAnsi="宋体" w:cs="宋体"/>
          <w:b/>
          <w:kern w:val="0"/>
          <w:sz w:val="32"/>
          <w:szCs w:val="32"/>
        </w:rPr>
      </w:pPr>
    </w:p>
    <w:p w14:paraId="56D9B590">
      <w:pPr>
        <w:jc w:val="center"/>
        <w:rPr>
          <w:rFonts w:ascii="宋体" w:hAnsi="宋体" w:cs="宋体"/>
          <w:b/>
          <w:kern w:val="0"/>
          <w:sz w:val="32"/>
          <w:szCs w:val="32"/>
        </w:rPr>
      </w:pPr>
    </w:p>
    <w:p w14:paraId="5AC5AEF8">
      <w:pPr>
        <w:ind w:firstLine="2891" w:firstLineChars="900"/>
        <w:rPr>
          <w:rFonts w:ascii="宋体" w:hAnsi="宋体" w:cs="宋体"/>
          <w:b/>
          <w:bCs/>
          <w:sz w:val="32"/>
          <w:szCs w:val="32"/>
        </w:rPr>
      </w:pPr>
    </w:p>
    <w:p w14:paraId="4E2607AF">
      <w:pPr>
        <w:ind w:firstLine="2891" w:firstLineChars="900"/>
        <w:rPr>
          <w:rFonts w:ascii="宋体" w:hAnsi="宋体" w:cs="宋体"/>
          <w:b/>
          <w:bCs/>
          <w:sz w:val="32"/>
          <w:szCs w:val="32"/>
        </w:rPr>
      </w:pPr>
    </w:p>
    <w:p w14:paraId="6A79CA92">
      <w:pPr>
        <w:ind w:firstLine="2891" w:firstLineChars="900"/>
        <w:rPr>
          <w:rFonts w:ascii="宋体" w:hAnsi="宋体" w:cs="宋体"/>
          <w:b/>
          <w:bCs/>
          <w:sz w:val="32"/>
          <w:szCs w:val="32"/>
        </w:rPr>
      </w:pPr>
    </w:p>
    <w:p w14:paraId="07A8389B">
      <w:pPr>
        <w:ind w:firstLine="1911" w:firstLineChars="595"/>
        <w:rPr>
          <w:rFonts w:ascii="宋体" w:hAnsi="宋体" w:cs="宋体"/>
          <w:b/>
          <w:kern w:val="0"/>
          <w:sz w:val="32"/>
          <w:szCs w:val="32"/>
        </w:rPr>
      </w:pPr>
    </w:p>
    <w:p w14:paraId="009EB5CB">
      <w:pPr>
        <w:ind w:firstLine="1911" w:firstLineChars="595"/>
        <w:rPr>
          <w:rFonts w:ascii="宋体" w:hAnsi="宋体" w:cs="宋体"/>
          <w:b/>
          <w:kern w:val="0"/>
          <w:sz w:val="32"/>
          <w:szCs w:val="32"/>
        </w:rPr>
      </w:pPr>
    </w:p>
    <w:p w14:paraId="57E43FAD">
      <w:pPr>
        <w:ind w:firstLine="1911" w:firstLineChars="595"/>
        <w:rPr>
          <w:rFonts w:ascii="宋体" w:hAnsi="宋体" w:cs="宋体"/>
          <w:b/>
          <w:kern w:val="0"/>
          <w:sz w:val="32"/>
          <w:szCs w:val="32"/>
        </w:rPr>
      </w:pPr>
    </w:p>
    <w:p w14:paraId="2571911D">
      <w:pPr>
        <w:ind w:firstLine="1911" w:firstLineChars="595"/>
        <w:rPr>
          <w:rFonts w:ascii="宋体" w:hAnsi="宋体" w:cs="宋体"/>
          <w:b/>
          <w:kern w:val="0"/>
          <w:sz w:val="32"/>
          <w:szCs w:val="32"/>
        </w:rPr>
      </w:pPr>
      <w:r>
        <w:rPr>
          <w:rFonts w:hint="eastAsia" w:ascii="宋体" w:hAnsi="宋体" w:cs="宋体"/>
          <w:b/>
          <w:kern w:val="0"/>
          <w:sz w:val="32"/>
          <w:szCs w:val="32"/>
        </w:rPr>
        <w:t>八、</w:t>
      </w:r>
      <w:r>
        <w:rPr>
          <w:rFonts w:hint="eastAsia" w:ascii="宋体" w:hAnsi="宋体" w:cs="宋体"/>
          <w:b/>
          <w:kern w:val="0"/>
          <w:sz w:val="32"/>
          <w:szCs w:val="32"/>
          <w:lang w:val="zh-CN"/>
        </w:rPr>
        <w:t>政府采购供应商廉洁自律承诺书</w:t>
      </w:r>
    </w:p>
    <w:p w14:paraId="2F3D97AB">
      <w:pPr>
        <w:snapToGrid w:val="0"/>
        <w:spacing w:line="360" w:lineRule="auto"/>
        <w:rPr>
          <w:rFonts w:ascii="宋体" w:hAnsi="宋体" w:cs="宋体"/>
          <w:sz w:val="24"/>
        </w:rPr>
      </w:pPr>
    </w:p>
    <w:p w14:paraId="1666692B">
      <w:pPr>
        <w:autoSpaceDE w:val="0"/>
        <w:autoSpaceDN w:val="0"/>
        <w:spacing w:line="420" w:lineRule="exact"/>
        <w:jc w:val="left"/>
        <w:rPr>
          <w:rFonts w:ascii="宋体" w:hAnsi="宋体" w:cs="宋体"/>
          <w:kern w:val="0"/>
          <w:sz w:val="24"/>
          <w:lang w:val="zh-CN"/>
        </w:rPr>
      </w:pPr>
      <w:r>
        <w:rPr>
          <w:rFonts w:hint="eastAsia" w:ascii="宋体" w:hAnsi="宋体" w:cs="宋体"/>
          <w:kern w:val="0"/>
          <w:sz w:val="24"/>
          <w:lang w:val="zh-CN"/>
        </w:rPr>
        <w:t>（采购人）、（采购代理机构）：</w:t>
      </w:r>
    </w:p>
    <w:p w14:paraId="36A0D286">
      <w:pPr>
        <w:autoSpaceDE w:val="0"/>
        <w:autoSpaceDN w:val="0"/>
        <w:spacing w:line="420" w:lineRule="exact"/>
        <w:ind w:firstLine="480" w:firstLineChars="200"/>
        <w:jc w:val="left"/>
        <w:rPr>
          <w:rFonts w:ascii="宋体" w:hAnsi="宋体" w:cs="宋体"/>
          <w:kern w:val="0"/>
          <w:sz w:val="24"/>
          <w:lang w:val="zh-CN"/>
        </w:rPr>
      </w:pPr>
      <w:r>
        <w:rPr>
          <w:rFonts w:hint="eastAsia" w:ascii="宋体" w:hAnsi="宋体" w:cs="宋体"/>
          <w:kern w:val="0"/>
          <w:sz w:val="24"/>
          <w:lang w:val="zh-CN"/>
        </w:rPr>
        <w:t>我单位响应你</w:t>
      </w:r>
      <w:r>
        <w:rPr>
          <w:rFonts w:hint="eastAsia" w:ascii="宋体" w:hAnsi="宋体" w:cs="宋体"/>
          <w:sz w:val="24"/>
        </w:rPr>
        <w:t>单位</w:t>
      </w:r>
      <w:r>
        <w:rPr>
          <w:rFonts w:hint="eastAsia" w:ascii="宋体" w:hAnsi="宋体" w:cs="宋体"/>
          <w:kern w:val="0"/>
          <w:sz w:val="24"/>
          <w:lang w:val="zh-CN"/>
        </w:rPr>
        <w:t>项目招标要求参加投标。在这次投标过程中和中标后，我们将严格遵守国家法律法规要求，并郑重承诺：</w:t>
      </w:r>
    </w:p>
    <w:p w14:paraId="2216B06A">
      <w:pPr>
        <w:autoSpaceDE w:val="0"/>
        <w:autoSpaceDN w:val="0"/>
        <w:spacing w:line="420" w:lineRule="exact"/>
        <w:ind w:firstLine="480" w:firstLineChars="200"/>
        <w:jc w:val="left"/>
        <w:rPr>
          <w:rFonts w:ascii="宋体" w:hAnsi="宋体" w:cs="宋体"/>
          <w:kern w:val="0"/>
          <w:sz w:val="24"/>
          <w:lang w:val="zh-CN"/>
        </w:rPr>
      </w:pPr>
      <w:r>
        <w:rPr>
          <w:rFonts w:hint="eastAsia" w:ascii="宋体" w:hAnsi="宋体" w:cs="宋体"/>
          <w:kern w:val="0"/>
          <w:sz w:val="24"/>
          <w:lang w:val="zh-CN"/>
        </w:rPr>
        <w:t xml:space="preserve">一、不向项目有关人员及部门赠送礼金礼物、有价证券、回扣以及中介费、介绍费、咨询费等好处费； </w:t>
      </w:r>
    </w:p>
    <w:p w14:paraId="728A7E40">
      <w:pPr>
        <w:autoSpaceDE w:val="0"/>
        <w:autoSpaceDN w:val="0"/>
        <w:spacing w:line="420" w:lineRule="exact"/>
        <w:ind w:firstLine="480" w:firstLineChars="200"/>
        <w:jc w:val="left"/>
        <w:rPr>
          <w:rFonts w:ascii="宋体" w:hAnsi="宋体" w:cs="宋体"/>
          <w:kern w:val="0"/>
          <w:sz w:val="24"/>
          <w:lang w:val="zh-CN"/>
        </w:rPr>
      </w:pPr>
      <w:r>
        <w:rPr>
          <w:rFonts w:hint="eastAsia" w:ascii="宋体" w:hAnsi="宋体" w:cs="宋体"/>
          <w:kern w:val="0"/>
          <w:sz w:val="24"/>
          <w:lang w:val="zh-CN"/>
        </w:rPr>
        <w:t xml:space="preserve">二、不为项目有关人员及部门报销应由你方单位或个人支付的费用； </w:t>
      </w:r>
    </w:p>
    <w:p w14:paraId="2CB1C6D1">
      <w:pPr>
        <w:autoSpaceDE w:val="0"/>
        <w:autoSpaceDN w:val="0"/>
        <w:spacing w:line="420" w:lineRule="exact"/>
        <w:ind w:firstLine="480" w:firstLineChars="200"/>
        <w:jc w:val="left"/>
        <w:rPr>
          <w:rFonts w:ascii="宋体" w:hAnsi="宋体" w:cs="宋体"/>
          <w:kern w:val="0"/>
          <w:sz w:val="24"/>
          <w:lang w:val="zh-CN"/>
        </w:rPr>
      </w:pPr>
      <w:r>
        <w:rPr>
          <w:rFonts w:hint="eastAsia" w:ascii="宋体" w:hAnsi="宋体" w:cs="宋体"/>
          <w:kern w:val="0"/>
          <w:sz w:val="24"/>
          <w:lang w:val="zh-CN"/>
        </w:rPr>
        <w:t xml:space="preserve">三、不向项目有关人员及部门提供有可能影响公正的宴请和健身娱乐等活动； </w:t>
      </w:r>
    </w:p>
    <w:p w14:paraId="3F48CBD7">
      <w:pPr>
        <w:autoSpaceDE w:val="0"/>
        <w:autoSpaceDN w:val="0"/>
        <w:spacing w:line="420" w:lineRule="exact"/>
        <w:ind w:firstLine="480" w:firstLineChars="200"/>
        <w:jc w:val="left"/>
        <w:rPr>
          <w:rFonts w:ascii="宋体" w:hAnsi="宋体" w:cs="宋体"/>
          <w:kern w:val="0"/>
          <w:sz w:val="24"/>
          <w:lang w:val="zh-CN"/>
        </w:rPr>
      </w:pPr>
      <w:r>
        <w:rPr>
          <w:rFonts w:hint="eastAsia" w:ascii="宋体" w:hAnsi="宋体" w:cs="宋体"/>
          <w:kern w:val="0"/>
          <w:sz w:val="24"/>
          <w:lang w:val="zh-CN"/>
        </w:rPr>
        <w:t>四、不为项目有关人员及部门出国（境）、旅游等提供方便；</w:t>
      </w:r>
    </w:p>
    <w:p w14:paraId="090D8AEB">
      <w:pPr>
        <w:autoSpaceDE w:val="0"/>
        <w:autoSpaceDN w:val="0"/>
        <w:spacing w:line="420" w:lineRule="exact"/>
        <w:ind w:firstLine="480" w:firstLineChars="200"/>
        <w:jc w:val="left"/>
        <w:rPr>
          <w:rFonts w:ascii="宋体" w:hAnsi="宋体" w:cs="宋体"/>
          <w:kern w:val="0"/>
          <w:sz w:val="24"/>
          <w:lang w:val="zh-CN"/>
        </w:rPr>
      </w:pPr>
      <w:r>
        <w:rPr>
          <w:rFonts w:hint="eastAsia" w:ascii="宋体" w:hAnsi="宋体" w:cs="宋体"/>
          <w:kern w:val="0"/>
          <w:sz w:val="24"/>
          <w:lang w:val="zh-CN"/>
        </w:rPr>
        <w:t>五、不为项目有关人员个人装修住房、婚丧嫁娶、配偶子女工作安排等提供好处；</w:t>
      </w:r>
    </w:p>
    <w:p w14:paraId="714221E5">
      <w:pPr>
        <w:autoSpaceDE w:val="0"/>
        <w:autoSpaceDN w:val="0"/>
        <w:spacing w:line="420" w:lineRule="exact"/>
        <w:ind w:firstLine="480" w:firstLineChars="200"/>
        <w:jc w:val="left"/>
        <w:rPr>
          <w:rFonts w:ascii="宋体" w:hAnsi="宋体" w:cs="宋体"/>
          <w:kern w:val="0"/>
          <w:sz w:val="24"/>
          <w:lang w:val="zh-CN"/>
        </w:rPr>
      </w:pPr>
      <w:r>
        <w:rPr>
          <w:rFonts w:hint="eastAsia" w:ascii="宋体" w:hAnsi="宋体" w:cs="宋体"/>
          <w:kern w:val="0"/>
          <w:sz w:val="24"/>
          <w:lang w:val="zh-CN"/>
        </w:rPr>
        <w:t>六、严格遵守《</w:t>
      </w:r>
      <w:r>
        <w:rPr>
          <w:rFonts w:hint="eastAsia" w:ascii="宋体" w:hAnsi="宋体" w:cs="宋体"/>
          <w:sz w:val="24"/>
          <w:lang w:val="zh-CN"/>
        </w:rPr>
        <w:t>中华人民共和国</w:t>
      </w:r>
      <w:r>
        <w:rPr>
          <w:rFonts w:hint="eastAsia" w:ascii="宋体" w:hAnsi="宋体" w:cs="宋体"/>
          <w:kern w:val="0"/>
          <w:sz w:val="24"/>
          <w:lang w:val="zh-CN"/>
        </w:rPr>
        <w:t>政府采购法》《</w:t>
      </w:r>
      <w:r>
        <w:rPr>
          <w:rFonts w:hint="eastAsia" w:ascii="宋体" w:hAnsi="宋体" w:cs="宋体"/>
          <w:sz w:val="24"/>
          <w:lang w:val="zh-CN"/>
        </w:rPr>
        <w:t>中华人民共和国</w:t>
      </w:r>
      <w:r>
        <w:rPr>
          <w:rFonts w:hint="eastAsia" w:ascii="宋体" w:hAnsi="宋体" w:cs="宋体"/>
          <w:kern w:val="0"/>
          <w:sz w:val="24"/>
          <w:lang w:val="zh-CN"/>
        </w:rPr>
        <w:t>招标投标法》</w:t>
      </w:r>
      <w:r>
        <w:rPr>
          <w:rFonts w:hint="eastAsia" w:ascii="宋体" w:hAnsi="宋体" w:cs="宋体"/>
          <w:sz w:val="24"/>
          <w:lang w:val="zh-CN"/>
        </w:rPr>
        <w:t>《中华人民共和国民法典》</w:t>
      </w:r>
      <w:r>
        <w:rPr>
          <w:rFonts w:hint="eastAsia" w:ascii="宋体" w:hAnsi="宋体" w:cs="宋体"/>
          <w:kern w:val="0"/>
          <w:sz w:val="24"/>
          <w:lang w:val="zh-CN"/>
        </w:rPr>
        <w:t xml:space="preserve">等法律法规，诚实守信，合法经营，坚决抵制各种违法违纪行为。 </w:t>
      </w:r>
    </w:p>
    <w:p w14:paraId="23027884">
      <w:pPr>
        <w:autoSpaceDE w:val="0"/>
        <w:autoSpaceDN w:val="0"/>
        <w:spacing w:line="420" w:lineRule="exact"/>
        <w:ind w:firstLine="480" w:firstLineChars="200"/>
        <w:jc w:val="left"/>
        <w:rPr>
          <w:rFonts w:ascii="宋体" w:hAnsi="宋体" w:cs="宋体"/>
          <w:kern w:val="0"/>
          <w:sz w:val="24"/>
          <w:lang w:val="zh-CN"/>
        </w:rPr>
      </w:pPr>
      <w:r>
        <w:rPr>
          <w:rFonts w:hint="eastAsia" w:ascii="宋体" w:hAnsi="宋体" w:cs="宋体"/>
          <w:kern w:val="0"/>
          <w:sz w:val="24"/>
          <w:lang w:val="zh-CN"/>
        </w:rPr>
        <w:t>如违反上述承诺，你</w:t>
      </w:r>
      <w:r>
        <w:rPr>
          <w:rFonts w:hint="eastAsia" w:ascii="宋体" w:hAnsi="宋体" w:cs="宋体"/>
          <w:sz w:val="24"/>
        </w:rPr>
        <w:t>单位</w:t>
      </w:r>
      <w:r>
        <w:rPr>
          <w:rFonts w:hint="eastAsia" w:ascii="宋体" w:hAnsi="宋体" w:cs="宋体"/>
          <w:kern w:val="0"/>
          <w:sz w:val="24"/>
          <w:lang w:val="zh-CN"/>
        </w:rPr>
        <w:t>有权立即取消我单位投标、中标或在建项目的建设资格，有权拒绝我单位在一定时期内进入你</w:t>
      </w:r>
      <w:r>
        <w:rPr>
          <w:rFonts w:hint="eastAsia" w:ascii="宋体" w:hAnsi="宋体" w:cs="宋体"/>
          <w:sz w:val="24"/>
        </w:rPr>
        <w:t>单位</w:t>
      </w:r>
      <w:r>
        <w:rPr>
          <w:rFonts w:hint="eastAsia" w:ascii="宋体" w:hAnsi="宋体" w:cs="宋体"/>
          <w:kern w:val="0"/>
          <w:sz w:val="24"/>
          <w:lang w:val="zh-CN"/>
        </w:rPr>
        <w:t>进行项目建设或其他经营活动，并通报市财政局。由此引起的相应损失均由我单位承担。</w:t>
      </w:r>
    </w:p>
    <w:p w14:paraId="781A72A4">
      <w:pPr>
        <w:autoSpaceDE w:val="0"/>
        <w:autoSpaceDN w:val="0"/>
        <w:spacing w:line="360" w:lineRule="auto"/>
        <w:ind w:left="2"/>
        <w:jc w:val="left"/>
        <w:rPr>
          <w:rFonts w:ascii="宋体" w:hAnsi="宋体" w:cs="宋体"/>
          <w:kern w:val="0"/>
          <w:sz w:val="24"/>
          <w:lang w:val="zh-CN"/>
        </w:rPr>
      </w:pPr>
    </w:p>
    <w:p w14:paraId="4FD97003">
      <w:pPr>
        <w:autoSpaceDE w:val="0"/>
        <w:autoSpaceDN w:val="0"/>
        <w:spacing w:line="360" w:lineRule="auto"/>
        <w:ind w:left="2"/>
        <w:jc w:val="left"/>
        <w:rPr>
          <w:rFonts w:ascii="宋体" w:hAnsi="宋体" w:cs="宋体"/>
          <w:kern w:val="0"/>
          <w:sz w:val="24"/>
          <w:lang w:val="zh-CN"/>
        </w:rPr>
      </w:pPr>
    </w:p>
    <w:p w14:paraId="4798DB36">
      <w:pPr>
        <w:autoSpaceDE w:val="0"/>
        <w:autoSpaceDN w:val="0"/>
        <w:spacing w:line="360" w:lineRule="auto"/>
        <w:ind w:left="2"/>
        <w:jc w:val="left"/>
        <w:rPr>
          <w:rFonts w:ascii="宋体" w:hAnsi="宋体" w:cs="宋体"/>
          <w:kern w:val="0"/>
          <w:sz w:val="24"/>
          <w:lang w:val="zh-CN"/>
        </w:rPr>
      </w:pPr>
    </w:p>
    <w:p w14:paraId="0854E2E4">
      <w:pPr>
        <w:autoSpaceDE w:val="0"/>
        <w:autoSpaceDN w:val="0"/>
        <w:spacing w:line="360" w:lineRule="auto"/>
        <w:ind w:left="2" w:leftChars="1" w:right="1120" w:firstLine="4560" w:firstLineChars="1900"/>
        <w:jc w:val="left"/>
        <w:rPr>
          <w:rFonts w:ascii="宋体" w:hAnsi="宋体" w:cs="宋体"/>
          <w:kern w:val="0"/>
          <w:sz w:val="24"/>
          <w:lang w:val="zh-CN"/>
        </w:rPr>
      </w:pPr>
      <w:r>
        <w:rPr>
          <w:rFonts w:hint="eastAsia" w:ascii="宋体" w:hAnsi="宋体" w:cs="宋体"/>
          <w:kern w:val="0"/>
          <w:sz w:val="24"/>
          <w:lang w:val="zh-CN"/>
        </w:rPr>
        <w:t>投标人名称（</w:t>
      </w:r>
      <w:r>
        <w:rPr>
          <w:rFonts w:hint="eastAsia" w:ascii="宋体" w:hAnsi="宋体" w:cs="宋体"/>
          <w:sz w:val="24"/>
        </w:rPr>
        <w:t>电子签名</w:t>
      </w:r>
      <w:r>
        <w:rPr>
          <w:rFonts w:hint="eastAsia" w:ascii="宋体" w:hAnsi="宋体" w:cs="宋体"/>
          <w:kern w:val="0"/>
          <w:sz w:val="24"/>
          <w:lang w:val="zh-CN"/>
        </w:rPr>
        <w:t xml:space="preserve">）：                                                                                                                                                                                                               </w:t>
      </w:r>
    </w:p>
    <w:p w14:paraId="67616075">
      <w:pPr>
        <w:spacing w:line="360" w:lineRule="auto"/>
        <w:ind w:left="4620" w:leftChars="2200"/>
        <w:rPr>
          <w:rFonts w:ascii="宋体" w:hAnsi="宋体" w:cs="宋体"/>
          <w:sz w:val="24"/>
        </w:rPr>
      </w:pPr>
      <w:r>
        <w:rPr>
          <w:rFonts w:hint="eastAsia" w:ascii="宋体" w:hAnsi="宋体" w:cs="宋体"/>
          <w:kern w:val="0"/>
          <w:sz w:val="24"/>
          <w:lang w:val="zh-CN"/>
        </w:rPr>
        <w:t>日期</w:t>
      </w:r>
      <w:r>
        <w:rPr>
          <w:rFonts w:hint="eastAsia" w:ascii="宋体" w:hAnsi="宋体" w:cs="宋体"/>
          <w:kern w:val="0"/>
          <w:sz w:val="24"/>
        </w:rPr>
        <w:t>：</w:t>
      </w:r>
      <w:r>
        <w:rPr>
          <w:rFonts w:hint="eastAsia" w:ascii="宋体" w:hAnsi="宋体" w:cs="宋体"/>
          <w:kern w:val="0"/>
          <w:sz w:val="24"/>
          <w:lang w:val="zh-CN"/>
        </w:rPr>
        <w:t xml:space="preserve">   年   月   日</w:t>
      </w:r>
    </w:p>
    <w:p w14:paraId="0027C14B">
      <w:pPr>
        <w:spacing w:line="360" w:lineRule="auto"/>
        <w:jc w:val="center"/>
        <w:rPr>
          <w:rFonts w:ascii="宋体" w:hAnsi="宋体" w:cs="宋体"/>
          <w:b/>
          <w:bCs/>
          <w:sz w:val="24"/>
        </w:rPr>
      </w:pPr>
    </w:p>
    <w:p w14:paraId="434049FD">
      <w:pPr>
        <w:spacing w:line="360" w:lineRule="auto"/>
        <w:jc w:val="center"/>
        <w:rPr>
          <w:rFonts w:ascii="宋体" w:hAnsi="宋体" w:cs="宋体"/>
          <w:b/>
          <w:bCs/>
          <w:sz w:val="24"/>
        </w:rPr>
        <w:sectPr>
          <w:headerReference r:id="rId18" w:type="first"/>
          <w:footerReference r:id="rId20" w:type="first"/>
          <w:headerReference r:id="rId17" w:type="default"/>
          <w:footerReference r:id="rId19" w:type="default"/>
          <w:pgSz w:w="11906" w:h="16838"/>
          <w:pgMar w:top="1276" w:right="1418" w:bottom="1247" w:left="1418" w:header="1077" w:footer="992" w:gutter="0"/>
          <w:cols w:space="720" w:num="1"/>
          <w:titlePg/>
          <w:docGrid w:linePitch="312" w:charSpace="0"/>
        </w:sectPr>
      </w:pPr>
    </w:p>
    <w:p w14:paraId="73478B51">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报价文件部分</w:t>
      </w:r>
    </w:p>
    <w:p w14:paraId="5FB9851F">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目录</w:t>
      </w:r>
    </w:p>
    <w:p w14:paraId="6E29D64D">
      <w:pPr>
        <w:spacing w:line="360" w:lineRule="auto"/>
        <w:jc w:val="center"/>
        <w:outlineLvl w:val="0"/>
        <w:rPr>
          <w:rFonts w:ascii="宋体" w:hAnsi="宋体" w:cs="宋体"/>
          <w:b/>
          <w:kern w:val="0"/>
          <w:sz w:val="36"/>
          <w:szCs w:val="36"/>
        </w:rPr>
      </w:pPr>
    </w:p>
    <w:p w14:paraId="0E937D37">
      <w:pPr>
        <w:snapToGrid w:val="0"/>
        <w:spacing w:line="360" w:lineRule="auto"/>
        <w:rPr>
          <w:rFonts w:ascii="宋体" w:hAnsi="宋体" w:cs="宋体"/>
          <w:sz w:val="24"/>
        </w:rPr>
      </w:pPr>
      <w:r>
        <w:rPr>
          <w:rFonts w:hint="eastAsia" w:ascii="宋体" w:hAnsi="宋体" w:cs="宋体"/>
          <w:sz w:val="24"/>
        </w:rPr>
        <w:t>（1）开标一览表（报价表）………………………………………………………（页码）</w:t>
      </w:r>
    </w:p>
    <w:p w14:paraId="386C34D5">
      <w:pPr>
        <w:snapToGrid w:val="0"/>
        <w:spacing w:line="360" w:lineRule="auto"/>
        <w:rPr>
          <w:rFonts w:ascii="宋体" w:hAnsi="宋体" w:cs="宋体"/>
          <w:sz w:val="24"/>
        </w:rPr>
      </w:pPr>
      <w:r>
        <w:rPr>
          <w:rFonts w:hint="eastAsia" w:ascii="宋体" w:hAnsi="宋体" w:cs="宋体"/>
          <w:sz w:val="24"/>
        </w:rPr>
        <w:t>（2）中小企业声明函（如需）……………………………………………………（页码）</w:t>
      </w:r>
    </w:p>
    <w:p w14:paraId="2F5E900C">
      <w:pPr>
        <w:snapToGrid w:val="0"/>
        <w:spacing w:line="360" w:lineRule="auto"/>
        <w:rPr>
          <w:rFonts w:ascii="宋体" w:hAnsi="宋体" w:cs="宋体"/>
          <w:sz w:val="24"/>
        </w:rPr>
      </w:pPr>
      <w:r>
        <w:rPr>
          <w:rFonts w:hint="eastAsia" w:ascii="宋体" w:hAnsi="宋体" w:cs="宋体"/>
          <w:sz w:val="24"/>
        </w:rPr>
        <w:t>（3）《关于符合本国产品标准的声明函》(如需)………………………………（页码）</w:t>
      </w:r>
    </w:p>
    <w:p w14:paraId="00273507">
      <w:pPr>
        <w:snapToGrid w:val="0"/>
        <w:spacing w:line="360" w:lineRule="auto"/>
        <w:rPr>
          <w:rFonts w:ascii="宋体" w:hAnsi="宋体" w:cs="宋体"/>
          <w:sz w:val="24"/>
        </w:rPr>
      </w:pPr>
      <w:r>
        <w:rPr>
          <w:rFonts w:hint="eastAsia" w:ascii="宋体" w:hAnsi="宋体" w:cs="宋体"/>
          <w:sz w:val="24"/>
        </w:rPr>
        <w:t>（4）《关于符合本国产品标准的成本占比的承诺函》（如需）………………（页码）</w:t>
      </w:r>
    </w:p>
    <w:p w14:paraId="0316909D">
      <w:pPr>
        <w:snapToGrid w:val="0"/>
        <w:spacing w:line="360" w:lineRule="auto"/>
        <w:ind w:right="480"/>
        <w:jc w:val="center"/>
        <w:rPr>
          <w:rFonts w:ascii="宋体" w:hAnsi="宋体" w:cs="宋体"/>
          <w:b/>
          <w:kern w:val="0"/>
          <w:sz w:val="32"/>
          <w:szCs w:val="32"/>
        </w:rPr>
      </w:pPr>
    </w:p>
    <w:p w14:paraId="49731D5C">
      <w:pPr>
        <w:snapToGrid w:val="0"/>
        <w:spacing w:line="360" w:lineRule="auto"/>
        <w:ind w:right="480"/>
        <w:jc w:val="center"/>
        <w:rPr>
          <w:rFonts w:ascii="宋体" w:hAnsi="宋体" w:cs="宋体"/>
          <w:b/>
          <w:kern w:val="0"/>
          <w:sz w:val="32"/>
          <w:szCs w:val="32"/>
        </w:rPr>
      </w:pPr>
    </w:p>
    <w:p w14:paraId="5492E277">
      <w:pPr>
        <w:snapToGrid w:val="0"/>
        <w:spacing w:line="360" w:lineRule="auto"/>
        <w:ind w:right="480"/>
        <w:jc w:val="center"/>
        <w:rPr>
          <w:rFonts w:ascii="宋体" w:hAnsi="宋体" w:cs="宋体"/>
          <w:b/>
          <w:kern w:val="0"/>
          <w:sz w:val="32"/>
          <w:szCs w:val="32"/>
        </w:rPr>
      </w:pPr>
    </w:p>
    <w:p w14:paraId="6A6980EE">
      <w:pPr>
        <w:snapToGrid w:val="0"/>
        <w:spacing w:line="360" w:lineRule="auto"/>
        <w:ind w:right="480"/>
        <w:jc w:val="center"/>
        <w:rPr>
          <w:rFonts w:ascii="宋体" w:hAnsi="宋体" w:cs="宋体"/>
          <w:b/>
          <w:kern w:val="0"/>
          <w:sz w:val="32"/>
          <w:szCs w:val="32"/>
        </w:rPr>
      </w:pPr>
    </w:p>
    <w:p w14:paraId="1D087DB7">
      <w:pPr>
        <w:snapToGrid w:val="0"/>
        <w:spacing w:line="360" w:lineRule="auto"/>
        <w:ind w:right="480"/>
        <w:jc w:val="center"/>
        <w:rPr>
          <w:rFonts w:ascii="宋体" w:hAnsi="宋体" w:cs="宋体"/>
          <w:b/>
          <w:kern w:val="0"/>
          <w:sz w:val="32"/>
          <w:szCs w:val="32"/>
        </w:rPr>
      </w:pPr>
    </w:p>
    <w:p w14:paraId="0C94F3BD">
      <w:pPr>
        <w:snapToGrid w:val="0"/>
        <w:spacing w:line="360" w:lineRule="auto"/>
        <w:ind w:right="480"/>
        <w:jc w:val="center"/>
        <w:rPr>
          <w:rFonts w:ascii="宋体" w:hAnsi="宋体" w:cs="宋体"/>
          <w:b/>
          <w:kern w:val="0"/>
          <w:sz w:val="32"/>
          <w:szCs w:val="32"/>
        </w:rPr>
      </w:pPr>
    </w:p>
    <w:p w14:paraId="07EAFE2B">
      <w:pPr>
        <w:snapToGrid w:val="0"/>
        <w:spacing w:line="360" w:lineRule="auto"/>
        <w:ind w:right="480"/>
        <w:jc w:val="center"/>
        <w:rPr>
          <w:rFonts w:ascii="宋体" w:hAnsi="宋体" w:cs="宋体"/>
          <w:b/>
          <w:kern w:val="0"/>
          <w:sz w:val="32"/>
          <w:szCs w:val="32"/>
        </w:rPr>
      </w:pPr>
    </w:p>
    <w:p w14:paraId="006783CC">
      <w:pPr>
        <w:snapToGrid w:val="0"/>
        <w:spacing w:line="360" w:lineRule="auto"/>
        <w:ind w:right="480"/>
        <w:jc w:val="center"/>
        <w:rPr>
          <w:rFonts w:ascii="宋体" w:hAnsi="宋体" w:cs="宋体"/>
          <w:b/>
          <w:kern w:val="0"/>
          <w:sz w:val="32"/>
          <w:szCs w:val="32"/>
        </w:rPr>
      </w:pPr>
    </w:p>
    <w:p w14:paraId="1AC14510">
      <w:pPr>
        <w:snapToGrid w:val="0"/>
        <w:spacing w:line="360" w:lineRule="auto"/>
        <w:ind w:right="480"/>
        <w:jc w:val="center"/>
        <w:rPr>
          <w:rFonts w:ascii="宋体" w:hAnsi="宋体" w:cs="宋体"/>
          <w:b/>
          <w:kern w:val="0"/>
          <w:sz w:val="32"/>
          <w:szCs w:val="32"/>
        </w:rPr>
      </w:pPr>
    </w:p>
    <w:p w14:paraId="61BBAF66">
      <w:pPr>
        <w:snapToGrid w:val="0"/>
        <w:spacing w:line="360" w:lineRule="auto"/>
        <w:ind w:right="480"/>
        <w:jc w:val="center"/>
        <w:rPr>
          <w:rFonts w:ascii="宋体" w:hAnsi="宋体" w:cs="宋体"/>
          <w:b/>
          <w:kern w:val="0"/>
          <w:sz w:val="32"/>
          <w:szCs w:val="32"/>
        </w:rPr>
      </w:pPr>
    </w:p>
    <w:p w14:paraId="3F191CED">
      <w:pPr>
        <w:snapToGrid w:val="0"/>
        <w:spacing w:line="360" w:lineRule="auto"/>
        <w:ind w:right="480"/>
        <w:jc w:val="center"/>
        <w:rPr>
          <w:rFonts w:ascii="宋体" w:hAnsi="宋体" w:cs="宋体"/>
          <w:b/>
          <w:kern w:val="0"/>
          <w:sz w:val="32"/>
          <w:szCs w:val="32"/>
        </w:rPr>
      </w:pPr>
    </w:p>
    <w:p w14:paraId="36BE528F">
      <w:pPr>
        <w:pStyle w:val="704"/>
        <w:keepNext w:val="0"/>
        <w:pageBreakBefore w:val="0"/>
        <w:tabs>
          <w:tab w:val="clear" w:pos="720"/>
        </w:tabs>
        <w:snapToGrid w:val="0"/>
        <w:spacing w:before="120" w:after="120"/>
        <w:outlineLvl w:val="9"/>
        <w:rPr>
          <w:rFonts w:ascii="宋体" w:hAnsi="宋体" w:eastAsia="宋体" w:cs="宋体"/>
          <w:kern w:val="2"/>
          <w:sz w:val="32"/>
          <w:szCs w:val="32"/>
        </w:rPr>
      </w:pPr>
    </w:p>
    <w:p w14:paraId="7806B710">
      <w:pPr>
        <w:pStyle w:val="704"/>
        <w:keepNext w:val="0"/>
        <w:pageBreakBefore w:val="0"/>
        <w:tabs>
          <w:tab w:val="clear" w:pos="720"/>
        </w:tabs>
        <w:snapToGrid w:val="0"/>
        <w:spacing w:before="120" w:after="120"/>
        <w:outlineLvl w:val="9"/>
        <w:rPr>
          <w:rFonts w:ascii="宋体" w:hAnsi="宋体" w:eastAsia="宋体" w:cs="宋体"/>
          <w:kern w:val="2"/>
          <w:sz w:val="32"/>
          <w:szCs w:val="32"/>
        </w:rPr>
      </w:pPr>
    </w:p>
    <w:p w14:paraId="08FEC1C7">
      <w:pPr>
        <w:pStyle w:val="704"/>
        <w:keepNext w:val="0"/>
        <w:pageBreakBefore w:val="0"/>
        <w:tabs>
          <w:tab w:val="clear" w:pos="720"/>
        </w:tabs>
        <w:snapToGrid w:val="0"/>
        <w:spacing w:before="120" w:after="120"/>
        <w:outlineLvl w:val="9"/>
        <w:rPr>
          <w:rFonts w:ascii="宋体" w:hAnsi="宋体" w:eastAsia="宋体" w:cs="宋体"/>
          <w:kern w:val="2"/>
          <w:sz w:val="32"/>
          <w:szCs w:val="32"/>
        </w:rPr>
      </w:pPr>
    </w:p>
    <w:p w14:paraId="11358214">
      <w:pPr>
        <w:pStyle w:val="704"/>
        <w:keepNext w:val="0"/>
        <w:pageBreakBefore w:val="0"/>
        <w:tabs>
          <w:tab w:val="clear" w:pos="720"/>
        </w:tabs>
        <w:snapToGrid w:val="0"/>
        <w:spacing w:before="120" w:after="120"/>
        <w:outlineLvl w:val="9"/>
        <w:rPr>
          <w:rFonts w:ascii="宋体" w:hAnsi="宋体" w:eastAsia="宋体" w:cs="宋体"/>
          <w:kern w:val="2"/>
          <w:sz w:val="32"/>
          <w:szCs w:val="32"/>
        </w:rPr>
      </w:pPr>
    </w:p>
    <w:p w14:paraId="68318AC5">
      <w:pPr>
        <w:pStyle w:val="704"/>
        <w:keepNext w:val="0"/>
        <w:pageBreakBefore w:val="0"/>
        <w:tabs>
          <w:tab w:val="clear" w:pos="720"/>
        </w:tabs>
        <w:snapToGrid w:val="0"/>
        <w:spacing w:before="120" w:after="120"/>
        <w:outlineLvl w:val="9"/>
        <w:rPr>
          <w:rFonts w:ascii="宋体" w:hAnsi="宋体" w:eastAsia="宋体" w:cs="宋体"/>
          <w:kern w:val="2"/>
          <w:sz w:val="32"/>
          <w:szCs w:val="32"/>
        </w:rPr>
      </w:pPr>
      <w:r>
        <w:rPr>
          <w:rFonts w:hint="eastAsia" w:ascii="宋体" w:hAnsi="宋体" w:eastAsia="宋体" w:cs="宋体"/>
          <w:kern w:val="2"/>
          <w:sz w:val="32"/>
          <w:szCs w:val="32"/>
        </w:rPr>
        <w:t>一、开标一览表（报价表）</w:t>
      </w:r>
    </w:p>
    <w:p w14:paraId="6844E7E0">
      <w:pPr>
        <w:pStyle w:val="63"/>
        <w:ind w:left="0" w:leftChars="0" w:firstLine="0" w:firstLineChars="0"/>
        <w:rPr>
          <w:rFonts w:cs="宋体"/>
          <w:b/>
          <w:sz w:val="28"/>
          <w:szCs w:val="28"/>
        </w:rPr>
      </w:pPr>
      <w:r>
        <w:rPr>
          <w:rFonts w:hint="eastAsia" w:cs="宋体"/>
          <w:b/>
          <w:sz w:val="28"/>
          <w:szCs w:val="28"/>
        </w:rPr>
        <w:t>项目名称：诸暨市基层应急消防保障点提质升级设备采购项目</w:t>
      </w:r>
    </w:p>
    <w:p w14:paraId="32C294DF">
      <w:pPr>
        <w:pStyle w:val="63"/>
        <w:ind w:left="0" w:leftChars="0" w:firstLine="0" w:firstLineChars="0"/>
        <w:rPr>
          <w:rFonts w:cs="宋体"/>
          <w:sz w:val="28"/>
          <w:szCs w:val="28"/>
        </w:rPr>
      </w:pPr>
      <w:r>
        <w:rPr>
          <w:rFonts w:hint="eastAsia" w:cs="宋体"/>
          <w:b/>
          <w:sz w:val="28"/>
          <w:szCs w:val="28"/>
        </w:rPr>
        <w:t>项目编号：330681261610010000007-诸正开2026-05-17</w:t>
      </w:r>
    </w:p>
    <w:tbl>
      <w:tblPr>
        <w:tblStyle w:val="64"/>
        <w:tblW w:w="9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960"/>
        <w:gridCol w:w="1793"/>
        <w:gridCol w:w="2760"/>
        <w:gridCol w:w="930"/>
        <w:gridCol w:w="1110"/>
        <w:gridCol w:w="1500"/>
      </w:tblGrid>
      <w:tr w14:paraId="55FD5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789" w:type="dxa"/>
            <w:noWrap/>
            <w:vAlign w:val="center"/>
          </w:tcPr>
          <w:p w14:paraId="285ED2B9">
            <w:pPr>
              <w:spacing w:line="360" w:lineRule="auto"/>
              <w:jc w:val="center"/>
              <w:rPr>
                <w:rFonts w:ascii="宋体" w:hAnsi="宋体" w:cs="宋体"/>
                <w:b/>
                <w:sz w:val="24"/>
              </w:rPr>
            </w:pPr>
            <w:r>
              <w:rPr>
                <w:rFonts w:hint="eastAsia" w:ascii="宋体" w:hAnsi="宋体" w:cs="宋体"/>
                <w:b/>
                <w:sz w:val="24"/>
              </w:rPr>
              <w:t>序号</w:t>
            </w:r>
          </w:p>
        </w:tc>
        <w:tc>
          <w:tcPr>
            <w:tcW w:w="960" w:type="dxa"/>
            <w:noWrap/>
            <w:vAlign w:val="center"/>
          </w:tcPr>
          <w:p w14:paraId="61F7C0ED">
            <w:pPr>
              <w:spacing w:line="360" w:lineRule="auto"/>
              <w:jc w:val="center"/>
              <w:rPr>
                <w:rFonts w:ascii="宋体" w:hAnsi="宋体" w:cs="宋体"/>
                <w:b/>
                <w:sz w:val="24"/>
              </w:rPr>
            </w:pPr>
            <w:r>
              <w:rPr>
                <w:rFonts w:hint="eastAsia" w:ascii="宋体" w:hAnsi="宋体" w:cs="宋体"/>
                <w:b/>
                <w:sz w:val="24"/>
              </w:rPr>
              <w:t>名称</w:t>
            </w:r>
          </w:p>
        </w:tc>
        <w:tc>
          <w:tcPr>
            <w:tcW w:w="1793" w:type="dxa"/>
            <w:noWrap/>
          </w:tcPr>
          <w:p w14:paraId="5536CB1E">
            <w:pPr>
              <w:spacing w:line="360" w:lineRule="auto"/>
              <w:jc w:val="center"/>
              <w:rPr>
                <w:rFonts w:ascii="宋体" w:hAnsi="宋体" w:cs="宋体"/>
                <w:b/>
                <w:sz w:val="24"/>
              </w:rPr>
            </w:pPr>
          </w:p>
          <w:p w14:paraId="46190CB1">
            <w:pPr>
              <w:spacing w:line="360" w:lineRule="auto"/>
              <w:jc w:val="center"/>
              <w:rPr>
                <w:rFonts w:ascii="宋体" w:hAnsi="宋体" w:cs="宋体"/>
                <w:b/>
                <w:sz w:val="24"/>
              </w:rPr>
            </w:pPr>
            <w:r>
              <w:rPr>
                <w:rFonts w:hint="eastAsia" w:ascii="宋体" w:hAnsi="宋体" w:cs="宋体"/>
                <w:b/>
                <w:sz w:val="24"/>
              </w:rPr>
              <w:t>品牌（如果有）</w:t>
            </w:r>
          </w:p>
        </w:tc>
        <w:tc>
          <w:tcPr>
            <w:tcW w:w="2760" w:type="dxa"/>
            <w:noWrap/>
            <w:vAlign w:val="center"/>
          </w:tcPr>
          <w:p w14:paraId="61A9A91B">
            <w:pPr>
              <w:spacing w:line="360" w:lineRule="auto"/>
              <w:jc w:val="center"/>
              <w:rPr>
                <w:rFonts w:ascii="宋体" w:hAnsi="宋体" w:cs="宋体"/>
                <w:b/>
                <w:sz w:val="24"/>
              </w:rPr>
            </w:pPr>
            <w:r>
              <w:rPr>
                <w:rFonts w:hint="eastAsia" w:ascii="宋体" w:hAnsi="宋体" w:cs="宋体"/>
                <w:b/>
                <w:sz w:val="24"/>
              </w:rPr>
              <w:t>规格型号（或具体服务）</w:t>
            </w:r>
          </w:p>
        </w:tc>
        <w:tc>
          <w:tcPr>
            <w:tcW w:w="930" w:type="dxa"/>
            <w:noWrap/>
            <w:vAlign w:val="center"/>
          </w:tcPr>
          <w:p w14:paraId="369CEA40">
            <w:pPr>
              <w:spacing w:line="360" w:lineRule="auto"/>
              <w:jc w:val="center"/>
              <w:rPr>
                <w:rFonts w:ascii="宋体" w:hAnsi="宋体" w:cs="宋体"/>
                <w:b/>
                <w:sz w:val="24"/>
              </w:rPr>
            </w:pPr>
            <w:r>
              <w:rPr>
                <w:rFonts w:hint="eastAsia" w:ascii="宋体" w:hAnsi="宋体" w:cs="宋体"/>
                <w:b/>
                <w:sz w:val="24"/>
              </w:rPr>
              <w:t>数量</w:t>
            </w:r>
          </w:p>
        </w:tc>
        <w:tc>
          <w:tcPr>
            <w:tcW w:w="1110" w:type="dxa"/>
            <w:noWrap/>
            <w:vAlign w:val="center"/>
          </w:tcPr>
          <w:p w14:paraId="6D3C9359">
            <w:pPr>
              <w:spacing w:line="360" w:lineRule="auto"/>
              <w:jc w:val="center"/>
              <w:rPr>
                <w:rFonts w:ascii="宋体" w:hAnsi="宋体" w:cs="宋体"/>
                <w:b/>
                <w:sz w:val="24"/>
              </w:rPr>
            </w:pPr>
            <w:r>
              <w:rPr>
                <w:rFonts w:hint="eastAsia" w:ascii="宋体" w:hAnsi="宋体" w:cs="宋体"/>
                <w:b/>
                <w:sz w:val="24"/>
              </w:rPr>
              <w:t>单价</w:t>
            </w:r>
          </w:p>
        </w:tc>
        <w:tc>
          <w:tcPr>
            <w:tcW w:w="1500" w:type="dxa"/>
            <w:noWrap/>
            <w:vAlign w:val="center"/>
          </w:tcPr>
          <w:p w14:paraId="005A3484">
            <w:pPr>
              <w:spacing w:line="360" w:lineRule="auto"/>
              <w:jc w:val="center"/>
              <w:rPr>
                <w:rFonts w:ascii="宋体" w:hAnsi="宋体" w:cs="宋体"/>
                <w:b/>
                <w:sz w:val="24"/>
              </w:rPr>
            </w:pPr>
            <w:r>
              <w:rPr>
                <w:rFonts w:hint="eastAsia" w:ascii="宋体" w:hAnsi="宋体" w:cs="宋体"/>
                <w:b/>
                <w:sz w:val="24"/>
              </w:rPr>
              <w:t>小计</w:t>
            </w:r>
          </w:p>
        </w:tc>
      </w:tr>
      <w:tr w14:paraId="33F0F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89" w:type="dxa"/>
            <w:noWrap/>
            <w:vAlign w:val="center"/>
          </w:tcPr>
          <w:p w14:paraId="7342BCC9">
            <w:pPr>
              <w:spacing w:line="360" w:lineRule="auto"/>
              <w:jc w:val="center"/>
              <w:rPr>
                <w:rFonts w:ascii="宋体" w:hAnsi="宋体" w:cs="宋体"/>
                <w:sz w:val="24"/>
              </w:rPr>
            </w:pPr>
            <w:r>
              <w:rPr>
                <w:rFonts w:hint="eastAsia" w:ascii="宋体" w:hAnsi="宋体" w:cs="宋体"/>
                <w:sz w:val="24"/>
              </w:rPr>
              <w:t>1</w:t>
            </w:r>
          </w:p>
        </w:tc>
        <w:tc>
          <w:tcPr>
            <w:tcW w:w="960" w:type="dxa"/>
            <w:noWrap/>
            <w:vAlign w:val="center"/>
          </w:tcPr>
          <w:p w14:paraId="4FEB983E">
            <w:pPr>
              <w:snapToGrid w:val="0"/>
              <w:spacing w:line="360" w:lineRule="auto"/>
              <w:jc w:val="center"/>
              <w:rPr>
                <w:rFonts w:ascii="宋体" w:hAnsi="宋体" w:cs="宋体"/>
                <w:sz w:val="24"/>
              </w:rPr>
            </w:pPr>
          </w:p>
        </w:tc>
        <w:tc>
          <w:tcPr>
            <w:tcW w:w="1793" w:type="dxa"/>
            <w:noWrap/>
            <w:vAlign w:val="center"/>
          </w:tcPr>
          <w:p w14:paraId="5436A013">
            <w:pPr>
              <w:snapToGrid w:val="0"/>
              <w:spacing w:line="360" w:lineRule="auto"/>
              <w:jc w:val="center"/>
              <w:rPr>
                <w:rFonts w:ascii="宋体" w:hAnsi="宋体" w:cs="宋体"/>
                <w:sz w:val="24"/>
              </w:rPr>
            </w:pPr>
          </w:p>
        </w:tc>
        <w:tc>
          <w:tcPr>
            <w:tcW w:w="2760" w:type="dxa"/>
            <w:noWrap/>
            <w:vAlign w:val="center"/>
          </w:tcPr>
          <w:p w14:paraId="42728844">
            <w:pPr>
              <w:snapToGrid w:val="0"/>
              <w:spacing w:line="360" w:lineRule="auto"/>
              <w:jc w:val="center"/>
              <w:rPr>
                <w:rFonts w:ascii="宋体" w:hAnsi="宋体" w:cs="宋体"/>
                <w:sz w:val="24"/>
              </w:rPr>
            </w:pPr>
          </w:p>
        </w:tc>
        <w:tc>
          <w:tcPr>
            <w:tcW w:w="930" w:type="dxa"/>
            <w:noWrap/>
            <w:vAlign w:val="center"/>
          </w:tcPr>
          <w:p w14:paraId="5A05B831">
            <w:pPr>
              <w:snapToGrid w:val="0"/>
              <w:spacing w:line="360" w:lineRule="auto"/>
              <w:jc w:val="center"/>
              <w:rPr>
                <w:rFonts w:ascii="宋体" w:hAnsi="宋体" w:cs="宋体"/>
                <w:sz w:val="24"/>
              </w:rPr>
            </w:pPr>
          </w:p>
        </w:tc>
        <w:tc>
          <w:tcPr>
            <w:tcW w:w="1110" w:type="dxa"/>
            <w:noWrap/>
            <w:vAlign w:val="center"/>
          </w:tcPr>
          <w:p w14:paraId="673E34CA">
            <w:pPr>
              <w:spacing w:line="360" w:lineRule="auto"/>
              <w:jc w:val="center"/>
              <w:rPr>
                <w:rFonts w:ascii="宋体" w:hAnsi="宋体" w:cs="宋体"/>
                <w:sz w:val="24"/>
              </w:rPr>
            </w:pPr>
          </w:p>
        </w:tc>
        <w:tc>
          <w:tcPr>
            <w:tcW w:w="1500" w:type="dxa"/>
            <w:noWrap/>
            <w:vAlign w:val="center"/>
          </w:tcPr>
          <w:p w14:paraId="257BB18F">
            <w:pPr>
              <w:spacing w:line="360" w:lineRule="auto"/>
              <w:jc w:val="center"/>
              <w:rPr>
                <w:rFonts w:ascii="宋体" w:hAnsi="宋体" w:cs="宋体"/>
                <w:sz w:val="24"/>
              </w:rPr>
            </w:pPr>
          </w:p>
        </w:tc>
      </w:tr>
      <w:tr w14:paraId="6B13F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89" w:type="dxa"/>
            <w:noWrap/>
            <w:vAlign w:val="center"/>
          </w:tcPr>
          <w:p w14:paraId="04952616">
            <w:pPr>
              <w:spacing w:line="360" w:lineRule="auto"/>
              <w:jc w:val="center"/>
              <w:rPr>
                <w:rFonts w:ascii="宋体" w:hAnsi="宋体" w:cs="宋体"/>
                <w:sz w:val="24"/>
              </w:rPr>
            </w:pPr>
            <w:r>
              <w:rPr>
                <w:rFonts w:hint="eastAsia" w:ascii="宋体" w:hAnsi="宋体" w:cs="宋体"/>
                <w:sz w:val="24"/>
              </w:rPr>
              <w:t>2</w:t>
            </w:r>
          </w:p>
        </w:tc>
        <w:tc>
          <w:tcPr>
            <w:tcW w:w="960" w:type="dxa"/>
            <w:noWrap/>
            <w:vAlign w:val="center"/>
          </w:tcPr>
          <w:p w14:paraId="0E963B60">
            <w:pPr>
              <w:snapToGrid w:val="0"/>
              <w:spacing w:line="360" w:lineRule="auto"/>
              <w:jc w:val="center"/>
              <w:rPr>
                <w:rFonts w:ascii="宋体" w:hAnsi="宋体" w:cs="宋体"/>
                <w:sz w:val="24"/>
              </w:rPr>
            </w:pPr>
          </w:p>
        </w:tc>
        <w:tc>
          <w:tcPr>
            <w:tcW w:w="1793" w:type="dxa"/>
            <w:noWrap/>
            <w:vAlign w:val="center"/>
          </w:tcPr>
          <w:p w14:paraId="1512E5D1">
            <w:pPr>
              <w:snapToGrid w:val="0"/>
              <w:spacing w:line="360" w:lineRule="auto"/>
              <w:jc w:val="center"/>
              <w:rPr>
                <w:rFonts w:ascii="宋体" w:hAnsi="宋体" w:cs="宋体"/>
                <w:sz w:val="24"/>
              </w:rPr>
            </w:pPr>
          </w:p>
        </w:tc>
        <w:tc>
          <w:tcPr>
            <w:tcW w:w="2760" w:type="dxa"/>
            <w:noWrap/>
            <w:vAlign w:val="center"/>
          </w:tcPr>
          <w:p w14:paraId="23DB7EE0">
            <w:pPr>
              <w:snapToGrid w:val="0"/>
              <w:spacing w:line="360" w:lineRule="auto"/>
              <w:jc w:val="center"/>
              <w:rPr>
                <w:rFonts w:ascii="宋体" w:hAnsi="宋体" w:cs="宋体"/>
                <w:sz w:val="24"/>
              </w:rPr>
            </w:pPr>
          </w:p>
        </w:tc>
        <w:tc>
          <w:tcPr>
            <w:tcW w:w="930" w:type="dxa"/>
            <w:noWrap/>
            <w:vAlign w:val="center"/>
          </w:tcPr>
          <w:p w14:paraId="29BAD047">
            <w:pPr>
              <w:snapToGrid w:val="0"/>
              <w:spacing w:line="360" w:lineRule="auto"/>
              <w:jc w:val="center"/>
              <w:rPr>
                <w:rFonts w:ascii="宋体" w:hAnsi="宋体" w:cs="宋体"/>
                <w:sz w:val="24"/>
              </w:rPr>
            </w:pPr>
          </w:p>
        </w:tc>
        <w:tc>
          <w:tcPr>
            <w:tcW w:w="1110" w:type="dxa"/>
            <w:noWrap/>
            <w:vAlign w:val="center"/>
          </w:tcPr>
          <w:p w14:paraId="44259652">
            <w:pPr>
              <w:spacing w:line="360" w:lineRule="auto"/>
              <w:jc w:val="center"/>
              <w:rPr>
                <w:rFonts w:ascii="宋体" w:hAnsi="宋体" w:cs="宋体"/>
                <w:sz w:val="24"/>
              </w:rPr>
            </w:pPr>
          </w:p>
        </w:tc>
        <w:tc>
          <w:tcPr>
            <w:tcW w:w="1500" w:type="dxa"/>
            <w:noWrap/>
            <w:vAlign w:val="center"/>
          </w:tcPr>
          <w:p w14:paraId="43E4B76F">
            <w:pPr>
              <w:spacing w:line="360" w:lineRule="auto"/>
              <w:jc w:val="center"/>
              <w:rPr>
                <w:rFonts w:ascii="宋体" w:hAnsi="宋体" w:cs="宋体"/>
                <w:sz w:val="24"/>
              </w:rPr>
            </w:pPr>
          </w:p>
        </w:tc>
      </w:tr>
      <w:tr w14:paraId="5D0E0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89" w:type="dxa"/>
            <w:noWrap/>
            <w:vAlign w:val="center"/>
          </w:tcPr>
          <w:p w14:paraId="65F4B823">
            <w:pPr>
              <w:spacing w:line="360" w:lineRule="auto"/>
              <w:jc w:val="center"/>
              <w:rPr>
                <w:rFonts w:ascii="宋体" w:hAnsi="宋体" w:cs="宋体"/>
                <w:sz w:val="24"/>
              </w:rPr>
            </w:pPr>
            <w:r>
              <w:rPr>
                <w:rFonts w:hint="eastAsia" w:ascii="宋体" w:hAnsi="宋体" w:cs="宋体"/>
                <w:sz w:val="24"/>
              </w:rPr>
              <w:t>…</w:t>
            </w:r>
          </w:p>
        </w:tc>
        <w:tc>
          <w:tcPr>
            <w:tcW w:w="960" w:type="dxa"/>
            <w:noWrap/>
            <w:vAlign w:val="center"/>
          </w:tcPr>
          <w:p w14:paraId="24E982F3">
            <w:pPr>
              <w:snapToGrid w:val="0"/>
              <w:spacing w:line="360" w:lineRule="auto"/>
              <w:jc w:val="center"/>
              <w:rPr>
                <w:rFonts w:ascii="宋体" w:hAnsi="宋体" w:cs="宋体"/>
                <w:sz w:val="24"/>
              </w:rPr>
            </w:pPr>
          </w:p>
        </w:tc>
        <w:tc>
          <w:tcPr>
            <w:tcW w:w="1793" w:type="dxa"/>
            <w:noWrap/>
            <w:vAlign w:val="center"/>
          </w:tcPr>
          <w:p w14:paraId="2B9CCCAA">
            <w:pPr>
              <w:snapToGrid w:val="0"/>
              <w:spacing w:line="360" w:lineRule="auto"/>
              <w:jc w:val="center"/>
              <w:rPr>
                <w:rFonts w:ascii="宋体" w:hAnsi="宋体" w:cs="宋体"/>
                <w:sz w:val="24"/>
              </w:rPr>
            </w:pPr>
          </w:p>
        </w:tc>
        <w:tc>
          <w:tcPr>
            <w:tcW w:w="2760" w:type="dxa"/>
            <w:noWrap/>
            <w:vAlign w:val="center"/>
          </w:tcPr>
          <w:p w14:paraId="0D29DFDB">
            <w:pPr>
              <w:snapToGrid w:val="0"/>
              <w:spacing w:line="360" w:lineRule="auto"/>
              <w:jc w:val="center"/>
              <w:rPr>
                <w:rFonts w:ascii="宋体" w:hAnsi="宋体" w:cs="宋体"/>
                <w:sz w:val="24"/>
              </w:rPr>
            </w:pPr>
          </w:p>
        </w:tc>
        <w:tc>
          <w:tcPr>
            <w:tcW w:w="930" w:type="dxa"/>
            <w:noWrap/>
            <w:vAlign w:val="center"/>
          </w:tcPr>
          <w:p w14:paraId="2AE26FCA">
            <w:pPr>
              <w:snapToGrid w:val="0"/>
              <w:spacing w:line="360" w:lineRule="auto"/>
              <w:jc w:val="center"/>
              <w:rPr>
                <w:rFonts w:ascii="宋体" w:hAnsi="宋体" w:cs="宋体"/>
                <w:sz w:val="24"/>
              </w:rPr>
            </w:pPr>
          </w:p>
        </w:tc>
        <w:tc>
          <w:tcPr>
            <w:tcW w:w="1110" w:type="dxa"/>
            <w:noWrap/>
            <w:vAlign w:val="center"/>
          </w:tcPr>
          <w:p w14:paraId="2597C410">
            <w:pPr>
              <w:spacing w:line="360" w:lineRule="auto"/>
              <w:jc w:val="center"/>
              <w:rPr>
                <w:rFonts w:ascii="宋体" w:hAnsi="宋体" w:cs="宋体"/>
                <w:sz w:val="24"/>
              </w:rPr>
            </w:pPr>
          </w:p>
        </w:tc>
        <w:tc>
          <w:tcPr>
            <w:tcW w:w="1500" w:type="dxa"/>
            <w:noWrap/>
            <w:vAlign w:val="center"/>
          </w:tcPr>
          <w:p w14:paraId="0A24B40A">
            <w:pPr>
              <w:spacing w:line="360" w:lineRule="auto"/>
              <w:jc w:val="center"/>
              <w:rPr>
                <w:rFonts w:ascii="宋体" w:hAnsi="宋体" w:cs="宋体"/>
                <w:sz w:val="24"/>
              </w:rPr>
            </w:pPr>
          </w:p>
        </w:tc>
      </w:tr>
      <w:tr w14:paraId="261ED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842" w:type="dxa"/>
            <w:gridSpan w:val="7"/>
            <w:noWrap/>
            <w:vAlign w:val="center"/>
          </w:tcPr>
          <w:p w14:paraId="1F26ED7E">
            <w:pPr>
              <w:jc w:val="center"/>
              <w:rPr>
                <w:rFonts w:ascii="宋体" w:hAnsi="宋体" w:cs="宋体"/>
                <w:sz w:val="24"/>
              </w:rPr>
            </w:pPr>
            <w:r>
              <w:rPr>
                <w:rFonts w:hint="eastAsia" w:ascii="宋体" w:hAnsi="宋体" w:cs="宋体"/>
                <w:b/>
                <w:sz w:val="24"/>
              </w:rPr>
              <w:t>投标总报价（小写）：</w:t>
            </w:r>
          </w:p>
        </w:tc>
      </w:tr>
      <w:tr w14:paraId="6A8D5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842" w:type="dxa"/>
            <w:gridSpan w:val="7"/>
            <w:noWrap/>
            <w:vAlign w:val="center"/>
          </w:tcPr>
          <w:p w14:paraId="38ED6EF1">
            <w:pPr>
              <w:jc w:val="center"/>
              <w:rPr>
                <w:rFonts w:ascii="宋体" w:hAnsi="宋体" w:cs="宋体"/>
                <w:sz w:val="24"/>
              </w:rPr>
            </w:pPr>
            <w:r>
              <w:rPr>
                <w:rFonts w:hint="eastAsia" w:ascii="宋体" w:hAnsi="宋体" w:cs="宋体"/>
                <w:b/>
                <w:sz w:val="24"/>
              </w:rPr>
              <w:t>投标总报价（大写）：</w:t>
            </w:r>
          </w:p>
        </w:tc>
      </w:tr>
    </w:tbl>
    <w:p w14:paraId="2F49DCB6">
      <w:pPr>
        <w:snapToGrid w:val="0"/>
        <w:spacing w:line="360" w:lineRule="auto"/>
        <w:ind w:firstLine="482" w:firstLineChars="200"/>
        <w:rPr>
          <w:rFonts w:ascii="宋体" w:hAnsi="宋体" w:cs="宋体"/>
          <w:b/>
          <w:kern w:val="0"/>
          <w:sz w:val="24"/>
          <w:lang w:val="zh-CN"/>
        </w:rPr>
      </w:pPr>
    </w:p>
    <w:p w14:paraId="31E5F807">
      <w:pPr>
        <w:snapToGrid w:val="0"/>
        <w:spacing w:line="360" w:lineRule="auto"/>
        <w:ind w:firstLine="482" w:firstLineChars="200"/>
        <w:rPr>
          <w:rFonts w:ascii="宋体" w:hAnsi="宋体" w:cs="宋体"/>
          <w:b/>
          <w:kern w:val="0"/>
          <w:sz w:val="24"/>
          <w:lang w:val="zh-CN"/>
        </w:rPr>
      </w:pPr>
      <w:r>
        <w:rPr>
          <w:rFonts w:hint="eastAsia" w:ascii="宋体" w:hAnsi="宋体" w:cs="宋体"/>
          <w:b/>
          <w:kern w:val="0"/>
          <w:sz w:val="24"/>
          <w:lang w:val="zh-CN"/>
        </w:rPr>
        <w:t>投标人名称（电子签名）：</w:t>
      </w:r>
    </w:p>
    <w:p w14:paraId="22BCE558">
      <w:pPr>
        <w:snapToGrid w:val="0"/>
        <w:spacing w:line="360" w:lineRule="auto"/>
        <w:ind w:firstLine="482" w:firstLineChars="200"/>
        <w:rPr>
          <w:rFonts w:ascii="宋体" w:hAnsi="宋体" w:cs="宋体"/>
          <w:b/>
          <w:kern w:val="0"/>
          <w:sz w:val="24"/>
          <w:lang w:val="zh-CN"/>
        </w:rPr>
      </w:pPr>
      <w:r>
        <w:rPr>
          <w:rFonts w:hint="eastAsia" w:ascii="宋体" w:hAnsi="宋体" w:cs="宋体"/>
          <w:b/>
          <w:kern w:val="0"/>
          <w:sz w:val="24"/>
          <w:lang w:val="zh-CN"/>
        </w:rPr>
        <w:t>日  期：</w:t>
      </w:r>
    </w:p>
    <w:p w14:paraId="0AB9973A">
      <w:pPr>
        <w:snapToGrid w:val="0"/>
        <w:spacing w:line="360" w:lineRule="auto"/>
        <w:ind w:left="480"/>
        <w:rPr>
          <w:rFonts w:ascii="宋体" w:hAnsi="宋体" w:cs="宋体"/>
          <w:b/>
          <w:kern w:val="0"/>
          <w:sz w:val="24"/>
          <w:lang w:val="zh-CN"/>
        </w:rPr>
      </w:pPr>
      <w:r>
        <w:rPr>
          <w:rFonts w:hint="eastAsia" w:ascii="宋体" w:hAnsi="宋体" w:cs="宋体"/>
          <w:b/>
          <w:kern w:val="0"/>
          <w:sz w:val="24"/>
          <w:lang w:val="zh-CN"/>
        </w:rPr>
        <w:t>注：</w:t>
      </w:r>
    </w:p>
    <w:p w14:paraId="7722E70B">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1、投标人需按本表格式填写。</w:t>
      </w:r>
    </w:p>
    <w:p w14:paraId="3B2B7137">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采购人将以合同形式有偿取得货物或服务，不接受投标人给予的赠品、回扣或者与采购无关的其他商品、服务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投标文件含有采购人不能接受的附加条件的，投标无效</w:t>
      </w:r>
      <w:r>
        <w:rPr>
          <w:rFonts w:hint="eastAsia" w:ascii="宋体" w:hAnsi="宋体" w:cs="宋体"/>
          <w:b/>
          <w:kern w:val="0"/>
          <w:sz w:val="24"/>
          <w:lang w:val="zh-CN"/>
        </w:rPr>
        <w:t>。</w:t>
      </w:r>
    </w:p>
    <w:p w14:paraId="7A25F16C">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3、以上表格要求细分项目及报价，在“规格型号（或具体服务）”一栏中，货物类项目填写规格型号，服务类项目填写具体服务。</w:t>
      </w:r>
    </w:p>
    <w:p w14:paraId="2E2E23D2">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4、特别提示：采购代理机构将对项目名称和项目编号，中标供应商名称、地址和中标金额，主要中标标的的名称、规格型号、数量、单价、服务要求等予以公示。</w:t>
      </w:r>
    </w:p>
    <w:p w14:paraId="69090091">
      <w:pPr>
        <w:snapToGrid w:val="0"/>
        <w:spacing w:line="360" w:lineRule="auto"/>
        <w:ind w:firstLine="482" w:firstLineChars="200"/>
        <w:jc w:val="left"/>
        <w:rPr>
          <w:rFonts w:ascii="宋体" w:hAnsi="宋体" w:cs="宋体"/>
          <w:b/>
          <w:bCs/>
          <w:kern w:val="0"/>
          <w:sz w:val="24"/>
        </w:rPr>
      </w:pPr>
      <w:r>
        <w:rPr>
          <w:rFonts w:hint="eastAsia" w:ascii="宋体" w:hAnsi="宋体" w:cs="宋体"/>
          <w:b/>
          <w:bCs/>
          <w:kern w:val="0"/>
          <w:sz w:val="24"/>
          <w:lang w:val="zh-CN"/>
        </w:rPr>
        <w:t>5、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728D6805">
      <w:pPr>
        <w:pStyle w:val="704"/>
        <w:keepNext w:val="0"/>
        <w:pageBreakBefore w:val="0"/>
        <w:tabs>
          <w:tab w:val="clear" w:pos="720"/>
        </w:tabs>
        <w:snapToGrid w:val="0"/>
        <w:spacing w:before="120" w:after="120"/>
        <w:outlineLvl w:val="9"/>
        <w:rPr>
          <w:rFonts w:ascii="宋体" w:hAnsi="宋体" w:eastAsia="宋体" w:cs="宋体"/>
          <w:sz w:val="32"/>
          <w:szCs w:val="32"/>
        </w:rPr>
      </w:pPr>
      <w:r>
        <w:rPr>
          <w:rFonts w:hint="eastAsia" w:ascii="宋体" w:hAnsi="宋体" w:eastAsia="宋体" w:cs="宋体"/>
          <w:kern w:val="2"/>
          <w:sz w:val="32"/>
          <w:szCs w:val="32"/>
        </w:rPr>
        <w:t>二、</w:t>
      </w:r>
      <w:r>
        <w:rPr>
          <w:rFonts w:hint="eastAsia" w:ascii="宋体" w:hAnsi="宋体" w:eastAsia="宋体" w:cs="宋体"/>
          <w:sz w:val="32"/>
          <w:szCs w:val="32"/>
        </w:rPr>
        <w:t>中小企业声明函</w:t>
      </w:r>
    </w:p>
    <w:p w14:paraId="2BDC3B2D">
      <w:pPr>
        <w:widowControl/>
        <w:spacing w:line="420" w:lineRule="exact"/>
        <w:ind w:firstLine="120" w:firstLineChars="50"/>
        <w:jc w:val="left"/>
        <w:rPr>
          <w:rFonts w:ascii="宋体" w:hAnsi="宋体" w:cs="宋体"/>
          <w:b/>
          <w:sz w:val="24"/>
        </w:rPr>
      </w:pPr>
      <w:r>
        <w:rPr>
          <w:rFonts w:hint="eastAsia" w:ascii="宋体" w:hAnsi="宋体" w:cs="宋体"/>
          <w:b/>
          <w:sz w:val="24"/>
        </w:rPr>
        <w:t>[招标公告落实政府采购政策需满足的资格要求为“无”即本项目或标项未预留份额专门面向中小企业时，符合《政府采购促进中小企业发展管理办法》规定的小微企业拟享受价格扣除政策的，需提供中小企业声明函（附件4）。]</w:t>
      </w:r>
    </w:p>
    <w:p w14:paraId="2FFD59A9">
      <w:pPr>
        <w:pStyle w:val="704"/>
        <w:keepNext w:val="0"/>
        <w:pageBreakBefore w:val="0"/>
        <w:tabs>
          <w:tab w:val="clear" w:pos="720"/>
        </w:tabs>
        <w:snapToGrid w:val="0"/>
        <w:spacing w:line="420" w:lineRule="exact"/>
        <w:ind w:firstLine="643"/>
        <w:outlineLvl w:val="9"/>
        <w:rPr>
          <w:rFonts w:ascii="宋体" w:hAnsi="宋体" w:eastAsia="宋体" w:cs="宋体"/>
          <w:b w:val="0"/>
          <w:sz w:val="32"/>
          <w:szCs w:val="32"/>
        </w:rPr>
      </w:pPr>
    </w:p>
    <w:p w14:paraId="49326EDC">
      <w:pPr>
        <w:spacing w:line="360" w:lineRule="auto"/>
        <w:ind w:right="420" w:firstLine="3614" w:firstLineChars="1000"/>
        <w:rPr>
          <w:rFonts w:ascii="宋体" w:hAnsi="宋体" w:cs="宋体"/>
          <w:b/>
          <w:kern w:val="0"/>
          <w:sz w:val="36"/>
          <w:szCs w:val="36"/>
        </w:rPr>
      </w:pPr>
    </w:p>
    <w:p w14:paraId="416AAB2D">
      <w:pPr>
        <w:spacing w:line="360" w:lineRule="auto"/>
        <w:ind w:right="420" w:firstLine="3614" w:firstLineChars="1000"/>
        <w:rPr>
          <w:rFonts w:ascii="宋体" w:hAnsi="宋体" w:cs="宋体"/>
          <w:b/>
          <w:kern w:val="0"/>
          <w:sz w:val="36"/>
          <w:szCs w:val="36"/>
        </w:rPr>
      </w:pPr>
    </w:p>
    <w:p w14:paraId="760B5098">
      <w:pPr>
        <w:spacing w:line="360" w:lineRule="auto"/>
        <w:ind w:right="420" w:firstLine="3614" w:firstLineChars="1000"/>
        <w:rPr>
          <w:rFonts w:ascii="宋体" w:hAnsi="宋体" w:cs="宋体"/>
          <w:b/>
          <w:kern w:val="0"/>
          <w:sz w:val="36"/>
          <w:szCs w:val="36"/>
        </w:rPr>
        <w:sectPr>
          <w:headerReference r:id="rId21" w:type="default"/>
          <w:footerReference r:id="rId22" w:type="default"/>
          <w:pgSz w:w="11906" w:h="16838"/>
          <w:pgMar w:top="1440" w:right="1633" w:bottom="1440" w:left="1633" w:header="1077" w:footer="992" w:gutter="0"/>
          <w:cols w:space="425" w:num="1"/>
          <w:docGrid w:type="lines" w:linePitch="312" w:charSpace="0"/>
        </w:sectPr>
      </w:pPr>
    </w:p>
    <w:p w14:paraId="39873B7E">
      <w:pPr>
        <w:pStyle w:val="704"/>
        <w:keepNext w:val="0"/>
        <w:pageBreakBefore w:val="0"/>
        <w:tabs>
          <w:tab w:val="clear" w:pos="720"/>
        </w:tabs>
        <w:snapToGrid w:val="0"/>
        <w:spacing w:before="120" w:after="120"/>
        <w:ind w:firstLine="643"/>
        <w:outlineLvl w:val="9"/>
        <w:rPr>
          <w:rFonts w:ascii="仿宋" w:hAnsi="仿宋" w:eastAsia="仿宋" w:cs="仿宋"/>
          <w:kern w:val="2"/>
          <w:sz w:val="32"/>
          <w:szCs w:val="32"/>
        </w:rPr>
      </w:pPr>
      <w:r>
        <w:rPr>
          <w:rFonts w:hint="eastAsia" w:ascii="仿宋" w:hAnsi="仿宋" w:eastAsia="仿宋"/>
          <w:kern w:val="2"/>
          <w:sz w:val="32"/>
          <w:szCs w:val="32"/>
        </w:rPr>
        <w:t>三、</w:t>
      </w:r>
      <w:r>
        <w:rPr>
          <w:rFonts w:hint="eastAsia" w:ascii="仿宋" w:hAnsi="仿宋" w:eastAsia="仿宋" w:cs="仿宋"/>
          <w:kern w:val="2"/>
          <w:sz w:val="32"/>
          <w:szCs w:val="32"/>
        </w:rPr>
        <w:t>关于符合本国产品标准的声明函</w:t>
      </w:r>
    </w:p>
    <w:p w14:paraId="277067AB">
      <w:pPr>
        <w:widowControl/>
        <w:spacing w:line="420" w:lineRule="exact"/>
        <w:ind w:firstLine="120" w:firstLineChars="50"/>
        <w:jc w:val="left"/>
        <w:rPr>
          <w:rFonts w:ascii="仿宋" w:hAnsi="仿宋" w:eastAsia="仿宋" w:cs="仿宋"/>
          <w:b/>
          <w:sz w:val="24"/>
        </w:rPr>
      </w:pPr>
      <w:r>
        <w:rPr>
          <w:rFonts w:hint="eastAsia" w:ascii="仿宋" w:hAnsi="仿宋" w:eastAsia="仿宋" w:cs="仿宋"/>
          <w:b/>
          <w:sz w:val="24"/>
        </w:rPr>
        <w:t>[政府采购活动中既有本国产品又有非本国产品参与竞争的，依法对本国产品给予价格评审优惠，对本国产品的报价给予20%的价格扣除，用扣除后的价格参与评审。可享受国产产品价格评审优惠的投标人应按照招标文件格式要求提供《关于符合本国产品标准的声明函》、《关于符合本国产品标准的成本占比的承诺函》（附件5、附件6）]</w:t>
      </w:r>
    </w:p>
    <w:p w14:paraId="147D2676">
      <w:pPr>
        <w:spacing w:line="360" w:lineRule="auto"/>
        <w:ind w:right="420" w:firstLine="3614" w:firstLineChars="1000"/>
        <w:rPr>
          <w:rFonts w:ascii="宋体" w:hAnsi="宋体" w:cs="宋体"/>
          <w:b/>
          <w:kern w:val="0"/>
          <w:sz w:val="36"/>
          <w:szCs w:val="36"/>
        </w:rPr>
        <w:sectPr>
          <w:pgSz w:w="11906" w:h="16838"/>
          <w:pgMar w:top="1440" w:right="1633" w:bottom="1440" w:left="1633" w:header="1077" w:footer="992" w:gutter="0"/>
          <w:cols w:space="425" w:num="1"/>
          <w:docGrid w:type="lines" w:linePitch="312" w:charSpace="0"/>
        </w:sectPr>
      </w:pPr>
    </w:p>
    <w:p w14:paraId="09DCABCE">
      <w:pPr>
        <w:tabs>
          <w:tab w:val="left" w:pos="8085"/>
        </w:tabs>
        <w:spacing w:line="360" w:lineRule="auto"/>
        <w:ind w:firstLine="1285" w:firstLineChars="400"/>
        <w:jc w:val="left"/>
        <w:rPr>
          <w:rFonts w:ascii="宋体" w:hAnsi="宋体" w:cs="宋体"/>
          <w:b/>
          <w:sz w:val="32"/>
          <w:szCs w:val="32"/>
        </w:rPr>
      </w:pPr>
      <w:r>
        <w:rPr>
          <w:rFonts w:hint="eastAsia" w:ascii="宋体" w:hAnsi="宋体" w:cs="宋体"/>
          <w:b/>
          <w:sz w:val="32"/>
          <w:szCs w:val="32"/>
        </w:rPr>
        <w:t>政府采购支持中小企业信用融资相关事项通知</w:t>
      </w:r>
    </w:p>
    <w:p w14:paraId="188BA70B">
      <w:pPr>
        <w:spacing w:line="360" w:lineRule="exact"/>
        <w:ind w:firstLine="480" w:firstLineChars="200"/>
        <w:rPr>
          <w:rFonts w:ascii="宋体" w:hAnsi="宋体" w:cs="宋体"/>
          <w:sz w:val="24"/>
        </w:rPr>
      </w:pPr>
      <w:r>
        <w:rPr>
          <w:rFonts w:hint="eastAsia" w:ascii="宋体" w:hAnsi="宋体" w:cs="宋体"/>
          <w:snapToGrid w:val="0"/>
          <w:kern w:val="28"/>
          <w:sz w:val="24"/>
        </w:rPr>
        <w:t>供应商中标后可在政府采购云平台申请政采贷：操作路径：登录政府采购云平台 - 金融服务中心 -【融资服务】，可在热门申请中选择产品直接申请，也可点击云智贷匹配适合产品进行申请，或者在可申请项目中根据该项目进行申请。</w:t>
      </w:r>
    </w:p>
    <w:p w14:paraId="04BC1353">
      <w:pPr>
        <w:spacing w:line="360" w:lineRule="auto"/>
        <w:rPr>
          <w:rFonts w:ascii="宋体" w:hAnsi="宋体" w:cs="宋体"/>
          <w:b/>
          <w:spacing w:val="6"/>
          <w:sz w:val="32"/>
          <w:szCs w:val="32"/>
        </w:rPr>
      </w:pPr>
    </w:p>
    <w:p w14:paraId="7135253F">
      <w:pPr>
        <w:spacing w:line="360" w:lineRule="auto"/>
        <w:rPr>
          <w:rFonts w:ascii="宋体" w:hAnsi="宋体" w:cs="宋体"/>
          <w:b/>
          <w:spacing w:val="6"/>
          <w:sz w:val="32"/>
          <w:szCs w:val="32"/>
        </w:rPr>
      </w:pPr>
    </w:p>
    <w:p w14:paraId="50E30E51">
      <w:pPr>
        <w:spacing w:line="360" w:lineRule="auto"/>
        <w:rPr>
          <w:rFonts w:ascii="宋体" w:hAnsi="宋体" w:cs="宋体"/>
          <w:b/>
          <w:spacing w:val="6"/>
          <w:sz w:val="32"/>
          <w:szCs w:val="32"/>
        </w:rPr>
      </w:pPr>
    </w:p>
    <w:p w14:paraId="7E0FEC40">
      <w:pPr>
        <w:spacing w:line="360" w:lineRule="auto"/>
        <w:rPr>
          <w:rFonts w:ascii="宋体" w:hAnsi="宋体" w:cs="宋体"/>
          <w:b/>
          <w:spacing w:val="6"/>
          <w:sz w:val="32"/>
          <w:szCs w:val="32"/>
        </w:rPr>
      </w:pPr>
    </w:p>
    <w:p w14:paraId="2F483D84">
      <w:pPr>
        <w:spacing w:line="360" w:lineRule="auto"/>
        <w:rPr>
          <w:rFonts w:ascii="宋体" w:hAnsi="宋体" w:cs="宋体"/>
          <w:b/>
          <w:spacing w:val="6"/>
          <w:sz w:val="32"/>
          <w:szCs w:val="32"/>
        </w:rPr>
      </w:pPr>
    </w:p>
    <w:p w14:paraId="7559B064">
      <w:pPr>
        <w:spacing w:line="360" w:lineRule="auto"/>
        <w:rPr>
          <w:rFonts w:ascii="宋体" w:hAnsi="宋体" w:cs="宋体"/>
          <w:b/>
          <w:spacing w:val="6"/>
          <w:sz w:val="32"/>
          <w:szCs w:val="32"/>
        </w:rPr>
      </w:pPr>
    </w:p>
    <w:p w14:paraId="3F8BCCD3">
      <w:pPr>
        <w:spacing w:line="360" w:lineRule="auto"/>
        <w:rPr>
          <w:rFonts w:ascii="宋体" w:hAnsi="宋体" w:cs="宋体"/>
          <w:b/>
          <w:spacing w:val="6"/>
          <w:sz w:val="32"/>
          <w:szCs w:val="32"/>
        </w:rPr>
      </w:pPr>
    </w:p>
    <w:p w14:paraId="59FA025E">
      <w:pPr>
        <w:spacing w:line="360" w:lineRule="auto"/>
        <w:rPr>
          <w:rFonts w:ascii="宋体" w:hAnsi="宋体" w:cs="宋体"/>
          <w:b/>
          <w:spacing w:val="6"/>
          <w:sz w:val="32"/>
          <w:szCs w:val="32"/>
        </w:rPr>
      </w:pPr>
    </w:p>
    <w:p w14:paraId="4BFC3BA0">
      <w:pPr>
        <w:spacing w:line="360" w:lineRule="auto"/>
        <w:rPr>
          <w:rFonts w:ascii="宋体" w:hAnsi="宋体" w:cs="宋体"/>
          <w:b/>
          <w:spacing w:val="6"/>
          <w:sz w:val="32"/>
          <w:szCs w:val="32"/>
        </w:rPr>
      </w:pPr>
    </w:p>
    <w:p w14:paraId="44111329">
      <w:pPr>
        <w:spacing w:line="360" w:lineRule="auto"/>
        <w:rPr>
          <w:rFonts w:ascii="宋体" w:hAnsi="宋体" w:cs="宋体"/>
          <w:b/>
          <w:spacing w:val="6"/>
          <w:sz w:val="32"/>
          <w:szCs w:val="32"/>
        </w:rPr>
      </w:pPr>
    </w:p>
    <w:p w14:paraId="275F8BF2">
      <w:pPr>
        <w:spacing w:line="360" w:lineRule="auto"/>
        <w:rPr>
          <w:rFonts w:ascii="宋体" w:hAnsi="宋体" w:cs="宋体"/>
          <w:b/>
          <w:spacing w:val="6"/>
          <w:sz w:val="32"/>
          <w:szCs w:val="32"/>
        </w:rPr>
      </w:pPr>
    </w:p>
    <w:p w14:paraId="4FE0E2EE">
      <w:pPr>
        <w:spacing w:line="360" w:lineRule="auto"/>
        <w:rPr>
          <w:rFonts w:ascii="宋体" w:hAnsi="宋体" w:cs="宋体"/>
          <w:b/>
          <w:spacing w:val="6"/>
          <w:sz w:val="32"/>
          <w:szCs w:val="32"/>
        </w:rPr>
      </w:pPr>
    </w:p>
    <w:p w14:paraId="3AEADA64">
      <w:pPr>
        <w:spacing w:line="360" w:lineRule="auto"/>
        <w:rPr>
          <w:rFonts w:ascii="宋体" w:hAnsi="宋体" w:cs="宋体"/>
          <w:b/>
          <w:spacing w:val="6"/>
          <w:sz w:val="32"/>
          <w:szCs w:val="32"/>
        </w:rPr>
      </w:pPr>
    </w:p>
    <w:p w14:paraId="19AA4FCA">
      <w:pPr>
        <w:spacing w:line="360" w:lineRule="auto"/>
        <w:rPr>
          <w:rFonts w:ascii="宋体" w:hAnsi="宋体" w:cs="宋体"/>
          <w:b/>
          <w:spacing w:val="6"/>
          <w:sz w:val="32"/>
          <w:szCs w:val="32"/>
        </w:rPr>
      </w:pPr>
    </w:p>
    <w:p w14:paraId="72C536FC">
      <w:pPr>
        <w:spacing w:line="360" w:lineRule="auto"/>
        <w:rPr>
          <w:rFonts w:ascii="宋体" w:hAnsi="宋体" w:cs="宋体"/>
          <w:b/>
          <w:spacing w:val="6"/>
          <w:sz w:val="32"/>
          <w:szCs w:val="32"/>
        </w:rPr>
      </w:pPr>
    </w:p>
    <w:p w14:paraId="38FCA15F">
      <w:pPr>
        <w:spacing w:line="360" w:lineRule="auto"/>
        <w:rPr>
          <w:rFonts w:ascii="宋体" w:hAnsi="宋体" w:cs="宋体"/>
          <w:b/>
          <w:spacing w:val="6"/>
          <w:sz w:val="32"/>
          <w:szCs w:val="32"/>
        </w:rPr>
      </w:pPr>
    </w:p>
    <w:p w14:paraId="43489F60">
      <w:pPr>
        <w:pStyle w:val="82"/>
        <w:rPr>
          <w:rFonts w:ascii="宋体" w:hAnsi="宋体" w:eastAsia="宋体"/>
          <w:b/>
          <w:spacing w:val="6"/>
          <w:sz w:val="32"/>
          <w:szCs w:val="32"/>
        </w:rPr>
      </w:pPr>
    </w:p>
    <w:p w14:paraId="65D0B8D7">
      <w:pPr>
        <w:pStyle w:val="82"/>
        <w:rPr>
          <w:rFonts w:ascii="宋体" w:hAnsi="宋体" w:eastAsia="宋体"/>
          <w:b/>
          <w:spacing w:val="6"/>
          <w:sz w:val="32"/>
          <w:szCs w:val="32"/>
        </w:rPr>
      </w:pPr>
    </w:p>
    <w:p w14:paraId="6F5BE497">
      <w:pPr>
        <w:spacing w:line="360" w:lineRule="auto"/>
        <w:rPr>
          <w:rFonts w:ascii="宋体" w:hAnsi="宋体" w:cs="宋体"/>
          <w:b/>
          <w:spacing w:val="6"/>
          <w:sz w:val="32"/>
          <w:szCs w:val="32"/>
        </w:rPr>
      </w:pPr>
    </w:p>
    <w:p w14:paraId="1CD030D8">
      <w:pPr>
        <w:spacing w:line="360" w:lineRule="auto"/>
        <w:jc w:val="center"/>
        <w:rPr>
          <w:rFonts w:ascii="宋体" w:hAnsi="宋体" w:cs="宋体"/>
          <w:b/>
          <w:spacing w:val="6"/>
          <w:sz w:val="40"/>
          <w:szCs w:val="40"/>
        </w:rPr>
      </w:pPr>
      <w:r>
        <w:rPr>
          <w:rFonts w:hint="eastAsia" w:ascii="宋体" w:hAnsi="宋体" w:cs="宋体"/>
          <w:b/>
          <w:spacing w:val="6"/>
          <w:sz w:val="40"/>
          <w:szCs w:val="40"/>
        </w:rPr>
        <w:t>附件</w:t>
      </w:r>
    </w:p>
    <w:p w14:paraId="760953E9">
      <w:pPr>
        <w:spacing w:line="360" w:lineRule="auto"/>
        <w:rPr>
          <w:rFonts w:ascii="宋体" w:hAnsi="宋体" w:cs="宋体"/>
          <w:b/>
          <w:spacing w:val="6"/>
          <w:sz w:val="32"/>
          <w:szCs w:val="32"/>
        </w:rPr>
      </w:pPr>
      <w:r>
        <w:rPr>
          <w:rFonts w:hint="eastAsia" w:ascii="宋体" w:hAnsi="宋体" w:cs="宋体"/>
          <w:b/>
          <w:spacing w:val="6"/>
          <w:sz w:val="32"/>
          <w:szCs w:val="32"/>
        </w:rPr>
        <w:t>附件1：</w:t>
      </w:r>
    </w:p>
    <w:p w14:paraId="13682C4D">
      <w:pPr>
        <w:spacing w:line="360" w:lineRule="auto"/>
        <w:jc w:val="center"/>
        <w:rPr>
          <w:rFonts w:ascii="宋体" w:hAnsi="宋体" w:cs="宋体"/>
          <w:b/>
          <w:spacing w:val="6"/>
          <w:sz w:val="32"/>
          <w:szCs w:val="32"/>
        </w:rPr>
      </w:pPr>
      <w:bookmarkStart w:id="404" w:name="OLE_LINK13"/>
      <w:bookmarkStart w:id="405" w:name="OLE_LINK14"/>
      <w:r>
        <w:rPr>
          <w:rFonts w:hint="eastAsia" w:ascii="宋体" w:hAnsi="宋体" w:cs="宋体"/>
          <w:b/>
          <w:spacing w:val="6"/>
          <w:sz w:val="32"/>
          <w:szCs w:val="32"/>
        </w:rPr>
        <w:t>残疾人福利性单位声明函</w:t>
      </w:r>
    </w:p>
    <w:bookmarkEnd w:id="404"/>
    <w:bookmarkEnd w:id="405"/>
    <w:p w14:paraId="279BB93C">
      <w:pPr>
        <w:spacing w:line="420" w:lineRule="exact"/>
        <w:rPr>
          <w:rFonts w:ascii="宋体" w:hAnsi="宋体" w:cs="宋体"/>
          <w:b/>
          <w:spacing w:val="6"/>
          <w:sz w:val="30"/>
          <w:szCs w:val="30"/>
        </w:rPr>
      </w:pPr>
    </w:p>
    <w:p w14:paraId="4C2E3012">
      <w:pPr>
        <w:spacing w:line="420" w:lineRule="exact"/>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05959F4">
      <w:pPr>
        <w:spacing w:line="420" w:lineRule="exact"/>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14:paraId="6282B9D9">
      <w:pPr>
        <w:spacing w:line="360" w:lineRule="auto"/>
        <w:ind w:firstLine="480" w:firstLineChars="200"/>
        <w:rPr>
          <w:rFonts w:ascii="宋体" w:hAnsi="宋体" w:cs="宋体"/>
          <w:sz w:val="24"/>
        </w:rPr>
      </w:pPr>
    </w:p>
    <w:p w14:paraId="17E9C737">
      <w:pPr>
        <w:spacing w:line="360" w:lineRule="auto"/>
        <w:ind w:firstLine="480" w:firstLineChars="200"/>
        <w:rPr>
          <w:rFonts w:ascii="宋体" w:hAnsi="宋体" w:cs="宋体"/>
          <w:sz w:val="24"/>
        </w:rPr>
      </w:pPr>
    </w:p>
    <w:p w14:paraId="346A6EF7">
      <w:pPr>
        <w:tabs>
          <w:tab w:val="left" w:pos="4860"/>
        </w:tabs>
        <w:spacing w:line="360" w:lineRule="auto"/>
        <w:ind w:right="1560" w:firstLine="480" w:firstLineChars="200"/>
        <w:jc w:val="center"/>
        <w:rPr>
          <w:rFonts w:ascii="宋体" w:hAnsi="宋体" w:cs="宋体"/>
          <w:sz w:val="24"/>
        </w:rPr>
      </w:pPr>
      <w:r>
        <w:rPr>
          <w:rFonts w:hint="eastAsia" w:ascii="宋体" w:hAnsi="宋体" w:cs="宋体"/>
          <w:kern w:val="0"/>
          <w:sz w:val="24"/>
          <w:lang w:val="zh-CN"/>
        </w:rPr>
        <w:t>投标人名称（电子签名）</w:t>
      </w:r>
      <w:r>
        <w:rPr>
          <w:rFonts w:hint="eastAsia" w:ascii="宋体" w:hAnsi="宋体" w:cs="宋体"/>
          <w:sz w:val="24"/>
        </w:rPr>
        <w:t>：</w:t>
      </w:r>
    </w:p>
    <w:p w14:paraId="18ED3F57">
      <w:pPr>
        <w:tabs>
          <w:tab w:val="left" w:pos="4860"/>
        </w:tabs>
        <w:spacing w:line="360" w:lineRule="auto"/>
        <w:ind w:right="1560" w:firstLine="480" w:firstLineChars="200"/>
        <w:jc w:val="center"/>
        <w:rPr>
          <w:rFonts w:ascii="宋体" w:hAnsi="宋体" w:cs="宋体"/>
          <w:sz w:val="24"/>
        </w:rPr>
      </w:pPr>
      <w:r>
        <w:rPr>
          <w:rFonts w:hint="eastAsia" w:ascii="宋体" w:hAnsi="宋体" w:cs="宋体"/>
          <w:sz w:val="24"/>
        </w:rPr>
        <w:t xml:space="preserve">       日  期：</w:t>
      </w:r>
    </w:p>
    <w:p w14:paraId="0A87B660">
      <w:pPr>
        <w:spacing w:line="360" w:lineRule="auto"/>
        <w:ind w:firstLine="480" w:firstLineChars="200"/>
        <w:rPr>
          <w:rFonts w:ascii="宋体" w:hAnsi="宋体" w:cs="宋体"/>
          <w:sz w:val="24"/>
        </w:rPr>
      </w:pPr>
    </w:p>
    <w:p w14:paraId="6A5BF3F0">
      <w:pPr>
        <w:spacing w:line="360" w:lineRule="auto"/>
        <w:ind w:firstLine="420" w:firstLineChars="200"/>
        <w:rPr>
          <w:rFonts w:ascii="宋体" w:hAnsi="宋体" w:cs="宋体"/>
        </w:rPr>
      </w:pPr>
    </w:p>
    <w:p w14:paraId="34CB8556">
      <w:pPr>
        <w:spacing w:line="360" w:lineRule="auto"/>
        <w:ind w:firstLine="420" w:firstLineChars="200"/>
        <w:rPr>
          <w:rFonts w:ascii="宋体" w:hAnsi="宋体" w:cs="宋体"/>
        </w:rPr>
      </w:pPr>
    </w:p>
    <w:p w14:paraId="63271C84">
      <w:pPr>
        <w:spacing w:line="360" w:lineRule="auto"/>
        <w:ind w:firstLine="420" w:firstLineChars="200"/>
        <w:rPr>
          <w:rFonts w:ascii="宋体" w:hAnsi="宋体" w:cs="宋体"/>
        </w:rPr>
      </w:pPr>
    </w:p>
    <w:p w14:paraId="4FA67D11">
      <w:pPr>
        <w:spacing w:line="360" w:lineRule="auto"/>
        <w:ind w:firstLine="420" w:firstLineChars="200"/>
        <w:rPr>
          <w:rFonts w:ascii="宋体" w:hAnsi="宋体" w:cs="宋体"/>
        </w:rPr>
      </w:pPr>
    </w:p>
    <w:p w14:paraId="30B38AB5">
      <w:pPr>
        <w:spacing w:line="360" w:lineRule="auto"/>
        <w:rPr>
          <w:rFonts w:ascii="宋体" w:hAnsi="宋体" w:cs="宋体"/>
          <w:b/>
          <w:sz w:val="24"/>
        </w:rPr>
      </w:pPr>
    </w:p>
    <w:p w14:paraId="4171F39D">
      <w:pPr>
        <w:spacing w:line="360" w:lineRule="auto"/>
        <w:rPr>
          <w:rFonts w:ascii="宋体" w:hAnsi="宋体" w:cs="宋体"/>
          <w:b/>
          <w:sz w:val="24"/>
        </w:rPr>
      </w:pPr>
    </w:p>
    <w:p w14:paraId="13C21BCF">
      <w:pPr>
        <w:spacing w:line="360" w:lineRule="auto"/>
        <w:rPr>
          <w:rFonts w:ascii="宋体" w:hAnsi="宋体" w:cs="宋体"/>
          <w:b/>
          <w:sz w:val="24"/>
        </w:rPr>
      </w:pPr>
    </w:p>
    <w:p w14:paraId="5111C35A">
      <w:pPr>
        <w:spacing w:line="360" w:lineRule="auto"/>
        <w:jc w:val="center"/>
        <w:rPr>
          <w:rFonts w:ascii="宋体" w:hAnsi="宋体" w:cs="宋体"/>
          <w:b/>
          <w:spacing w:val="6"/>
          <w:sz w:val="32"/>
          <w:szCs w:val="32"/>
        </w:rPr>
      </w:pPr>
    </w:p>
    <w:p w14:paraId="3656BC4F">
      <w:pPr>
        <w:pStyle w:val="15"/>
        <w:rPr>
          <w:rFonts w:hAnsi="宋体" w:cs="宋体"/>
          <w:b/>
          <w:spacing w:val="6"/>
          <w:sz w:val="32"/>
          <w:szCs w:val="32"/>
        </w:rPr>
      </w:pPr>
    </w:p>
    <w:p w14:paraId="5A8084CD">
      <w:pPr>
        <w:pStyle w:val="15"/>
        <w:rPr>
          <w:rFonts w:hAnsi="宋体" w:cs="宋体"/>
          <w:b/>
          <w:spacing w:val="6"/>
          <w:sz w:val="32"/>
          <w:szCs w:val="32"/>
        </w:rPr>
      </w:pPr>
    </w:p>
    <w:p w14:paraId="7924A142">
      <w:pPr>
        <w:pStyle w:val="3"/>
        <w:rPr>
          <w:rFonts w:ascii="宋体" w:hAnsi="宋体" w:eastAsia="宋体" w:cs="宋体"/>
          <w:spacing w:val="6"/>
        </w:rPr>
      </w:pPr>
    </w:p>
    <w:p w14:paraId="182B4FE1">
      <w:pPr>
        <w:rPr>
          <w:rFonts w:ascii="宋体" w:hAnsi="宋体" w:cs="宋体"/>
          <w:b/>
          <w:spacing w:val="6"/>
          <w:sz w:val="32"/>
          <w:szCs w:val="32"/>
        </w:rPr>
      </w:pPr>
    </w:p>
    <w:p w14:paraId="4927B812">
      <w:pPr>
        <w:tabs>
          <w:tab w:val="left" w:pos="1559"/>
          <w:tab w:val="center" w:pos="4212"/>
        </w:tabs>
        <w:spacing w:line="360" w:lineRule="auto"/>
        <w:jc w:val="left"/>
        <w:rPr>
          <w:rFonts w:ascii="宋体" w:hAnsi="宋体" w:cs="宋体"/>
          <w:b/>
          <w:spacing w:val="6"/>
          <w:sz w:val="32"/>
          <w:szCs w:val="32"/>
        </w:rPr>
      </w:pPr>
    </w:p>
    <w:p w14:paraId="067ECA90">
      <w:pPr>
        <w:tabs>
          <w:tab w:val="left" w:pos="1559"/>
          <w:tab w:val="center" w:pos="4212"/>
        </w:tabs>
        <w:spacing w:line="360" w:lineRule="auto"/>
        <w:jc w:val="left"/>
        <w:rPr>
          <w:rFonts w:ascii="宋体" w:hAnsi="宋体" w:cs="宋体"/>
          <w:b/>
          <w:spacing w:val="6"/>
          <w:sz w:val="32"/>
          <w:szCs w:val="32"/>
        </w:rPr>
      </w:pPr>
      <w:r>
        <w:rPr>
          <w:rFonts w:hint="eastAsia" w:ascii="宋体" w:hAnsi="宋体" w:cs="宋体"/>
          <w:b/>
          <w:spacing w:val="6"/>
          <w:sz w:val="32"/>
          <w:szCs w:val="32"/>
        </w:rPr>
        <w:tab/>
      </w:r>
      <w:r>
        <w:rPr>
          <w:rFonts w:hint="eastAsia" w:ascii="宋体" w:hAnsi="宋体" w:cs="宋体"/>
          <w:b/>
          <w:spacing w:val="6"/>
          <w:sz w:val="32"/>
          <w:szCs w:val="32"/>
        </w:rPr>
        <w:t>附件2：质疑函范本及制作说明</w:t>
      </w:r>
    </w:p>
    <w:p w14:paraId="5537E7E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7CCF404F">
      <w:pPr>
        <w:snapToGrid w:val="0"/>
        <w:spacing w:line="320" w:lineRule="exact"/>
        <w:rPr>
          <w:rFonts w:ascii="宋体" w:hAnsi="宋体" w:cs="宋体"/>
          <w:bCs/>
          <w:sz w:val="24"/>
        </w:rPr>
      </w:pPr>
      <w:r>
        <w:rPr>
          <w:rFonts w:hint="eastAsia" w:ascii="宋体" w:hAnsi="宋体" w:cs="宋体"/>
          <w:bCs/>
          <w:sz w:val="24"/>
        </w:rPr>
        <w:t>一、质疑供应商基本信息</w:t>
      </w:r>
    </w:p>
    <w:p w14:paraId="2A1343E6">
      <w:pPr>
        <w:snapToGrid w:val="0"/>
        <w:spacing w:line="320" w:lineRule="exact"/>
        <w:rPr>
          <w:rFonts w:ascii="宋体" w:hAnsi="宋体" w:cs="宋体"/>
          <w:sz w:val="24"/>
          <w:u w:val="dotted"/>
        </w:rPr>
      </w:pPr>
      <w:r>
        <w:rPr>
          <w:rFonts w:hint="eastAsia" w:ascii="宋体" w:hAnsi="宋体" w:cs="宋体"/>
          <w:sz w:val="24"/>
        </w:rPr>
        <w:t>质疑供应商：</w:t>
      </w:r>
    </w:p>
    <w:p w14:paraId="1B502037">
      <w:pPr>
        <w:snapToGrid w:val="0"/>
        <w:spacing w:line="320" w:lineRule="exact"/>
        <w:rPr>
          <w:rFonts w:ascii="宋体" w:hAnsi="宋体" w:cs="宋体"/>
          <w:sz w:val="24"/>
        </w:rPr>
      </w:pPr>
      <w:r>
        <w:rPr>
          <w:rFonts w:hint="eastAsia" w:ascii="宋体" w:hAnsi="宋体" w:cs="宋体"/>
          <w:sz w:val="24"/>
        </w:rPr>
        <w:t>地址：邮编：</w:t>
      </w:r>
    </w:p>
    <w:p w14:paraId="68657314">
      <w:pPr>
        <w:snapToGrid w:val="0"/>
        <w:spacing w:line="320" w:lineRule="exact"/>
        <w:rPr>
          <w:rFonts w:ascii="宋体" w:hAnsi="宋体" w:cs="宋体"/>
          <w:sz w:val="24"/>
        </w:rPr>
      </w:pPr>
      <w:r>
        <w:rPr>
          <w:rFonts w:hint="eastAsia" w:ascii="宋体" w:hAnsi="宋体" w:cs="宋体"/>
          <w:sz w:val="24"/>
        </w:rPr>
        <w:t>联系人：联系电话：</w:t>
      </w:r>
    </w:p>
    <w:p w14:paraId="4C9A402D">
      <w:pPr>
        <w:snapToGrid w:val="0"/>
        <w:spacing w:line="320" w:lineRule="exact"/>
        <w:rPr>
          <w:rFonts w:ascii="宋体" w:hAnsi="宋体" w:cs="宋体"/>
          <w:sz w:val="24"/>
          <w:u w:val="dotted"/>
        </w:rPr>
      </w:pPr>
      <w:r>
        <w:rPr>
          <w:rFonts w:hint="eastAsia" w:ascii="宋体" w:hAnsi="宋体" w:cs="宋体"/>
          <w:sz w:val="24"/>
        </w:rPr>
        <w:t>授权代表：</w:t>
      </w:r>
    </w:p>
    <w:p w14:paraId="372B92CD">
      <w:pPr>
        <w:snapToGrid w:val="0"/>
        <w:spacing w:line="320" w:lineRule="exact"/>
        <w:rPr>
          <w:rFonts w:ascii="宋体" w:hAnsi="宋体" w:cs="宋体"/>
          <w:sz w:val="24"/>
        </w:rPr>
      </w:pPr>
      <w:r>
        <w:rPr>
          <w:rFonts w:hint="eastAsia" w:ascii="宋体" w:hAnsi="宋体" w:cs="宋体"/>
          <w:sz w:val="24"/>
        </w:rPr>
        <w:t>联系电话：</w:t>
      </w:r>
    </w:p>
    <w:p w14:paraId="6C03C950">
      <w:pPr>
        <w:snapToGrid w:val="0"/>
        <w:spacing w:line="320" w:lineRule="exact"/>
        <w:rPr>
          <w:rFonts w:ascii="宋体" w:hAnsi="宋体" w:cs="宋体"/>
          <w:sz w:val="24"/>
        </w:rPr>
      </w:pPr>
      <w:r>
        <w:rPr>
          <w:rFonts w:hint="eastAsia" w:ascii="宋体" w:hAnsi="宋体" w:cs="宋体"/>
          <w:sz w:val="24"/>
        </w:rPr>
        <w:t>地址： 邮编：</w:t>
      </w:r>
    </w:p>
    <w:p w14:paraId="693A517E">
      <w:pPr>
        <w:snapToGrid w:val="0"/>
        <w:spacing w:line="320" w:lineRule="exact"/>
        <w:rPr>
          <w:rFonts w:ascii="宋体" w:hAnsi="宋体" w:cs="宋体"/>
          <w:bCs/>
          <w:sz w:val="24"/>
        </w:rPr>
      </w:pPr>
      <w:r>
        <w:rPr>
          <w:rFonts w:hint="eastAsia" w:ascii="宋体" w:hAnsi="宋体" w:cs="宋体"/>
          <w:bCs/>
          <w:sz w:val="24"/>
        </w:rPr>
        <w:t>二、质疑项目基本情况</w:t>
      </w:r>
    </w:p>
    <w:p w14:paraId="4C2D2E10">
      <w:pPr>
        <w:snapToGrid w:val="0"/>
        <w:spacing w:line="320" w:lineRule="exact"/>
        <w:rPr>
          <w:rFonts w:ascii="宋体" w:hAnsi="宋体" w:cs="宋体"/>
          <w:sz w:val="24"/>
        </w:rPr>
      </w:pPr>
      <w:r>
        <w:rPr>
          <w:rFonts w:hint="eastAsia" w:ascii="宋体" w:hAnsi="宋体" w:cs="宋体"/>
          <w:sz w:val="24"/>
        </w:rPr>
        <w:t>质疑项目的名称：</w:t>
      </w:r>
    </w:p>
    <w:p w14:paraId="58CCAD7C">
      <w:pPr>
        <w:snapToGrid w:val="0"/>
        <w:spacing w:line="320" w:lineRule="exact"/>
        <w:rPr>
          <w:rFonts w:ascii="宋体" w:hAnsi="宋体" w:cs="宋体"/>
          <w:sz w:val="24"/>
        </w:rPr>
      </w:pPr>
      <w:r>
        <w:rPr>
          <w:rFonts w:hint="eastAsia" w:ascii="宋体" w:hAnsi="宋体" w:cs="宋体"/>
          <w:sz w:val="24"/>
        </w:rPr>
        <w:t>质疑项目的编号：包号：</w:t>
      </w:r>
    </w:p>
    <w:p w14:paraId="156763D1">
      <w:pPr>
        <w:snapToGrid w:val="0"/>
        <w:spacing w:line="320" w:lineRule="exact"/>
        <w:rPr>
          <w:rFonts w:ascii="宋体" w:hAnsi="宋体" w:cs="宋体"/>
          <w:sz w:val="24"/>
          <w:u w:val="dotted"/>
        </w:rPr>
      </w:pPr>
      <w:r>
        <w:rPr>
          <w:rFonts w:hint="eastAsia" w:ascii="宋体" w:hAnsi="宋体" w:cs="宋体"/>
          <w:sz w:val="24"/>
        </w:rPr>
        <w:t>采购人名称：</w:t>
      </w:r>
    </w:p>
    <w:p w14:paraId="0E56C3FC">
      <w:pPr>
        <w:snapToGrid w:val="0"/>
        <w:spacing w:line="320" w:lineRule="exact"/>
        <w:rPr>
          <w:rFonts w:ascii="宋体" w:hAnsi="宋体" w:cs="宋体"/>
          <w:sz w:val="24"/>
        </w:rPr>
      </w:pPr>
      <w:r>
        <w:rPr>
          <w:rFonts w:hint="eastAsia" w:ascii="宋体" w:hAnsi="宋体" w:cs="宋体"/>
          <w:sz w:val="24"/>
        </w:rPr>
        <w:t>采购文件获取日期：</w:t>
      </w:r>
    </w:p>
    <w:p w14:paraId="7B9375BF">
      <w:pPr>
        <w:snapToGrid w:val="0"/>
        <w:spacing w:line="320" w:lineRule="exact"/>
        <w:rPr>
          <w:rFonts w:ascii="宋体" w:hAnsi="宋体" w:cs="宋体"/>
          <w:bCs/>
          <w:sz w:val="24"/>
        </w:rPr>
      </w:pPr>
      <w:r>
        <w:rPr>
          <w:rFonts w:hint="eastAsia" w:ascii="宋体" w:hAnsi="宋体" w:cs="宋体"/>
          <w:bCs/>
          <w:sz w:val="24"/>
        </w:rPr>
        <w:t>三、质疑事项具体内容</w:t>
      </w:r>
    </w:p>
    <w:p w14:paraId="3A404CEC">
      <w:pPr>
        <w:snapToGrid w:val="0"/>
        <w:spacing w:line="320" w:lineRule="exact"/>
        <w:rPr>
          <w:rFonts w:ascii="宋体" w:hAnsi="宋体" w:cs="宋体"/>
          <w:sz w:val="24"/>
          <w:u w:val="dotted"/>
        </w:rPr>
      </w:pPr>
      <w:r>
        <w:rPr>
          <w:rFonts w:hint="eastAsia" w:ascii="宋体" w:hAnsi="宋体" w:cs="宋体"/>
          <w:sz w:val="24"/>
        </w:rPr>
        <w:t>质疑事项1：</w:t>
      </w:r>
    </w:p>
    <w:p w14:paraId="21D3368B">
      <w:pPr>
        <w:snapToGrid w:val="0"/>
        <w:spacing w:line="320" w:lineRule="exact"/>
        <w:rPr>
          <w:rFonts w:ascii="宋体" w:hAnsi="宋体" w:cs="宋体"/>
          <w:sz w:val="24"/>
          <w:u w:val="dotted"/>
        </w:rPr>
      </w:pPr>
      <w:r>
        <w:rPr>
          <w:rFonts w:hint="eastAsia" w:ascii="宋体" w:hAnsi="宋体" w:cs="宋体"/>
          <w:sz w:val="24"/>
        </w:rPr>
        <w:t>事实依据：</w:t>
      </w:r>
    </w:p>
    <w:p w14:paraId="2CDBC3FC">
      <w:pPr>
        <w:snapToGrid w:val="0"/>
        <w:spacing w:line="320" w:lineRule="exact"/>
        <w:rPr>
          <w:rFonts w:ascii="宋体" w:hAnsi="宋体" w:cs="宋体"/>
          <w:sz w:val="24"/>
        </w:rPr>
      </w:pPr>
    </w:p>
    <w:p w14:paraId="3BEB60A6">
      <w:pPr>
        <w:snapToGrid w:val="0"/>
        <w:spacing w:line="320" w:lineRule="exact"/>
        <w:rPr>
          <w:rFonts w:ascii="宋体" w:hAnsi="宋体" w:cs="宋体"/>
          <w:sz w:val="24"/>
          <w:u w:val="dotted"/>
        </w:rPr>
      </w:pPr>
      <w:r>
        <w:rPr>
          <w:rFonts w:hint="eastAsia" w:ascii="宋体" w:hAnsi="宋体" w:cs="宋体"/>
          <w:sz w:val="24"/>
        </w:rPr>
        <w:t>法律依据：</w:t>
      </w:r>
    </w:p>
    <w:p w14:paraId="1545DF95">
      <w:pPr>
        <w:snapToGrid w:val="0"/>
        <w:spacing w:line="320" w:lineRule="exact"/>
        <w:rPr>
          <w:rFonts w:ascii="宋体" w:hAnsi="宋体" w:cs="宋体"/>
          <w:sz w:val="24"/>
          <w:u w:val="dotted"/>
        </w:rPr>
      </w:pPr>
    </w:p>
    <w:p w14:paraId="1A672EAE">
      <w:pPr>
        <w:snapToGrid w:val="0"/>
        <w:spacing w:line="320" w:lineRule="exact"/>
        <w:rPr>
          <w:rFonts w:ascii="宋体" w:hAnsi="宋体" w:cs="宋体"/>
          <w:sz w:val="24"/>
          <w:u w:val="dotted"/>
        </w:rPr>
      </w:pPr>
      <w:r>
        <w:rPr>
          <w:rFonts w:hint="eastAsia" w:ascii="宋体" w:hAnsi="宋体" w:cs="宋体"/>
          <w:sz w:val="24"/>
        </w:rPr>
        <w:t>质疑事项2</w:t>
      </w:r>
    </w:p>
    <w:p w14:paraId="5548F47A">
      <w:pPr>
        <w:snapToGrid w:val="0"/>
        <w:spacing w:line="320" w:lineRule="exact"/>
        <w:rPr>
          <w:rFonts w:ascii="宋体" w:hAnsi="宋体" w:cs="宋体"/>
          <w:sz w:val="24"/>
        </w:rPr>
      </w:pPr>
      <w:r>
        <w:rPr>
          <w:rFonts w:hint="eastAsia" w:ascii="宋体" w:hAnsi="宋体" w:cs="宋体"/>
          <w:sz w:val="24"/>
        </w:rPr>
        <w:t>……</w:t>
      </w:r>
    </w:p>
    <w:p w14:paraId="6B29031A">
      <w:pPr>
        <w:snapToGrid w:val="0"/>
        <w:spacing w:line="320" w:lineRule="exact"/>
        <w:rPr>
          <w:rFonts w:ascii="宋体" w:hAnsi="宋体" w:cs="宋体"/>
          <w:bCs/>
          <w:sz w:val="24"/>
        </w:rPr>
      </w:pPr>
      <w:r>
        <w:rPr>
          <w:rFonts w:hint="eastAsia" w:ascii="宋体" w:hAnsi="宋体" w:cs="宋体"/>
          <w:bCs/>
          <w:sz w:val="24"/>
        </w:rPr>
        <w:t>四、与质疑事项相关的质疑请求</w:t>
      </w:r>
    </w:p>
    <w:p w14:paraId="6657E903">
      <w:pPr>
        <w:snapToGrid w:val="0"/>
        <w:spacing w:line="320" w:lineRule="exact"/>
        <w:rPr>
          <w:rFonts w:ascii="宋体" w:hAnsi="宋体" w:cs="宋体"/>
          <w:sz w:val="24"/>
          <w:u w:val="dotted"/>
        </w:rPr>
      </w:pPr>
      <w:r>
        <w:rPr>
          <w:rFonts w:hint="eastAsia" w:ascii="宋体" w:hAnsi="宋体" w:cs="宋体"/>
          <w:sz w:val="24"/>
        </w:rPr>
        <w:t>请求：</w:t>
      </w:r>
    </w:p>
    <w:p w14:paraId="0D26B23C">
      <w:pPr>
        <w:spacing w:line="320" w:lineRule="exact"/>
        <w:rPr>
          <w:rFonts w:ascii="宋体" w:hAnsi="宋体" w:cs="宋体"/>
          <w:sz w:val="24"/>
        </w:rPr>
      </w:pPr>
      <w:r>
        <w:rPr>
          <w:rFonts w:hint="eastAsia" w:ascii="宋体" w:hAnsi="宋体" w:cs="宋体"/>
          <w:sz w:val="24"/>
        </w:rPr>
        <w:t xml:space="preserve">签字(签章)：                   公章：                      </w:t>
      </w:r>
    </w:p>
    <w:p w14:paraId="2E523FB0">
      <w:pPr>
        <w:spacing w:line="320" w:lineRule="exact"/>
        <w:rPr>
          <w:rFonts w:ascii="宋体" w:hAnsi="宋体" w:cs="宋体"/>
          <w:sz w:val="24"/>
        </w:rPr>
      </w:pPr>
      <w:r>
        <w:rPr>
          <w:rFonts w:hint="eastAsia" w:ascii="宋体" w:hAnsi="宋体" w:cs="宋体"/>
          <w:sz w:val="24"/>
        </w:rPr>
        <w:t xml:space="preserve">日期：    </w:t>
      </w:r>
    </w:p>
    <w:p w14:paraId="671C027F">
      <w:pPr>
        <w:spacing w:line="320" w:lineRule="exact"/>
        <w:jc w:val="center"/>
        <w:rPr>
          <w:rFonts w:ascii="宋体" w:hAnsi="宋体" w:cs="宋体"/>
          <w:b/>
          <w:bCs/>
          <w:sz w:val="24"/>
        </w:rPr>
      </w:pPr>
    </w:p>
    <w:p w14:paraId="343B36D3">
      <w:pPr>
        <w:spacing w:line="320" w:lineRule="exact"/>
        <w:rPr>
          <w:rFonts w:ascii="宋体" w:hAnsi="宋体" w:cs="宋体"/>
          <w:b/>
          <w:sz w:val="24"/>
        </w:rPr>
      </w:pPr>
      <w:r>
        <w:rPr>
          <w:rFonts w:hint="eastAsia" w:ascii="宋体" w:hAnsi="宋体" w:cs="宋体"/>
          <w:b/>
          <w:sz w:val="24"/>
        </w:rPr>
        <w:t>质疑函制作说明：</w:t>
      </w:r>
    </w:p>
    <w:p w14:paraId="2728C2D7">
      <w:pPr>
        <w:widowControl/>
        <w:spacing w:line="320" w:lineRule="exact"/>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60822EAA">
      <w:pPr>
        <w:widowControl/>
        <w:spacing w:line="320" w:lineRule="exact"/>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3E2EC8A8">
      <w:pPr>
        <w:widowControl/>
        <w:spacing w:line="320" w:lineRule="exact"/>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1A429CC7">
      <w:pPr>
        <w:widowControl/>
        <w:spacing w:line="320" w:lineRule="exact"/>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141C4562">
      <w:pPr>
        <w:widowControl/>
        <w:spacing w:line="320" w:lineRule="exact"/>
        <w:ind w:firstLine="480" w:firstLineChars="200"/>
        <w:jc w:val="left"/>
        <w:rPr>
          <w:rFonts w:ascii="宋体" w:hAnsi="宋体" w:cs="宋体"/>
          <w:sz w:val="24"/>
        </w:rPr>
      </w:pPr>
      <w:r>
        <w:rPr>
          <w:rFonts w:hint="eastAsia" w:ascii="宋体" w:hAnsi="宋体" w:cs="宋体"/>
          <w:sz w:val="24"/>
        </w:rPr>
        <w:t>5.质疑函的质疑请求应与质疑事项相关。</w:t>
      </w:r>
    </w:p>
    <w:p w14:paraId="1401FD85">
      <w:pPr>
        <w:widowControl/>
        <w:spacing w:line="320" w:lineRule="exact"/>
        <w:ind w:firstLine="480" w:firstLineChars="200"/>
        <w:jc w:val="left"/>
        <w:rPr>
          <w:rFonts w:ascii="宋体" w:hAnsi="宋体" w:cs="宋体"/>
          <w:sz w:val="24"/>
        </w:rPr>
      </w:pPr>
      <w:r>
        <w:rPr>
          <w:rFonts w:hint="eastAsia" w:ascii="宋体" w:hAnsi="宋体" w:cs="宋体"/>
          <w:sz w:val="24"/>
        </w:rPr>
        <w:t>6.质疑供应商为自然人的，质疑函应由本人签字；质疑供应商为法人或者其他组织的，质疑函应由法定代表人、主要负责人，或者其授权代表签字或者盖章，并加盖公章。</w:t>
      </w:r>
    </w:p>
    <w:p w14:paraId="19C53EA3">
      <w:pPr>
        <w:widowControl/>
        <w:spacing w:line="360" w:lineRule="auto"/>
        <w:ind w:firstLine="600" w:firstLineChars="200"/>
        <w:jc w:val="left"/>
        <w:rPr>
          <w:rFonts w:ascii="宋体" w:hAnsi="宋体" w:cs="宋体"/>
          <w:sz w:val="30"/>
          <w:szCs w:val="30"/>
        </w:rPr>
      </w:pPr>
    </w:p>
    <w:p w14:paraId="450E688D">
      <w:pPr>
        <w:spacing w:line="360" w:lineRule="auto"/>
        <w:jc w:val="center"/>
        <w:rPr>
          <w:rFonts w:ascii="宋体" w:hAnsi="宋体" w:cs="宋体"/>
          <w:b/>
          <w:spacing w:val="6"/>
          <w:sz w:val="32"/>
          <w:szCs w:val="32"/>
        </w:rPr>
      </w:pPr>
    </w:p>
    <w:p w14:paraId="3CC6B87B">
      <w:pPr>
        <w:spacing w:line="360" w:lineRule="auto"/>
        <w:jc w:val="center"/>
        <w:rPr>
          <w:rFonts w:ascii="宋体" w:hAnsi="宋体" w:cs="宋体"/>
          <w:b/>
          <w:spacing w:val="6"/>
          <w:sz w:val="32"/>
          <w:szCs w:val="32"/>
        </w:rPr>
      </w:pPr>
      <w:r>
        <w:rPr>
          <w:rFonts w:hint="eastAsia" w:ascii="宋体" w:hAnsi="宋体" w:cs="宋体"/>
          <w:b/>
          <w:spacing w:val="6"/>
          <w:sz w:val="32"/>
          <w:szCs w:val="32"/>
        </w:rPr>
        <w:t>附件3：投诉书范本及制作说明</w:t>
      </w:r>
    </w:p>
    <w:p w14:paraId="7804F319">
      <w:pPr>
        <w:spacing w:line="360" w:lineRule="auto"/>
        <w:jc w:val="center"/>
        <w:rPr>
          <w:rFonts w:ascii="宋体" w:hAnsi="宋体" w:cs="宋体"/>
          <w:b/>
          <w:spacing w:val="6"/>
          <w:sz w:val="32"/>
          <w:szCs w:val="32"/>
        </w:rPr>
      </w:pPr>
      <w:r>
        <w:rPr>
          <w:rFonts w:hint="eastAsia" w:ascii="宋体" w:hAnsi="宋体" w:cs="宋体"/>
          <w:b/>
          <w:spacing w:val="6"/>
          <w:sz w:val="32"/>
          <w:szCs w:val="32"/>
        </w:rPr>
        <w:t>投诉书范本</w:t>
      </w:r>
    </w:p>
    <w:p w14:paraId="32826A45">
      <w:pPr>
        <w:spacing w:line="360" w:lineRule="exact"/>
        <w:rPr>
          <w:rFonts w:ascii="宋体" w:hAnsi="宋体" w:cs="宋体"/>
          <w:sz w:val="24"/>
        </w:rPr>
      </w:pPr>
      <w:r>
        <w:rPr>
          <w:rFonts w:hint="eastAsia" w:ascii="宋体" w:hAnsi="宋体" w:cs="宋体"/>
          <w:sz w:val="24"/>
        </w:rPr>
        <w:t>一、投诉相关主体基本情况</w:t>
      </w:r>
    </w:p>
    <w:p w14:paraId="04AAF6F0">
      <w:pPr>
        <w:spacing w:line="360" w:lineRule="exact"/>
        <w:rPr>
          <w:rFonts w:ascii="宋体" w:hAnsi="宋体" w:cs="宋体"/>
          <w:sz w:val="24"/>
          <w:u w:val="dotted"/>
        </w:rPr>
      </w:pPr>
      <w:r>
        <w:rPr>
          <w:rFonts w:hint="eastAsia" w:ascii="宋体" w:hAnsi="宋体" w:cs="宋体"/>
          <w:sz w:val="24"/>
        </w:rPr>
        <w:t>投诉人：</w:t>
      </w:r>
    </w:p>
    <w:p w14:paraId="7D5FA42D">
      <w:pPr>
        <w:spacing w:line="360" w:lineRule="exact"/>
        <w:rPr>
          <w:rFonts w:ascii="宋体" w:hAnsi="宋体" w:cs="宋体"/>
          <w:sz w:val="24"/>
          <w:u w:val="single"/>
        </w:rPr>
      </w:pPr>
      <w:r>
        <w:rPr>
          <w:rFonts w:hint="eastAsia" w:ascii="宋体" w:hAnsi="宋体" w:cs="宋体"/>
          <w:sz w:val="24"/>
        </w:rPr>
        <w:t>地     址：邮编：</w:t>
      </w:r>
    </w:p>
    <w:p w14:paraId="32B0F475">
      <w:pPr>
        <w:tabs>
          <w:tab w:val="left" w:pos="6510"/>
        </w:tabs>
        <w:spacing w:line="360" w:lineRule="exact"/>
        <w:jc w:val="left"/>
        <w:rPr>
          <w:rFonts w:ascii="宋体" w:hAnsi="宋体" w:cs="宋体"/>
          <w:sz w:val="24"/>
        </w:rPr>
      </w:pPr>
      <w:r>
        <w:rPr>
          <w:rFonts w:hint="eastAsia" w:ascii="宋体" w:hAnsi="宋体" w:cs="宋体"/>
          <w:sz w:val="24"/>
        </w:rPr>
        <w:t>法定代表人/主要负责人：</w:t>
      </w:r>
    </w:p>
    <w:p w14:paraId="7E3B9F47">
      <w:pPr>
        <w:tabs>
          <w:tab w:val="left" w:pos="6510"/>
        </w:tabs>
        <w:spacing w:line="360" w:lineRule="exact"/>
        <w:rPr>
          <w:rFonts w:ascii="宋体" w:hAnsi="宋体" w:cs="宋体"/>
          <w:sz w:val="24"/>
          <w:u w:val="dotted"/>
        </w:rPr>
      </w:pPr>
      <w:r>
        <w:rPr>
          <w:rFonts w:hint="eastAsia" w:ascii="宋体" w:hAnsi="宋体" w:cs="宋体"/>
          <w:sz w:val="24"/>
        </w:rPr>
        <w:t>联系电话：</w:t>
      </w:r>
    </w:p>
    <w:p w14:paraId="0A91B876">
      <w:pPr>
        <w:spacing w:line="360" w:lineRule="exact"/>
        <w:rPr>
          <w:rFonts w:ascii="宋体" w:hAnsi="宋体" w:cs="宋体"/>
          <w:sz w:val="24"/>
          <w:u w:val="dotted"/>
        </w:rPr>
      </w:pPr>
      <w:r>
        <w:rPr>
          <w:rFonts w:hint="eastAsia" w:ascii="宋体" w:hAnsi="宋体" w:cs="宋体"/>
          <w:sz w:val="24"/>
        </w:rPr>
        <w:t>授权代表：联系电话</w:t>
      </w:r>
      <w:r>
        <w:rPr>
          <w:rFonts w:hint="eastAsia" w:ascii="宋体" w:hAnsi="宋体" w:cs="宋体"/>
          <w:sz w:val="24"/>
          <w:u w:val="dotted"/>
        </w:rPr>
        <w:t xml:space="preserve">：                  </w:t>
      </w:r>
    </w:p>
    <w:p w14:paraId="43A42F5A">
      <w:pPr>
        <w:spacing w:line="360" w:lineRule="exact"/>
        <w:rPr>
          <w:rFonts w:ascii="宋体" w:hAnsi="宋体" w:cs="宋体"/>
          <w:sz w:val="24"/>
          <w:u w:val="dotted"/>
        </w:rPr>
      </w:pPr>
      <w:r>
        <w:rPr>
          <w:rFonts w:hint="eastAsia" w:ascii="宋体" w:hAnsi="宋体" w:cs="宋体"/>
          <w:sz w:val="24"/>
        </w:rPr>
        <w:t>地     址：邮编：</w:t>
      </w:r>
    </w:p>
    <w:p w14:paraId="1878140D">
      <w:pPr>
        <w:spacing w:line="360" w:lineRule="exact"/>
        <w:rPr>
          <w:rFonts w:ascii="宋体" w:hAnsi="宋体" w:cs="宋体"/>
          <w:sz w:val="24"/>
          <w:u w:val="single"/>
        </w:rPr>
      </w:pPr>
      <w:r>
        <w:rPr>
          <w:rFonts w:hint="eastAsia" w:ascii="宋体" w:hAnsi="宋体" w:cs="宋体"/>
          <w:sz w:val="24"/>
        </w:rPr>
        <w:t>被投诉人1：</w:t>
      </w:r>
    </w:p>
    <w:p w14:paraId="07D90288">
      <w:pPr>
        <w:spacing w:line="360" w:lineRule="exact"/>
        <w:rPr>
          <w:rFonts w:ascii="宋体" w:hAnsi="宋体" w:cs="宋体"/>
          <w:sz w:val="24"/>
          <w:u w:val="single"/>
        </w:rPr>
      </w:pPr>
      <w:r>
        <w:rPr>
          <w:rFonts w:hint="eastAsia" w:ascii="宋体" w:hAnsi="宋体" w:cs="宋体"/>
          <w:sz w:val="24"/>
        </w:rPr>
        <w:t>地     址：邮编：</w:t>
      </w:r>
    </w:p>
    <w:p w14:paraId="61F8FB98">
      <w:pPr>
        <w:spacing w:line="360" w:lineRule="exact"/>
        <w:rPr>
          <w:rFonts w:ascii="宋体" w:hAnsi="宋体" w:cs="宋体"/>
          <w:sz w:val="24"/>
          <w:u w:val="single"/>
        </w:rPr>
      </w:pPr>
      <w:r>
        <w:rPr>
          <w:rFonts w:hint="eastAsia" w:ascii="宋体" w:hAnsi="宋体" w:cs="宋体"/>
          <w:sz w:val="24"/>
        </w:rPr>
        <w:t>联系人：联系电话：</w:t>
      </w:r>
    </w:p>
    <w:p w14:paraId="0BD1E969">
      <w:pPr>
        <w:spacing w:line="360" w:lineRule="exact"/>
        <w:rPr>
          <w:rFonts w:ascii="宋体" w:hAnsi="宋体" w:cs="宋体"/>
          <w:sz w:val="24"/>
        </w:rPr>
      </w:pPr>
      <w:r>
        <w:rPr>
          <w:rFonts w:hint="eastAsia" w:ascii="宋体" w:hAnsi="宋体" w:cs="宋体"/>
          <w:sz w:val="24"/>
        </w:rPr>
        <w:t>被投诉人2</w:t>
      </w:r>
    </w:p>
    <w:p w14:paraId="40F6921E">
      <w:pPr>
        <w:spacing w:line="360" w:lineRule="exact"/>
        <w:rPr>
          <w:rFonts w:ascii="宋体" w:hAnsi="宋体" w:cs="宋体"/>
          <w:sz w:val="24"/>
          <w:u w:val="dotted"/>
        </w:rPr>
      </w:pPr>
      <w:r>
        <w:rPr>
          <w:rFonts w:hint="eastAsia" w:ascii="宋体" w:hAnsi="宋体" w:cs="宋体"/>
          <w:sz w:val="24"/>
        </w:rPr>
        <w:t>……</w:t>
      </w:r>
    </w:p>
    <w:p w14:paraId="621901DB">
      <w:pPr>
        <w:spacing w:line="360" w:lineRule="exact"/>
        <w:rPr>
          <w:rFonts w:ascii="宋体" w:hAnsi="宋体" w:cs="宋体"/>
          <w:sz w:val="24"/>
          <w:u w:val="single"/>
        </w:rPr>
      </w:pPr>
      <w:r>
        <w:rPr>
          <w:rFonts w:hint="eastAsia" w:ascii="宋体" w:hAnsi="宋体" w:cs="宋体"/>
          <w:sz w:val="24"/>
        </w:rPr>
        <w:t>相关供应商：</w:t>
      </w:r>
    </w:p>
    <w:p w14:paraId="5BC6C073">
      <w:pPr>
        <w:spacing w:line="360" w:lineRule="exact"/>
        <w:rPr>
          <w:rFonts w:ascii="宋体" w:hAnsi="宋体" w:cs="宋体"/>
          <w:sz w:val="24"/>
          <w:u w:val="single"/>
        </w:rPr>
      </w:pPr>
      <w:r>
        <w:rPr>
          <w:rFonts w:hint="eastAsia" w:ascii="宋体" w:hAnsi="宋体" w:cs="宋体"/>
          <w:sz w:val="24"/>
        </w:rPr>
        <w:t>地     址：邮编：</w:t>
      </w:r>
    </w:p>
    <w:p w14:paraId="71175A16">
      <w:pPr>
        <w:spacing w:line="360" w:lineRule="exact"/>
        <w:rPr>
          <w:rFonts w:ascii="宋体" w:hAnsi="宋体" w:cs="宋体"/>
          <w:sz w:val="24"/>
          <w:u w:val="dotted"/>
        </w:rPr>
      </w:pPr>
      <w:r>
        <w:rPr>
          <w:rFonts w:hint="eastAsia" w:ascii="宋体" w:hAnsi="宋体" w:cs="宋体"/>
          <w:sz w:val="24"/>
        </w:rPr>
        <w:t>联系人：联系电话：</w:t>
      </w:r>
    </w:p>
    <w:p w14:paraId="166D2411">
      <w:pPr>
        <w:spacing w:line="360" w:lineRule="exact"/>
        <w:rPr>
          <w:rFonts w:ascii="宋体" w:hAnsi="宋体" w:cs="宋体"/>
          <w:sz w:val="24"/>
        </w:rPr>
      </w:pPr>
      <w:r>
        <w:rPr>
          <w:rFonts w:hint="eastAsia" w:ascii="宋体" w:hAnsi="宋体" w:cs="宋体"/>
          <w:sz w:val="24"/>
        </w:rPr>
        <w:t>二、投诉项目基本情况</w:t>
      </w:r>
    </w:p>
    <w:p w14:paraId="78D34FDD">
      <w:pPr>
        <w:spacing w:line="360" w:lineRule="exact"/>
        <w:rPr>
          <w:rFonts w:ascii="宋体" w:hAnsi="宋体" w:cs="宋体"/>
          <w:sz w:val="24"/>
          <w:u w:val="dotted"/>
        </w:rPr>
      </w:pPr>
      <w:r>
        <w:rPr>
          <w:rFonts w:hint="eastAsia" w:ascii="宋体" w:hAnsi="宋体" w:cs="宋体"/>
          <w:sz w:val="24"/>
        </w:rPr>
        <w:t>采购项目名称：</w:t>
      </w:r>
    </w:p>
    <w:p w14:paraId="190EF73F">
      <w:pPr>
        <w:spacing w:line="360" w:lineRule="exact"/>
        <w:rPr>
          <w:rFonts w:ascii="宋体" w:hAnsi="宋体" w:cs="宋体"/>
          <w:sz w:val="24"/>
          <w:u w:val="single"/>
        </w:rPr>
      </w:pPr>
      <w:r>
        <w:rPr>
          <w:rFonts w:hint="eastAsia" w:ascii="宋体" w:hAnsi="宋体" w:cs="宋体"/>
          <w:sz w:val="24"/>
        </w:rPr>
        <w:t>采购项目编号：包号：</w:t>
      </w:r>
    </w:p>
    <w:p w14:paraId="5C6465F2">
      <w:pPr>
        <w:spacing w:line="360" w:lineRule="exact"/>
        <w:rPr>
          <w:rFonts w:ascii="宋体" w:hAnsi="宋体" w:cs="宋体"/>
          <w:sz w:val="24"/>
        </w:rPr>
      </w:pPr>
      <w:r>
        <w:rPr>
          <w:rFonts w:hint="eastAsia" w:ascii="宋体" w:hAnsi="宋体" w:cs="宋体"/>
          <w:sz w:val="24"/>
        </w:rPr>
        <w:t>采购人名称：</w:t>
      </w:r>
    </w:p>
    <w:p w14:paraId="503BE59F">
      <w:pPr>
        <w:spacing w:line="360" w:lineRule="exact"/>
        <w:rPr>
          <w:rFonts w:ascii="宋体" w:hAnsi="宋体" w:cs="宋体"/>
          <w:sz w:val="24"/>
          <w:u w:val="single"/>
        </w:rPr>
      </w:pPr>
      <w:r>
        <w:rPr>
          <w:rFonts w:hint="eastAsia" w:ascii="宋体" w:hAnsi="宋体" w:cs="宋体"/>
          <w:sz w:val="24"/>
        </w:rPr>
        <w:t>代理机构名称：</w:t>
      </w:r>
    </w:p>
    <w:p w14:paraId="0B3CF93B">
      <w:pPr>
        <w:spacing w:line="360" w:lineRule="exact"/>
        <w:rPr>
          <w:rFonts w:ascii="宋体" w:hAnsi="宋体" w:cs="宋体"/>
          <w:sz w:val="24"/>
          <w:u w:val="dotted"/>
        </w:rPr>
      </w:pPr>
      <w:r>
        <w:rPr>
          <w:rFonts w:hint="eastAsia" w:ascii="宋体" w:hAnsi="宋体" w:cs="宋体"/>
          <w:sz w:val="24"/>
        </w:rPr>
        <w:t>采购文件公告:</w:t>
      </w:r>
      <w:r>
        <w:rPr>
          <w:rFonts w:hint="eastAsia" w:ascii="宋体" w:hAnsi="宋体" w:cs="宋体"/>
          <w:sz w:val="24"/>
          <w:u w:val="dotted"/>
        </w:rPr>
        <w:t xml:space="preserve">是/否 </w:t>
      </w:r>
      <w:r>
        <w:rPr>
          <w:rFonts w:hint="eastAsia" w:ascii="宋体" w:hAnsi="宋体" w:cs="宋体"/>
          <w:sz w:val="24"/>
        </w:rPr>
        <w:t>公告期限：</w:t>
      </w:r>
    </w:p>
    <w:p w14:paraId="2C174C0F">
      <w:pPr>
        <w:spacing w:line="360" w:lineRule="exact"/>
        <w:rPr>
          <w:rFonts w:ascii="宋体" w:hAnsi="宋体" w:cs="宋体"/>
          <w:sz w:val="24"/>
          <w:u w:val="single"/>
        </w:rPr>
      </w:pPr>
      <w:r>
        <w:rPr>
          <w:rFonts w:hint="eastAsia" w:ascii="宋体" w:hAnsi="宋体" w:cs="宋体"/>
          <w:sz w:val="24"/>
        </w:rPr>
        <w:t>采购结果公告:</w:t>
      </w:r>
      <w:r>
        <w:rPr>
          <w:rFonts w:hint="eastAsia" w:ascii="宋体" w:hAnsi="宋体" w:cs="宋体"/>
          <w:sz w:val="24"/>
          <w:u w:val="dotted"/>
        </w:rPr>
        <w:t xml:space="preserve">是/否 </w:t>
      </w:r>
      <w:r>
        <w:rPr>
          <w:rFonts w:hint="eastAsia" w:ascii="宋体" w:hAnsi="宋体" w:cs="宋体"/>
          <w:sz w:val="24"/>
        </w:rPr>
        <w:t>公告期限：</w:t>
      </w:r>
    </w:p>
    <w:p w14:paraId="40CFC3B3">
      <w:pPr>
        <w:spacing w:line="360" w:lineRule="exact"/>
        <w:rPr>
          <w:rFonts w:ascii="宋体" w:hAnsi="宋体" w:cs="宋体"/>
          <w:sz w:val="24"/>
        </w:rPr>
      </w:pPr>
      <w:r>
        <w:rPr>
          <w:rFonts w:hint="eastAsia" w:ascii="宋体" w:hAnsi="宋体" w:cs="宋体"/>
          <w:sz w:val="24"/>
        </w:rPr>
        <w:t>三、质疑基本情况</w:t>
      </w:r>
    </w:p>
    <w:p w14:paraId="1E2EC5E8">
      <w:pPr>
        <w:spacing w:line="360" w:lineRule="exact"/>
        <w:ind w:firstLine="480" w:firstLineChars="200"/>
        <w:rPr>
          <w:rFonts w:ascii="宋体" w:hAnsi="宋体" w:cs="宋体"/>
          <w:sz w:val="24"/>
          <w:u w:val="dotted"/>
        </w:rPr>
      </w:pPr>
      <w:r>
        <w:rPr>
          <w:rFonts w:hint="eastAsia" w:ascii="宋体" w:hAnsi="宋体" w:cs="宋体"/>
          <w:sz w:val="24"/>
        </w:rPr>
        <w:t>投诉人于年月日,向提出质疑，质疑事项为：</w:t>
      </w:r>
    </w:p>
    <w:p w14:paraId="24478E07">
      <w:pPr>
        <w:spacing w:line="360" w:lineRule="exact"/>
        <w:rPr>
          <w:rFonts w:ascii="宋体" w:hAnsi="宋体" w:cs="宋体"/>
          <w:sz w:val="24"/>
          <w:u w:val="dotted"/>
        </w:rPr>
      </w:pPr>
    </w:p>
    <w:p w14:paraId="044B48B8">
      <w:pPr>
        <w:spacing w:line="360" w:lineRule="exact"/>
        <w:ind w:firstLine="360" w:firstLineChars="150"/>
        <w:rPr>
          <w:rFonts w:ascii="宋体" w:hAnsi="宋体" w:cs="宋体"/>
          <w:sz w:val="24"/>
        </w:rPr>
      </w:pPr>
      <w:r>
        <w:rPr>
          <w:rFonts w:hint="eastAsia" w:ascii="宋体" w:hAnsi="宋体" w:cs="宋体"/>
          <w:sz w:val="24"/>
          <w:u w:val="dotted"/>
        </w:rPr>
        <w:t>采购人/代理机构</w:t>
      </w:r>
      <w:r>
        <w:rPr>
          <w:rFonts w:hint="eastAsia" w:ascii="宋体" w:hAnsi="宋体" w:cs="宋体"/>
          <w:sz w:val="24"/>
        </w:rPr>
        <w:t>于年月日,就质疑事项作出了答复/没有在法定期限内作出答复。</w:t>
      </w:r>
    </w:p>
    <w:p w14:paraId="23F1F6E0">
      <w:pPr>
        <w:spacing w:line="360" w:lineRule="exact"/>
        <w:rPr>
          <w:rFonts w:ascii="宋体" w:hAnsi="宋体" w:cs="宋体"/>
          <w:sz w:val="24"/>
        </w:rPr>
      </w:pPr>
      <w:r>
        <w:rPr>
          <w:rFonts w:hint="eastAsia" w:ascii="宋体" w:hAnsi="宋体" w:cs="宋体"/>
          <w:sz w:val="24"/>
        </w:rPr>
        <w:t>四、投诉事项具体内容</w:t>
      </w:r>
    </w:p>
    <w:p w14:paraId="379BFF8C">
      <w:pPr>
        <w:spacing w:line="360" w:lineRule="exact"/>
        <w:rPr>
          <w:rFonts w:ascii="宋体" w:hAnsi="宋体" w:cs="宋体"/>
          <w:sz w:val="24"/>
          <w:u w:val="single"/>
        </w:rPr>
      </w:pPr>
      <w:r>
        <w:rPr>
          <w:rFonts w:hint="eastAsia" w:ascii="宋体" w:hAnsi="宋体" w:cs="宋体"/>
          <w:sz w:val="24"/>
        </w:rPr>
        <w:t>投诉事项 1：</w:t>
      </w:r>
    </w:p>
    <w:p w14:paraId="4BFBBBDE">
      <w:pPr>
        <w:spacing w:line="360" w:lineRule="exact"/>
        <w:rPr>
          <w:rFonts w:ascii="宋体" w:hAnsi="宋体" w:cs="宋体"/>
          <w:sz w:val="24"/>
        </w:rPr>
      </w:pPr>
      <w:r>
        <w:rPr>
          <w:rFonts w:hint="eastAsia" w:ascii="宋体" w:hAnsi="宋体" w:cs="宋体"/>
          <w:sz w:val="24"/>
        </w:rPr>
        <w:t>事实依据：</w:t>
      </w:r>
    </w:p>
    <w:p w14:paraId="26DF051B">
      <w:pPr>
        <w:spacing w:line="360" w:lineRule="exact"/>
        <w:rPr>
          <w:rFonts w:ascii="宋体" w:hAnsi="宋体" w:cs="宋体"/>
          <w:sz w:val="24"/>
          <w:u w:val="dotted"/>
        </w:rPr>
      </w:pPr>
    </w:p>
    <w:p w14:paraId="3F0500F2">
      <w:pPr>
        <w:spacing w:line="360" w:lineRule="exact"/>
        <w:rPr>
          <w:rFonts w:ascii="宋体" w:hAnsi="宋体" w:cs="宋体"/>
          <w:sz w:val="24"/>
          <w:u w:val="single"/>
        </w:rPr>
      </w:pPr>
      <w:r>
        <w:rPr>
          <w:rFonts w:hint="eastAsia" w:ascii="宋体" w:hAnsi="宋体" w:cs="宋体"/>
          <w:sz w:val="24"/>
        </w:rPr>
        <w:t>法律依据：</w:t>
      </w:r>
    </w:p>
    <w:p w14:paraId="02ED3BEF">
      <w:pPr>
        <w:spacing w:line="360" w:lineRule="exact"/>
        <w:rPr>
          <w:rFonts w:ascii="宋体" w:hAnsi="宋体" w:cs="宋体"/>
          <w:sz w:val="24"/>
          <w:u w:val="dotted"/>
        </w:rPr>
      </w:pPr>
    </w:p>
    <w:p w14:paraId="13A857AE">
      <w:pPr>
        <w:spacing w:line="360" w:lineRule="exact"/>
        <w:rPr>
          <w:rFonts w:ascii="宋体" w:hAnsi="宋体" w:cs="宋体"/>
          <w:sz w:val="24"/>
        </w:rPr>
      </w:pPr>
      <w:r>
        <w:rPr>
          <w:rFonts w:hint="eastAsia" w:ascii="宋体" w:hAnsi="宋体" w:cs="宋体"/>
          <w:sz w:val="24"/>
        </w:rPr>
        <w:t>投诉事项2</w:t>
      </w:r>
    </w:p>
    <w:p w14:paraId="3F1AC045">
      <w:pPr>
        <w:spacing w:line="360" w:lineRule="exact"/>
        <w:rPr>
          <w:rFonts w:ascii="宋体" w:hAnsi="宋体" w:cs="宋体"/>
          <w:sz w:val="24"/>
          <w:u w:val="dotted"/>
        </w:rPr>
      </w:pPr>
      <w:r>
        <w:rPr>
          <w:rFonts w:hint="eastAsia" w:ascii="宋体" w:hAnsi="宋体" w:cs="宋体"/>
          <w:sz w:val="24"/>
        </w:rPr>
        <w:t>……</w:t>
      </w:r>
    </w:p>
    <w:p w14:paraId="09CF8BEA">
      <w:pPr>
        <w:spacing w:line="360" w:lineRule="exact"/>
        <w:rPr>
          <w:rFonts w:ascii="宋体" w:hAnsi="宋体" w:cs="宋体"/>
          <w:sz w:val="24"/>
        </w:rPr>
      </w:pPr>
      <w:r>
        <w:rPr>
          <w:rFonts w:hint="eastAsia" w:ascii="宋体" w:hAnsi="宋体" w:cs="宋体"/>
          <w:sz w:val="24"/>
        </w:rPr>
        <w:t>五、与投诉事项相关的投诉请求</w:t>
      </w:r>
    </w:p>
    <w:p w14:paraId="19776F0B">
      <w:pPr>
        <w:spacing w:line="360" w:lineRule="exact"/>
        <w:rPr>
          <w:rFonts w:ascii="宋体" w:hAnsi="宋体" w:cs="宋体"/>
          <w:sz w:val="24"/>
        </w:rPr>
      </w:pPr>
      <w:r>
        <w:rPr>
          <w:rFonts w:hint="eastAsia" w:ascii="宋体" w:hAnsi="宋体" w:cs="宋体"/>
          <w:sz w:val="24"/>
        </w:rPr>
        <w:t>请求：</w:t>
      </w:r>
    </w:p>
    <w:p w14:paraId="0C1DB4E5">
      <w:pPr>
        <w:spacing w:line="360" w:lineRule="exact"/>
        <w:rPr>
          <w:rFonts w:ascii="宋体" w:hAnsi="宋体" w:cs="宋体"/>
          <w:sz w:val="24"/>
          <w:u w:val="single"/>
        </w:rPr>
      </w:pPr>
    </w:p>
    <w:p w14:paraId="16E27B2E">
      <w:pPr>
        <w:spacing w:line="360" w:lineRule="exact"/>
        <w:rPr>
          <w:rFonts w:ascii="宋体" w:hAnsi="宋体" w:cs="宋体"/>
          <w:sz w:val="24"/>
        </w:rPr>
      </w:pPr>
      <w:r>
        <w:rPr>
          <w:rFonts w:hint="eastAsia" w:ascii="宋体" w:hAnsi="宋体" w:cs="宋体"/>
          <w:sz w:val="24"/>
        </w:rPr>
        <w:t xml:space="preserve">签字(签章)：                   公章：                      </w:t>
      </w:r>
    </w:p>
    <w:p w14:paraId="15EE97DF">
      <w:pPr>
        <w:spacing w:line="360" w:lineRule="exact"/>
        <w:rPr>
          <w:rFonts w:ascii="宋体" w:hAnsi="宋体" w:cs="宋体"/>
          <w:sz w:val="24"/>
        </w:rPr>
      </w:pPr>
      <w:r>
        <w:rPr>
          <w:rFonts w:hint="eastAsia" w:ascii="宋体" w:hAnsi="宋体" w:cs="宋体"/>
          <w:sz w:val="24"/>
        </w:rPr>
        <w:t xml:space="preserve">日期：    </w:t>
      </w:r>
    </w:p>
    <w:p w14:paraId="450CBA78">
      <w:pPr>
        <w:spacing w:line="360" w:lineRule="exact"/>
        <w:rPr>
          <w:rFonts w:ascii="宋体" w:hAnsi="宋体" w:cs="宋体"/>
          <w:b/>
          <w:sz w:val="24"/>
        </w:rPr>
      </w:pPr>
    </w:p>
    <w:p w14:paraId="13F51FCE">
      <w:pPr>
        <w:spacing w:line="360" w:lineRule="exact"/>
        <w:rPr>
          <w:rFonts w:ascii="宋体" w:hAnsi="宋体" w:cs="宋体"/>
          <w:b/>
          <w:sz w:val="24"/>
        </w:rPr>
      </w:pPr>
    </w:p>
    <w:p w14:paraId="55210C13">
      <w:pPr>
        <w:spacing w:line="360" w:lineRule="exact"/>
        <w:rPr>
          <w:rFonts w:ascii="宋体" w:hAnsi="宋体" w:cs="宋体"/>
          <w:b/>
          <w:sz w:val="24"/>
        </w:rPr>
      </w:pPr>
      <w:r>
        <w:rPr>
          <w:rFonts w:hint="eastAsia" w:ascii="宋体" w:hAnsi="宋体" w:cs="宋体"/>
          <w:b/>
          <w:sz w:val="24"/>
        </w:rPr>
        <w:t>投诉书制作说明：</w:t>
      </w:r>
    </w:p>
    <w:p w14:paraId="7656941A">
      <w:pPr>
        <w:widowControl/>
        <w:spacing w:line="360" w:lineRule="exact"/>
        <w:ind w:firstLine="480" w:firstLineChars="200"/>
        <w:rPr>
          <w:rFonts w:ascii="宋体" w:hAnsi="宋体" w:cs="宋体"/>
          <w:kern w:val="0"/>
          <w:sz w:val="24"/>
        </w:rPr>
      </w:pPr>
      <w:r>
        <w:rPr>
          <w:rFonts w:hint="eastAsia" w:ascii="宋体" w:hAnsi="宋体" w:cs="宋体"/>
          <w:sz w:val="24"/>
        </w:rPr>
        <w:t>1.投诉人提起投诉时，应当提交投诉书和必要的证明材料，并按照被投诉人和与投诉事项有关的供应商数量提供投诉书副本。</w:t>
      </w:r>
    </w:p>
    <w:p w14:paraId="74D56F5E">
      <w:pPr>
        <w:widowControl/>
        <w:spacing w:line="360" w:lineRule="exact"/>
        <w:ind w:firstLine="480" w:firstLineChars="200"/>
        <w:jc w:val="left"/>
        <w:rPr>
          <w:rFonts w:ascii="宋体" w:hAnsi="宋体" w:cs="宋体"/>
          <w:kern w:val="0"/>
          <w:sz w:val="24"/>
        </w:rPr>
      </w:pPr>
      <w:r>
        <w:rPr>
          <w:rFonts w:hint="eastAsia" w:ascii="宋体" w:hAnsi="宋体" w:cs="宋体"/>
          <w:sz w:val="24"/>
        </w:rPr>
        <w:t>2.投诉人若委托代理人进行投诉的，投诉书应按照要求列明“授权代表”的有关内容，并在附件中提交由</w:t>
      </w:r>
      <w:r>
        <w:rPr>
          <w:rFonts w:hint="eastAsia" w:ascii="宋体" w:hAnsi="宋体" w:cs="宋体"/>
          <w:kern w:val="0"/>
          <w:sz w:val="24"/>
        </w:rPr>
        <w:t>投诉人签署的授权委托书。授权委托书应当载明代理人的姓名或者名称、代理事项、具体权限、期限和相关事项。</w:t>
      </w:r>
    </w:p>
    <w:p w14:paraId="3F211440">
      <w:pPr>
        <w:widowControl/>
        <w:spacing w:line="360" w:lineRule="exact"/>
        <w:ind w:firstLine="480" w:firstLineChars="200"/>
        <w:jc w:val="left"/>
        <w:rPr>
          <w:rFonts w:ascii="宋体" w:hAnsi="宋体" w:cs="宋体"/>
          <w:sz w:val="24"/>
        </w:rPr>
      </w:pPr>
      <w:r>
        <w:rPr>
          <w:rFonts w:hint="eastAsia" w:ascii="宋体" w:hAnsi="宋体" w:cs="宋体"/>
          <w:sz w:val="24"/>
        </w:rPr>
        <w:t>3.投诉人若对项目的某一分包进行投诉，投诉书应列明具体分包号。</w:t>
      </w:r>
    </w:p>
    <w:p w14:paraId="233BDB03">
      <w:pPr>
        <w:widowControl/>
        <w:spacing w:line="360" w:lineRule="exact"/>
        <w:ind w:firstLine="480" w:firstLineChars="200"/>
        <w:jc w:val="left"/>
        <w:rPr>
          <w:rFonts w:ascii="宋体" w:hAnsi="宋体" w:cs="宋体"/>
          <w:sz w:val="24"/>
        </w:rPr>
      </w:pPr>
      <w:r>
        <w:rPr>
          <w:rFonts w:hint="eastAsia" w:ascii="宋体" w:hAnsi="宋体" w:cs="宋体"/>
          <w:sz w:val="24"/>
        </w:rPr>
        <w:t>4.投诉书应简要列明质疑事项，质疑函、质疑答复等作为附件材料提供。</w:t>
      </w:r>
    </w:p>
    <w:p w14:paraId="6EFAEE74">
      <w:pPr>
        <w:widowControl/>
        <w:spacing w:line="360" w:lineRule="exact"/>
        <w:ind w:firstLine="480" w:firstLineChars="200"/>
        <w:jc w:val="left"/>
        <w:rPr>
          <w:rFonts w:ascii="宋体" w:hAnsi="宋体" w:cs="宋体"/>
          <w:sz w:val="24"/>
        </w:rPr>
      </w:pPr>
      <w:r>
        <w:rPr>
          <w:rFonts w:hint="eastAsia" w:ascii="宋体" w:hAnsi="宋体" w:cs="宋体"/>
          <w:sz w:val="24"/>
        </w:rPr>
        <w:t>5.投诉书的投诉事项应具体、明确，并有必要的事实依据和法律依据。</w:t>
      </w:r>
    </w:p>
    <w:p w14:paraId="0CE1AF83">
      <w:pPr>
        <w:widowControl/>
        <w:spacing w:line="360" w:lineRule="exact"/>
        <w:ind w:firstLine="480" w:firstLineChars="200"/>
        <w:jc w:val="left"/>
        <w:rPr>
          <w:rFonts w:ascii="宋体" w:hAnsi="宋体" w:cs="宋体"/>
          <w:sz w:val="24"/>
        </w:rPr>
      </w:pPr>
      <w:r>
        <w:rPr>
          <w:rFonts w:hint="eastAsia" w:ascii="宋体" w:hAnsi="宋体" w:cs="宋体"/>
          <w:sz w:val="24"/>
        </w:rPr>
        <w:t>6.投诉书的投诉请求应与投诉事项相关。</w:t>
      </w:r>
    </w:p>
    <w:p w14:paraId="02633697">
      <w:pPr>
        <w:widowControl/>
        <w:spacing w:line="360" w:lineRule="exact"/>
        <w:ind w:firstLine="480" w:firstLineChars="200"/>
        <w:jc w:val="left"/>
        <w:rPr>
          <w:rFonts w:ascii="宋体" w:hAnsi="宋体" w:cs="宋体"/>
          <w:kern w:val="0"/>
          <w:sz w:val="24"/>
        </w:rPr>
      </w:pPr>
      <w:r>
        <w:rPr>
          <w:rFonts w:hint="eastAsia" w:ascii="宋体" w:hAnsi="宋体" w:cs="宋体"/>
          <w:sz w:val="24"/>
        </w:rPr>
        <w:t>7.投诉人为自然人的，投诉书应当由本人签字；投诉人为法人或者其他组织的，投诉书应当由法定代表人、主要负责人，或者其授权代表签字或者盖章，并加盖公章。</w:t>
      </w:r>
    </w:p>
    <w:p w14:paraId="554EBE5A">
      <w:pPr>
        <w:spacing w:line="360" w:lineRule="auto"/>
        <w:rPr>
          <w:rFonts w:ascii="宋体" w:hAnsi="宋体" w:cs="宋体"/>
          <w:b/>
          <w:sz w:val="24"/>
        </w:rPr>
      </w:pPr>
    </w:p>
    <w:p w14:paraId="43CBBBBC">
      <w:pPr>
        <w:autoSpaceDE w:val="0"/>
        <w:autoSpaceDN w:val="0"/>
        <w:jc w:val="center"/>
        <w:rPr>
          <w:rFonts w:ascii="宋体" w:hAnsi="宋体" w:cs="宋体"/>
          <w:b/>
          <w:spacing w:val="6"/>
          <w:sz w:val="32"/>
          <w:szCs w:val="32"/>
        </w:rPr>
      </w:pPr>
    </w:p>
    <w:p w14:paraId="43C38F5A">
      <w:pPr>
        <w:autoSpaceDE w:val="0"/>
        <w:autoSpaceDN w:val="0"/>
        <w:jc w:val="center"/>
        <w:rPr>
          <w:rFonts w:ascii="宋体" w:hAnsi="宋体" w:cs="宋体"/>
          <w:b/>
          <w:spacing w:val="6"/>
          <w:sz w:val="32"/>
          <w:szCs w:val="32"/>
        </w:rPr>
      </w:pPr>
    </w:p>
    <w:p w14:paraId="05922C37">
      <w:pPr>
        <w:autoSpaceDE w:val="0"/>
        <w:autoSpaceDN w:val="0"/>
        <w:jc w:val="center"/>
        <w:rPr>
          <w:rFonts w:ascii="宋体" w:hAnsi="宋体" w:cs="宋体"/>
          <w:b/>
          <w:spacing w:val="6"/>
          <w:sz w:val="32"/>
          <w:szCs w:val="32"/>
        </w:rPr>
      </w:pPr>
    </w:p>
    <w:p w14:paraId="66519FB8">
      <w:pPr>
        <w:autoSpaceDE w:val="0"/>
        <w:autoSpaceDN w:val="0"/>
        <w:rPr>
          <w:rFonts w:ascii="宋体" w:hAnsi="宋体" w:cs="宋体"/>
          <w:b/>
          <w:spacing w:val="6"/>
          <w:sz w:val="32"/>
          <w:szCs w:val="32"/>
        </w:rPr>
      </w:pPr>
    </w:p>
    <w:p w14:paraId="739556FE">
      <w:pPr>
        <w:pStyle w:val="3"/>
        <w:rPr>
          <w:rFonts w:ascii="宋体" w:hAnsi="宋体" w:eastAsia="宋体" w:cs="宋体"/>
          <w:spacing w:val="6"/>
        </w:rPr>
      </w:pPr>
    </w:p>
    <w:p w14:paraId="061F3453">
      <w:pPr>
        <w:rPr>
          <w:rFonts w:ascii="宋体" w:hAnsi="宋体" w:cs="宋体"/>
          <w:b/>
          <w:spacing w:val="6"/>
          <w:sz w:val="32"/>
          <w:szCs w:val="32"/>
        </w:rPr>
      </w:pPr>
    </w:p>
    <w:p w14:paraId="45E8EECB">
      <w:pPr>
        <w:rPr>
          <w:rFonts w:ascii="宋体" w:hAnsi="宋体" w:cs="宋体"/>
          <w:b/>
          <w:spacing w:val="6"/>
          <w:sz w:val="32"/>
          <w:szCs w:val="32"/>
        </w:rPr>
      </w:pPr>
    </w:p>
    <w:p w14:paraId="2DE1719C">
      <w:pPr>
        <w:rPr>
          <w:rFonts w:ascii="宋体" w:hAnsi="宋体" w:cs="宋体"/>
          <w:b/>
          <w:spacing w:val="6"/>
          <w:sz w:val="32"/>
          <w:szCs w:val="32"/>
        </w:rPr>
      </w:pPr>
    </w:p>
    <w:p w14:paraId="590F97E3">
      <w:pPr>
        <w:rPr>
          <w:rFonts w:ascii="宋体" w:hAnsi="宋体" w:cs="宋体"/>
          <w:b/>
          <w:spacing w:val="6"/>
          <w:sz w:val="32"/>
          <w:szCs w:val="32"/>
        </w:rPr>
      </w:pPr>
    </w:p>
    <w:p w14:paraId="05C522A0">
      <w:pPr>
        <w:rPr>
          <w:rFonts w:ascii="宋体" w:hAnsi="宋体" w:cs="宋体"/>
          <w:b/>
          <w:spacing w:val="6"/>
          <w:sz w:val="32"/>
          <w:szCs w:val="32"/>
        </w:rPr>
      </w:pPr>
    </w:p>
    <w:p w14:paraId="77BAFA3C">
      <w:pPr>
        <w:autoSpaceDE w:val="0"/>
        <w:autoSpaceDN w:val="0"/>
        <w:jc w:val="center"/>
        <w:rPr>
          <w:rFonts w:ascii="宋体" w:hAnsi="宋体" w:cs="宋体"/>
          <w:b/>
          <w:sz w:val="32"/>
          <w:szCs w:val="32"/>
        </w:rPr>
      </w:pPr>
      <w:r>
        <w:rPr>
          <w:rFonts w:hint="eastAsia" w:ascii="宋体" w:hAnsi="宋体" w:cs="宋体"/>
          <w:b/>
          <w:spacing w:val="6"/>
          <w:sz w:val="32"/>
          <w:szCs w:val="32"/>
        </w:rPr>
        <w:t>附件4：</w:t>
      </w:r>
      <w:r>
        <w:rPr>
          <w:rFonts w:hint="eastAsia" w:ascii="宋体" w:hAnsi="宋体" w:cs="宋体"/>
          <w:b/>
          <w:sz w:val="32"/>
          <w:szCs w:val="32"/>
        </w:rPr>
        <w:t>中小企业声明函</w:t>
      </w:r>
    </w:p>
    <w:p w14:paraId="266DBEEE">
      <w:pPr>
        <w:autoSpaceDE w:val="0"/>
        <w:autoSpaceDN w:val="0"/>
        <w:jc w:val="center"/>
        <w:rPr>
          <w:rFonts w:ascii="宋体" w:hAnsi="宋体" w:cs="宋体"/>
          <w:b/>
          <w:sz w:val="32"/>
          <w:szCs w:val="32"/>
        </w:rPr>
      </w:pPr>
      <w:r>
        <w:rPr>
          <w:rFonts w:hint="eastAsia" w:ascii="宋体" w:hAnsi="宋体" w:cs="宋体"/>
          <w:b/>
          <w:sz w:val="32"/>
          <w:szCs w:val="32"/>
        </w:rPr>
        <w:t>中小企业声明函（货物）</w:t>
      </w:r>
    </w:p>
    <w:p w14:paraId="30F6E610">
      <w:pPr>
        <w:spacing w:line="420" w:lineRule="exact"/>
        <w:ind w:firstLine="480" w:firstLineChars="200"/>
        <w:jc w:val="left"/>
        <w:rPr>
          <w:rFonts w:ascii="宋体" w:hAnsi="宋体" w:cs="宋体"/>
          <w:sz w:val="24"/>
        </w:rPr>
      </w:pPr>
      <w:r>
        <w:rPr>
          <w:rFonts w:hint="eastAsia" w:ascii="宋体" w:hAnsi="宋体" w:cs="宋体"/>
          <w:sz w:val="24"/>
        </w:rPr>
        <w:t>本公司郑重声明，根据《政府采购促进中小企业发展管理办法》 （财库﹝2020﹞46 号）的规定，本公司（或联合体）参加</w:t>
      </w:r>
      <w:r>
        <w:rPr>
          <w:rFonts w:hint="eastAsia" w:ascii="宋体" w:hAnsi="宋体" w:cs="宋体"/>
          <w:sz w:val="24"/>
          <w:u w:val="single"/>
        </w:rPr>
        <w:t>（采购人）</w:t>
      </w:r>
      <w:r>
        <w:rPr>
          <w:rFonts w:hint="eastAsia" w:ascii="宋体" w:hAnsi="宋体" w:cs="宋体"/>
          <w:sz w:val="24"/>
        </w:rPr>
        <w:t>的</w:t>
      </w:r>
      <w:r>
        <w:rPr>
          <w:rFonts w:hint="eastAsia" w:ascii="宋体" w:hAnsi="宋体" w:cs="宋体"/>
          <w:sz w:val="24"/>
          <w:u w:val="single"/>
        </w:rPr>
        <w:t>（项目名称）</w:t>
      </w:r>
      <w:r>
        <w:rPr>
          <w:rFonts w:hint="eastAsia" w:ascii="宋体" w:hAnsi="宋体" w:cs="宋体"/>
          <w:sz w:val="24"/>
        </w:rPr>
        <w:t>采购活动，提供的货物全部由符合政策要求的中小企业制造 。相关企业（含联合体中的中小企业、签订分包意向协议的中小企业）的具体情况如下：</w:t>
      </w:r>
    </w:p>
    <w:p w14:paraId="54A58105">
      <w:pPr>
        <w:spacing w:line="420" w:lineRule="exact"/>
        <w:jc w:val="left"/>
        <w:rPr>
          <w:rFonts w:ascii="宋体" w:hAnsi="宋体" w:cs="宋体"/>
          <w:sz w:val="24"/>
        </w:rPr>
      </w:pPr>
      <w:r>
        <w:rPr>
          <w:rFonts w:hint="eastAsia" w:ascii="宋体" w:hAnsi="宋体" w:cs="宋体"/>
          <w:sz w:val="24"/>
        </w:rPr>
        <w:t>1.</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 xml:space="preserve"> （采购文件中明确的所属行业）</w:t>
      </w:r>
      <w:r>
        <w:rPr>
          <w:rFonts w:hint="eastAsia" w:ascii="宋体" w:hAnsi="宋体" w:cs="宋体"/>
          <w:sz w:val="24"/>
        </w:rPr>
        <w:t xml:space="preserve">；制造商为 </w:t>
      </w:r>
      <w:r>
        <w:rPr>
          <w:rFonts w:hint="eastAsia" w:ascii="宋体" w:hAnsi="宋体" w:cs="宋体"/>
          <w:sz w:val="24"/>
          <w:u w:val="single"/>
        </w:rPr>
        <w:t xml:space="preserve">（企业名称） </w:t>
      </w:r>
      <w:r>
        <w:rPr>
          <w:rFonts w:hint="eastAsia" w:ascii="宋体" w:hAnsi="宋体" w:cs="宋体"/>
          <w:sz w:val="24"/>
        </w:rPr>
        <w:t>，从业人员人，营业收入为万元，资产总额为万元 ，属于</w:t>
      </w:r>
      <w:r>
        <w:rPr>
          <w:rFonts w:hint="eastAsia" w:ascii="宋体" w:hAnsi="宋体" w:cs="宋体"/>
          <w:sz w:val="24"/>
          <w:u w:val="single"/>
        </w:rPr>
        <w:t xml:space="preserve"> （中型企业、小型企业、微型企业）</w:t>
      </w:r>
      <w:r>
        <w:rPr>
          <w:rFonts w:hint="eastAsia" w:ascii="宋体" w:hAnsi="宋体" w:cs="宋体"/>
          <w:sz w:val="24"/>
        </w:rPr>
        <w:t xml:space="preserve"> ；</w:t>
      </w:r>
    </w:p>
    <w:p w14:paraId="29406FF0">
      <w:pPr>
        <w:spacing w:line="420" w:lineRule="exact"/>
        <w:jc w:val="left"/>
        <w:rPr>
          <w:rFonts w:ascii="宋体" w:hAnsi="宋体" w:cs="宋体"/>
          <w:sz w:val="24"/>
        </w:rPr>
      </w:pPr>
      <w:r>
        <w:rPr>
          <w:rFonts w:hint="eastAsia" w:ascii="宋体" w:hAnsi="宋体" w:cs="宋体"/>
          <w:sz w:val="24"/>
        </w:rPr>
        <w:t>2.</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；制造商为</w:t>
      </w:r>
      <w:r>
        <w:rPr>
          <w:rFonts w:hint="eastAsia" w:ascii="宋体" w:hAnsi="宋体" w:cs="宋体"/>
          <w:sz w:val="24"/>
          <w:u w:val="single"/>
        </w:rPr>
        <w:t xml:space="preserve">（企业名称） </w:t>
      </w:r>
      <w:r>
        <w:rPr>
          <w:rFonts w:hint="eastAsia" w:ascii="宋体" w:hAnsi="宋体" w:cs="宋体"/>
          <w:sz w:val="24"/>
        </w:rPr>
        <w:t>，从业人员人，营业收入为万元，资产总额为万元 ，属于</w:t>
      </w:r>
      <w:r>
        <w:rPr>
          <w:rFonts w:hint="eastAsia" w:ascii="宋体" w:hAnsi="宋体" w:cs="宋体"/>
          <w:sz w:val="24"/>
          <w:u w:val="single"/>
        </w:rPr>
        <w:t>（中型企业、小型企业、微型企业）</w:t>
      </w:r>
      <w:r>
        <w:rPr>
          <w:rFonts w:hint="eastAsia" w:ascii="宋体" w:hAnsi="宋体" w:cs="宋体"/>
          <w:sz w:val="24"/>
        </w:rPr>
        <w:t xml:space="preserve"> ；</w:t>
      </w:r>
    </w:p>
    <w:p w14:paraId="51B30EF3">
      <w:pPr>
        <w:spacing w:line="420" w:lineRule="exact"/>
        <w:ind w:firstLine="480" w:firstLineChars="200"/>
        <w:jc w:val="left"/>
        <w:rPr>
          <w:rFonts w:ascii="宋体" w:hAnsi="宋体" w:cs="宋体"/>
          <w:sz w:val="24"/>
        </w:rPr>
      </w:pPr>
      <w:r>
        <w:rPr>
          <w:rFonts w:hint="eastAsia" w:ascii="宋体" w:hAnsi="宋体" w:cs="宋体"/>
          <w:sz w:val="24"/>
        </w:rPr>
        <w:t>……</w:t>
      </w:r>
    </w:p>
    <w:p w14:paraId="2B0E1989">
      <w:pPr>
        <w:spacing w:line="420" w:lineRule="exact"/>
        <w:ind w:firstLine="480" w:firstLineChars="200"/>
        <w:jc w:val="left"/>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14:paraId="146C0BFA">
      <w:pPr>
        <w:spacing w:line="420" w:lineRule="exact"/>
        <w:ind w:firstLine="480" w:firstLineChars="200"/>
        <w:jc w:val="left"/>
        <w:rPr>
          <w:rFonts w:ascii="宋体" w:hAnsi="宋体" w:cs="宋体"/>
          <w:sz w:val="24"/>
        </w:rPr>
      </w:pPr>
      <w:r>
        <w:rPr>
          <w:rFonts w:hint="eastAsia" w:ascii="宋体" w:hAnsi="宋体" w:cs="宋体"/>
          <w:sz w:val="24"/>
        </w:rPr>
        <w:t>本企业对上述声明内容的真实性负责。如有虚假，将依法承担相应责任。</w:t>
      </w:r>
    </w:p>
    <w:p w14:paraId="4602D22D">
      <w:pPr>
        <w:ind w:right="420" w:firstLine="5880" w:firstLineChars="2450"/>
        <w:jc w:val="left"/>
        <w:rPr>
          <w:rFonts w:ascii="宋体" w:hAnsi="宋体" w:cs="宋体"/>
          <w:sz w:val="24"/>
        </w:rPr>
      </w:pPr>
    </w:p>
    <w:p w14:paraId="3EE8EC8F">
      <w:pPr>
        <w:spacing w:line="360" w:lineRule="auto"/>
        <w:jc w:val="right"/>
        <w:rPr>
          <w:rFonts w:ascii="宋体" w:hAnsi="宋体" w:cs="宋体"/>
          <w:sz w:val="24"/>
          <w:szCs w:val="22"/>
        </w:rPr>
      </w:pPr>
      <w:r>
        <w:rPr>
          <w:rFonts w:hint="eastAsia" w:ascii="宋体" w:hAnsi="宋体" w:cs="宋体"/>
          <w:sz w:val="24"/>
          <w:szCs w:val="22"/>
        </w:rPr>
        <w:t>投标人名称（电子签章）：________________</w:t>
      </w:r>
    </w:p>
    <w:p w14:paraId="4BC3AA72">
      <w:pPr>
        <w:spacing w:line="360" w:lineRule="auto"/>
        <w:ind w:firstLine="4800" w:firstLineChars="2000"/>
        <w:rPr>
          <w:rFonts w:ascii="宋体" w:hAnsi="宋体" w:cs="宋体"/>
          <w:b/>
          <w:bCs/>
          <w:sz w:val="18"/>
          <w:szCs w:val="18"/>
        </w:rPr>
      </w:pPr>
      <w:r>
        <w:rPr>
          <w:rFonts w:hint="eastAsia" w:ascii="宋体" w:hAnsi="宋体" w:cs="宋体"/>
          <w:sz w:val="24"/>
          <w:szCs w:val="22"/>
        </w:rPr>
        <w:t>日期：______年____月____日</w:t>
      </w:r>
    </w:p>
    <w:p w14:paraId="5FEC56F3">
      <w:pPr>
        <w:spacing w:line="400" w:lineRule="atLeast"/>
        <w:rPr>
          <w:rFonts w:ascii="宋体" w:hAnsi="宋体" w:cs="宋体"/>
          <w:b/>
          <w:bCs/>
          <w:sz w:val="24"/>
        </w:rPr>
      </w:pPr>
      <w:r>
        <w:rPr>
          <w:rFonts w:hint="eastAsia" w:ascii="宋体" w:hAnsi="宋体" w:cs="宋体"/>
          <w:b/>
          <w:bCs/>
          <w:sz w:val="24"/>
        </w:rPr>
        <w:t>注：</w:t>
      </w:r>
    </w:p>
    <w:p w14:paraId="4E829F91">
      <w:pPr>
        <w:spacing w:line="400" w:lineRule="exact"/>
        <w:ind w:firstLine="482" w:firstLineChars="200"/>
        <w:rPr>
          <w:rFonts w:ascii="宋体" w:hAnsi="宋体" w:cs="宋体"/>
          <w:b/>
          <w:bCs/>
          <w:sz w:val="24"/>
        </w:rPr>
      </w:pPr>
      <w:r>
        <w:rPr>
          <w:rFonts w:hint="eastAsia" w:ascii="宋体" w:hAnsi="宋体" w:cs="宋体"/>
          <w:b/>
          <w:bCs/>
          <w:sz w:val="24"/>
        </w:rPr>
        <w:t>1、从业人员、营业收入、资产总额填报上一年度数据，无上一年度数据的新成立企业可不填报。</w:t>
      </w:r>
    </w:p>
    <w:p w14:paraId="694D46C0">
      <w:pPr>
        <w:spacing w:line="400" w:lineRule="exact"/>
        <w:ind w:firstLine="482" w:firstLineChars="200"/>
        <w:rPr>
          <w:rFonts w:ascii="宋体" w:hAnsi="宋体" w:cs="宋体"/>
          <w:b/>
          <w:bCs/>
          <w:sz w:val="24"/>
        </w:rPr>
      </w:pPr>
      <w:r>
        <w:rPr>
          <w:rFonts w:hint="eastAsia" w:ascii="宋体" w:hAnsi="宋体" w:cs="宋体"/>
          <w:b/>
          <w:bCs/>
          <w:sz w:val="24"/>
        </w:rPr>
        <w:t>2、供应商应根据采购文件中明确的“所属行业”对应的中小企业划分标准，结合企业实际情况如实判断，属于中小企业的，应如实填写并提交《中小企业声明函》。</w:t>
      </w:r>
    </w:p>
    <w:p w14:paraId="4EFD10B4">
      <w:pPr>
        <w:spacing w:line="400" w:lineRule="exact"/>
        <w:ind w:firstLine="482" w:firstLineChars="200"/>
        <w:rPr>
          <w:rFonts w:ascii="宋体" w:hAnsi="宋体" w:cs="宋体"/>
          <w:b/>
          <w:bCs/>
          <w:sz w:val="24"/>
        </w:rPr>
      </w:pPr>
      <w:r>
        <w:rPr>
          <w:rFonts w:hint="eastAsia" w:ascii="宋体" w:hAnsi="宋体" w:cs="宋体"/>
          <w:b/>
          <w:bCs/>
          <w:sz w:val="24"/>
        </w:rPr>
        <w:t>3、中小企业划分标准：详见《中小企业划型标准规定》（工信部联企业〔2011〕300号）。</w:t>
      </w:r>
    </w:p>
    <w:p w14:paraId="2A1CCD5F">
      <w:pPr>
        <w:spacing w:line="400" w:lineRule="exact"/>
        <w:rPr>
          <w:rFonts w:ascii="宋体" w:hAnsi="宋体" w:cs="宋体"/>
          <w:bCs/>
          <w:sz w:val="24"/>
        </w:rPr>
      </w:pPr>
      <w:r>
        <w:rPr>
          <w:rFonts w:hint="eastAsia" w:ascii="宋体" w:hAnsi="宋体" w:cs="宋体"/>
          <w:b/>
          <w:bCs/>
          <w:sz w:val="24"/>
        </w:rPr>
        <w:t>4、供应商对其提供的《中小企业声明函》真实性负责，声明函内容不实的，属于提供虚假材料谋取中标、成交，依照《中华人民共和国政府采购法》等国家有关规定追究其相应责任。</w:t>
      </w:r>
    </w:p>
    <w:p w14:paraId="593736F5">
      <w:pPr>
        <w:spacing w:line="360" w:lineRule="auto"/>
        <w:ind w:right="420" w:firstLine="480" w:firstLineChars="200"/>
        <w:rPr>
          <w:rFonts w:ascii="仿宋" w:hAnsi="仿宋" w:eastAsia="仿宋" w:cs="仿宋"/>
          <w:bCs/>
          <w:sz w:val="24"/>
        </w:rPr>
        <w:sectPr>
          <w:headerReference r:id="rId23" w:type="default"/>
          <w:footerReference r:id="rId24" w:type="default"/>
          <w:pgSz w:w="11906" w:h="16838"/>
          <w:pgMar w:top="1440" w:right="1633" w:bottom="1440" w:left="1633" w:header="1077" w:footer="992" w:gutter="0"/>
          <w:cols w:space="0" w:num="1"/>
          <w:docGrid w:type="lines" w:linePitch="312" w:charSpace="0"/>
        </w:sectPr>
      </w:pPr>
    </w:p>
    <w:p w14:paraId="36E37856">
      <w:pPr>
        <w:autoSpaceDE w:val="0"/>
        <w:autoSpaceDN w:val="0"/>
        <w:spacing w:line="360" w:lineRule="auto"/>
        <w:jc w:val="center"/>
        <w:rPr>
          <w:rFonts w:ascii="宋体" w:hAnsi="宋体" w:cs="宋体"/>
          <w:b/>
          <w:sz w:val="32"/>
          <w:szCs w:val="32"/>
        </w:rPr>
      </w:pPr>
      <w:r>
        <w:rPr>
          <w:rFonts w:hint="eastAsia" w:ascii="宋体" w:hAnsi="宋体" w:cs="宋体"/>
          <w:b/>
          <w:spacing w:val="6"/>
          <w:sz w:val="32"/>
          <w:szCs w:val="32"/>
        </w:rPr>
        <w:t>附件5：关于符合本国产品标准的声明函</w:t>
      </w:r>
    </w:p>
    <w:p w14:paraId="0416313E">
      <w:pPr>
        <w:pStyle w:val="60"/>
        <w:shd w:val="clear" w:color="auto" w:fill="FFFFFF"/>
        <w:adjustRightInd/>
        <w:spacing w:before="0" w:beforeAutospacing="0" w:after="0" w:afterAutospacing="0" w:line="360" w:lineRule="auto"/>
        <w:ind w:firstLine="480" w:firstLineChars="200"/>
        <w:jc w:val="both"/>
        <w:rPr>
          <w:rFonts w:cs="宋体"/>
        </w:rPr>
      </w:pPr>
      <w:r>
        <w:rPr>
          <w:rFonts w:hint="eastAsia" w:cs="宋体"/>
          <w:shd w:val="clear" w:color="auto" w:fill="FFFFFF"/>
        </w:rPr>
        <w:t>本公司（单位）郑重声明，根据《国务院办公厅关于在政府采购中实施本国产品标准及相关政策的通知》（ 国办发〔2025〕34号 ）的规定，本公司（单位）提供的以下产品属于本国产品。具体情况如下：</w:t>
      </w:r>
    </w:p>
    <w:p w14:paraId="73031657">
      <w:pPr>
        <w:pStyle w:val="60"/>
        <w:shd w:val="clear" w:color="auto" w:fill="FFFFFF"/>
        <w:adjustRightInd/>
        <w:spacing w:before="0" w:beforeAutospacing="0" w:after="0" w:afterAutospacing="0" w:line="360" w:lineRule="auto"/>
        <w:ind w:firstLine="480" w:firstLineChars="200"/>
        <w:jc w:val="both"/>
        <w:rPr>
          <w:rFonts w:cs="宋体"/>
        </w:rPr>
      </w:pPr>
      <w:r>
        <w:rPr>
          <w:rFonts w:hint="eastAsia" w:cs="宋体"/>
          <w:shd w:val="clear" w:color="auto" w:fill="FFFFFF"/>
        </w:rPr>
        <w:t>1.</w:t>
      </w:r>
      <w:r>
        <w:rPr>
          <w:rFonts w:hint="eastAsia" w:cs="宋体"/>
          <w:u w:val="single"/>
          <w:shd w:val="clear" w:color="auto" w:fill="FFFFFF"/>
        </w:rPr>
        <w:t>（ 产品名称 1）</w:t>
      </w:r>
      <w:r>
        <w:rPr>
          <w:rFonts w:hint="eastAsia" w:cs="宋体"/>
          <w:shd w:val="clear" w:color="auto" w:fill="FFFFFF"/>
        </w:rPr>
        <w:t>，生产厂为</w:t>
      </w:r>
      <w:r>
        <w:rPr>
          <w:rFonts w:hint="eastAsia" w:cs="宋体"/>
          <w:u w:val="single"/>
          <w:shd w:val="clear" w:color="auto" w:fill="FFFFFF"/>
        </w:rPr>
        <w:t>（厂名）</w:t>
      </w:r>
      <w:r>
        <w:rPr>
          <w:rFonts w:hint="eastAsia" w:cs="宋体"/>
          <w:shd w:val="clear" w:color="auto" w:fill="FFFFFF"/>
        </w:rPr>
        <w:t>，厂址为</w:t>
      </w:r>
      <w:r>
        <w:rPr>
          <w:rFonts w:hint="eastAsia" w:cs="宋体"/>
          <w:u w:val="single"/>
          <w:shd w:val="clear" w:color="auto" w:fill="FFFFFF"/>
        </w:rPr>
        <w:t>（生产厂址）</w:t>
      </w:r>
      <w:r>
        <w:rPr>
          <w:rFonts w:hint="eastAsia" w:cs="宋体"/>
          <w:shd w:val="clear" w:color="auto" w:fill="FFFFFF"/>
        </w:rPr>
        <w:t>。 </w:t>
      </w:r>
      <w:r>
        <w:rPr>
          <w:rFonts w:hint="eastAsia" w:cs="宋体"/>
          <w:u w:val="single"/>
          <w:shd w:val="clear" w:color="auto" w:fill="FFFFFF"/>
        </w:rPr>
        <w:t>（产品名称 1）</w:t>
      </w:r>
      <w:r>
        <w:rPr>
          <w:rFonts w:hint="eastAsia" w:cs="宋体"/>
          <w:shd w:val="clear" w:color="auto" w:fill="FFFFFF"/>
        </w:rPr>
        <w:t>的中国境内生产的组件成本占比≥</w:t>
      </w:r>
      <w:r>
        <w:rPr>
          <w:rFonts w:hint="eastAsia" w:cs="宋体"/>
          <w:u w:val="single"/>
          <w:shd w:val="clear" w:color="auto" w:fill="FFFFFF"/>
        </w:rPr>
        <w:t>（规定比例）</w:t>
      </w:r>
      <w:r>
        <w:rPr>
          <w:rFonts w:hint="eastAsia" w:cs="宋体"/>
          <w:shd w:val="clear" w:color="auto" w:fill="FFFFFF"/>
        </w:rPr>
        <w:t>。 </w:t>
      </w:r>
      <w:r>
        <w:rPr>
          <w:rFonts w:hint="eastAsia" w:cs="宋体"/>
          <w:u w:val="single"/>
          <w:shd w:val="clear" w:color="auto" w:fill="FFFFFF"/>
        </w:rPr>
        <w:t>（产品名称 1）</w:t>
      </w:r>
      <w:r>
        <w:rPr>
          <w:rFonts w:hint="eastAsia" w:cs="宋体"/>
          <w:shd w:val="clear" w:color="auto" w:fill="FFFFFF"/>
        </w:rPr>
        <w:t>的</w:t>
      </w:r>
      <w:r>
        <w:rPr>
          <w:rFonts w:hint="eastAsia" w:cs="宋体"/>
          <w:u w:val="single"/>
          <w:shd w:val="clear" w:color="auto" w:fill="FFFFFF"/>
        </w:rPr>
        <w:t>（关键组件）</w:t>
      </w:r>
      <w:r>
        <w:rPr>
          <w:rFonts w:hint="eastAsia" w:cs="宋体"/>
          <w:shd w:val="clear" w:color="auto" w:fill="FFFFFF"/>
        </w:rPr>
        <w:t> 在中国境内生产。</w:t>
      </w:r>
      <w:r>
        <w:rPr>
          <w:rFonts w:hint="eastAsia" w:cs="宋体"/>
          <w:u w:val="single"/>
          <w:shd w:val="clear" w:color="auto" w:fill="FFFFFF"/>
        </w:rPr>
        <w:t>（产品名称 1）</w:t>
      </w:r>
      <w:r>
        <w:rPr>
          <w:rFonts w:hint="eastAsia" w:cs="宋体"/>
          <w:shd w:val="clear" w:color="auto" w:fill="FFFFFF"/>
        </w:rPr>
        <w:t>的</w:t>
      </w:r>
      <w:r>
        <w:rPr>
          <w:rFonts w:hint="eastAsia" w:cs="宋体"/>
          <w:u w:val="single"/>
          <w:shd w:val="clear" w:color="auto" w:fill="FFFFFF"/>
        </w:rPr>
        <w:t>（关键工序）</w:t>
      </w:r>
      <w:r>
        <w:rPr>
          <w:rFonts w:hint="eastAsia" w:cs="宋体"/>
          <w:shd w:val="clear" w:color="auto" w:fill="FFFFFF"/>
        </w:rPr>
        <w:t> 在中国境内完成。</w:t>
      </w:r>
    </w:p>
    <w:p w14:paraId="41D9F529">
      <w:pPr>
        <w:pStyle w:val="60"/>
        <w:shd w:val="clear" w:color="auto" w:fill="FFFFFF"/>
        <w:adjustRightInd/>
        <w:spacing w:before="0" w:beforeAutospacing="0" w:after="0" w:afterAutospacing="0" w:line="360" w:lineRule="auto"/>
        <w:ind w:firstLine="480" w:firstLineChars="200"/>
        <w:jc w:val="both"/>
        <w:rPr>
          <w:rFonts w:cs="宋体"/>
        </w:rPr>
      </w:pPr>
      <w:r>
        <w:rPr>
          <w:rFonts w:hint="eastAsia" w:cs="宋体"/>
          <w:shd w:val="clear" w:color="auto" w:fill="FFFFFF"/>
        </w:rPr>
        <w:t>2.</w:t>
      </w:r>
      <w:r>
        <w:rPr>
          <w:rFonts w:hint="eastAsia" w:cs="宋体"/>
          <w:u w:val="single"/>
          <w:shd w:val="clear" w:color="auto" w:fill="FFFFFF"/>
        </w:rPr>
        <w:t>（产品名称 2）</w:t>
      </w:r>
      <w:r>
        <w:rPr>
          <w:rFonts w:hint="eastAsia" w:cs="宋体"/>
          <w:shd w:val="clear" w:color="auto" w:fill="FFFFFF"/>
        </w:rPr>
        <w:t>，生产厂为</w:t>
      </w:r>
      <w:r>
        <w:rPr>
          <w:rFonts w:hint="eastAsia" w:cs="宋体"/>
          <w:u w:val="single"/>
          <w:shd w:val="clear" w:color="auto" w:fill="FFFFFF"/>
        </w:rPr>
        <w:t>（厂名）</w:t>
      </w:r>
      <w:r>
        <w:rPr>
          <w:rFonts w:hint="eastAsia" w:cs="宋体"/>
          <w:shd w:val="clear" w:color="auto" w:fill="FFFFFF"/>
        </w:rPr>
        <w:t>，厂址为</w:t>
      </w:r>
      <w:r>
        <w:rPr>
          <w:rFonts w:hint="eastAsia" w:cs="宋体"/>
          <w:u w:val="single"/>
          <w:shd w:val="clear" w:color="auto" w:fill="FFFFFF"/>
        </w:rPr>
        <w:t>（生产厂址）</w:t>
      </w:r>
      <w:r>
        <w:rPr>
          <w:rFonts w:hint="eastAsia" w:cs="宋体"/>
          <w:shd w:val="clear" w:color="auto" w:fill="FFFFFF"/>
        </w:rPr>
        <w:t>。 </w:t>
      </w:r>
      <w:r>
        <w:rPr>
          <w:rFonts w:hint="eastAsia" w:cs="宋体"/>
          <w:u w:val="single"/>
          <w:shd w:val="clear" w:color="auto" w:fill="FFFFFF"/>
        </w:rPr>
        <w:t>（产品名称2）</w:t>
      </w:r>
      <w:r>
        <w:rPr>
          <w:rFonts w:hint="eastAsia" w:cs="宋体"/>
          <w:shd w:val="clear" w:color="auto" w:fill="FFFFFF"/>
        </w:rPr>
        <w:t>的中国境内生产的组件成本占比≥</w:t>
      </w:r>
      <w:r>
        <w:rPr>
          <w:rFonts w:hint="eastAsia" w:cs="宋体"/>
          <w:u w:val="single"/>
          <w:shd w:val="clear" w:color="auto" w:fill="FFFFFF"/>
        </w:rPr>
        <w:t>（规定比例）</w:t>
      </w:r>
      <w:r>
        <w:rPr>
          <w:rFonts w:hint="eastAsia" w:cs="宋体"/>
          <w:shd w:val="clear" w:color="auto" w:fill="FFFFFF"/>
        </w:rPr>
        <w:t>。 </w:t>
      </w:r>
      <w:r>
        <w:rPr>
          <w:rFonts w:hint="eastAsia" w:cs="宋体"/>
          <w:u w:val="single"/>
          <w:shd w:val="clear" w:color="auto" w:fill="FFFFFF"/>
        </w:rPr>
        <w:t>（产品名称2）</w:t>
      </w:r>
      <w:r>
        <w:rPr>
          <w:rFonts w:hint="eastAsia" w:cs="宋体"/>
          <w:shd w:val="clear" w:color="auto" w:fill="FFFFFF"/>
        </w:rPr>
        <w:t>的</w:t>
      </w:r>
      <w:r>
        <w:rPr>
          <w:rFonts w:hint="eastAsia" w:cs="宋体"/>
          <w:u w:val="single"/>
          <w:shd w:val="clear" w:color="auto" w:fill="FFFFFF"/>
        </w:rPr>
        <w:t>（关键组件）</w:t>
      </w:r>
      <w:r>
        <w:rPr>
          <w:rFonts w:hint="eastAsia" w:cs="宋体"/>
          <w:shd w:val="clear" w:color="auto" w:fill="FFFFFF"/>
        </w:rPr>
        <w:t>在中国境内生产。</w:t>
      </w:r>
      <w:r>
        <w:rPr>
          <w:rFonts w:hint="eastAsia" w:cs="宋体"/>
          <w:u w:val="single"/>
          <w:shd w:val="clear" w:color="auto" w:fill="FFFFFF"/>
        </w:rPr>
        <w:t>（产品名称2）</w:t>
      </w:r>
      <w:r>
        <w:rPr>
          <w:rFonts w:hint="eastAsia" w:cs="宋体"/>
          <w:shd w:val="clear" w:color="auto" w:fill="FFFFFF"/>
        </w:rPr>
        <w:t>的</w:t>
      </w:r>
      <w:r>
        <w:rPr>
          <w:rFonts w:hint="eastAsia" w:cs="宋体"/>
          <w:u w:val="single"/>
          <w:shd w:val="clear" w:color="auto" w:fill="FFFFFF"/>
        </w:rPr>
        <w:t>（关键工序）</w:t>
      </w:r>
      <w:r>
        <w:rPr>
          <w:rFonts w:hint="eastAsia" w:cs="宋体"/>
          <w:shd w:val="clear" w:color="auto" w:fill="FFFFFF"/>
        </w:rPr>
        <w:t>在中国境内完成。</w:t>
      </w:r>
    </w:p>
    <w:p w14:paraId="31458177">
      <w:pPr>
        <w:pStyle w:val="60"/>
        <w:shd w:val="clear" w:color="auto" w:fill="FFFFFF"/>
        <w:adjustRightInd/>
        <w:spacing w:before="0" w:beforeAutospacing="0" w:after="0" w:afterAutospacing="0" w:line="360" w:lineRule="auto"/>
        <w:ind w:firstLine="480" w:firstLineChars="200"/>
        <w:jc w:val="both"/>
        <w:rPr>
          <w:rFonts w:cs="宋体"/>
        </w:rPr>
      </w:pPr>
      <w:r>
        <w:rPr>
          <w:rFonts w:hint="eastAsia" w:cs="宋体"/>
          <w:shd w:val="clear" w:color="auto" w:fill="FFFFFF"/>
        </w:rPr>
        <w:t>……</w:t>
      </w:r>
    </w:p>
    <w:p w14:paraId="3E34132E">
      <w:pPr>
        <w:pStyle w:val="60"/>
        <w:shd w:val="clear" w:color="auto" w:fill="FFFFFF"/>
        <w:adjustRightInd/>
        <w:spacing w:before="0" w:beforeAutospacing="0" w:after="0" w:afterAutospacing="0" w:line="360" w:lineRule="auto"/>
        <w:ind w:firstLine="480" w:firstLineChars="200"/>
        <w:jc w:val="both"/>
        <w:rPr>
          <w:rFonts w:cs="宋体"/>
        </w:rPr>
      </w:pPr>
      <w:r>
        <w:rPr>
          <w:rFonts w:hint="eastAsia" w:cs="宋体"/>
          <w:shd w:val="clear" w:color="auto" w:fill="FFFFFF"/>
        </w:rPr>
        <w:t>本公司（单位）对上述声明内容的真实性负责。如有虚假，愿承担相应法律责任。</w:t>
      </w:r>
    </w:p>
    <w:p w14:paraId="50AB47DC">
      <w:pPr>
        <w:wordWrap w:val="0"/>
        <w:snapToGrid w:val="0"/>
        <w:spacing w:line="360" w:lineRule="auto"/>
        <w:ind w:firstLine="4800" w:firstLineChars="2000"/>
        <w:rPr>
          <w:rFonts w:ascii="宋体" w:hAnsi="宋体" w:cs="宋体"/>
          <w:sz w:val="24"/>
        </w:rPr>
      </w:pPr>
      <w:r>
        <w:rPr>
          <w:rFonts w:hint="eastAsia" w:ascii="宋体" w:hAnsi="宋体" w:cs="宋体"/>
          <w:sz w:val="24"/>
        </w:rPr>
        <w:t>投标人名称（电子签名）：_____________</w:t>
      </w:r>
    </w:p>
    <w:p w14:paraId="03A8A559">
      <w:pPr>
        <w:pStyle w:val="60"/>
        <w:shd w:val="clear" w:color="auto" w:fill="FFFFFF"/>
        <w:spacing w:before="0" w:beforeAutospacing="0" w:after="0" w:afterAutospacing="0" w:line="360" w:lineRule="auto"/>
        <w:ind w:firstLine="4800" w:firstLineChars="2000"/>
        <w:jc w:val="both"/>
        <w:rPr>
          <w:rFonts w:cs="宋体"/>
        </w:rPr>
      </w:pPr>
      <w:r>
        <w:rPr>
          <w:rFonts w:hint="eastAsia" w:cs="宋体"/>
        </w:rPr>
        <w:t>日 期：______年______月______日</w:t>
      </w:r>
    </w:p>
    <w:p w14:paraId="79F0C695">
      <w:pPr>
        <w:pStyle w:val="60"/>
        <w:shd w:val="clear" w:color="auto" w:fill="FFFFFF"/>
        <w:spacing w:before="0" w:beforeAutospacing="0" w:after="0" w:afterAutospacing="0"/>
        <w:jc w:val="center"/>
        <w:rPr>
          <w:rFonts w:cs="宋体"/>
        </w:rPr>
      </w:pPr>
    </w:p>
    <w:p w14:paraId="7D91038C">
      <w:pPr>
        <w:pStyle w:val="60"/>
        <w:shd w:val="clear" w:color="auto" w:fill="FFFFFF"/>
        <w:spacing w:before="0" w:beforeAutospacing="0" w:after="0" w:afterAutospacing="0"/>
        <w:jc w:val="center"/>
        <w:rPr>
          <w:rFonts w:cs="宋体"/>
        </w:rPr>
      </w:pPr>
    </w:p>
    <w:p w14:paraId="79A43E93">
      <w:pPr>
        <w:pStyle w:val="60"/>
        <w:shd w:val="clear" w:color="auto" w:fill="FFFFFF"/>
        <w:spacing w:before="0" w:beforeAutospacing="0" w:after="0" w:afterAutospacing="0" w:line="360" w:lineRule="auto"/>
        <w:ind w:firstLine="480" w:firstLineChars="200"/>
        <w:jc w:val="both"/>
        <w:rPr>
          <w:rFonts w:cs="宋体"/>
        </w:rPr>
      </w:pPr>
      <w:r>
        <w:rPr>
          <w:rFonts w:hint="eastAsia" w:cs="宋体"/>
          <w:shd w:val="clear" w:color="auto" w:fill="FFFFFF"/>
        </w:rPr>
        <w:t>1.产品如有型号，请在 “产品名称”栏一并填写。</w:t>
      </w:r>
    </w:p>
    <w:p w14:paraId="357BB674">
      <w:pPr>
        <w:pStyle w:val="60"/>
        <w:shd w:val="clear" w:color="auto" w:fill="FFFFFF"/>
        <w:spacing w:before="0" w:beforeAutospacing="0" w:after="0" w:afterAutospacing="0" w:line="360" w:lineRule="auto"/>
        <w:ind w:firstLine="480" w:firstLineChars="200"/>
        <w:jc w:val="both"/>
        <w:rPr>
          <w:rFonts w:cs="宋体"/>
        </w:rPr>
      </w:pPr>
      <w:r>
        <w:rPr>
          <w:rFonts w:hint="eastAsia" w:cs="宋体"/>
          <w:shd w:val="clear" w:color="auto" w:fill="FFFFFF"/>
        </w:rPr>
        <w:t>2.生产厂名与厂址应与生产厂营业执照载明的相关信息保持一致。</w:t>
      </w:r>
    </w:p>
    <w:p w14:paraId="3C001685">
      <w:pPr>
        <w:pStyle w:val="60"/>
        <w:shd w:val="clear" w:color="auto" w:fill="FFFFFF"/>
        <w:spacing w:before="0" w:beforeAutospacing="0" w:after="0" w:afterAutospacing="0" w:line="360" w:lineRule="auto"/>
        <w:ind w:firstLine="480" w:firstLineChars="200"/>
        <w:jc w:val="both"/>
        <w:rPr>
          <w:rFonts w:cs="宋体"/>
        </w:rPr>
      </w:pPr>
      <w:r>
        <w:rPr>
          <w:rFonts w:hint="eastAsia" w:cs="宋体"/>
          <w:shd w:val="clear" w:color="auto" w:fill="FFFFFF"/>
        </w:rPr>
        <w:t>3.该产品的中国境内生产的组件成本占比相关要求实施前，“规定比例”栏可不填，下同。</w:t>
      </w:r>
    </w:p>
    <w:p w14:paraId="4741FFFE">
      <w:pPr>
        <w:pStyle w:val="60"/>
        <w:shd w:val="clear" w:color="auto" w:fill="FFFFFF"/>
        <w:spacing w:before="0" w:beforeAutospacing="0" w:after="0" w:afterAutospacing="0" w:line="360" w:lineRule="auto"/>
        <w:ind w:firstLine="480" w:firstLineChars="200"/>
        <w:jc w:val="both"/>
        <w:rPr>
          <w:rFonts w:cs="宋体"/>
        </w:rPr>
      </w:pPr>
      <w:r>
        <w:rPr>
          <w:rFonts w:hint="eastAsia" w:cs="宋体"/>
          <w:shd w:val="clear" w:color="auto" w:fill="FFFFFF"/>
        </w:rPr>
        <w:t>4.该产品的关键组件要求实施前，“关键组件”栏可不填，下同。</w:t>
      </w:r>
    </w:p>
    <w:p w14:paraId="5D51A8A5">
      <w:pPr>
        <w:pStyle w:val="60"/>
        <w:shd w:val="clear" w:color="auto" w:fill="FFFFFF"/>
        <w:spacing w:before="0" w:beforeAutospacing="0" w:after="0" w:afterAutospacing="0" w:line="360" w:lineRule="auto"/>
        <w:ind w:firstLine="480" w:firstLineChars="200"/>
        <w:jc w:val="both"/>
        <w:rPr>
          <w:rFonts w:cs="宋体"/>
          <w:shd w:val="clear" w:color="auto" w:fill="FFFFFF"/>
        </w:rPr>
        <w:sectPr>
          <w:pgSz w:w="11906" w:h="16838"/>
          <w:pgMar w:top="1440" w:right="1083" w:bottom="1440" w:left="1083" w:header="850" w:footer="964" w:gutter="0"/>
          <w:cols w:space="0" w:num="1"/>
          <w:titlePg/>
          <w:docGrid w:linePitch="312" w:charSpace="0"/>
        </w:sectPr>
      </w:pPr>
      <w:r>
        <w:rPr>
          <w:rFonts w:hint="eastAsia" w:cs="宋体"/>
          <w:shd w:val="clear" w:color="auto" w:fill="FFFFFF"/>
        </w:rPr>
        <w:t>5.该产品的关键工序要求实施前，“关键工序”栏可不填，下同。</w:t>
      </w:r>
    </w:p>
    <w:p w14:paraId="097F1A16">
      <w:pPr>
        <w:autoSpaceDE w:val="0"/>
        <w:autoSpaceDN w:val="0"/>
        <w:spacing w:line="360" w:lineRule="auto"/>
        <w:jc w:val="center"/>
        <w:rPr>
          <w:rFonts w:ascii="宋体" w:hAnsi="宋体" w:cs="宋体"/>
          <w:b/>
          <w:spacing w:val="6"/>
          <w:sz w:val="32"/>
          <w:szCs w:val="32"/>
        </w:rPr>
      </w:pPr>
      <w:r>
        <w:rPr>
          <w:rFonts w:hint="eastAsia" w:ascii="宋体" w:hAnsi="宋体" w:cs="宋体"/>
          <w:b/>
          <w:spacing w:val="6"/>
          <w:sz w:val="32"/>
          <w:szCs w:val="32"/>
        </w:rPr>
        <w:t>附件6：关于符合本国产品标准的成本占比的承诺函</w:t>
      </w:r>
    </w:p>
    <w:p w14:paraId="4B407812">
      <w:pPr>
        <w:widowControl/>
        <w:shd w:val="clear" w:color="auto" w:fill="FFFFFF"/>
        <w:spacing w:line="360" w:lineRule="auto"/>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本公司（单位）郑重声明，根据《国务院办公厅关于在政府采购中实施本国产品标准及相关政策的通知》（国办发〔2025〕34号）的规定，本公司（单位）提供的产品符合本国产品标准的成本占比。具体情况如下：</w:t>
      </w:r>
    </w:p>
    <w:p w14:paraId="6500A38D">
      <w:pPr>
        <w:widowControl/>
        <w:shd w:val="clear" w:color="auto" w:fill="FFFFFF"/>
        <w:spacing w:line="360" w:lineRule="auto"/>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w:t>
      </w:r>
      <w:r>
        <w:rPr>
          <w:rFonts w:hint="eastAsia" w:ascii="宋体" w:hAnsi="宋体" w:cs="宋体"/>
          <w:kern w:val="0"/>
          <w:sz w:val="24"/>
          <w:u w:val="single"/>
          <w:shd w:val="clear" w:color="auto" w:fill="FFFFFF"/>
        </w:rPr>
        <w:t xml:space="preserve">      项目名称      </w:t>
      </w:r>
      <w:r>
        <w:rPr>
          <w:rFonts w:hint="eastAsia" w:ascii="宋体" w:hAnsi="宋体" w:cs="宋体"/>
          <w:kern w:val="0"/>
          <w:sz w:val="24"/>
          <w:shd w:val="clear" w:color="auto" w:fill="FFFFFF"/>
        </w:rPr>
        <w:t>）标项（），提供的符合本国产品标准的产品成本之和占提供的全部产品成本之和的比例≥80%。</w:t>
      </w:r>
    </w:p>
    <w:p w14:paraId="6816AF11">
      <w:pPr>
        <w:spacing w:line="360" w:lineRule="auto"/>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本公司（单位）对上述声明内容的真实性负责。如有虚假，愿承担相应法律责任。</w:t>
      </w:r>
    </w:p>
    <w:p w14:paraId="32067EEE">
      <w:pPr>
        <w:spacing w:line="400" w:lineRule="exact"/>
        <w:rPr>
          <w:rFonts w:ascii="宋体" w:hAnsi="宋体" w:cs="宋体"/>
          <w:kern w:val="0"/>
          <w:sz w:val="24"/>
          <w:shd w:val="clear" w:color="auto" w:fill="FFFFFF"/>
        </w:rPr>
      </w:pPr>
    </w:p>
    <w:p w14:paraId="01AFB2BB">
      <w:pPr>
        <w:spacing w:line="400" w:lineRule="exact"/>
        <w:rPr>
          <w:rFonts w:ascii="宋体" w:hAnsi="宋体" w:cs="宋体"/>
          <w:kern w:val="0"/>
          <w:sz w:val="24"/>
          <w:shd w:val="clear" w:color="auto" w:fill="FFFFFF"/>
        </w:rPr>
      </w:pPr>
    </w:p>
    <w:p w14:paraId="4B3FBB96">
      <w:pPr>
        <w:wordWrap w:val="0"/>
        <w:snapToGrid w:val="0"/>
        <w:spacing w:line="360" w:lineRule="auto"/>
        <w:ind w:firstLine="4800" w:firstLineChars="2000"/>
        <w:rPr>
          <w:rFonts w:ascii="宋体" w:hAnsi="宋体" w:cs="宋体"/>
          <w:sz w:val="24"/>
        </w:rPr>
      </w:pPr>
      <w:r>
        <w:rPr>
          <w:rFonts w:hint="eastAsia" w:ascii="宋体" w:hAnsi="宋体" w:cs="宋体"/>
          <w:sz w:val="24"/>
        </w:rPr>
        <w:t>投标人名称（电子签名）：_____________</w:t>
      </w:r>
    </w:p>
    <w:p w14:paraId="16973BDE">
      <w:pPr>
        <w:pStyle w:val="60"/>
        <w:shd w:val="clear" w:color="auto" w:fill="FFFFFF"/>
        <w:spacing w:before="0" w:beforeAutospacing="0" w:after="0" w:afterAutospacing="0" w:line="360" w:lineRule="auto"/>
        <w:ind w:firstLine="4800" w:firstLineChars="2000"/>
        <w:jc w:val="both"/>
        <w:rPr>
          <w:rFonts w:cs="宋体"/>
        </w:rPr>
      </w:pPr>
      <w:r>
        <w:rPr>
          <w:rFonts w:hint="eastAsia" w:cs="宋体"/>
        </w:rPr>
        <w:t>日 期：______年______月______日</w:t>
      </w:r>
    </w:p>
    <w:p w14:paraId="49AA928D">
      <w:pPr>
        <w:spacing w:line="360" w:lineRule="auto"/>
        <w:ind w:right="420" w:firstLine="480" w:firstLineChars="200"/>
        <w:rPr>
          <w:rFonts w:ascii="宋体" w:hAnsi="宋体" w:cs="宋体"/>
          <w:bCs/>
          <w:sz w:val="24"/>
        </w:rPr>
      </w:pPr>
    </w:p>
    <w:sectPr>
      <w:pgSz w:w="11906" w:h="16838"/>
      <w:pgMar w:top="1440" w:right="1083" w:bottom="1440" w:left="1083" w:header="850" w:footer="964" w:gutter="0"/>
      <w:cols w:space="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10" w:usb3="00000000" w:csb0="00040000" w:csb1="00000000"/>
  </w:font>
  <w:font w:name="Futura Bk">
    <w:altName w:val="Times New Roman"/>
    <w:panose1 w:val="00000000000000000000"/>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MS Sans Serif">
    <w:altName w:val="Arial"/>
    <w:panose1 w:val="00000000000000000000"/>
    <w:charset w:val="00"/>
    <w:family w:val="swiss"/>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swiss"/>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
    <w:altName w:val="Arial"/>
    <w:panose1 w:val="00000000000000000000"/>
    <w:charset w:val="00"/>
    <w:family w:val="roman"/>
    <w:pitch w:val="default"/>
    <w:sig w:usb0="00000000" w:usb1="00000000" w:usb2="00000000" w:usb3="00000000" w:csb0="00000001" w:csb1="00000000"/>
  </w:font>
  <w:font w:name="幼圆">
    <w:altName w:val="宋体"/>
    <w:panose1 w:val="02010509060101010101"/>
    <w:charset w:val="86"/>
    <w:family w:val="moder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0" w:usb3="00000000" w:csb0="00000001" w:csb1="00000000"/>
  </w:font>
  <w:font w:name="Cumberland">
    <w:altName w:val="Arial"/>
    <w:panose1 w:val="00000000000000000000"/>
    <w:charset w:val="00"/>
    <w:family w:val="modern"/>
    <w:pitch w:val="default"/>
    <w:sig w:usb0="00000000" w:usb1="00000000" w:usb2="00000000" w:usb3="00000000" w:csb0="00000001" w:csb1="00000000"/>
  </w:font>
  <w:font w:name="Futura Hv">
    <w:altName w:val="Arial"/>
    <w:panose1 w:val="00000000000000000000"/>
    <w:charset w:val="00"/>
    <w:family w:val="swiss"/>
    <w:pitch w:val="default"/>
    <w:sig w:usb0="00000000" w:usb1="00000000" w:usb2="00000000" w:usb3="00000000" w:csb0="00000001"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 w:name="Century Gothic">
    <w:altName w:val="Yu Gothic UI"/>
    <w:panose1 w:val="020B0502020202020204"/>
    <w:charset w:val="00"/>
    <w:family w:val="swiss"/>
    <w:pitch w:val="default"/>
    <w:sig w:usb0="00000000" w:usb1="00000000" w:usb2="00000000" w:usb3="00000000" w:csb0="0000009F" w:csb1="00000000"/>
  </w:font>
  <w:font w:name="Yu Gothic UI">
    <w:panose1 w:val="020B0500000000000000"/>
    <w:charset w:val="80"/>
    <w:family w:val="auto"/>
    <w:pitch w:val="default"/>
    <w:sig w:usb0="E00002FF" w:usb1="2AC7FDFF" w:usb2="00000016" w:usb3="00000000" w:csb0="2002009F" w:csb1="00000000"/>
  </w:font>
  <w:font w:name="Aldine401 BT">
    <w:altName w:val="Arial"/>
    <w:panose1 w:val="00000000000000000000"/>
    <w:charset w:val="00"/>
    <w:family w:val="roman"/>
    <w:pitch w:val="default"/>
    <w:sig w:usb0="00000000" w:usb1="00000000" w:usb2="00000000" w:usb3="00000000" w:csb0="00000001" w:csb1="00000000"/>
  </w:font>
  <w:font w:name=".PingFang SC">
    <w:altName w:val="宋体"/>
    <w:panose1 w:val="00000000000000000000"/>
    <w:charset w:val="86"/>
    <w:family w:val="modern"/>
    <w:pitch w:val="default"/>
    <w:sig w:usb0="00000000" w:usb1="00000000" w:usb2="00000010" w:usb3="00000000" w:csb0="00040000" w:csb1="00000000"/>
  </w:font>
  <w:font w:name="MS PGothic">
    <w:panose1 w:val="020B0600070205080204"/>
    <w:charset w:val="80"/>
    <w:family w:val="auto"/>
    <w:pitch w:val="default"/>
    <w:sig w:usb0="E00002FF" w:usb1="6AC7FDFB" w:usb2="08000012" w:usb3="00000000" w:csb0="4002009F" w:csb1="DFD7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768DC">
    <w:pPr>
      <w:pStyle w:val="42"/>
    </w:pPr>
    <w:r>
      <w:pict>
        <v:shape id="_x0000_s3082" o:spid="_x0000_s3082"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181BB8F6">
                <w:pPr>
                  <w:pStyle w:val="42"/>
                </w:pPr>
                <w:r>
                  <w:fldChar w:fldCharType="begin"/>
                </w:r>
                <w:r>
                  <w:instrText xml:space="preserve"> PAGE  \* MERGEFORMAT </w:instrText>
                </w:r>
                <w:r>
                  <w:fldChar w:fldCharType="separate"/>
                </w:r>
                <w:r>
                  <w:t>1</w:t>
                </w:r>
                <w: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61209">
    <w:pPr>
      <w:pStyle w:val="42"/>
      <w:jc w:val="center"/>
      <w:rPr>
        <w:rFonts w:ascii="仿宋_GB2312" w:eastAsia="仿宋_GB2312"/>
      </w:rPr>
    </w:pPr>
    <w:r>
      <w:pict>
        <v:shape id="_x0000_s3076" o:spid="_x0000_s307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path/>
          <v:fill on="f" focussize="0,0"/>
          <v:stroke on="f" weight="0.5pt" joinstyle="miter"/>
          <v:imagedata o:title=""/>
          <o:lock v:ext="edit"/>
          <v:textbox inset="0mm,0mm,0mm,0mm" style="mso-fit-shape-to-text:t;">
            <w:txbxContent>
              <w:p w14:paraId="10AA7889">
                <w:pPr>
                  <w:pStyle w:val="42"/>
                </w:pPr>
                <w:r>
                  <w:fldChar w:fldCharType="begin"/>
                </w:r>
                <w:r>
                  <w:instrText xml:space="preserve"> PAGE  \* MERGEFORMAT </w:instrText>
                </w:r>
                <w:r>
                  <w:fldChar w:fldCharType="separate"/>
                </w:r>
                <w:r>
                  <w:t>86</w:t>
                </w:r>
                <w:r>
                  <w:fldChar w:fldCharType="end"/>
                </w:r>
              </w:p>
            </w:txbxContent>
          </v:textbox>
        </v:shape>
      </w:pict>
    </w:r>
  </w:p>
  <w:p w14:paraId="2AE8598C">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0FB95">
    <w:pPr>
      <w:pStyle w:val="42"/>
      <w:jc w:val="center"/>
      <w:rPr>
        <w:rFonts w:ascii="仿宋_GB2312" w:eastAsia="仿宋_GB2312"/>
        <w:szCs w:val="24"/>
      </w:rPr>
    </w:pPr>
    <w:r>
      <w:pict>
        <v:shape id="_x0000_s3074" o:spid="_x0000_s3074"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path/>
          <v:fill on="f" focussize="0,0"/>
          <v:stroke on="f" weight="0.5pt" joinstyle="miter"/>
          <v:imagedata o:title=""/>
          <o:lock v:ext="edit"/>
          <v:textbox inset="0mm,0mm,0mm,0mm" style="mso-fit-shape-to-text:t;">
            <w:txbxContent>
              <w:p w14:paraId="4C9B53AB">
                <w:pPr>
                  <w:pStyle w:val="42"/>
                </w:pPr>
                <w:r>
                  <w:fldChar w:fldCharType="begin"/>
                </w:r>
                <w:r>
                  <w:instrText xml:space="preserve"> PAGE  \* MERGEFORMAT </w:instrText>
                </w:r>
                <w:r>
                  <w:fldChar w:fldCharType="separate"/>
                </w:r>
                <w:r>
                  <w:t>78</w:t>
                </w:r>
                <w: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BC81A">
    <w:pPr>
      <w:pStyle w:val="42"/>
      <w:jc w:val="center"/>
      <w:rPr>
        <w:rFonts w:ascii="仿宋_GB2312" w:eastAsia="仿宋_GB2312"/>
        <w:szCs w:val="24"/>
      </w:rPr>
    </w:pPr>
    <w:r>
      <w:pict>
        <v:shape id="_x0000_s3073" o:spid="_x0000_s3073"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path/>
          <v:fill on="f" focussize="0,0"/>
          <v:stroke on="f" weight="0.5pt" joinstyle="miter"/>
          <v:imagedata o:title=""/>
          <o:lock v:ext="edit"/>
          <v:textbox inset="0mm,0mm,0mm,0mm" style="mso-fit-shape-to-text:t;">
            <w:txbxContent>
              <w:p w14:paraId="6E450C92">
                <w:pPr>
                  <w:pStyle w:val="42"/>
                </w:pPr>
                <w:r>
                  <w:fldChar w:fldCharType="begin"/>
                </w:r>
                <w:r>
                  <w:instrText xml:space="preserve"> PAGE  \* MERGEFORMAT </w:instrText>
                </w:r>
                <w:r>
                  <w:fldChar w:fldCharType="separate"/>
                </w:r>
                <w:r>
                  <w:t>84</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261AE">
    <w:pPr>
      <w:pStyle w:val="42"/>
      <w:framePr w:wrap="around" w:vAnchor="text" w:hAnchor="margin" w:xAlign="right" w:y="1"/>
      <w:rPr>
        <w:rStyle w:val="74"/>
        <w:sz w:val="18"/>
      </w:rPr>
    </w:pPr>
    <w:r>
      <w:rPr>
        <w:rStyle w:val="74"/>
        <w:sz w:val="18"/>
      </w:rPr>
      <w:fldChar w:fldCharType="begin"/>
    </w:r>
    <w:r>
      <w:rPr>
        <w:rStyle w:val="74"/>
        <w:sz w:val="18"/>
      </w:rPr>
      <w:instrText xml:space="preserve">PAGE  </w:instrText>
    </w:r>
    <w:r>
      <w:rPr>
        <w:rStyle w:val="74"/>
        <w:sz w:val="18"/>
      </w:rPr>
      <w:fldChar w:fldCharType="end"/>
    </w:r>
  </w:p>
  <w:p w14:paraId="1286C423">
    <w:pPr>
      <w:pStyle w:val="4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79E8B">
    <w:pPr>
      <w:pStyle w:val="42"/>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5794CBF8">
                <w:pPr>
                  <w:pStyle w:val="42"/>
                </w:pPr>
                <w:r>
                  <w:fldChar w:fldCharType="begin"/>
                </w:r>
                <w:r>
                  <w:instrText xml:space="preserve"> PAGE  \* MERGEFORMAT </w:instrText>
                </w:r>
                <w:r>
                  <w:fldChar w:fldCharType="separate"/>
                </w:r>
                <w:r>
                  <w:t>19</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E90A4">
    <w:pPr>
      <w:pStyle w:val="42"/>
      <w:jc w:val="center"/>
      <w:rPr>
        <w:rFonts w:ascii="仿宋_GB2312" w:eastAsia="仿宋_GB2312"/>
      </w:rPr>
    </w:pPr>
    <w:r>
      <w:pict>
        <v:shape id="_x0000_s3081" o:spid="_x0000_s3081"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joinstyle="miter"/>
          <v:imagedata o:title=""/>
          <o:lock v:ext="edit"/>
          <v:textbox inset="0mm,0mm,0mm,0mm" style="mso-fit-shape-to-text:t;">
            <w:txbxContent>
              <w:p w14:paraId="447AD6B7">
                <w:pPr>
                  <w:pStyle w:val="42"/>
                </w:pPr>
                <w:r>
                  <w:fldChar w:fldCharType="begin"/>
                </w:r>
                <w:r>
                  <w:instrText xml:space="preserve"> PAGE  \* MERGEFORMAT </w:instrText>
                </w:r>
                <w:r>
                  <w:fldChar w:fldCharType="separate"/>
                </w:r>
                <w:r>
                  <w:t>2</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34B3E">
    <w:pPr>
      <w:pStyle w:val="42"/>
      <w:jc w:val="center"/>
      <w:rPr>
        <w:rFonts w:ascii="仿宋_GB2312" w:eastAsia="仿宋_GB2312"/>
      </w:rPr>
    </w:pPr>
    <w:r>
      <w:pict>
        <v:shape id="_x0000_s3080" o:spid="_x0000_s3080"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joinstyle="miter"/>
          <v:imagedata o:title=""/>
          <o:lock v:ext="edit"/>
          <v:textbox inset="0mm,0mm,0mm,0mm" style="mso-fit-shape-to-text:t;">
            <w:txbxContent>
              <w:p w14:paraId="0E86F9FC">
                <w:pPr>
                  <w:pStyle w:val="42"/>
                </w:pPr>
                <w:r>
                  <w:fldChar w:fldCharType="begin"/>
                </w:r>
                <w:r>
                  <w:instrText xml:space="preserve"> PAGE  \* MERGEFORMAT </w:instrText>
                </w:r>
                <w:r>
                  <w:fldChar w:fldCharType="separate"/>
                </w:r>
                <w:r>
                  <w:t>18</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A202F">
    <w:pPr>
      <w:pStyle w:val="42"/>
      <w:ind w:right="360"/>
    </w:pPr>
    <w:r>
      <w:pict>
        <v:shape id="_x0000_s3079" o:spid="_x0000_s3079"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path/>
          <v:fill on="f" focussize="0,0"/>
          <v:stroke on="f" weight="0.5pt" joinstyle="miter"/>
          <v:imagedata o:title=""/>
          <o:lock v:ext="edit"/>
          <v:textbox inset="0mm,0mm,0mm,0mm" style="mso-fit-shape-to-text:t;">
            <w:txbxContent>
              <w:p w14:paraId="1AD7BDE7">
                <w:pPr>
                  <w:pStyle w:val="42"/>
                </w:pPr>
                <w:r>
                  <w:fldChar w:fldCharType="begin"/>
                </w:r>
                <w:r>
                  <w:instrText xml:space="preserve"> PAGE  \* MERGEFORMAT </w:instrText>
                </w:r>
                <w:r>
                  <w:fldChar w:fldCharType="separate"/>
                </w:r>
                <w:r>
                  <w:t>42</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1F756">
    <w:pPr>
      <w:pStyle w:val="42"/>
      <w:jc w:val="center"/>
      <w:rPr>
        <w:rFonts w:ascii="仿宋_GB2312" w:eastAsia="仿宋_GB2312"/>
      </w:rPr>
    </w:pPr>
    <w:r>
      <w:pict>
        <v:shape id="_x0000_s3077" o:spid="_x0000_s3077"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path/>
          <v:fill on="f" focussize="0,0"/>
          <v:stroke on="f" weight="0.5pt" joinstyle="miter"/>
          <v:imagedata o:title=""/>
          <o:lock v:ext="edit"/>
          <v:textbox inset="0mm,0mm,0mm,0mm" style="mso-fit-shape-to-text:t;">
            <w:txbxContent>
              <w:p w14:paraId="4DD55664">
                <w:pPr>
                  <w:pStyle w:val="42"/>
                </w:pPr>
                <w:r>
                  <w:fldChar w:fldCharType="begin"/>
                </w:r>
                <w:r>
                  <w:instrText xml:space="preserve"> PAGE  \* MERGEFORMAT </w:instrText>
                </w:r>
                <w:r>
                  <w:fldChar w:fldCharType="separate"/>
                </w:r>
                <w:r>
                  <w:t>69</w:t>
                </w:r>
                <w:r>
                  <w:fldChar w:fldCharType="end"/>
                </w:r>
              </w:p>
            </w:txbxContent>
          </v:textbox>
        </v:shape>
      </w:pict>
    </w:r>
  </w:p>
  <w:p w14:paraId="24257080">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C6709">
    <w:pPr>
      <w:pStyle w:val="42"/>
      <w:jc w:val="center"/>
      <w:rPr>
        <w:rFonts w:ascii="仿宋_GB2312" w:eastAsia="仿宋_GB2312"/>
      </w:rPr>
    </w:pPr>
    <w:r>
      <w:pict>
        <v:shape id="_x0000_s3078" o:spid="_x0000_s3078"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path/>
          <v:fill on="f" focussize="0,0"/>
          <v:stroke on="f" weight="0.5pt" joinstyle="miter"/>
          <v:imagedata o:title=""/>
          <o:lock v:ext="edit"/>
          <v:textbox inset="0mm,0mm,0mm,0mm" style="mso-fit-shape-to-text:t;">
            <w:txbxContent>
              <w:p w14:paraId="64156B63">
                <w:pPr>
                  <w:pStyle w:val="42"/>
                </w:pPr>
                <w:r>
                  <w:fldChar w:fldCharType="begin"/>
                </w:r>
                <w:r>
                  <w:instrText xml:space="preserve"> PAGE  \* MERGEFORMAT </w:instrText>
                </w:r>
                <w:r>
                  <w:fldChar w:fldCharType="separate"/>
                </w:r>
                <w:r>
                  <w:t>68</w:t>
                </w:r>
                <w:r>
                  <w:fldChar w:fldCharType="end"/>
                </w:r>
              </w:p>
            </w:txbxContent>
          </v:textbox>
        </v:shape>
      </w:pict>
    </w:r>
  </w:p>
  <w:p w14:paraId="654706C4">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C383F">
    <w:pPr>
      <w:pStyle w:val="42"/>
      <w:jc w:val="center"/>
      <w:rPr>
        <w:rFonts w:ascii="仿宋_GB2312" w:eastAsia="仿宋_GB2312"/>
      </w:rPr>
    </w:pPr>
    <w:r>
      <w:pict>
        <v:shape id="_x0000_s3075" o:spid="_x0000_s3075"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14:paraId="378D3DC1">
                <w:pPr>
                  <w:pStyle w:val="42"/>
                </w:pPr>
                <w:r>
                  <w:fldChar w:fldCharType="begin"/>
                </w:r>
                <w:r>
                  <w:instrText xml:space="preserve"> PAGE  \* MERGEFORMAT </w:instrText>
                </w:r>
                <w:r>
                  <w:fldChar w:fldCharType="separate"/>
                </w:r>
                <w:r>
                  <w:t>74</w:t>
                </w:r>
                <w:r>
                  <w:fldChar w:fldCharType="end"/>
                </w:r>
              </w:p>
            </w:txbxContent>
          </v:textbox>
        </v:shape>
      </w:pict>
    </w:r>
  </w:p>
  <w:p w14:paraId="641083E1">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81517">
    <w:pPr>
      <w:pStyle w:val="44"/>
      <w:pBdr>
        <w:bottom w:val="thickThinLargeGap" w:color="0000FF" w:sz="4" w:space="0"/>
      </w:pBdr>
      <w:tabs>
        <w:tab w:val="center" w:pos="4535"/>
        <w:tab w:val="right" w:pos="9070"/>
        <w:tab w:val="clear" w:pos="4153"/>
        <w:tab w:val="clear" w:pos="8306"/>
      </w:tabs>
    </w:pPr>
    <w:r>
      <w:rPr>
        <w:rFonts w:hint="eastAsia" w:ascii="宋体" w:hAnsi="宋体" w:cs="宋体"/>
        <w:b/>
        <w:bCs/>
        <w:sz w:val="20"/>
      </w:rPr>
      <w:t xml:space="preserve">诸暨正开工程咨询有限公司                                                         </w:t>
    </w:r>
    <w:r>
      <w:rPr>
        <w:rFonts w:hint="eastAsia" w:ascii="宋体" w:hAnsi="宋体" w:cs="宋体"/>
        <w:b/>
        <w:bCs/>
        <w:sz w:val="20"/>
        <w:lang w:val="zh-CN"/>
      </w:rPr>
      <w:t>招标文件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9DB4E">
    <w:pPr>
      <w:pStyle w:val="44"/>
      <w:pBdr>
        <w:bottom w:val="thickThinLargeGap" w:color="0000FF" w:sz="4" w:space="0"/>
      </w:pBdr>
      <w:tabs>
        <w:tab w:val="center" w:pos="4535"/>
        <w:tab w:val="right" w:pos="9070"/>
        <w:tab w:val="clear" w:pos="4153"/>
        <w:tab w:val="clear" w:pos="8306"/>
      </w:tabs>
    </w:pPr>
    <w:r>
      <w:rPr>
        <w:rFonts w:hint="eastAsia" w:ascii="宋体" w:hAnsi="宋体" w:cs="宋体"/>
        <w:b/>
        <w:bCs/>
        <w:sz w:val="20"/>
      </w:rPr>
      <w:t xml:space="preserve">诸暨正开工程咨询有限公司                                               </w:t>
    </w:r>
    <w:r>
      <w:rPr>
        <w:rFonts w:hint="eastAsia" w:ascii="宋体" w:hAnsi="宋体" w:cs="宋体"/>
        <w:b/>
        <w:bCs/>
        <w:sz w:val="20"/>
        <w:lang w:val="zh-CN"/>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C0299">
    <w:pPr>
      <w:pStyle w:val="4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A419A">
    <w:pPr>
      <w:pStyle w:val="44"/>
      <w:pBdr>
        <w:bottom w:val="thickThinLargeGap" w:color="0000FF" w:sz="4" w:space="0"/>
      </w:pBdr>
      <w:tabs>
        <w:tab w:val="center" w:pos="4535"/>
        <w:tab w:val="right" w:pos="9070"/>
        <w:tab w:val="clear" w:pos="4153"/>
        <w:tab w:val="clear" w:pos="8306"/>
      </w:tabs>
      <w:rPr>
        <w:rFonts w:ascii="宋体" w:hAnsi="宋体" w:cs="宋体"/>
        <w:b/>
        <w:bCs/>
        <w:sz w:val="20"/>
        <w:lang w:val="zh-CN"/>
      </w:rPr>
    </w:pPr>
    <w:r>
      <w:rPr>
        <w:rFonts w:hint="eastAsia" w:ascii="宋体" w:hAnsi="宋体" w:cs="宋体"/>
        <w:b/>
        <w:bCs/>
        <w:sz w:val="20"/>
      </w:rPr>
      <w:t xml:space="preserve">诸暨正开工程咨询有限公司                                                         </w:t>
    </w:r>
    <w:r>
      <w:rPr>
        <w:rFonts w:hint="eastAsia" w:ascii="宋体" w:hAnsi="宋体" w:cs="宋体"/>
        <w:b/>
        <w:bCs/>
        <w:sz w:val="20"/>
        <w:lang w:val="zh-CN"/>
      </w:rPr>
      <w:t>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AB7C1">
    <w:pPr>
      <w:pStyle w:val="44"/>
      <w:pBdr>
        <w:bottom w:val="thickThinLargeGap" w:color="0000FF" w:sz="4" w:space="0"/>
      </w:pBdr>
      <w:tabs>
        <w:tab w:val="center" w:pos="4535"/>
        <w:tab w:val="right" w:pos="9070"/>
        <w:tab w:val="clear" w:pos="4153"/>
        <w:tab w:val="clear" w:pos="8306"/>
      </w:tabs>
      <w:rPr>
        <w:sz w:val="20"/>
        <w:szCs w:val="21"/>
      </w:rPr>
    </w:pPr>
    <w:r>
      <w:rPr>
        <w:rFonts w:hint="eastAsia" w:ascii="宋体" w:hAnsi="宋体" w:cs="宋体"/>
        <w:b/>
        <w:bCs/>
        <w:sz w:val="20"/>
      </w:rPr>
      <w:t xml:space="preserve">诸暨正开工程咨询有限公司                                                         </w:t>
    </w:r>
    <w:r>
      <w:rPr>
        <w:rFonts w:hint="eastAsia" w:ascii="宋体" w:hAnsi="宋体" w:cs="宋体"/>
        <w:b/>
        <w:bCs/>
        <w:sz w:val="20"/>
        <w:lang w:val="zh-CN"/>
      </w:rPr>
      <w:t>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5A442">
    <w:pPr>
      <w:pStyle w:val="44"/>
      <w:pBdr>
        <w:bottom w:val="thickThinLargeGap" w:color="0000FF" w:sz="4" w:space="0"/>
      </w:pBdr>
      <w:tabs>
        <w:tab w:val="center" w:pos="4535"/>
        <w:tab w:val="right" w:pos="9070"/>
        <w:tab w:val="clear" w:pos="4153"/>
        <w:tab w:val="clear" w:pos="8306"/>
      </w:tabs>
      <w:rPr>
        <w:rFonts w:ascii="仿宋" w:hAnsi="仿宋" w:eastAsia="仿宋" w:cs="仿宋"/>
      </w:rPr>
    </w:pPr>
    <w:r>
      <w:t></w:t>
    </w:r>
    <w:r>
      <w:rPr>
        <w:rFonts w:hint="eastAsia" w:ascii="宋体" w:hAnsi="宋体" w:cs="宋体"/>
        <w:b/>
        <w:bCs/>
        <w:sz w:val="20"/>
      </w:rPr>
      <w:t xml:space="preserve">诸暨正开工程咨询有限公司                                                         </w:t>
    </w:r>
    <w:r>
      <w:rPr>
        <w:rFonts w:hint="eastAsia" w:ascii="宋体" w:hAnsi="宋体" w:cs="宋体"/>
        <w:b/>
        <w:bCs/>
        <w:sz w:val="20"/>
        <w:lang w:val="zh-CN"/>
      </w:rPr>
      <w:t>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2E4B1">
    <w:pPr>
      <w:pStyle w:val="44"/>
      <w:pBdr>
        <w:bottom w:val="thickThinLargeGap" w:color="0000FF" w:sz="4" w:space="0"/>
      </w:pBdr>
      <w:tabs>
        <w:tab w:val="center" w:pos="4535"/>
        <w:tab w:val="right" w:pos="9070"/>
        <w:tab w:val="clear" w:pos="4153"/>
        <w:tab w:val="clear" w:pos="8306"/>
      </w:tabs>
      <w:jc w:val="both"/>
    </w:pPr>
    <w:r>
      <w:rPr>
        <w:rFonts w:hint="eastAsia" w:ascii="宋体" w:hAnsi="宋体" w:cs="宋体"/>
        <w:b/>
        <w:bCs/>
        <w:sz w:val="20"/>
      </w:rPr>
      <w:t xml:space="preserve">诸暨正开工程咨询有限公司                                                         </w:t>
    </w:r>
    <w:r>
      <w:rPr>
        <w:rFonts w:hint="eastAsia" w:ascii="宋体" w:hAnsi="宋体" w:cs="宋体"/>
        <w:b/>
        <w:bCs/>
        <w:sz w:val="20"/>
        <w:lang w:val="zh-CN"/>
      </w:rPr>
      <w:t>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B1AC7">
    <w:pPr>
      <w:pStyle w:val="44"/>
      <w:pBdr>
        <w:bottom w:val="thickThinLargeGap" w:color="0000FF" w:sz="4" w:space="0"/>
      </w:pBdr>
      <w:tabs>
        <w:tab w:val="center" w:pos="4535"/>
        <w:tab w:val="right" w:pos="9070"/>
        <w:tab w:val="clear" w:pos="4153"/>
        <w:tab w:val="clear" w:pos="8306"/>
      </w:tabs>
      <w:rPr>
        <w:rFonts w:ascii="宋体" w:hAnsi="宋体" w:cs="宋体"/>
        <w:b/>
        <w:bCs/>
        <w:i/>
        <w:sz w:val="21"/>
        <w:szCs w:val="21"/>
        <w:u w:val="single"/>
      </w:rPr>
    </w:pPr>
    <w:r>
      <w:rPr>
        <w:rFonts w:hint="eastAsia" w:ascii="宋体" w:hAnsi="宋体" w:cs="宋体"/>
        <w:b/>
        <w:bCs/>
        <w:sz w:val="20"/>
      </w:rPr>
      <w:t xml:space="preserve">诸暨正开工程咨询有限公司                                                     </w:t>
    </w:r>
    <w:r>
      <w:rPr>
        <w:rFonts w:hint="eastAsia" w:ascii="宋体" w:hAnsi="宋体" w:cs="宋体"/>
        <w:b/>
        <w:bCs/>
        <w:sz w:val="20"/>
        <w:lang w:val="zh-CN"/>
      </w:rPr>
      <w:t>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BC93C">
    <w:pPr>
      <w:pStyle w:val="44"/>
      <w:pBdr>
        <w:bottom w:val="thickThinLargeGap" w:color="0000FF" w:sz="4" w:space="0"/>
      </w:pBdr>
      <w:tabs>
        <w:tab w:val="center" w:pos="4535"/>
        <w:tab w:val="right" w:pos="9070"/>
        <w:tab w:val="clear" w:pos="4153"/>
        <w:tab w:val="clear" w:pos="8306"/>
      </w:tabs>
    </w:pPr>
    <w:r>
      <w:rPr>
        <w:rFonts w:hint="eastAsia" w:ascii="宋体" w:hAnsi="宋体" w:cs="宋体"/>
        <w:b/>
        <w:bCs/>
        <w:sz w:val="20"/>
      </w:rPr>
      <w:t xml:space="preserve">诸暨正开工程咨询有限公司                                                        </w:t>
    </w:r>
    <w:r>
      <w:rPr>
        <w:rFonts w:hint="eastAsia" w:ascii="宋体" w:hAnsi="宋体" w:cs="宋体"/>
        <w:b/>
        <w:bCs/>
        <w:sz w:val="20"/>
        <w:lang w:val="zh-CN"/>
      </w:rPr>
      <w:t>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B1AA8">
    <w:pPr>
      <w:pStyle w:val="44"/>
      <w:pBdr>
        <w:bottom w:val="thickThinLargeGap" w:color="0000FF" w:sz="4" w:space="0"/>
      </w:pBdr>
      <w:tabs>
        <w:tab w:val="center" w:pos="4535"/>
        <w:tab w:val="right" w:pos="9070"/>
        <w:tab w:val="clear" w:pos="4153"/>
        <w:tab w:val="clear" w:pos="8306"/>
      </w:tabs>
    </w:pPr>
    <w:r>
      <w:rPr>
        <w:rFonts w:hint="eastAsia" w:ascii="宋体" w:hAnsi="宋体" w:cs="宋体"/>
        <w:b/>
        <w:bCs/>
        <w:sz w:val="20"/>
      </w:rPr>
      <w:t xml:space="preserve">诸暨正开工程咨询有限公司                                               </w:t>
    </w:r>
    <w:r>
      <w:rPr>
        <w:rFonts w:hint="eastAsia" w:ascii="宋体" w:hAnsi="宋体" w:cs="宋体"/>
        <w:b/>
        <w:bCs/>
        <w:sz w:val="20"/>
        <w:lang w:val="zh-CN"/>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00600E"/>
    <w:multiLevelType w:val="singleLevel"/>
    <w:tmpl w:val="BF00600E"/>
    <w:lvl w:ilvl="0" w:tentative="0">
      <w:start w:val="1"/>
      <w:numFmt w:val="upperLetter"/>
      <w:lvlText w:val="%1."/>
      <w:lvlJc w:val="left"/>
      <w:pPr>
        <w:tabs>
          <w:tab w:val="left" w:pos="312"/>
        </w:tabs>
      </w:pPr>
    </w:lvl>
  </w:abstractNum>
  <w:abstractNum w:abstractNumId="1">
    <w:nsid w:val="0F5E487D"/>
    <w:multiLevelType w:val="multilevel"/>
    <w:tmpl w:val="0F5E487D"/>
    <w:lvl w:ilvl="0" w:tentative="0">
      <w:start w:val="1"/>
      <w:numFmt w:val="decimalEnclosedCircle"/>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42114FCA"/>
    <w:multiLevelType w:val="multilevel"/>
    <w:tmpl w:val="42114FCA"/>
    <w:lvl w:ilvl="0" w:tentative="0">
      <w:start w:val="1"/>
      <w:numFmt w:val="decimalEnclosedCircle"/>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4EAF669B"/>
    <w:multiLevelType w:val="multilevel"/>
    <w:tmpl w:val="4EAF669B"/>
    <w:lvl w:ilvl="0" w:tentative="0">
      <w:start w:val="1"/>
      <w:numFmt w:val="decimalEnclosedCircle"/>
      <w:lvlText w:val="%1"/>
      <w:lvlJc w:val="left"/>
      <w:pPr>
        <w:ind w:left="840" w:hanging="360"/>
      </w:pPr>
      <w:rPr>
        <w:rFonts w:hint="default" w:cs="Times New Roman"/>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hideSpellingErrors/>
  <w:documentProtection w:enforcement="0"/>
  <w:defaultTabStop w:val="420"/>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JmY2M2NWJhNWY3ODRmMmQzOGYzNmQwNGZiMGEzZGIifQ=="/>
  </w:docVars>
  <w:rsids>
    <w:rsidRoot w:val="00172A27"/>
    <w:rsid w:val="00000451"/>
    <w:rsid w:val="000004F6"/>
    <w:rsid w:val="0000108B"/>
    <w:rsid w:val="0000133D"/>
    <w:rsid w:val="00001509"/>
    <w:rsid w:val="00001D52"/>
    <w:rsid w:val="000032B2"/>
    <w:rsid w:val="0000363B"/>
    <w:rsid w:val="000058BD"/>
    <w:rsid w:val="00006109"/>
    <w:rsid w:val="00006150"/>
    <w:rsid w:val="000063E8"/>
    <w:rsid w:val="00006725"/>
    <w:rsid w:val="0000675E"/>
    <w:rsid w:val="00007CAA"/>
    <w:rsid w:val="00010FE9"/>
    <w:rsid w:val="0001122F"/>
    <w:rsid w:val="00011A4B"/>
    <w:rsid w:val="00012251"/>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685"/>
    <w:rsid w:val="00024962"/>
    <w:rsid w:val="000249AA"/>
    <w:rsid w:val="00025350"/>
    <w:rsid w:val="000253E5"/>
    <w:rsid w:val="00025776"/>
    <w:rsid w:val="00026EAC"/>
    <w:rsid w:val="000270F2"/>
    <w:rsid w:val="00027115"/>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7821"/>
    <w:rsid w:val="0006785E"/>
    <w:rsid w:val="00067F92"/>
    <w:rsid w:val="00067FA7"/>
    <w:rsid w:val="0007038E"/>
    <w:rsid w:val="0007077C"/>
    <w:rsid w:val="00070825"/>
    <w:rsid w:val="00071CD8"/>
    <w:rsid w:val="00071DB2"/>
    <w:rsid w:val="00072AED"/>
    <w:rsid w:val="00072B56"/>
    <w:rsid w:val="00072D2B"/>
    <w:rsid w:val="00072D51"/>
    <w:rsid w:val="000730B1"/>
    <w:rsid w:val="0007358F"/>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BC8"/>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1185"/>
    <w:rsid w:val="001620BA"/>
    <w:rsid w:val="001623AC"/>
    <w:rsid w:val="00162BAA"/>
    <w:rsid w:val="00163BF8"/>
    <w:rsid w:val="00163C40"/>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257"/>
    <w:rsid w:val="001923D5"/>
    <w:rsid w:val="00192991"/>
    <w:rsid w:val="00193470"/>
    <w:rsid w:val="00193B94"/>
    <w:rsid w:val="001940A7"/>
    <w:rsid w:val="00194BB1"/>
    <w:rsid w:val="00194BC6"/>
    <w:rsid w:val="00195070"/>
    <w:rsid w:val="00195245"/>
    <w:rsid w:val="0019526D"/>
    <w:rsid w:val="0019553F"/>
    <w:rsid w:val="001956BE"/>
    <w:rsid w:val="0019602C"/>
    <w:rsid w:val="001969F2"/>
    <w:rsid w:val="00196CD6"/>
    <w:rsid w:val="0019736B"/>
    <w:rsid w:val="0019756A"/>
    <w:rsid w:val="001A06B5"/>
    <w:rsid w:val="001A07F8"/>
    <w:rsid w:val="001A0A23"/>
    <w:rsid w:val="001A0C98"/>
    <w:rsid w:val="001A128B"/>
    <w:rsid w:val="001A1475"/>
    <w:rsid w:val="001A1F0E"/>
    <w:rsid w:val="001A3335"/>
    <w:rsid w:val="001A473A"/>
    <w:rsid w:val="001A4ED9"/>
    <w:rsid w:val="001A5785"/>
    <w:rsid w:val="001A5FD7"/>
    <w:rsid w:val="001A66A6"/>
    <w:rsid w:val="001A6BAF"/>
    <w:rsid w:val="001A6BBB"/>
    <w:rsid w:val="001A79A2"/>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D5EB0"/>
    <w:rsid w:val="001E12F9"/>
    <w:rsid w:val="001E17E3"/>
    <w:rsid w:val="001E2052"/>
    <w:rsid w:val="001E2492"/>
    <w:rsid w:val="001E257C"/>
    <w:rsid w:val="001E286C"/>
    <w:rsid w:val="001E2F34"/>
    <w:rsid w:val="001E35EE"/>
    <w:rsid w:val="001E3DAD"/>
    <w:rsid w:val="001E4B2C"/>
    <w:rsid w:val="001E507F"/>
    <w:rsid w:val="001E56C2"/>
    <w:rsid w:val="001E59FB"/>
    <w:rsid w:val="001E7F81"/>
    <w:rsid w:val="001F0FD1"/>
    <w:rsid w:val="001F1526"/>
    <w:rsid w:val="001F19D1"/>
    <w:rsid w:val="001F1CB9"/>
    <w:rsid w:val="001F1F18"/>
    <w:rsid w:val="001F210D"/>
    <w:rsid w:val="001F2F92"/>
    <w:rsid w:val="001F5DA1"/>
    <w:rsid w:val="001F612E"/>
    <w:rsid w:val="001F6A92"/>
    <w:rsid w:val="001F77E8"/>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47AE"/>
    <w:rsid w:val="002359FC"/>
    <w:rsid w:val="002361C8"/>
    <w:rsid w:val="00236690"/>
    <w:rsid w:val="0023669D"/>
    <w:rsid w:val="00237EAE"/>
    <w:rsid w:val="00237FA2"/>
    <w:rsid w:val="002403D5"/>
    <w:rsid w:val="00240C1F"/>
    <w:rsid w:val="00240F55"/>
    <w:rsid w:val="00240F67"/>
    <w:rsid w:val="00241144"/>
    <w:rsid w:val="00242510"/>
    <w:rsid w:val="00242F79"/>
    <w:rsid w:val="00243EEF"/>
    <w:rsid w:val="0024415B"/>
    <w:rsid w:val="00245565"/>
    <w:rsid w:val="002458C1"/>
    <w:rsid w:val="00245E62"/>
    <w:rsid w:val="002460D0"/>
    <w:rsid w:val="00246357"/>
    <w:rsid w:val="002470D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212A"/>
    <w:rsid w:val="002621D7"/>
    <w:rsid w:val="00262996"/>
    <w:rsid w:val="00263044"/>
    <w:rsid w:val="00263759"/>
    <w:rsid w:val="002638BD"/>
    <w:rsid w:val="0026470B"/>
    <w:rsid w:val="0026486D"/>
    <w:rsid w:val="00264C4B"/>
    <w:rsid w:val="00264ED0"/>
    <w:rsid w:val="00265346"/>
    <w:rsid w:val="00266045"/>
    <w:rsid w:val="002660C3"/>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7196"/>
    <w:rsid w:val="002775ED"/>
    <w:rsid w:val="002778AB"/>
    <w:rsid w:val="002802A5"/>
    <w:rsid w:val="00280564"/>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4B0"/>
    <w:rsid w:val="00292AA1"/>
    <w:rsid w:val="00294012"/>
    <w:rsid w:val="002945B0"/>
    <w:rsid w:val="0029499D"/>
    <w:rsid w:val="00294A13"/>
    <w:rsid w:val="00294B10"/>
    <w:rsid w:val="00294DF9"/>
    <w:rsid w:val="00295073"/>
    <w:rsid w:val="00295468"/>
    <w:rsid w:val="00296C32"/>
    <w:rsid w:val="002977CE"/>
    <w:rsid w:val="00297AF5"/>
    <w:rsid w:val="002A0134"/>
    <w:rsid w:val="002A02D6"/>
    <w:rsid w:val="002A07C4"/>
    <w:rsid w:val="002A0921"/>
    <w:rsid w:val="002A0CB3"/>
    <w:rsid w:val="002A1887"/>
    <w:rsid w:val="002A2001"/>
    <w:rsid w:val="002A4060"/>
    <w:rsid w:val="002A4868"/>
    <w:rsid w:val="002A4A05"/>
    <w:rsid w:val="002A4EB3"/>
    <w:rsid w:val="002A51D9"/>
    <w:rsid w:val="002A525A"/>
    <w:rsid w:val="002A5968"/>
    <w:rsid w:val="002A5CAB"/>
    <w:rsid w:val="002A5D40"/>
    <w:rsid w:val="002A622E"/>
    <w:rsid w:val="002A6424"/>
    <w:rsid w:val="002A64E7"/>
    <w:rsid w:val="002A7748"/>
    <w:rsid w:val="002A7ED3"/>
    <w:rsid w:val="002A7FB1"/>
    <w:rsid w:val="002A7FC9"/>
    <w:rsid w:val="002B139C"/>
    <w:rsid w:val="002B1881"/>
    <w:rsid w:val="002B1F61"/>
    <w:rsid w:val="002B2070"/>
    <w:rsid w:val="002B2906"/>
    <w:rsid w:val="002B2C66"/>
    <w:rsid w:val="002B34E3"/>
    <w:rsid w:val="002B446E"/>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7E2"/>
    <w:rsid w:val="002C3890"/>
    <w:rsid w:val="002C3AD9"/>
    <w:rsid w:val="002C4286"/>
    <w:rsid w:val="002C43FC"/>
    <w:rsid w:val="002C45C3"/>
    <w:rsid w:val="002C483B"/>
    <w:rsid w:val="002C4DFE"/>
    <w:rsid w:val="002C519E"/>
    <w:rsid w:val="002C5A46"/>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A0B"/>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18C"/>
    <w:rsid w:val="00313C9D"/>
    <w:rsid w:val="0031430C"/>
    <w:rsid w:val="00314919"/>
    <w:rsid w:val="00314C5A"/>
    <w:rsid w:val="0031531A"/>
    <w:rsid w:val="00315394"/>
    <w:rsid w:val="00315D77"/>
    <w:rsid w:val="00315D8E"/>
    <w:rsid w:val="00316002"/>
    <w:rsid w:val="00316CDE"/>
    <w:rsid w:val="0031752D"/>
    <w:rsid w:val="00317709"/>
    <w:rsid w:val="00320688"/>
    <w:rsid w:val="00320B75"/>
    <w:rsid w:val="00321DB7"/>
    <w:rsid w:val="00321E7A"/>
    <w:rsid w:val="0032226D"/>
    <w:rsid w:val="00322D0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6FFF"/>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4CA"/>
    <w:rsid w:val="003519CD"/>
    <w:rsid w:val="00351A3A"/>
    <w:rsid w:val="0035455F"/>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13D"/>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0C24"/>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71A1"/>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2D1"/>
    <w:rsid w:val="003B5531"/>
    <w:rsid w:val="003B636A"/>
    <w:rsid w:val="003B69CE"/>
    <w:rsid w:val="003B7403"/>
    <w:rsid w:val="003C011C"/>
    <w:rsid w:val="003C0E32"/>
    <w:rsid w:val="003C0FDA"/>
    <w:rsid w:val="003C11D7"/>
    <w:rsid w:val="003C16CB"/>
    <w:rsid w:val="003C1B97"/>
    <w:rsid w:val="003C247B"/>
    <w:rsid w:val="003C302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F1A"/>
    <w:rsid w:val="003F5F2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44E9"/>
    <w:rsid w:val="004056B6"/>
    <w:rsid w:val="00405764"/>
    <w:rsid w:val="00406745"/>
    <w:rsid w:val="0040674B"/>
    <w:rsid w:val="00406B32"/>
    <w:rsid w:val="004074FA"/>
    <w:rsid w:val="00407A56"/>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015"/>
    <w:rsid w:val="00440262"/>
    <w:rsid w:val="004406BF"/>
    <w:rsid w:val="00440814"/>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5A21"/>
    <w:rsid w:val="00465DE5"/>
    <w:rsid w:val="00466978"/>
    <w:rsid w:val="00466ABA"/>
    <w:rsid w:val="004672E3"/>
    <w:rsid w:val="0046775D"/>
    <w:rsid w:val="00467823"/>
    <w:rsid w:val="004705FA"/>
    <w:rsid w:val="004708AC"/>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C57"/>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1DC"/>
    <w:rsid w:val="004B728F"/>
    <w:rsid w:val="004B7317"/>
    <w:rsid w:val="004B75B2"/>
    <w:rsid w:val="004B75C6"/>
    <w:rsid w:val="004C02C5"/>
    <w:rsid w:val="004C0BF0"/>
    <w:rsid w:val="004C0D40"/>
    <w:rsid w:val="004C114F"/>
    <w:rsid w:val="004C11A9"/>
    <w:rsid w:val="004C27CF"/>
    <w:rsid w:val="004C2CA7"/>
    <w:rsid w:val="004C3592"/>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056"/>
    <w:rsid w:val="004F531B"/>
    <w:rsid w:val="004F560C"/>
    <w:rsid w:val="004F5DBB"/>
    <w:rsid w:val="004F60B4"/>
    <w:rsid w:val="004F61A3"/>
    <w:rsid w:val="004F6874"/>
    <w:rsid w:val="004F7180"/>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4F6"/>
    <w:rsid w:val="0051050F"/>
    <w:rsid w:val="0051058B"/>
    <w:rsid w:val="00510DDC"/>
    <w:rsid w:val="00511166"/>
    <w:rsid w:val="00512217"/>
    <w:rsid w:val="00512459"/>
    <w:rsid w:val="005131A2"/>
    <w:rsid w:val="005137E4"/>
    <w:rsid w:val="00513BB9"/>
    <w:rsid w:val="0051410B"/>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D47"/>
    <w:rsid w:val="00540EE7"/>
    <w:rsid w:val="00541A22"/>
    <w:rsid w:val="00541EAD"/>
    <w:rsid w:val="005424C2"/>
    <w:rsid w:val="005426B2"/>
    <w:rsid w:val="00543519"/>
    <w:rsid w:val="00543640"/>
    <w:rsid w:val="00544019"/>
    <w:rsid w:val="005444C6"/>
    <w:rsid w:val="00544BF9"/>
    <w:rsid w:val="00544F05"/>
    <w:rsid w:val="00544FCC"/>
    <w:rsid w:val="005454B8"/>
    <w:rsid w:val="00545ACB"/>
    <w:rsid w:val="00545DB9"/>
    <w:rsid w:val="005462ED"/>
    <w:rsid w:val="00546585"/>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2CC3"/>
    <w:rsid w:val="00594437"/>
    <w:rsid w:val="00594B70"/>
    <w:rsid w:val="00596CFA"/>
    <w:rsid w:val="00596E5B"/>
    <w:rsid w:val="00596EC6"/>
    <w:rsid w:val="005975CE"/>
    <w:rsid w:val="005A0088"/>
    <w:rsid w:val="005A04F6"/>
    <w:rsid w:val="005A14F0"/>
    <w:rsid w:val="005A1861"/>
    <w:rsid w:val="005A1A31"/>
    <w:rsid w:val="005A3455"/>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01"/>
    <w:rsid w:val="005D01C3"/>
    <w:rsid w:val="005D05FF"/>
    <w:rsid w:val="005D0FB4"/>
    <w:rsid w:val="005D10A7"/>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4543"/>
    <w:rsid w:val="005E4A1C"/>
    <w:rsid w:val="005E56C9"/>
    <w:rsid w:val="005E5CF7"/>
    <w:rsid w:val="005E5FF0"/>
    <w:rsid w:val="005E642A"/>
    <w:rsid w:val="005E65A7"/>
    <w:rsid w:val="005E721E"/>
    <w:rsid w:val="005F0857"/>
    <w:rsid w:val="005F1470"/>
    <w:rsid w:val="005F15A9"/>
    <w:rsid w:val="005F2807"/>
    <w:rsid w:val="005F2CD5"/>
    <w:rsid w:val="005F3382"/>
    <w:rsid w:val="005F372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2029"/>
    <w:rsid w:val="00622B22"/>
    <w:rsid w:val="00622F67"/>
    <w:rsid w:val="00623571"/>
    <w:rsid w:val="00623A5E"/>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5B73"/>
    <w:rsid w:val="00635BB7"/>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6F2C"/>
    <w:rsid w:val="00647664"/>
    <w:rsid w:val="00650D19"/>
    <w:rsid w:val="00652CF5"/>
    <w:rsid w:val="0065343E"/>
    <w:rsid w:val="006536BB"/>
    <w:rsid w:val="0065398F"/>
    <w:rsid w:val="00653C7C"/>
    <w:rsid w:val="00654252"/>
    <w:rsid w:val="006543B7"/>
    <w:rsid w:val="00654EA5"/>
    <w:rsid w:val="006553F8"/>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21"/>
    <w:rsid w:val="006A4324"/>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823"/>
    <w:rsid w:val="006B29DC"/>
    <w:rsid w:val="006B2F60"/>
    <w:rsid w:val="006B33DB"/>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5D"/>
    <w:rsid w:val="006C627E"/>
    <w:rsid w:val="006C6303"/>
    <w:rsid w:val="006C6A51"/>
    <w:rsid w:val="006C6EBD"/>
    <w:rsid w:val="006C7E04"/>
    <w:rsid w:val="006C7F79"/>
    <w:rsid w:val="006D0004"/>
    <w:rsid w:val="006D015F"/>
    <w:rsid w:val="006D060E"/>
    <w:rsid w:val="006D0681"/>
    <w:rsid w:val="006D0A80"/>
    <w:rsid w:val="006D0AE8"/>
    <w:rsid w:val="006D127E"/>
    <w:rsid w:val="006D135C"/>
    <w:rsid w:val="006D2F72"/>
    <w:rsid w:val="006D43C1"/>
    <w:rsid w:val="006D5442"/>
    <w:rsid w:val="006D6E4E"/>
    <w:rsid w:val="006D7A7B"/>
    <w:rsid w:val="006D7A8E"/>
    <w:rsid w:val="006D7C59"/>
    <w:rsid w:val="006E00E3"/>
    <w:rsid w:val="006E045C"/>
    <w:rsid w:val="006E0569"/>
    <w:rsid w:val="006E065E"/>
    <w:rsid w:val="006E0849"/>
    <w:rsid w:val="006E08EF"/>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851"/>
    <w:rsid w:val="006E7A92"/>
    <w:rsid w:val="006F01FF"/>
    <w:rsid w:val="006F0CB2"/>
    <w:rsid w:val="006F1DE9"/>
    <w:rsid w:val="006F2046"/>
    <w:rsid w:val="006F2F59"/>
    <w:rsid w:val="006F311E"/>
    <w:rsid w:val="006F3442"/>
    <w:rsid w:val="006F36A5"/>
    <w:rsid w:val="006F41F4"/>
    <w:rsid w:val="006F4576"/>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992"/>
    <w:rsid w:val="00705E93"/>
    <w:rsid w:val="007062AF"/>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178B9"/>
    <w:rsid w:val="007208A7"/>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577"/>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32BD"/>
    <w:rsid w:val="007444E6"/>
    <w:rsid w:val="0074592C"/>
    <w:rsid w:val="00745C91"/>
    <w:rsid w:val="00746098"/>
    <w:rsid w:val="00746D58"/>
    <w:rsid w:val="00747578"/>
    <w:rsid w:val="0075096B"/>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F8B"/>
    <w:rsid w:val="007640F3"/>
    <w:rsid w:val="0076417E"/>
    <w:rsid w:val="0076497F"/>
    <w:rsid w:val="007660EC"/>
    <w:rsid w:val="007662C7"/>
    <w:rsid w:val="00766862"/>
    <w:rsid w:val="007675DD"/>
    <w:rsid w:val="007702BF"/>
    <w:rsid w:val="007705F0"/>
    <w:rsid w:val="0077146D"/>
    <w:rsid w:val="00771CAC"/>
    <w:rsid w:val="00772036"/>
    <w:rsid w:val="00773098"/>
    <w:rsid w:val="007739A3"/>
    <w:rsid w:val="00773BD9"/>
    <w:rsid w:val="00773CB0"/>
    <w:rsid w:val="00773D71"/>
    <w:rsid w:val="00774C0B"/>
    <w:rsid w:val="00775526"/>
    <w:rsid w:val="00775651"/>
    <w:rsid w:val="00775F3F"/>
    <w:rsid w:val="0077710B"/>
    <w:rsid w:val="0077765A"/>
    <w:rsid w:val="00780032"/>
    <w:rsid w:val="00780636"/>
    <w:rsid w:val="00780E86"/>
    <w:rsid w:val="0078108C"/>
    <w:rsid w:val="00781727"/>
    <w:rsid w:val="007823E8"/>
    <w:rsid w:val="00782CF3"/>
    <w:rsid w:val="00783959"/>
    <w:rsid w:val="00783BA5"/>
    <w:rsid w:val="00783CD8"/>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2515"/>
    <w:rsid w:val="007C27D5"/>
    <w:rsid w:val="007C3590"/>
    <w:rsid w:val="007C387A"/>
    <w:rsid w:val="007C3A0D"/>
    <w:rsid w:val="007C3EB0"/>
    <w:rsid w:val="007C43D6"/>
    <w:rsid w:val="007C47FF"/>
    <w:rsid w:val="007C60A8"/>
    <w:rsid w:val="007C660F"/>
    <w:rsid w:val="007C6664"/>
    <w:rsid w:val="007C66FF"/>
    <w:rsid w:val="007C6894"/>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2B1"/>
    <w:rsid w:val="007F23D8"/>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705B"/>
    <w:rsid w:val="0080723C"/>
    <w:rsid w:val="00807F71"/>
    <w:rsid w:val="0081000F"/>
    <w:rsid w:val="00812657"/>
    <w:rsid w:val="00812A1A"/>
    <w:rsid w:val="00812DFF"/>
    <w:rsid w:val="0081362F"/>
    <w:rsid w:val="0081383A"/>
    <w:rsid w:val="0081497F"/>
    <w:rsid w:val="00814B90"/>
    <w:rsid w:val="00814FC7"/>
    <w:rsid w:val="0081660C"/>
    <w:rsid w:val="00817195"/>
    <w:rsid w:val="00817416"/>
    <w:rsid w:val="00817658"/>
    <w:rsid w:val="008206AE"/>
    <w:rsid w:val="00821271"/>
    <w:rsid w:val="00821306"/>
    <w:rsid w:val="008213D9"/>
    <w:rsid w:val="008216CE"/>
    <w:rsid w:val="008218AE"/>
    <w:rsid w:val="00821D85"/>
    <w:rsid w:val="00821E47"/>
    <w:rsid w:val="008220F6"/>
    <w:rsid w:val="008221F9"/>
    <w:rsid w:val="00822456"/>
    <w:rsid w:val="00823819"/>
    <w:rsid w:val="00823C4B"/>
    <w:rsid w:val="0082427D"/>
    <w:rsid w:val="00825441"/>
    <w:rsid w:val="00826855"/>
    <w:rsid w:val="00826F25"/>
    <w:rsid w:val="00830052"/>
    <w:rsid w:val="008300D0"/>
    <w:rsid w:val="008308D8"/>
    <w:rsid w:val="008320D2"/>
    <w:rsid w:val="008321CE"/>
    <w:rsid w:val="0083257C"/>
    <w:rsid w:val="0083261B"/>
    <w:rsid w:val="00832B44"/>
    <w:rsid w:val="00832EC9"/>
    <w:rsid w:val="00833307"/>
    <w:rsid w:val="00833583"/>
    <w:rsid w:val="00833B5B"/>
    <w:rsid w:val="00833E9A"/>
    <w:rsid w:val="00834FEF"/>
    <w:rsid w:val="00836323"/>
    <w:rsid w:val="008367FF"/>
    <w:rsid w:val="00837D3D"/>
    <w:rsid w:val="00837E9B"/>
    <w:rsid w:val="008404AA"/>
    <w:rsid w:val="008406D7"/>
    <w:rsid w:val="0084074F"/>
    <w:rsid w:val="008407BA"/>
    <w:rsid w:val="00840AA3"/>
    <w:rsid w:val="00840AAC"/>
    <w:rsid w:val="0084101C"/>
    <w:rsid w:val="0084181B"/>
    <w:rsid w:val="00841F29"/>
    <w:rsid w:val="008425CC"/>
    <w:rsid w:val="00842DC2"/>
    <w:rsid w:val="0084357B"/>
    <w:rsid w:val="00843EF3"/>
    <w:rsid w:val="0084420F"/>
    <w:rsid w:val="008465B4"/>
    <w:rsid w:val="00846D25"/>
    <w:rsid w:val="00850013"/>
    <w:rsid w:val="008500DD"/>
    <w:rsid w:val="00850A0A"/>
    <w:rsid w:val="00850A94"/>
    <w:rsid w:val="00851E96"/>
    <w:rsid w:val="00851F1C"/>
    <w:rsid w:val="00852FA5"/>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6CAF"/>
    <w:rsid w:val="008972B6"/>
    <w:rsid w:val="00897339"/>
    <w:rsid w:val="00897697"/>
    <w:rsid w:val="0089775A"/>
    <w:rsid w:val="008977E1"/>
    <w:rsid w:val="00897BFA"/>
    <w:rsid w:val="00897D19"/>
    <w:rsid w:val="008A0044"/>
    <w:rsid w:val="008A0BFE"/>
    <w:rsid w:val="008A1932"/>
    <w:rsid w:val="008A21D9"/>
    <w:rsid w:val="008A232D"/>
    <w:rsid w:val="008A3182"/>
    <w:rsid w:val="008A3C76"/>
    <w:rsid w:val="008A3D54"/>
    <w:rsid w:val="008A3E10"/>
    <w:rsid w:val="008A411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1E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653"/>
    <w:rsid w:val="00906EA2"/>
    <w:rsid w:val="00907278"/>
    <w:rsid w:val="00910041"/>
    <w:rsid w:val="0091112B"/>
    <w:rsid w:val="00911D61"/>
    <w:rsid w:val="00912850"/>
    <w:rsid w:val="009128B8"/>
    <w:rsid w:val="0091472C"/>
    <w:rsid w:val="00914DC9"/>
    <w:rsid w:val="00915351"/>
    <w:rsid w:val="00915679"/>
    <w:rsid w:val="009159C2"/>
    <w:rsid w:val="0091627F"/>
    <w:rsid w:val="00916E45"/>
    <w:rsid w:val="0092077A"/>
    <w:rsid w:val="00920DC0"/>
    <w:rsid w:val="009219F3"/>
    <w:rsid w:val="00922130"/>
    <w:rsid w:val="009221CB"/>
    <w:rsid w:val="00922320"/>
    <w:rsid w:val="00923643"/>
    <w:rsid w:val="00923E1A"/>
    <w:rsid w:val="009245CC"/>
    <w:rsid w:val="0092490A"/>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6EA5"/>
    <w:rsid w:val="00937114"/>
    <w:rsid w:val="0094015D"/>
    <w:rsid w:val="00940916"/>
    <w:rsid w:val="009412B7"/>
    <w:rsid w:val="00941B13"/>
    <w:rsid w:val="0094215C"/>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C0"/>
    <w:rsid w:val="009542E0"/>
    <w:rsid w:val="009557A9"/>
    <w:rsid w:val="0095630E"/>
    <w:rsid w:val="00956647"/>
    <w:rsid w:val="00957380"/>
    <w:rsid w:val="00957409"/>
    <w:rsid w:val="00957499"/>
    <w:rsid w:val="00957ED2"/>
    <w:rsid w:val="009604AE"/>
    <w:rsid w:val="00960746"/>
    <w:rsid w:val="009609AF"/>
    <w:rsid w:val="00960DE4"/>
    <w:rsid w:val="009610C7"/>
    <w:rsid w:val="00961164"/>
    <w:rsid w:val="00961867"/>
    <w:rsid w:val="00961A4F"/>
    <w:rsid w:val="009625B7"/>
    <w:rsid w:val="00962FB8"/>
    <w:rsid w:val="00963183"/>
    <w:rsid w:val="0096373F"/>
    <w:rsid w:val="00964007"/>
    <w:rsid w:val="00964283"/>
    <w:rsid w:val="009642A4"/>
    <w:rsid w:val="009643F4"/>
    <w:rsid w:val="009645A6"/>
    <w:rsid w:val="00964F5A"/>
    <w:rsid w:val="0096527F"/>
    <w:rsid w:val="009653ED"/>
    <w:rsid w:val="00966A21"/>
    <w:rsid w:val="00966AD2"/>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C23"/>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5616"/>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923"/>
    <w:rsid w:val="009A3C3E"/>
    <w:rsid w:val="009A4153"/>
    <w:rsid w:val="009A4C2C"/>
    <w:rsid w:val="009A59B3"/>
    <w:rsid w:val="009A5FAE"/>
    <w:rsid w:val="009A6B3A"/>
    <w:rsid w:val="009A70A3"/>
    <w:rsid w:val="009A7B8A"/>
    <w:rsid w:val="009A7E7C"/>
    <w:rsid w:val="009B05D2"/>
    <w:rsid w:val="009B08F6"/>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C74E5"/>
    <w:rsid w:val="009D03B7"/>
    <w:rsid w:val="009D07AD"/>
    <w:rsid w:val="009D0824"/>
    <w:rsid w:val="009D1172"/>
    <w:rsid w:val="009D13CC"/>
    <w:rsid w:val="009D1654"/>
    <w:rsid w:val="009D1AAC"/>
    <w:rsid w:val="009D1BDB"/>
    <w:rsid w:val="009D25DA"/>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2B3F"/>
    <w:rsid w:val="00A0307A"/>
    <w:rsid w:val="00A03A7C"/>
    <w:rsid w:val="00A044AA"/>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337"/>
    <w:rsid w:val="00A37558"/>
    <w:rsid w:val="00A3786A"/>
    <w:rsid w:val="00A4008C"/>
    <w:rsid w:val="00A402A8"/>
    <w:rsid w:val="00A40685"/>
    <w:rsid w:val="00A40E2F"/>
    <w:rsid w:val="00A41819"/>
    <w:rsid w:val="00A41C9A"/>
    <w:rsid w:val="00A41D73"/>
    <w:rsid w:val="00A42406"/>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11FC"/>
    <w:rsid w:val="00A526CE"/>
    <w:rsid w:val="00A54909"/>
    <w:rsid w:val="00A54DC0"/>
    <w:rsid w:val="00A550C9"/>
    <w:rsid w:val="00A55228"/>
    <w:rsid w:val="00A55410"/>
    <w:rsid w:val="00A55A04"/>
    <w:rsid w:val="00A564DE"/>
    <w:rsid w:val="00A6054E"/>
    <w:rsid w:val="00A60799"/>
    <w:rsid w:val="00A60EB1"/>
    <w:rsid w:val="00A6170B"/>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239"/>
    <w:rsid w:val="00A67429"/>
    <w:rsid w:val="00A677E7"/>
    <w:rsid w:val="00A678F1"/>
    <w:rsid w:val="00A67CE9"/>
    <w:rsid w:val="00A70590"/>
    <w:rsid w:val="00A7062E"/>
    <w:rsid w:val="00A70834"/>
    <w:rsid w:val="00A71542"/>
    <w:rsid w:val="00A7171F"/>
    <w:rsid w:val="00A71FA0"/>
    <w:rsid w:val="00A71FBD"/>
    <w:rsid w:val="00A72727"/>
    <w:rsid w:val="00A727D8"/>
    <w:rsid w:val="00A72C1A"/>
    <w:rsid w:val="00A732FB"/>
    <w:rsid w:val="00A7463E"/>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22B"/>
    <w:rsid w:val="00A86EED"/>
    <w:rsid w:val="00A8733A"/>
    <w:rsid w:val="00A9151F"/>
    <w:rsid w:val="00A9196B"/>
    <w:rsid w:val="00A91BB5"/>
    <w:rsid w:val="00A91BEE"/>
    <w:rsid w:val="00A91D4B"/>
    <w:rsid w:val="00A920B2"/>
    <w:rsid w:val="00A92A96"/>
    <w:rsid w:val="00A92AF0"/>
    <w:rsid w:val="00A933FE"/>
    <w:rsid w:val="00A937D5"/>
    <w:rsid w:val="00A93975"/>
    <w:rsid w:val="00A93C70"/>
    <w:rsid w:val="00A94A32"/>
    <w:rsid w:val="00A94AFC"/>
    <w:rsid w:val="00A94BF5"/>
    <w:rsid w:val="00A9686A"/>
    <w:rsid w:val="00A96B4A"/>
    <w:rsid w:val="00A97BDA"/>
    <w:rsid w:val="00AA043A"/>
    <w:rsid w:val="00AA0779"/>
    <w:rsid w:val="00AA08F3"/>
    <w:rsid w:val="00AA0A7E"/>
    <w:rsid w:val="00AA0B0F"/>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4C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80F"/>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C4"/>
    <w:rsid w:val="00B01DD9"/>
    <w:rsid w:val="00B01F0E"/>
    <w:rsid w:val="00B038F1"/>
    <w:rsid w:val="00B03C1B"/>
    <w:rsid w:val="00B04678"/>
    <w:rsid w:val="00B047C9"/>
    <w:rsid w:val="00B04A04"/>
    <w:rsid w:val="00B04B78"/>
    <w:rsid w:val="00B04C37"/>
    <w:rsid w:val="00B04F00"/>
    <w:rsid w:val="00B05BA6"/>
    <w:rsid w:val="00B066FE"/>
    <w:rsid w:val="00B06912"/>
    <w:rsid w:val="00B07316"/>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5FC0"/>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6FD"/>
    <w:rsid w:val="00B33AB5"/>
    <w:rsid w:val="00B3412E"/>
    <w:rsid w:val="00B343E0"/>
    <w:rsid w:val="00B35B6D"/>
    <w:rsid w:val="00B35D53"/>
    <w:rsid w:val="00B367C4"/>
    <w:rsid w:val="00B36D3E"/>
    <w:rsid w:val="00B37B8E"/>
    <w:rsid w:val="00B40222"/>
    <w:rsid w:val="00B404C3"/>
    <w:rsid w:val="00B41A04"/>
    <w:rsid w:val="00B42743"/>
    <w:rsid w:val="00B430E9"/>
    <w:rsid w:val="00B4311F"/>
    <w:rsid w:val="00B431AE"/>
    <w:rsid w:val="00B43D59"/>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D1D"/>
    <w:rsid w:val="00B53E98"/>
    <w:rsid w:val="00B53F9B"/>
    <w:rsid w:val="00B5406E"/>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2CF0"/>
    <w:rsid w:val="00B7380E"/>
    <w:rsid w:val="00B740F6"/>
    <w:rsid w:val="00B74615"/>
    <w:rsid w:val="00B74789"/>
    <w:rsid w:val="00B755B6"/>
    <w:rsid w:val="00B75977"/>
    <w:rsid w:val="00B75A48"/>
    <w:rsid w:val="00B75CC0"/>
    <w:rsid w:val="00B75F82"/>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A49"/>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200"/>
    <w:rsid w:val="00BC3BCB"/>
    <w:rsid w:val="00BC3CF1"/>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39A"/>
    <w:rsid w:val="00BF7EF5"/>
    <w:rsid w:val="00C00BF6"/>
    <w:rsid w:val="00C019E5"/>
    <w:rsid w:val="00C0234A"/>
    <w:rsid w:val="00C0247B"/>
    <w:rsid w:val="00C0378E"/>
    <w:rsid w:val="00C04314"/>
    <w:rsid w:val="00C04BD0"/>
    <w:rsid w:val="00C05730"/>
    <w:rsid w:val="00C05AF4"/>
    <w:rsid w:val="00C05AFD"/>
    <w:rsid w:val="00C0661C"/>
    <w:rsid w:val="00C0675F"/>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B6C"/>
    <w:rsid w:val="00C20B86"/>
    <w:rsid w:val="00C21145"/>
    <w:rsid w:val="00C215ED"/>
    <w:rsid w:val="00C22350"/>
    <w:rsid w:val="00C22F6C"/>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05D"/>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25D9"/>
    <w:rsid w:val="00C53CE9"/>
    <w:rsid w:val="00C5531B"/>
    <w:rsid w:val="00C55375"/>
    <w:rsid w:val="00C5570F"/>
    <w:rsid w:val="00C56C98"/>
    <w:rsid w:val="00C56DE1"/>
    <w:rsid w:val="00C56DEE"/>
    <w:rsid w:val="00C57120"/>
    <w:rsid w:val="00C571D5"/>
    <w:rsid w:val="00C575D4"/>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0A8A"/>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AC1"/>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35A"/>
    <w:rsid w:val="00CA2528"/>
    <w:rsid w:val="00CA3CAB"/>
    <w:rsid w:val="00CA3FC0"/>
    <w:rsid w:val="00CA5685"/>
    <w:rsid w:val="00CA6A2E"/>
    <w:rsid w:val="00CA6B56"/>
    <w:rsid w:val="00CA7D3E"/>
    <w:rsid w:val="00CB0317"/>
    <w:rsid w:val="00CB0662"/>
    <w:rsid w:val="00CB0A82"/>
    <w:rsid w:val="00CB0F2F"/>
    <w:rsid w:val="00CB1556"/>
    <w:rsid w:val="00CB2913"/>
    <w:rsid w:val="00CB3970"/>
    <w:rsid w:val="00CB42B9"/>
    <w:rsid w:val="00CB4550"/>
    <w:rsid w:val="00CB4F39"/>
    <w:rsid w:val="00CB52A4"/>
    <w:rsid w:val="00CB537C"/>
    <w:rsid w:val="00CB5A26"/>
    <w:rsid w:val="00CB645B"/>
    <w:rsid w:val="00CB6A93"/>
    <w:rsid w:val="00CB6C79"/>
    <w:rsid w:val="00CB7718"/>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99D"/>
    <w:rsid w:val="00CD6BA3"/>
    <w:rsid w:val="00CD70DB"/>
    <w:rsid w:val="00CD7544"/>
    <w:rsid w:val="00CD78D4"/>
    <w:rsid w:val="00CE0697"/>
    <w:rsid w:val="00CE14CB"/>
    <w:rsid w:val="00CE1B5D"/>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422E"/>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037"/>
    <w:rsid w:val="00D25382"/>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FA0"/>
    <w:rsid w:val="00D33112"/>
    <w:rsid w:val="00D331CB"/>
    <w:rsid w:val="00D3497A"/>
    <w:rsid w:val="00D35F2F"/>
    <w:rsid w:val="00D35FC6"/>
    <w:rsid w:val="00D36BB8"/>
    <w:rsid w:val="00D377D4"/>
    <w:rsid w:val="00D401A1"/>
    <w:rsid w:val="00D40217"/>
    <w:rsid w:val="00D40385"/>
    <w:rsid w:val="00D404CE"/>
    <w:rsid w:val="00D40E8F"/>
    <w:rsid w:val="00D412BF"/>
    <w:rsid w:val="00D417C6"/>
    <w:rsid w:val="00D417D0"/>
    <w:rsid w:val="00D42B0C"/>
    <w:rsid w:val="00D42D6E"/>
    <w:rsid w:val="00D4374A"/>
    <w:rsid w:val="00D43DEF"/>
    <w:rsid w:val="00D44259"/>
    <w:rsid w:val="00D45C61"/>
    <w:rsid w:val="00D45DDC"/>
    <w:rsid w:val="00D5064C"/>
    <w:rsid w:val="00D50C94"/>
    <w:rsid w:val="00D511E7"/>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631"/>
    <w:rsid w:val="00D60733"/>
    <w:rsid w:val="00D60C60"/>
    <w:rsid w:val="00D61E1D"/>
    <w:rsid w:val="00D629A4"/>
    <w:rsid w:val="00D62BDF"/>
    <w:rsid w:val="00D62EEE"/>
    <w:rsid w:val="00D64F1C"/>
    <w:rsid w:val="00D6570C"/>
    <w:rsid w:val="00D659EA"/>
    <w:rsid w:val="00D65A89"/>
    <w:rsid w:val="00D65E85"/>
    <w:rsid w:val="00D6611C"/>
    <w:rsid w:val="00D66284"/>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662"/>
    <w:rsid w:val="00DB7E46"/>
    <w:rsid w:val="00DC1395"/>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4D3"/>
    <w:rsid w:val="00DE75EF"/>
    <w:rsid w:val="00DE7611"/>
    <w:rsid w:val="00DE7810"/>
    <w:rsid w:val="00DE7D19"/>
    <w:rsid w:val="00DF05A0"/>
    <w:rsid w:val="00DF1162"/>
    <w:rsid w:val="00DF1BA8"/>
    <w:rsid w:val="00DF1F63"/>
    <w:rsid w:val="00DF28F2"/>
    <w:rsid w:val="00DF2BFF"/>
    <w:rsid w:val="00DF3798"/>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BE1"/>
    <w:rsid w:val="00E03C10"/>
    <w:rsid w:val="00E0479F"/>
    <w:rsid w:val="00E04816"/>
    <w:rsid w:val="00E04982"/>
    <w:rsid w:val="00E04D6A"/>
    <w:rsid w:val="00E058DB"/>
    <w:rsid w:val="00E05950"/>
    <w:rsid w:val="00E05CD4"/>
    <w:rsid w:val="00E05DE8"/>
    <w:rsid w:val="00E06100"/>
    <w:rsid w:val="00E0614E"/>
    <w:rsid w:val="00E06E97"/>
    <w:rsid w:val="00E07B8F"/>
    <w:rsid w:val="00E10712"/>
    <w:rsid w:val="00E10DD1"/>
    <w:rsid w:val="00E1224C"/>
    <w:rsid w:val="00E1254C"/>
    <w:rsid w:val="00E12BDF"/>
    <w:rsid w:val="00E13326"/>
    <w:rsid w:val="00E13463"/>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7124"/>
    <w:rsid w:val="00E77341"/>
    <w:rsid w:val="00E7783E"/>
    <w:rsid w:val="00E778B8"/>
    <w:rsid w:val="00E801C7"/>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E21"/>
    <w:rsid w:val="00EA2EAA"/>
    <w:rsid w:val="00EA380C"/>
    <w:rsid w:val="00EA613D"/>
    <w:rsid w:val="00EA6744"/>
    <w:rsid w:val="00EA7308"/>
    <w:rsid w:val="00EA7474"/>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536"/>
    <w:rsid w:val="00EE2A9D"/>
    <w:rsid w:val="00EE32D5"/>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7134"/>
    <w:rsid w:val="00F0724D"/>
    <w:rsid w:val="00F07378"/>
    <w:rsid w:val="00F10B81"/>
    <w:rsid w:val="00F10BC9"/>
    <w:rsid w:val="00F113C9"/>
    <w:rsid w:val="00F11C01"/>
    <w:rsid w:val="00F11D80"/>
    <w:rsid w:val="00F13580"/>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0DC4"/>
    <w:rsid w:val="00F51A82"/>
    <w:rsid w:val="00F51B78"/>
    <w:rsid w:val="00F51BDD"/>
    <w:rsid w:val="00F52065"/>
    <w:rsid w:val="00F521CE"/>
    <w:rsid w:val="00F5253E"/>
    <w:rsid w:val="00F5254B"/>
    <w:rsid w:val="00F52CB7"/>
    <w:rsid w:val="00F53A44"/>
    <w:rsid w:val="00F54E5E"/>
    <w:rsid w:val="00F551DB"/>
    <w:rsid w:val="00F556B3"/>
    <w:rsid w:val="00F55810"/>
    <w:rsid w:val="00F559BE"/>
    <w:rsid w:val="00F56F7E"/>
    <w:rsid w:val="00F56FEF"/>
    <w:rsid w:val="00F57521"/>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7079"/>
    <w:rsid w:val="00F67B58"/>
    <w:rsid w:val="00F67E81"/>
    <w:rsid w:val="00F70124"/>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77BC9"/>
    <w:rsid w:val="00F8056E"/>
    <w:rsid w:val="00F805B7"/>
    <w:rsid w:val="00F810C1"/>
    <w:rsid w:val="00F81623"/>
    <w:rsid w:val="00F81D25"/>
    <w:rsid w:val="00F8245C"/>
    <w:rsid w:val="00F82928"/>
    <w:rsid w:val="00F829B9"/>
    <w:rsid w:val="00F83045"/>
    <w:rsid w:val="00F83615"/>
    <w:rsid w:val="00F83C2E"/>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0A"/>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619B"/>
    <w:rsid w:val="00FC665F"/>
    <w:rsid w:val="00FC6C35"/>
    <w:rsid w:val="00FC6C46"/>
    <w:rsid w:val="00FC6D59"/>
    <w:rsid w:val="00FC7561"/>
    <w:rsid w:val="00FC78F5"/>
    <w:rsid w:val="00FC7ACA"/>
    <w:rsid w:val="00FC7AD2"/>
    <w:rsid w:val="00FD10B3"/>
    <w:rsid w:val="00FD11C3"/>
    <w:rsid w:val="00FD154E"/>
    <w:rsid w:val="00FD24D7"/>
    <w:rsid w:val="00FD29CE"/>
    <w:rsid w:val="00FD3AE2"/>
    <w:rsid w:val="00FD3E41"/>
    <w:rsid w:val="00FD3EFA"/>
    <w:rsid w:val="00FD41C6"/>
    <w:rsid w:val="00FD54A8"/>
    <w:rsid w:val="00FD5AE4"/>
    <w:rsid w:val="00FD5D21"/>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35F"/>
    <w:rsid w:val="00FE7877"/>
    <w:rsid w:val="00FE7DD1"/>
    <w:rsid w:val="00FF05DE"/>
    <w:rsid w:val="00FF0B4F"/>
    <w:rsid w:val="00FF0F58"/>
    <w:rsid w:val="00FF183C"/>
    <w:rsid w:val="00FF1A06"/>
    <w:rsid w:val="00FF1AD3"/>
    <w:rsid w:val="00FF1B46"/>
    <w:rsid w:val="00FF219D"/>
    <w:rsid w:val="00FF2A7B"/>
    <w:rsid w:val="00FF3D2B"/>
    <w:rsid w:val="00FF49B4"/>
    <w:rsid w:val="00FF49F4"/>
    <w:rsid w:val="00FF5538"/>
    <w:rsid w:val="00FF5C6A"/>
    <w:rsid w:val="00FF651D"/>
    <w:rsid w:val="00FF6843"/>
    <w:rsid w:val="00FF6C25"/>
    <w:rsid w:val="010333FC"/>
    <w:rsid w:val="010651D9"/>
    <w:rsid w:val="011473B7"/>
    <w:rsid w:val="011F6449"/>
    <w:rsid w:val="012232CE"/>
    <w:rsid w:val="01236AFB"/>
    <w:rsid w:val="012D6E26"/>
    <w:rsid w:val="014F6641"/>
    <w:rsid w:val="017B2F92"/>
    <w:rsid w:val="019E4ED3"/>
    <w:rsid w:val="019F7441"/>
    <w:rsid w:val="01B37585"/>
    <w:rsid w:val="01C40D93"/>
    <w:rsid w:val="01D55165"/>
    <w:rsid w:val="01DF6BF8"/>
    <w:rsid w:val="01E64C5E"/>
    <w:rsid w:val="01EC2C57"/>
    <w:rsid w:val="01F9035B"/>
    <w:rsid w:val="01FD0787"/>
    <w:rsid w:val="0203486B"/>
    <w:rsid w:val="0236335D"/>
    <w:rsid w:val="0240458C"/>
    <w:rsid w:val="02441F1E"/>
    <w:rsid w:val="02445A7A"/>
    <w:rsid w:val="025263E9"/>
    <w:rsid w:val="026B2E25"/>
    <w:rsid w:val="0271797E"/>
    <w:rsid w:val="02824D4D"/>
    <w:rsid w:val="02902A6D"/>
    <w:rsid w:val="029F7154"/>
    <w:rsid w:val="02A824AD"/>
    <w:rsid w:val="02CD0493"/>
    <w:rsid w:val="02DC4B10"/>
    <w:rsid w:val="02DD76CE"/>
    <w:rsid w:val="02E24306"/>
    <w:rsid w:val="02E8410E"/>
    <w:rsid w:val="02F36323"/>
    <w:rsid w:val="02F5619C"/>
    <w:rsid w:val="0326446A"/>
    <w:rsid w:val="032D5555"/>
    <w:rsid w:val="03522419"/>
    <w:rsid w:val="035E0DBD"/>
    <w:rsid w:val="035E4919"/>
    <w:rsid w:val="03654ED7"/>
    <w:rsid w:val="036634D2"/>
    <w:rsid w:val="036A1B0C"/>
    <w:rsid w:val="03771BF4"/>
    <w:rsid w:val="037B1947"/>
    <w:rsid w:val="03922815"/>
    <w:rsid w:val="03B409DD"/>
    <w:rsid w:val="03DD35E4"/>
    <w:rsid w:val="03E05C76"/>
    <w:rsid w:val="03F434D0"/>
    <w:rsid w:val="04076900"/>
    <w:rsid w:val="041A5A3B"/>
    <w:rsid w:val="041B6B58"/>
    <w:rsid w:val="042311BA"/>
    <w:rsid w:val="042B157A"/>
    <w:rsid w:val="042E253E"/>
    <w:rsid w:val="04351B1E"/>
    <w:rsid w:val="044004C3"/>
    <w:rsid w:val="045243E9"/>
    <w:rsid w:val="04545D1C"/>
    <w:rsid w:val="047C599F"/>
    <w:rsid w:val="0489325D"/>
    <w:rsid w:val="048F763B"/>
    <w:rsid w:val="049727D9"/>
    <w:rsid w:val="049F330E"/>
    <w:rsid w:val="04AA775C"/>
    <w:rsid w:val="04AF1889"/>
    <w:rsid w:val="04B74C29"/>
    <w:rsid w:val="04CA51F4"/>
    <w:rsid w:val="04D07A99"/>
    <w:rsid w:val="04E62470"/>
    <w:rsid w:val="04E62E18"/>
    <w:rsid w:val="04F66F48"/>
    <w:rsid w:val="04FA2D68"/>
    <w:rsid w:val="05251E14"/>
    <w:rsid w:val="054C5E09"/>
    <w:rsid w:val="055661F0"/>
    <w:rsid w:val="05663030"/>
    <w:rsid w:val="05846DC8"/>
    <w:rsid w:val="058645FB"/>
    <w:rsid w:val="058A7C48"/>
    <w:rsid w:val="05A16594"/>
    <w:rsid w:val="05A7762D"/>
    <w:rsid w:val="05B2719F"/>
    <w:rsid w:val="05C3315A"/>
    <w:rsid w:val="05D00EC1"/>
    <w:rsid w:val="060E5941"/>
    <w:rsid w:val="06106CBF"/>
    <w:rsid w:val="06110FAF"/>
    <w:rsid w:val="061816F7"/>
    <w:rsid w:val="06344057"/>
    <w:rsid w:val="063F4ED6"/>
    <w:rsid w:val="06493CA7"/>
    <w:rsid w:val="064E6EC7"/>
    <w:rsid w:val="0651544E"/>
    <w:rsid w:val="065A6178"/>
    <w:rsid w:val="066C6438"/>
    <w:rsid w:val="066F1CF3"/>
    <w:rsid w:val="0678654A"/>
    <w:rsid w:val="06874187"/>
    <w:rsid w:val="06930BB8"/>
    <w:rsid w:val="069D39AB"/>
    <w:rsid w:val="06B92EA7"/>
    <w:rsid w:val="06E25862"/>
    <w:rsid w:val="06E845C5"/>
    <w:rsid w:val="070D4E50"/>
    <w:rsid w:val="07245D42"/>
    <w:rsid w:val="07264C62"/>
    <w:rsid w:val="07387188"/>
    <w:rsid w:val="07520C39"/>
    <w:rsid w:val="0779354C"/>
    <w:rsid w:val="078B5EF9"/>
    <w:rsid w:val="078B7CA7"/>
    <w:rsid w:val="07B0770E"/>
    <w:rsid w:val="08061376"/>
    <w:rsid w:val="08163A15"/>
    <w:rsid w:val="08452D77"/>
    <w:rsid w:val="08512C9F"/>
    <w:rsid w:val="086401F8"/>
    <w:rsid w:val="08747A47"/>
    <w:rsid w:val="08751CAA"/>
    <w:rsid w:val="087B7D1C"/>
    <w:rsid w:val="087E4C40"/>
    <w:rsid w:val="088A58D8"/>
    <w:rsid w:val="08A74FB5"/>
    <w:rsid w:val="08BD15AC"/>
    <w:rsid w:val="08D5567E"/>
    <w:rsid w:val="08D66AD6"/>
    <w:rsid w:val="08DA33A3"/>
    <w:rsid w:val="08E80F13"/>
    <w:rsid w:val="090715AF"/>
    <w:rsid w:val="09164398"/>
    <w:rsid w:val="092501B8"/>
    <w:rsid w:val="09335624"/>
    <w:rsid w:val="0944690F"/>
    <w:rsid w:val="09535675"/>
    <w:rsid w:val="09581E0B"/>
    <w:rsid w:val="095F057D"/>
    <w:rsid w:val="09642282"/>
    <w:rsid w:val="09733572"/>
    <w:rsid w:val="097529BD"/>
    <w:rsid w:val="09772C16"/>
    <w:rsid w:val="098353B5"/>
    <w:rsid w:val="09972933"/>
    <w:rsid w:val="09A92330"/>
    <w:rsid w:val="09B06B87"/>
    <w:rsid w:val="09B23C11"/>
    <w:rsid w:val="09BE6544"/>
    <w:rsid w:val="09C13146"/>
    <w:rsid w:val="09E04166"/>
    <w:rsid w:val="09E500A1"/>
    <w:rsid w:val="09EF276F"/>
    <w:rsid w:val="09F91840"/>
    <w:rsid w:val="0A1C0718"/>
    <w:rsid w:val="0A206DCD"/>
    <w:rsid w:val="0A3C7719"/>
    <w:rsid w:val="0A3E7710"/>
    <w:rsid w:val="0A440D5A"/>
    <w:rsid w:val="0A466107"/>
    <w:rsid w:val="0A5922DF"/>
    <w:rsid w:val="0A5B7E63"/>
    <w:rsid w:val="0A60541B"/>
    <w:rsid w:val="0A747118"/>
    <w:rsid w:val="0A776340"/>
    <w:rsid w:val="0A784D07"/>
    <w:rsid w:val="0AA374A5"/>
    <w:rsid w:val="0AAB7649"/>
    <w:rsid w:val="0AB67AA2"/>
    <w:rsid w:val="0ABC5606"/>
    <w:rsid w:val="0AC70E7F"/>
    <w:rsid w:val="0B0C10FF"/>
    <w:rsid w:val="0B100BEF"/>
    <w:rsid w:val="0B2226D0"/>
    <w:rsid w:val="0B29114E"/>
    <w:rsid w:val="0B30404E"/>
    <w:rsid w:val="0B367128"/>
    <w:rsid w:val="0B36793D"/>
    <w:rsid w:val="0B4C6C14"/>
    <w:rsid w:val="0B4D1E43"/>
    <w:rsid w:val="0B4F72C7"/>
    <w:rsid w:val="0B5A4560"/>
    <w:rsid w:val="0B631A88"/>
    <w:rsid w:val="0B683D45"/>
    <w:rsid w:val="0B7F3F11"/>
    <w:rsid w:val="0B837613"/>
    <w:rsid w:val="0B884417"/>
    <w:rsid w:val="0B930E37"/>
    <w:rsid w:val="0B9C6927"/>
    <w:rsid w:val="0BBC48D3"/>
    <w:rsid w:val="0BC31A7A"/>
    <w:rsid w:val="0BC55E7E"/>
    <w:rsid w:val="0BCD6FE7"/>
    <w:rsid w:val="0BE14583"/>
    <w:rsid w:val="0BEA58E4"/>
    <w:rsid w:val="0BF6188C"/>
    <w:rsid w:val="0BF73C91"/>
    <w:rsid w:val="0C170175"/>
    <w:rsid w:val="0C3D45A5"/>
    <w:rsid w:val="0C513457"/>
    <w:rsid w:val="0C571A41"/>
    <w:rsid w:val="0C5C1171"/>
    <w:rsid w:val="0C5E1CBC"/>
    <w:rsid w:val="0C615B50"/>
    <w:rsid w:val="0C767178"/>
    <w:rsid w:val="0C8445DA"/>
    <w:rsid w:val="0C87121B"/>
    <w:rsid w:val="0CAA5073"/>
    <w:rsid w:val="0CC007F7"/>
    <w:rsid w:val="0CC25F19"/>
    <w:rsid w:val="0CD65E68"/>
    <w:rsid w:val="0CF7474D"/>
    <w:rsid w:val="0CFE707A"/>
    <w:rsid w:val="0D002EE5"/>
    <w:rsid w:val="0D063BDA"/>
    <w:rsid w:val="0D08375F"/>
    <w:rsid w:val="0D093B48"/>
    <w:rsid w:val="0D0E115E"/>
    <w:rsid w:val="0D184CFB"/>
    <w:rsid w:val="0D2606C0"/>
    <w:rsid w:val="0D4A7419"/>
    <w:rsid w:val="0D531267"/>
    <w:rsid w:val="0D827401"/>
    <w:rsid w:val="0D84094E"/>
    <w:rsid w:val="0D894C89"/>
    <w:rsid w:val="0D8A00E9"/>
    <w:rsid w:val="0D8D589E"/>
    <w:rsid w:val="0DA01C73"/>
    <w:rsid w:val="0DA25D4B"/>
    <w:rsid w:val="0DBF06AB"/>
    <w:rsid w:val="0DD63300"/>
    <w:rsid w:val="0DEC5C8D"/>
    <w:rsid w:val="0DF50604"/>
    <w:rsid w:val="0DF702FE"/>
    <w:rsid w:val="0E060E51"/>
    <w:rsid w:val="0E3966AF"/>
    <w:rsid w:val="0E5604B2"/>
    <w:rsid w:val="0E576B35"/>
    <w:rsid w:val="0E6D5D79"/>
    <w:rsid w:val="0E6D7766"/>
    <w:rsid w:val="0E715E49"/>
    <w:rsid w:val="0E7440FA"/>
    <w:rsid w:val="0E8D2557"/>
    <w:rsid w:val="0E910D8B"/>
    <w:rsid w:val="0E9D0089"/>
    <w:rsid w:val="0EAD0A9E"/>
    <w:rsid w:val="0EB61AAE"/>
    <w:rsid w:val="0EB803EE"/>
    <w:rsid w:val="0EB95933"/>
    <w:rsid w:val="0EBE4E06"/>
    <w:rsid w:val="0EDB7766"/>
    <w:rsid w:val="0EF94D4B"/>
    <w:rsid w:val="0F0E3698"/>
    <w:rsid w:val="0F1C3261"/>
    <w:rsid w:val="0F4958DC"/>
    <w:rsid w:val="0F515DF7"/>
    <w:rsid w:val="0F596BA8"/>
    <w:rsid w:val="0F6248D2"/>
    <w:rsid w:val="0F693536"/>
    <w:rsid w:val="0F694D72"/>
    <w:rsid w:val="0F725532"/>
    <w:rsid w:val="0F7B0511"/>
    <w:rsid w:val="0F7B76D9"/>
    <w:rsid w:val="0F7D25CB"/>
    <w:rsid w:val="0F7D72CC"/>
    <w:rsid w:val="0F803E6A"/>
    <w:rsid w:val="0F816ACD"/>
    <w:rsid w:val="0F906933"/>
    <w:rsid w:val="0F9832DB"/>
    <w:rsid w:val="0F993509"/>
    <w:rsid w:val="0FB6788B"/>
    <w:rsid w:val="0FBF3FD2"/>
    <w:rsid w:val="0FBF7FF3"/>
    <w:rsid w:val="0FC1070A"/>
    <w:rsid w:val="0FEC165C"/>
    <w:rsid w:val="0FF94348"/>
    <w:rsid w:val="100B37F0"/>
    <w:rsid w:val="101B499C"/>
    <w:rsid w:val="101E3DAE"/>
    <w:rsid w:val="102962AF"/>
    <w:rsid w:val="10374E70"/>
    <w:rsid w:val="104430E9"/>
    <w:rsid w:val="10482BD9"/>
    <w:rsid w:val="105C6685"/>
    <w:rsid w:val="10615A49"/>
    <w:rsid w:val="10646583"/>
    <w:rsid w:val="107D4B15"/>
    <w:rsid w:val="10895484"/>
    <w:rsid w:val="108A3C80"/>
    <w:rsid w:val="10937491"/>
    <w:rsid w:val="10C26171"/>
    <w:rsid w:val="10CA1840"/>
    <w:rsid w:val="10D10E21"/>
    <w:rsid w:val="10F33360"/>
    <w:rsid w:val="10FC16EA"/>
    <w:rsid w:val="11052878"/>
    <w:rsid w:val="110F1D40"/>
    <w:rsid w:val="11160F29"/>
    <w:rsid w:val="11266F33"/>
    <w:rsid w:val="114E57CE"/>
    <w:rsid w:val="1171759F"/>
    <w:rsid w:val="118963A1"/>
    <w:rsid w:val="11C6522A"/>
    <w:rsid w:val="11E104CC"/>
    <w:rsid w:val="11E20309"/>
    <w:rsid w:val="120B0362"/>
    <w:rsid w:val="12137246"/>
    <w:rsid w:val="122431D2"/>
    <w:rsid w:val="12255233"/>
    <w:rsid w:val="12385FA8"/>
    <w:rsid w:val="12443874"/>
    <w:rsid w:val="12474790"/>
    <w:rsid w:val="12530213"/>
    <w:rsid w:val="126A32DB"/>
    <w:rsid w:val="126F08F1"/>
    <w:rsid w:val="127723A9"/>
    <w:rsid w:val="12862074"/>
    <w:rsid w:val="12883966"/>
    <w:rsid w:val="129B6365"/>
    <w:rsid w:val="129E45B4"/>
    <w:rsid w:val="12A0243C"/>
    <w:rsid w:val="12C86253"/>
    <w:rsid w:val="12D375B3"/>
    <w:rsid w:val="12D81596"/>
    <w:rsid w:val="12FB4B4E"/>
    <w:rsid w:val="13072A44"/>
    <w:rsid w:val="130C4392"/>
    <w:rsid w:val="130C6099"/>
    <w:rsid w:val="13225964"/>
    <w:rsid w:val="132F62D2"/>
    <w:rsid w:val="135F4BE2"/>
    <w:rsid w:val="13637D2A"/>
    <w:rsid w:val="136545E5"/>
    <w:rsid w:val="136715C8"/>
    <w:rsid w:val="138A175B"/>
    <w:rsid w:val="13953C4B"/>
    <w:rsid w:val="139B1A0A"/>
    <w:rsid w:val="139D25C7"/>
    <w:rsid w:val="13BF3CE4"/>
    <w:rsid w:val="13C224D1"/>
    <w:rsid w:val="13CE7899"/>
    <w:rsid w:val="13E744B7"/>
    <w:rsid w:val="13F05A62"/>
    <w:rsid w:val="13FB1099"/>
    <w:rsid w:val="140212F1"/>
    <w:rsid w:val="141008D8"/>
    <w:rsid w:val="14125FE6"/>
    <w:rsid w:val="142179C9"/>
    <w:rsid w:val="144162BD"/>
    <w:rsid w:val="145A6363"/>
    <w:rsid w:val="145F4995"/>
    <w:rsid w:val="14633BA9"/>
    <w:rsid w:val="146D271E"/>
    <w:rsid w:val="14740251"/>
    <w:rsid w:val="147A532B"/>
    <w:rsid w:val="147C10A3"/>
    <w:rsid w:val="14922675"/>
    <w:rsid w:val="14982588"/>
    <w:rsid w:val="149A5AD9"/>
    <w:rsid w:val="14A524FA"/>
    <w:rsid w:val="14A7619D"/>
    <w:rsid w:val="14AD2260"/>
    <w:rsid w:val="14DE56CC"/>
    <w:rsid w:val="150536C3"/>
    <w:rsid w:val="150B2427"/>
    <w:rsid w:val="150C1963"/>
    <w:rsid w:val="151447A0"/>
    <w:rsid w:val="151F5D0D"/>
    <w:rsid w:val="152359C3"/>
    <w:rsid w:val="154A6454"/>
    <w:rsid w:val="155A113F"/>
    <w:rsid w:val="155C2C83"/>
    <w:rsid w:val="15762120"/>
    <w:rsid w:val="158C7073"/>
    <w:rsid w:val="15C210D9"/>
    <w:rsid w:val="15D13671"/>
    <w:rsid w:val="15D62A35"/>
    <w:rsid w:val="15F35395"/>
    <w:rsid w:val="15F444DC"/>
    <w:rsid w:val="15FE1A14"/>
    <w:rsid w:val="16014137"/>
    <w:rsid w:val="16135A37"/>
    <w:rsid w:val="161B669A"/>
    <w:rsid w:val="16223ECC"/>
    <w:rsid w:val="162509CE"/>
    <w:rsid w:val="165D7C52"/>
    <w:rsid w:val="166C5148"/>
    <w:rsid w:val="166F1D9B"/>
    <w:rsid w:val="168E50BE"/>
    <w:rsid w:val="16900E36"/>
    <w:rsid w:val="169C77DB"/>
    <w:rsid w:val="169E6B12"/>
    <w:rsid w:val="16A86180"/>
    <w:rsid w:val="16A8729C"/>
    <w:rsid w:val="16B33777"/>
    <w:rsid w:val="16BC1C2B"/>
    <w:rsid w:val="16BC70A7"/>
    <w:rsid w:val="16C15493"/>
    <w:rsid w:val="16C6339E"/>
    <w:rsid w:val="16CC2D0D"/>
    <w:rsid w:val="16D6491D"/>
    <w:rsid w:val="16D90A2F"/>
    <w:rsid w:val="16DC3559"/>
    <w:rsid w:val="16E41182"/>
    <w:rsid w:val="172F2D79"/>
    <w:rsid w:val="17326391"/>
    <w:rsid w:val="17557BEF"/>
    <w:rsid w:val="17872239"/>
    <w:rsid w:val="178B779F"/>
    <w:rsid w:val="17A77B42"/>
    <w:rsid w:val="17BE19D3"/>
    <w:rsid w:val="17D349C1"/>
    <w:rsid w:val="17DD00AB"/>
    <w:rsid w:val="17DD62FD"/>
    <w:rsid w:val="17EE4066"/>
    <w:rsid w:val="17F13B56"/>
    <w:rsid w:val="180C273E"/>
    <w:rsid w:val="181F6915"/>
    <w:rsid w:val="18233587"/>
    <w:rsid w:val="1830729E"/>
    <w:rsid w:val="183659F3"/>
    <w:rsid w:val="1870062C"/>
    <w:rsid w:val="18817102"/>
    <w:rsid w:val="18820C52"/>
    <w:rsid w:val="18830A15"/>
    <w:rsid w:val="18852B28"/>
    <w:rsid w:val="188B5321"/>
    <w:rsid w:val="18B65FBE"/>
    <w:rsid w:val="19213C3C"/>
    <w:rsid w:val="19500E46"/>
    <w:rsid w:val="19792055"/>
    <w:rsid w:val="19826FE8"/>
    <w:rsid w:val="19832ED4"/>
    <w:rsid w:val="198804EA"/>
    <w:rsid w:val="198A6011"/>
    <w:rsid w:val="19923117"/>
    <w:rsid w:val="19932372"/>
    <w:rsid w:val="19A20DD5"/>
    <w:rsid w:val="19A5109C"/>
    <w:rsid w:val="19AE03F1"/>
    <w:rsid w:val="19BE2C88"/>
    <w:rsid w:val="19CA11F8"/>
    <w:rsid w:val="19F3739B"/>
    <w:rsid w:val="1A071A03"/>
    <w:rsid w:val="1A1F16AE"/>
    <w:rsid w:val="1A3B5C77"/>
    <w:rsid w:val="1A3D12D5"/>
    <w:rsid w:val="1A9133CF"/>
    <w:rsid w:val="1A984BAD"/>
    <w:rsid w:val="1A9D6217"/>
    <w:rsid w:val="1AB8220E"/>
    <w:rsid w:val="1AE4166C"/>
    <w:rsid w:val="1AF06CFB"/>
    <w:rsid w:val="1AF11B8D"/>
    <w:rsid w:val="1B0845C1"/>
    <w:rsid w:val="1B0E7A21"/>
    <w:rsid w:val="1B11359C"/>
    <w:rsid w:val="1B2A271F"/>
    <w:rsid w:val="1B481CDF"/>
    <w:rsid w:val="1B530544"/>
    <w:rsid w:val="1B713184"/>
    <w:rsid w:val="1B763515"/>
    <w:rsid w:val="1B8D1DE8"/>
    <w:rsid w:val="1B945CBD"/>
    <w:rsid w:val="1BA209CF"/>
    <w:rsid w:val="1BB4777D"/>
    <w:rsid w:val="1BC11A92"/>
    <w:rsid w:val="1BCC2910"/>
    <w:rsid w:val="1BD75AB8"/>
    <w:rsid w:val="1C0459C2"/>
    <w:rsid w:val="1C1B3B4A"/>
    <w:rsid w:val="1C1F5136"/>
    <w:rsid w:val="1C24149D"/>
    <w:rsid w:val="1C88086E"/>
    <w:rsid w:val="1CA23671"/>
    <w:rsid w:val="1CB55D60"/>
    <w:rsid w:val="1CDB09CC"/>
    <w:rsid w:val="1CDB6935"/>
    <w:rsid w:val="1CE01CEC"/>
    <w:rsid w:val="1CE1063D"/>
    <w:rsid w:val="1CEE2D5A"/>
    <w:rsid w:val="1CF163A7"/>
    <w:rsid w:val="1CFF6449"/>
    <w:rsid w:val="1D104A7F"/>
    <w:rsid w:val="1D244763"/>
    <w:rsid w:val="1D266CE1"/>
    <w:rsid w:val="1D3963AF"/>
    <w:rsid w:val="1D432AC3"/>
    <w:rsid w:val="1D556936"/>
    <w:rsid w:val="1D5726AE"/>
    <w:rsid w:val="1D5E74C5"/>
    <w:rsid w:val="1D6A673C"/>
    <w:rsid w:val="1D9247AE"/>
    <w:rsid w:val="1D9C27B6"/>
    <w:rsid w:val="1D9C4564"/>
    <w:rsid w:val="1DB016FD"/>
    <w:rsid w:val="1DB567EC"/>
    <w:rsid w:val="1DC55869"/>
    <w:rsid w:val="1DD106B2"/>
    <w:rsid w:val="1DD81FE2"/>
    <w:rsid w:val="1DDB32DF"/>
    <w:rsid w:val="1DE81558"/>
    <w:rsid w:val="1DE877AA"/>
    <w:rsid w:val="1DF148B0"/>
    <w:rsid w:val="1DF51A98"/>
    <w:rsid w:val="1DFE6FCD"/>
    <w:rsid w:val="1E002D45"/>
    <w:rsid w:val="1E366767"/>
    <w:rsid w:val="1E3D060F"/>
    <w:rsid w:val="1E3F7D2E"/>
    <w:rsid w:val="1E4134E4"/>
    <w:rsid w:val="1E47540A"/>
    <w:rsid w:val="1E5062B3"/>
    <w:rsid w:val="1E523514"/>
    <w:rsid w:val="1E643D64"/>
    <w:rsid w:val="1E714A66"/>
    <w:rsid w:val="1E802593"/>
    <w:rsid w:val="1EA703CC"/>
    <w:rsid w:val="1EAA273C"/>
    <w:rsid w:val="1EAC07D7"/>
    <w:rsid w:val="1EB7330C"/>
    <w:rsid w:val="1EBD29E4"/>
    <w:rsid w:val="1EC65D3D"/>
    <w:rsid w:val="1EEB6A69"/>
    <w:rsid w:val="1EF52B6D"/>
    <w:rsid w:val="1F0A0FF3"/>
    <w:rsid w:val="1F0B4696"/>
    <w:rsid w:val="1F26058A"/>
    <w:rsid w:val="1F4849A4"/>
    <w:rsid w:val="1F550E6F"/>
    <w:rsid w:val="1F5771FF"/>
    <w:rsid w:val="1F5F584A"/>
    <w:rsid w:val="1F6B68E4"/>
    <w:rsid w:val="1F6C4942"/>
    <w:rsid w:val="1F860BB4"/>
    <w:rsid w:val="1F8A4FBC"/>
    <w:rsid w:val="1F9A4AD4"/>
    <w:rsid w:val="1FB65DB1"/>
    <w:rsid w:val="1FBB7ACC"/>
    <w:rsid w:val="1FBC0EEE"/>
    <w:rsid w:val="1FC35DD8"/>
    <w:rsid w:val="1FC66391"/>
    <w:rsid w:val="1FDF698A"/>
    <w:rsid w:val="1FE868A9"/>
    <w:rsid w:val="1FF42000"/>
    <w:rsid w:val="1FF42A33"/>
    <w:rsid w:val="20034907"/>
    <w:rsid w:val="20124FB2"/>
    <w:rsid w:val="201723F5"/>
    <w:rsid w:val="20173E4B"/>
    <w:rsid w:val="203171E6"/>
    <w:rsid w:val="20366406"/>
    <w:rsid w:val="204B414A"/>
    <w:rsid w:val="204E48BC"/>
    <w:rsid w:val="205173F8"/>
    <w:rsid w:val="2059498F"/>
    <w:rsid w:val="205B24B5"/>
    <w:rsid w:val="205E3D53"/>
    <w:rsid w:val="206C7450"/>
    <w:rsid w:val="206D3F96"/>
    <w:rsid w:val="207A2F08"/>
    <w:rsid w:val="208921B3"/>
    <w:rsid w:val="20973DEB"/>
    <w:rsid w:val="20A23587"/>
    <w:rsid w:val="20AA51EA"/>
    <w:rsid w:val="20AA6F98"/>
    <w:rsid w:val="20B26522"/>
    <w:rsid w:val="20B44310"/>
    <w:rsid w:val="20BE435D"/>
    <w:rsid w:val="20CF69FF"/>
    <w:rsid w:val="20D02EA3"/>
    <w:rsid w:val="20EB7EEA"/>
    <w:rsid w:val="211116EB"/>
    <w:rsid w:val="213D28C2"/>
    <w:rsid w:val="2149312A"/>
    <w:rsid w:val="216133FC"/>
    <w:rsid w:val="21721428"/>
    <w:rsid w:val="217557F8"/>
    <w:rsid w:val="217F21D3"/>
    <w:rsid w:val="21AD6D40"/>
    <w:rsid w:val="21D56769"/>
    <w:rsid w:val="21E52EF3"/>
    <w:rsid w:val="21F506E7"/>
    <w:rsid w:val="21FB5D7B"/>
    <w:rsid w:val="21FC1141"/>
    <w:rsid w:val="220B1C3D"/>
    <w:rsid w:val="221D1D20"/>
    <w:rsid w:val="22274D44"/>
    <w:rsid w:val="22277108"/>
    <w:rsid w:val="22334A87"/>
    <w:rsid w:val="223C00C4"/>
    <w:rsid w:val="2245341D"/>
    <w:rsid w:val="225E003A"/>
    <w:rsid w:val="22631AF5"/>
    <w:rsid w:val="227635D6"/>
    <w:rsid w:val="22BE6801"/>
    <w:rsid w:val="22C500B9"/>
    <w:rsid w:val="22D56B19"/>
    <w:rsid w:val="22F57858"/>
    <w:rsid w:val="22FD253B"/>
    <w:rsid w:val="230230BC"/>
    <w:rsid w:val="231B5F2B"/>
    <w:rsid w:val="233314C7"/>
    <w:rsid w:val="233500BF"/>
    <w:rsid w:val="23377FF7"/>
    <w:rsid w:val="234C5C0A"/>
    <w:rsid w:val="236B425F"/>
    <w:rsid w:val="23836192"/>
    <w:rsid w:val="238E0DF3"/>
    <w:rsid w:val="23901F29"/>
    <w:rsid w:val="239C0061"/>
    <w:rsid w:val="23A7731B"/>
    <w:rsid w:val="23B908A4"/>
    <w:rsid w:val="23C42D4B"/>
    <w:rsid w:val="23CD5478"/>
    <w:rsid w:val="23CF23CE"/>
    <w:rsid w:val="23E95BEF"/>
    <w:rsid w:val="23F76998"/>
    <w:rsid w:val="23FB7503"/>
    <w:rsid w:val="23FD0064"/>
    <w:rsid w:val="23FE7D27"/>
    <w:rsid w:val="24092228"/>
    <w:rsid w:val="24311EAA"/>
    <w:rsid w:val="244254FC"/>
    <w:rsid w:val="24443260"/>
    <w:rsid w:val="244F40DF"/>
    <w:rsid w:val="245375B0"/>
    <w:rsid w:val="245E2574"/>
    <w:rsid w:val="2460583A"/>
    <w:rsid w:val="24642C0A"/>
    <w:rsid w:val="24642D73"/>
    <w:rsid w:val="247733A3"/>
    <w:rsid w:val="247B1377"/>
    <w:rsid w:val="248D10AB"/>
    <w:rsid w:val="24967F5F"/>
    <w:rsid w:val="24A06A19"/>
    <w:rsid w:val="24B22173"/>
    <w:rsid w:val="24B95AD9"/>
    <w:rsid w:val="24BC2BC6"/>
    <w:rsid w:val="24BE24DA"/>
    <w:rsid w:val="24CF5825"/>
    <w:rsid w:val="24D45032"/>
    <w:rsid w:val="24D663E6"/>
    <w:rsid w:val="24D77F2B"/>
    <w:rsid w:val="24ED68CB"/>
    <w:rsid w:val="251913F0"/>
    <w:rsid w:val="25197E3A"/>
    <w:rsid w:val="25205A7B"/>
    <w:rsid w:val="253120B6"/>
    <w:rsid w:val="253A6721"/>
    <w:rsid w:val="25795BAA"/>
    <w:rsid w:val="258B00E2"/>
    <w:rsid w:val="25A62424"/>
    <w:rsid w:val="25A8619C"/>
    <w:rsid w:val="25A917A6"/>
    <w:rsid w:val="25B616AA"/>
    <w:rsid w:val="25B85E7F"/>
    <w:rsid w:val="25BE27CC"/>
    <w:rsid w:val="25D627BB"/>
    <w:rsid w:val="25EC3BAF"/>
    <w:rsid w:val="25F34F3E"/>
    <w:rsid w:val="25F56F08"/>
    <w:rsid w:val="25F74A5C"/>
    <w:rsid w:val="260E1D77"/>
    <w:rsid w:val="26282E39"/>
    <w:rsid w:val="2628662C"/>
    <w:rsid w:val="262D45DE"/>
    <w:rsid w:val="264834DB"/>
    <w:rsid w:val="264C0B67"/>
    <w:rsid w:val="265E2CFF"/>
    <w:rsid w:val="2661634B"/>
    <w:rsid w:val="26655E3B"/>
    <w:rsid w:val="26697A1A"/>
    <w:rsid w:val="26907DFD"/>
    <w:rsid w:val="26A53EF9"/>
    <w:rsid w:val="26A94201"/>
    <w:rsid w:val="26AC274F"/>
    <w:rsid w:val="26AF70B6"/>
    <w:rsid w:val="26B446CD"/>
    <w:rsid w:val="26B507EF"/>
    <w:rsid w:val="26C4369F"/>
    <w:rsid w:val="26CC5EBA"/>
    <w:rsid w:val="26CC6877"/>
    <w:rsid w:val="26E01966"/>
    <w:rsid w:val="26E74AA2"/>
    <w:rsid w:val="27044A29"/>
    <w:rsid w:val="271D34C8"/>
    <w:rsid w:val="27221F7E"/>
    <w:rsid w:val="27276A11"/>
    <w:rsid w:val="275B69FA"/>
    <w:rsid w:val="276142BF"/>
    <w:rsid w:val="276F4A98"/>
    <w:rsid w:val="27783712"/>
    <w:rsid w:val="27814EF7"/>
    <w:rsid w:val="27870033"/>
    <w:rsid w:val="27907362"/>
    <w:rsid w:val="27B52300"/>
    <w:rsid w:val="27BF3329"/>
    <w:rsid w:val="27F65A7D"/>
    <w:rsid w:val="27FA0805"/>
    <w:rsid w:val="28101DD7"/>
    <w:rsid w:val="28333E1D"/>
    <w:rsid w:val="28454BD6"/>
    <w:rsid w:val="28455253"/>
    <w:rsid w:val="284D302B"/>
    <w:rsid w:val="28551971"/>
    <w:rsid w:val="285B1C53"/>
    <w:rsid w:val="285F6DE4"/>
    <w:rsid w:val="28793E20"/>
    <w:rsid w:val="287A5400"/>
    <w:rsid w:val="28855745"/>
    <w:rsid w:val="289724F8"/>
    <w:rsid w:val="289F7086"/>
    <w:rsid w:val="28A04D7F"/>
    <w:rsid w:val="28A40771"/>
    <w:rsid w:val="28B47E46"/>
    <w:rsid w:val="28B60528"/>
    <w:rsid w:val="28C32028"/>
    <w:rsid w:val="28CC490F"/>
    <w:rsid w:val="28DE40AA"/>
    <w:rsid w:val="28E25326"/>
    <w:rsid w:val="28E65DD8"/>
    <w:rsid w:val="28E76FDC"/>
    <w:rsid w:val="28EF5E90"/>
    <w:rsid w:val="28F214DC"/>
    <w:rsid w:val="29005CCD"/>
    <w:rsid w:val="290D6316"/>
    <w:rsid w:val="293164A9"/>
    <w:rsid w:val="29345E77"/>
    <w:rsid w:val="29377BB5"/>
    <w:rsid w:val="294000F1"/>
    <w:rsid w:val="29483A1A"/>
    <w:rsid w:val="294855A0"/>
    <w:rsid w:val="294C5091"/>
    <w:rsid w:val="294C65AD"/>
    <w:rsid w:val="29515D72"/>
    <w:rsid w:val="2955005F"/>
    <w:rsid w:val="29626662"/>
    <w:rsid w:val="29804D3A"/>
    <w:rsid w:val="29806583"/>
    <w:rsid w:val="298B3C4C"/>
    <w:rsid w:val="29C966E1"/>
    <w:rsid w:val="29CD3A29"/>
    <w:rsid w:val="29D37560"/>
    <w:rsid w:val="29EC6874"/>
    <w:rsid w:val="29F26D24"/>
    <w:rsid w:val="2A092F82"/>
    <w:rsid w:val="2A133E00"/>
    <w:rsid w:val="2A15033F"/>
    <w:rsid w:val="2A1662C1"/>
    <w:rsid w:val="2A1C7367"/>
    <w:rsid w:val="2A2815FA"/>
    <w:rsid w:val="2A283373"/>
    <w:rsid w:val="2A2B4E3C"/>
    <w:rsid w:val="2A4F1B5B"/>
    <w:rsid w:val="2A6D6092"/>
    <w:rsid w:val="2A7D76B4"/>
    <w:rsid w:val="2A8F7C7E"/>
    <w:rsid w:val="2A9211C9"/>
    <w:rsid w:val="2AA21BBD"/>
    <w:rsid w:val="2ABC4498"/>
    <w:rsid w:val="2AC450FA"/>
    <w:rsid w:val="2ACF5F79"/>
    <w:rsid w:val="2ACF5F95"/>
    <w:rsid w:val="2AD73080"/>
    <w:rsid w:val="2ADA66CC"/>
    <w:rsid w:val="2AEB2687"/>
    <w:rsid w:val="2AF61758"/>
    <w:rsid w:val="2B141BDE"/>
    <w:rsid w:val="2B215E6F"/>
    <w:rsid w:val="2B230E8E"/>
    <w:rsid w:val="2B2B6F28"/>
    <w:rsid w:val="2B3E2076"/>
    <w:rsid w:val="2B437463"/>
    <w:rsid w:val="2B451BC7"/>
    <w:rsid w:val="2B717030"/>
    <w:rsid w:val="2B762899"/>
    <w:rsid w:val="2B7807EE"/>
    <w:rsid w:val="2B7B7EAF"/>
    <w:rsid w:val="2BBD2276"/>
    <w:rsid w:val="2BBF00EC"/>
    <w:rsid w:val="2BC37CFD"/>
    <w:rsid w:val="2BC74EA2"/>
    <w:rsid w:val="2BD5237F"/>
    <w:rsid w:val="2BE536CE"/>
    <w:rsid w:val="2BE758D9"/>
    <w:rsid w:val="2BF043F9"/>
    <w:rsid w:val="2C056B5B"/>
    <w:rsid w:val="2C063C1D"/>
    <w:rsid w:val="2C09049E"/>
    <w:rsid w:val="2C0A653C"/>
    <w:rsid w:val="2C191F85"/>
    <w:rsid w:val="2C1D2D14"/>
    <w:rsid w:val="2C210A56"/>
    <w:rsid w:val="2C26606D"/>
    <w:rsid w:val="2C532BDA"/>
    <w:rsid w:val="2C584AAB"/>
    <w:rsid w:val="2C6158CE"/>
    <w:rsid w:val="2C7A1F15"/>
    <w:rsid w:val="2C7C3EDF"/>
    <w:rsid w:val="2C9F197B"/>
    <w:rsid w:val="2CE43832"/>
    <w:rsid w:val="2CE675AA"/>
    <w:rsid w:val="2CE82D6F"/>
    <w:rsid w:val="2CF972DD"/>
    <w:rsid w:val="2D343236"/>
    <w:rsid w:val="2D4A53C6"/>
    <w:rsid w:val="2D686211"/>
    <w:rsid w:val="2D6D7CCB"/>
    <w:rsid w:val="2D720E3E"/>
    <w:rsid w:val="2D7668CC"/>
    <w:rsid w:val="2D866ECD"/>
    <w:rsid w:val="2D937732"/>
    <w:rsid w:val="2DA336ED"/>
    <w:rsid w:val="2DAA05D8"/>
    <w:rsid w:val="2DB74641"/>
    <w:rsid w:val="2DC0604D"/>
    <w:rsid w:val="2DC56990"/>
    <w:rsid w:val="2DD15014"/>
    <w:rsid w:val="2DDF4725"/>
    <w:rsid w:val="2DE47F8D"/>
    <w:rsid w:val="2DE51610"/>
    <w:rsid w:val="2DF6381D"/>
    <w:rsid w:val="2DF72DE4"/>
    <w:rsid w:val="2E015125"/>
    <w:rsid w:val="2E0220AF"/>
    <w:rsid w:val="2E1667C1"/>
    <w:rsid w:val="2E41733E"/>
    <w:rsid w:val="2E4B082A"/>
    <w:rsid w:val="2E5D4E86"/>
    <w:rsid w:val="2E5D790B"/>
    <w:rsid w:val="2E5F2B4E"/>
    <w:rsid w:val="2E7F2E89"/>
    <w:rsid w:val="2E8E7EF9"/>
    <w:rsid w:val="2E94189D"/>
    <w:rsid w:val="2E9A3C18"/>
    <w:rsid w:val="2EA577F9"/>
    <w:rsid w:val="2EB931C8"/>
    <w:rsid w:val="2EBB0FEE"/>
    <w:rsid w:val="2EC63002"/>
    <w:rsid w:val="2EF31501"/>
    <w:rsid w:val="2F002E22"/>
    <w:rsid w:val="2F0A6B38"/>
    <w:rsid w:val="2F351FF4"/>
    <w:rsid w:val="2F370591"/>
    <w:rsid w:val="2F464330"/>
    <w:rsid w:val="2F4A3E20"/>
    <w:rsid w:val="2F6B1FE9"/>
    <w:rsid w:val="2F7C0857"/>
    <w:rsid w:val="2F7D2448"/>
    <w:rsid w:val="2F946CCB"/>
    <w:rsid w:val="2FA17659"/>
    <w:rsid w:val="2FAA48BF"/>
    <w:rsid w:val="2FC11C09"/>
    <w:rsid w:val="2FD25781"/>
    <w:rsid w:val="2FEE6EA1"/>
    <w:rsid w:val="2FFB15BE"/>
    <w:rsid w:val="2FFD7934"/>
    <w:rsid w:val="30071D11"/>
    <w:rsid w:val="302A6983"/>
    <w:rsid w:val="30316D8E"/>
    <w:rsid w:val="30623D58"/>
    <w:rsid w:val="30640F12"/>
    <w:rsid w:val="30733ACD"/>
    <w:rsid w:val="308415B4"/>
    <w:rsid w:val="308610F1"/>
    <w:rsid w:val="308C3862"/>
    <w:rsid w:val="309379D8"/>
    <w:rsid w:val="30986E0D"/>
    <w:rsid w:val="30A270F7"/>
    <w:rsid w:val="30A77050"/>
    <w:rsid w:val="30B8125D"/>
    <w:rsid w:val="30BB21D9"/>
    <w:rsid w:val="30CE0A81"/>
    <w:rsid w:val="30CF68F3"/>
    <w:rsid w:val="30D2231F"/>
    <w:rsid w:val="30DF1478"/>
    <w:rsid w:val="30E262DA"/>
    <w:rsid w:val="30E96D2D"/>
    <w:rsid w:val="30EA2B2E"/>
    <w:rsid w:val="30EB33E1"/>
    <w:rsid w:val="30EC586F"/>
    <w:rsid w:val="311961A0"/>
    <w:rsid w:val="31293F09"/>
    <w:rsid w:val="314E49F2"/>
    <w:rsid w:val="31501725"/>
    <w:rsid w:val="31666F0B"/>
    <w:rsid w:val="31717D8A"/>
    <w:rsid w:val="31815AF3"/>
    <w:rsid w:val="31994BEB"/>
    <w:rsid w:val="319C6071"/>
    <w:rsid w:val="319E5A58"/>
    <w:rsid w:val="31AC537E"/>
    <w:rsid w:val="31AF2660"/>
    <w:rsid w:val="31C37EBA"/>
    <w:rsid w:val="31E3679B"/>
    <w:rsid w:val="31E732FD"/>
    <w:rsid w:val="31F91B2E"/>
    <w:rsid w:val="32024E86"/>
    <w:rsid w:val="321921D0"/>
    <w:rsid w:val="321A3EDE"/>
    <w:rsid w:val="323F1C36"/>
    <w:rsid w:val="324C7EAF"/>
    <w:rsid w:val="324E2D81"/>
    <w:rsid w:val="32517576"/>
    <w:rsid w:val="325D3E6B"/>
    <w:rsid w:val="327D6706"/>
    <w:rsid w:val="32851613"/>
    <w:rsid w:val="32891103"/>
    <w:rsid w:val="32904240"/>
    <w:rsid w:val="329A6E6D"/>
    <w:rsid w:val="32AA2E28"/>
    <w:rsid w:val="32BE5C2C"/>
    <w:rsid w:val="32DA195F"/>
    <w:rsid w:val="32E4633A"/>
    <w:rsid w:val="32F72511"/>
    <w:rsid w:val="32FB6478"/>
    <w:rsid w:val="33263B3F"/>
    <w:rsid w:val="3330157F"/>
    <w:rsid w:val="33365E13"/>
    <w:rsid w:val="33403BE0"/>
    <w:rsid w:val="33490893"/>
    <w:rsid w:val="334B63B9"/>
    <w:rsid w:val="336963EB"/>
    <w:rsid w:val="336A1A14"/>
    <w:rsid w:val="33816EEB"/>
    <w:rsid w:val="33837901"/>
    <w:rsid w:val="339A10EE"/>
    <w:rsid w:val="33AB50AB"/>
    <w:rsid w:val="33B71CA0"/>
    <w:rsid w:val="33BD7ABE"/>
    <w:rsid w:val="33C341A1"/>
    <w:rsid w:val="33E04D53"/>
    <w:rsid w:val="33EB55CD"/>
    <w:rsid w:val="33EC4C02"/>
    <w:rsid w:val="33F65942"/>
    <w:rsid w:val="33F77124"/>
    <w:rsid w:val="340B455E"/>
    <w:rsid w:val="340D2360"/>
    <w:rsid w:val="3410665D"/>
    <w:rsid w:val="34211214"/>
    <w:rsid w:val="342E63AB"/>
    <w:rsid w:val="342F3B76"/>
    <w:rsid w:val="343B01DB"/>
    <w:rsid w:val="343D03F7"/>
    <w:rsid w:val="344E171B"/>
    <w:rsid w:val="34533777"/>
    <w:rsid w:val="345968B4"/>
    <w:rsid w:val="345E3ECA"/>
    <w:rsid w:val="34626D28"/>
    <w:rsid w:val="346C7513"/>
    <w:rsid w:val="347100A1"/>
    <w:rsid w:val="34853B4C"/>
    <w:rsid w:val="34950E68"/>
    <w:rsid w:val="34986E94"/>
    <w:rsid w:val="34AF62C9"/>
    <w:rsid w:val="34CB4388"/>
    <w:rsid w:val="34CE72A2"/>
    <w:rsid w:val="34DB19BE"/>
    <w:rsid w:val="34FA6E12"/>
    <w:rsid w:val="353C405C"/>
    <w:rsid w:val="354B444E"/>
    <w:rsid w:val="35523A2F"/>
    <w:rsid w:val="356E638F"/>
    <w:rsid w:val="35741CF1"/>
    <w:rsid w:val="357A4D3C"/>
    <w:rsid w:val="357F1603"/>
    <w:rsid w:val="35843E04"/>
    <w:rsid w:val="358D5588"/>
    <w:rsid w:val="359E62A9"/>
    <w:rsid w:val="35D703D8"/>
    <w:rsid w:val="35FF1FBC"/>
    <w:rsid w:val="36142918"/>
    <w:rsid w:val="362829E1"/>
    <w:rsid w:val="363A3B40"/>
    <w:rsid w:val="363E2205"/>
    <w:rsid w:val="365302AE"/>
    <w:rsid w:val="365B4B65"/>
    <w:rsid w:val="365C268B"/>
    <w:rsid w:val="365E28A7"/>
    <w:rsid w:val="36607A0A"/>
    <w:rsid w:val="366B28CE"/>
    <w:rsid w:val="366E227C"/>
    <w:rsid w:val="366F2E0D"/>
    <w:rsid w:val="367B6A5C"/>
    <w:rsid w:val="36987B67"/>
    <w:rsid w:val="36A74ADA"/>
    <w:rsid w:val="36AD60D5"/>
    <w:rsid w:val="36B224F9"/>
    <w:rsid w:val="36B424C7"/>
    <w:rsid w:val="36C559EF"/>
    <w:rsid w:val="36D41080"/>
    <w:rsid w:val="36EC0CC9"/>
    <w:rsid w:val="36FA437E"/>
    <w:rsid w:val="36FF5100"/>
    <w:rsid w:val="3700570C"/>
    <w:rsid w:val="370E607B"/>
    <w:rsid w:val="371D4F45"/>
    <w:rsid w:val="371F5B92"/>
    <w:rsid w:val="372B3996"/>
    <w:rsid w:val="37312327"/>
    <w:rsid w:val="373F410B"/>
    <w:rsid w:val="37427AD3"/>
    <w:rsid w:val="375B6142"/>
    <w:rsid w:val="375C6DE7"/>
    <w:rsid w:val="375D490D"/>
    <w:rsid w:val="37696240"/>
    <w:rsid w:val="376D734B"/>
    <w:rsid w:val="37751C56"/>
    <w:rsid w:val="37904CE2"/>
    <w:rsid w:val="3795353A"/>
    <w:rsid w:val="37A246BB"/>
    <w:rsid w:val="37A82C68"/>
    <w:rsid w:val="37AB1B1C"/>
    <w:rsid w:val="37BD53AB"/>
    <w:rsid w:val="37BF4429"/>
    <w:rsid w:val="37D20E57"/>
    <w:rsid w:val="37EE7094"/>
    <w:rsid w:val="38140FC9"/>
    <w:rsid w:val="38296C89"/>
    <w:rsid w:val="383002EB"/>
    <w:rsid w:val="38521F98"/>
    <w:rsid w:val="38586797"/>
    <w:rsid w:val="3894435E"/>
    <w:rsid w:val="38A26A7B"/>
    <w:rsid w:val="38B467AE"/>
    <w:rsid w:val="38B8629F"/>
    <w:rsid w:val="38BC0149"/>
    <w:rsid w:val="38C85119"/>
    <w:rsid w:val="38D40BFF"/>
    <w:rsid w:val="38D87D1C"/>
    <w:rsid w:val="38E05542"/>
    <w:rsid w:val="38E2331B"/>
    <w:rsid w:val="38F66DC7"/>
    <w:rsid w:val="391E324A"/>
    <w:rsid w:val="3930052B"/>
    <w:rsid w:val="393F4973"/>
    <w:rsid w:val="394E275F"/>
    <w:rsid w:val="395307B3"/>
    <w:rsid w:val="39636459"/>
    <w:rsid w:val="396B7F6C"/>
    <w:rsid w:val="39A700C1"/>
    <w:rsid w:val="39B14863"/>
    <w:rsid w:val="39B417A9"/>
    <w:rsid w:val="39BC3B6C"/>
    <w:rsid w:val="39C3713E"/>
    <w:rsid w:val="39C944DB"/>
    <w:rsid w:val="39D37108"/>
    <w:rsid w:val="39F03816"/>
    <w:rsid w:val="39F23A32"/>
    <w:rsid w:val="39F3586B"/>
    <w:rsid w:val="39FC5695"/>
    <w:rsid w:val="39FD03BC"/>
    <w:rsid w:val="3A006D8E"/>
    <w:rsid w:val="3A1514CF"/>
    <w:rsid w:val="3A1C3C84"/>
    <w:rsid w:val="3A2E433E"/>
    <w:rsid w:val="3A3651E5"/>
    <w:rsid w:val="3A3A0F35"/>
    <w:rsid w:val="3A4236C0"/>
    <w:rsid w:val="3A4B4EF0"/>
    <w:rsid w:val="3A563FC1"/>
    <w:rsid w:val="3A573895"/>
    <w:rsid w:val="3A6303AE"/>
    <w:rsid w:val="3A744481"/>
    <w:rsid w:val="3A7461F5"/>
    <w:rsid w:val="3A766411"/>
    <w:rsid w:val="3A8A09B4"/>
    <w:rsid w:val="3A8C7BEF"/>
    <w:rsid w:val="3A906246"/>
    <w:rsid w:val="3AB64A60"/>
    <w:rsid w:val="3ADB79F5"/>
    <w:rsid w:val="3AE35129"/>
    <w:rsid w:val="3B2349B7"/>
    <w:rsid w:val="3B3B6D13"/>
    <w:rsid w:val="3B5705F9"/>
    <w:rsid w:val="3B616CFF"/>
    <w:rsid w:val="3B6259F6"/>
    <w:rsid w:val="3B682566"/>
    <w:rsid w:val="3B7010B2"/>
    <w:rsid w:val="3B976654"/>
    <w:rsid w:val="3BA01956"/>
    <w:rsid w:val="3BC01EFC"/>
    <w:rsid w:val="3BCA786A"/>
    <w:rsid w:val="3BD17677"/>
    <w:rsid w:val="3BD31E2F"/>
    <w:rsid w:val="3BD86C58"/>
    <w:rsid w:val="3BF15831"/>
    <w:rsid w:val="3BF204AB"/>
    <w:rsid w:val="3C0E61D6"/>
    <w:rsid w:val="3C105946"/>
    <w:rsid w:val="3C2854E9"/>
    <w:rsid w:val="3C4542ED"/>
    <w:rsid w:val="3C471448"/>
    <w:rsid w:val="3C487939"/>
    <w:rsid w:val="3C576930"/>
    <w:rsid w:val="3C577B7C"/>
    <w:rsid w:val="3C5F759A"/>
    <w:rsid w:val="3C6C525A"/>
    <w:rsid w:val="3C7D458E"/>
    <w:rsid w:val="3C9137E0"/>
    <w:rsid w:val="3C925059"/>
    <w:rsid w:val="3C9F32D2"/>
    <w:rsid w:val="3CC26E9F"/>
    <w:rsid w:val="3CC316B6"/>
    <w:rsid w:val="3CC5259C"/>
    <w:rsid w:val="3CCE23CB"/>
    <w:rsid w:val="3CD17D17"/>
    <w:rsid w:val="3CE065C5"/>
    <w:rsid w:val="3D2959BD"/>
    <w:rsid w:val="3D3C7F39"/>
    <w:rsid w:val="3D440F09"/>
    <w:rsid w:val="3D4504A0"/>
    <w:rsid w:val="3D8734BB"/>
    <w:rsid w:val="3D9A11D4"/>
    <w:rsid w:val="3DA16D89"/>
    <w:rsid w:val="3DA364BE"/>
    <w:rsid w:val="3DAC116D"/>
    <w:rsid w:val="3DB334D8"/>
    <w:rsid w:val="3DBC3C0B"/>
    <w:rsid w:val="3DC6320C"/>
    <w:rsid w:val="3DE041CB"/>
    <w:rsid w:val="3DF02037"/>
    <w:rsid w:val="3DF15DAF"/>
    <w:rsid w:val="3E0D48F6"/>
    <w:rsid w:val="3E133F77"/>
    <w:rsid w:val="3E1868B4"/>
    <w:rsid w:val="3E261EFC"/>
    <w:rsid w:val="3E377251"/>
    <w:rsid w:val="3E3D2DA2"/>
    <w:rsid w:val="3E42664B"/>
    <w:rsid w:val="3E4B3711"/>
    <w:rsid w:val="3E531692"/>
    <w:rsid w:val="3E5A7334"/>
    <w:rsid w:val="3E5E239F"/>
    <w:rsid w:val="3E6A79D4"/>
    <w:rsid w:val="3E7B5D6B"/>
    <w:rsid w:val="3E7C38CA"/>
    <w:rsid w:val="3E843E66"/>
    <w:rsid w:val="3E8F51FE"/>
    <w:rsid w:val="3E926F87"/>
    <w:rsid w:val="3E9A59DE"/>
    <w:rsid w:val="3EAF4836"/>
    <w:rsid w:val="3EC33DFA"/>
    <w:rsid w:val="3EC3774B"/>
    <w:rsid w:val="3EDD3782"/>
    <w:rsid w:val="3EE020AB"/>
    <w:rsid w:val="3EE82E22"/>
    <w:rsid w:val="3EE87445"/>
    <w:rsid w:val="3EF36716"/>
    <w:rsid w:val="3F060E16"/>
    <w:rsid w:val="3F1D1096"/>
    <w:rsid w:val="3F2F0234"/>
    <w:rsid w:val="3F361456"/>
    <w:rsid w:val="3F5605BF"/>
    <w:rsid w:val="3F6363FE"/>
    <w:rsid w:val="3F756B8F"/>
    <w:rsid w:val="3F8A2017"/>
    <w:rsid w:val="3F95482B"/>
    <w:rsid w:val="3FA255B3"/>
    <w:rsid w:val="3FFF0C57"/>
    <w:rsid w:val="400B3158"/>
    <w:rsid w:val="4019356B"/>
    <w:rsid w:val="403A2CDD"/>
    <w:rsid w:val="40592157"/>
    <w:rsid w:val="406E1CAE"/>
    <w:rsid w:val="4071483C"/>
    <w:rsid w:val="40792BC6"/>
    <w:rsid w:val="40A0133A"/>
    <w:rsid w:val="40A315E2"/>
    <w:rsid w:val="40A610D2"/>
    <w:rsid w:val="40A8320B"/>
    <w:rsid w:val="40A95E4A"/>
    <w:rsid w:val="40AD0295"/>
    <w:rsid w:val="40B66024"/>
    <w:rsid w:val="40C31A53"/>
    <w:rsid w:val="40E83499"/>
    <w:rsid w:val="40FB058A"/>
    <w:rsid w:val="40FF545D"/>
    <w:rsid w:val="410067C8"/>
    <w:rsid w:val="41032081"/>
    <w:rsid w:val="41095A24"/>
    <w:rsid w:val="411C319B"/>
    <w:rsid w:val="41270465"/>
    <w:rsid w:val="412D2FF7"/>
    <w:rsid w:val="41306BEE"/>
    <w:rsid w:val="41402A33"/>
    <w:rsid w:val="414032D5"/>
    <w:rsid w:val="414B2E3A"/>
    <w:rsid w:val="414F52C6"/>
    <w:rsid w:val="415154E1"/>
    <w:rsid w:val="41517290"/>
    <w:rsid w:val="41792343"/>
    <w:rsid w:val="418F0D2A"/>
    <w:rsid w:val="41D01505"/>
    <w:rsid w:val="41E06866"/>
    <w:rsid w:val="41E233FF"/>
    <w:rsid w:val="41E40104"/>
    <w:rsid w:val="41E53E7C"/>
    <w:rsid w:val="41FB12D8"/>
    <w:rsid w:val="41FF4F3E"/>
    <w:rsid w:val="420A5691"/>
    <w:rsid w:val="4235270E"/>
    <w:rsid w:val="423804AB"/>
    <w:rsid w:val="42401D71"/>
    <w:rsid w:val="424459D7"/>
    <w:rsid w:val="42454B7B"/>
    <w:rsid w:val="42474939"/>
    <w:rsid w:val="424C3C57"/>
    <w:rsid w:val="42613FF3"/>
    <w:rsid w:val="42660D96"/>
    <w:rsid w:val="426F381D"/>
    <w:rsid w:val="428667D2"/>
    <w:rsid w:val="42C47EAE"/>
    <w:rsid w:val="42CD1CE0"/>
    <w:rsid w:val="42CE66BF"/>
    <w:rsid w:val="42DF267A"/>
    <w:rsid w:val="42E1381E"/>
    <w:rsid w:val="42ED6459"/>
    <w:rsid w:val="42FE58DD"/>
    <w:rsid w:val="43174B3D"/>
    <w:rsid w:val="434B790E"/>
    <w:rsid w:val="43516469"/>
    <w:rsid w:val="4360274F"/>
    <w:rsid w:val="43776D56"/>
    <w:rsid w:val="437B7E38"/>
    <w:rsid w:val="43977AB6"/>
    <w:rsid w:val="43A3342B"/>
    <w:rsid w:val="43BA2B9E"/>
    <w:rsid w:val="43BE6733"/>
    <w:rsid w:val="43C77C27"/>
    <w:rsid w:val="43DE09EE"/>
    <w:rsid w:val="43DE4235"/>
    <w:rsid w:val="43FD4220"/>
    <w:rsid w:val="44002FAD"/>
    <w:rsid w:val="440E4ADD"/>
    <w:rsid w:val="443B7D84"/>
    <w:rsid w:val="44501A81"/>
    <w:rsid w:val="445175A7"/>
    <w:rsid w:val="44615A3C"/>
    <w:rsid w:val="449101DD"/>
    <w:rsid w:val="44B87626"/>
    <w:rsid w:val="44CF5597"/>
    <w:rsid w:val="44DE1391"/>
    <w:rsid w:val="44E87F0C"/>
    <w:rsid w:val="44F06DC0"/>
    <w:rsid w:val="450D1720"/>
    <w:rsid w:val="451B225C"/>
    <w:rsid w:val="452410C9"/>
    <w:rsid w:val="45317DFB"/>
    <w:rsid w:val="455530C7"/>
    <w:rsid w:val="45613CC5"/>
    <w:rsid w:val="456D0411"/>
    <w:rsid w:val="456D3CE4"/>
    <w:rsid w:val="45701158"/>
    <w:rsid w:val="4579042C"/>
    <w:rsid w:val="457F0571"/>
    <w:rsid w:val="4582210E"/>
    <w:rsid w:val="45851176"/>
    <w:rsid w:val="458D0AB3"/>
    <w:rsid w:val="459070E8"/>
    <w:rsid w:val="45B002FD"/>
    <w:rsid w:val="45C63B94"/>
    <w:rsid w:val="45DE4E6B"/>
    <w:rsid w:val="45EA1A61"/>
    <w:rsid w:val="45F428E0"/>
    <w:rsid w:val="45FF5EF8"/>
    <w:rsid w:val="460074D7"/>
    <w:rsid w:val="460217CB"/>
    <w:rsid w:val="460E7DA5"/>
    <w:rsid w:val="462705C0"/>
    <w:rsid w:val="46422483"/>
    <w:rsid w:val="4659254A"/>
    <w:rsid w:val="465B0637"/>
    <w:rsid w:val="465E3F0D"/>
    <w:rsid w:val="466A16E6"/>
    <w:rsid w:val="466C2476"/>
    <w:rsid w:val="46893F2B"/>
    <w:rsid w:val="469F45FA"/>
    <w:rsid w:val="46C4686E"/>
    <w:rsid w:val="46CA1CB5"/>
    <w:rsid w:val="46E93AC7"/>
    <w:rsid w:val="46E949BB"/>
    <w:rsid w:val="470B6133"/>
    <w:rsid w:val="471B77B2"/>
    <w:rsid w:val="472B7749"/>
    <w:rsid w:val="472F1E22"/>
    <w:rsid w:val="474927B8"/>
    <w:rsid w:val="475C3D49"/>
    <w:rsid w:val="475F022D"/>
    <w:rsid w:val="476B0980"/>
    <w:rsid w:val="477B778F"/>
    <w:rsid w:val="478203EC"/>
    <w:rsid w:val="478C7274"/>
    <w:rsid w:val="478D4D9A"/>
    <w:rsid w:val="47946129"/>
    <w:rsid w:val="47947ED7"/>
    <w:rsid w:val="479E0D55"/>
    <w:rsid w:val="47B025FA"/>
    <w:rsid w:val="47B500EF"/>
    <w:rsid w:val="47CA1EC8"/>
    <w:rsid w:val="47E30E5E"/>
    <w:rsid w:val="4809698F"/>
    <w:rsid w:val="4811697D"/>
    <w:rsid w:val="481B05F8"/>
    <w:rsid w:val="481E59F2"/>
    <w:rsid w:val="483B65A4"/>
    <w:rsid w:val="485347ED"/>
    <w:rsid w:val="48645AFB"/>
    <w:rsid w:val="487A3E25"/>
    <w:rsid w:val="488B5503"/>
    <w:rsid w:val="488D60E0"/>
    <w:rsid w:val="48937E21"/>
    <w:rsid w:val="489A0361"/>
    <w:rsid w:val="489B34E7"/>
    <w:rsid w:val="48B94FF3"/>
    <w:rsid w:val="48BC6561"/>
    <w:rsid w:val="48E37AAB"/>
    <w:rsid w:val="48EB1D78"/>
    <w:rsid w:val="48FD4B4C"/>
    <w:rsid w:val="490A68E0"/>
    <w:rsid w:val="491055FE"/>
    <w:rsid w:val="49153299"/>
    <w:rsid w:val="49177011"/>
    <w:rsid w:val="49311755"/>
    <w:rsid w:val="495430AE"/>
    <w:rsid w:val="495F5B3E"/>
    <w:rsid w:val="496F77D7"/>
    <w:rsid w:val="497654FD"/>
    <w:rsid w:val="498C5476"/>
    <w:rsid w:val="49942410"/>
    <w:rsid w:val="499917D4"/>
    <w:rsid w:val="49B64211"/>
    <w:rsid w:val="49BD1299"/>
    <w:rsid w:val="49C600F0"/>
    <w:rsid w:val="49D03350"/>
    <w:rsid w:val="49D2118A"/>
    <w:rsid w:val="49DC7913"/>
    <w:rsid w:val="49E07403"/>
    <w:rsid w:val="49E41FCC"/>
    <w:rsid w:val="49E56CB7"/>
    <w:rsid w:val="49F6167F"/>
    <w:rsid w:val="49FB27EE"/>
    <w:rsid w:val="4A0160C9"/>
    <w:rsid w:val="4A01737A"/>
    <w:rsid w:val="4A064FA0"/>
    <w:rsid w:val="4A16615C"/>
    <w:rsid w:val="4A174DEF"/>
    <w:rsid w:val="4A3868ED"/>
    <w:rsid w:val="4A4424D7"/>
    <w:rsid w:val="4A45370A"/>
    <w:rsid w:val="4A4D25BF"/>
    <w:rsid w:val="4A5F19A9"/>
    <w:rsid w:val="4A733617"/>
    <w:rsid w:val="4A9578C3"/>
    <w:rsid w:val="4AA15419"/>
    <w:rsid w:val="4AA46948"/>
    <w:rsid w:val="4AB82D0F"/>
    <w:rsid w:val="4AC26B09"/>
    <w:rsid w:val="4AEB7664"/>
    <w:rsid w:val="4AFD7C19"/>
    <w:rsid w:val="4B0567D1"/>
    <w:rsid w:val="4B105AC6"/>
    <w:rsid w:val="4B236AAE"/>
    <w:rsid w:val="4B313C8F"/>
    <w:rsid w:val="4B3B68BB"/>
    <w:rsid w:val="4B5E0F27"/>
    <w:rsid w:val="4B6B1EF9"/>
    <w:rsid w:val="4B6D116B"/>
    <w:rsid w:val="4B707271"/>
    <w:rsid w:val="4B751DCD"/>
    <w:rsid w:val="4B897627"/>
    <w:rsid w:val="4B94223B"/>
    <w:rsid w:val="4B9739F7"/>
    <w:rsid w:val="4BAE52DF"/>
    <w:rsid w:val="4BC36FDC"/>
    <w:rsid w:val="4BEB6533"/>
    <w:rsid w:val="4BEE2503"/>
    <w:rsid w:val="4C123AC0"/>
    <w:rsid w:val="4C245A30"/>
    <w:rsid w:val="4C3369FB"/>
    <w:rsid w:val="4C3C28EB"/>
    <w:rsid w:val="4C560F29"/>
    <w:rsid w:val="4C6836E0"/>
    <w:rsid w:val="4C8543E0"/>
    <w:rsid w:val="4CA566E2"/>
    <w:rsid w:val="4CAF732D"/>
    <w:rsid w:val="4CB46925"/>
    <w:rsid w:val="4CB6685F"/>
    <w:rsid w:val="4CC367FE"/>
    <w:rsid w:val="4CC56D84"/>
    <w:rsid w:val="4CC57C44"/>
    <w:rsid w:val="4CEE6EA6"/>
    <w:rsid w:val="4D012B78"/>
    <w:rsid w:val="4D077F3C"/>
    <w:rsid w:val="4D0B0C3B"/>
    <w:rsid w:val="4D123355"/>
    <w:rsid w:val="4D137AF0"/>
    <w:rsid w:val="4D1926F0"/>
    <w:rsid w:val="4D203FBB"/>
    <w:rsid w:val="4D2A3B31"/>
    <w:rsid w:val="4D2C2AA8"/>
    <w:rsid w:val="4D312C52"/>
    <w:rsid w:val="4D355572"/>
    <w:rsid w:val="4D4203D5"/>
    <w:rsid w:val="4D537EEC"/>
    <w:rsid w:val="4D720832"/>
    <w:rsid w:val="4D905305"/>
    <w:rsid w:val="4D964A72"/>
    <w:rsid w:val="4D97427D"/>
    <w:rsid w:val="4D9C1254"/>
    <w:rsid w:val="4DAB7D28"/>
    <w:rsid w:val="4DCB22D3"/>
    <w:rsid w:val="4DD17C8A"/>
    <w:rsid w:val="4DD76D6F"/>
    <w:rsid w:val="4DE90B47"/>
    <w:rsid w:val="4DFF0631"/>
    <w:rsid w:val="4DFF0D96"/>
    <w:rsid w:val="4E1670CF"/>
    <w:rsid w:val="4E180117"/>
    <w:rsid w:val="4E3E0B9C"/>
    <w:rsid w:val="4E4168DE"/>
    <w:rsid w:val="4E4B27AD"/>
    <w:rsid w:val="4E4B5067"/>
    <w:rsid w:val="4E587A02"/>
    <w:rsid w:val="4E656129"/>
    <w:rsid w:val="4E713266"/>
    <w:rsid w:val="4E793892"/>
    <w:rsid w:val="4E7B3B9E"/>
    <w:rsid w:val="4E800872"/>
    <w:rsid w:val="4E854A1D"/>
    <w:rsid w:val="4E89266D"/>
    <w:rsid w:val="4EC251D8"/>
    <w:rsid w:val="4EC569ED"/>
    <w:rsid w:val="4ED50EA1"/>
    <w:rsid w:val="4EDF1ABC"/>
    <w:rsid w:val="4EDF237F"/>
    <w:rsid w:val="4EEC050C"/>
    <w:rsid w:val="4F0E4A13"/>
    <w:rsid w:val="4F104EC3"/>
    <w:rsid w:val="4F1224C6"/>
    <w:rsid w:val="4F1A70B9"/>
    <w:rsid w:val="4F1D07B2"/>
    <w:rsid w:val="4F406339"/>
    <w:rsid w:val="4F47354A"/>
    <w:rsid w:val="4F764366"/>
    <w:rsid w:val="4F8E16AF"/>
    <w:rsid w:val="4F911C54"/>
    <w:rsid w:val="4F952A3E"/>
    <w:rsid w:val="4FA54E3F"/>
    <w:rsid w:val="4FB355BA"/>
    <w:rsid w:val="4FBA0525"/>
    <w:rsid w:val="4FBC06D4"/>
    <w:rsid w:val="4FC17F30"/>
    <w:rsid w:val="4FE625E0"/>
    <w:rsid w:val="4FE87012"/>
    <w:rsid w:val="4FEA5B24"/>
    <w:rsid w:val="4FF95729"/>
    <w:rsid w:val="50025BF9"/>
    <w:rsid w:val="5021480F"/>
    <w:rsid w:val="50256815"/>
    <w:rsid w:val="5032028D"/>
    <w:rsid w:val="506623A7"/>
    <w:rsid w:val="507632DA"/>
    <w:rsid w:val="50770C26"/>
    <w:rsid w:val="50962ECB"/>
    <w:rsid w:val="50A42E38"/>
    <w:rsid w:val="50A4577F"/>
    <w:rsid w:val="50B73D1F"/>
    <w:rsid w:val="50BD5BC9"/>
    <w:rsid w:val="50C01D3C"/>
    <w:rsid w:val="50C11EEE"/>
    <w:rsid w:val="50CD3058"/>
    <w:rsid w:val="50DB6B76"/>
    <w:rsid w:val="50E97CFC"/>
    <w:rsid w:val="50FA4028"/>
    <w:rsid w:val="51066F16"/>
    <w:rsid w:val="510D65B7"/>
    <w:rsid w:val="511157AB"/>
    <w:rsid w:val="512027DB"/>
    <w:rsid w:val="5139389D"/>
    <w:rsid w:val="5142540C"/>
    <w:rsid w:val="517B2107"/>
    <w:rsid w:val="517E43B0"/>
    <w:rsid w:val="517F7502"/>
    <w:rsid w:val="518832C8"/>
    <w:rsid w:val="519F7FAC"/>
    <w:rsid w:val="51A0432A"/>
    <w:rsid w:val="51A11B6E"/>
    <w:rsid w:val="51A74E09"/>
    <w:rsid w:val="51A81AC5"/>
    <w:rsid w:val="51A86090"/>
    <w:rsid w:val="51B51D64"/>
    <w:rsid w:val="51B7396D"/>
    <w:rsid w:val="51BD44CE"/>
    <w:rsid w:val="51DC5DEE"/>
    <w:rsid w:val="522E4CC3"/>
    <w:rsid w:val="52302996"/>
    <w:rsid w:val="523C1897"/>
    <w:rsid w:val="5244713B"/>
    <w:rsid w:val="524C605D"/>
    <w:rsid w:val="524F15CA"/>
    <w:rsid w:val="525B6B2A"/>
    <w:rsid w:val="52615633"/>
    <w:rsid w:val="526A01B2"/>
    <w:rsid w:val="5281374D"/>
    <w:rsid w:val="5283320A"/>
    <w:rsid w:val="52935E4B"/>
    <w:rsid w:val="52977FD4"/>
    <w:rsid w:val="5299285F"/>
    <w:rsid w:val="52A25790"/>
    <w:rsid w:val="52A511EA"/>
    <w:rsid w:val="52A96B6F"/>
    <w:rsid w:val="52AB2578"/>
    <w:rsid w:val="52B4142D"/>
    <w:rsid w:val="52B45975"/>
    <w:rsid w:val="52BB6C5F"/>
    <w:rsid w:val="52C61160"/>
    <w:rsid w:val="52D94AA4"/>
    <w:rsid w:val="52D95337"/>
    <w:rsid w:val="52E361B6"/>
    <w:rsid w:val="52EA3A62"/>
    <w:rsid w:val="52F50BB8"/>
    <w:rsid w:val="52FF2882"/>
    <w:rsid w:val="53097272"/>
    <w:rsid w:val="53316F22"/>
    <w:rsid w:val="53504172"/>
    <w:rsid w:val="53544462"/>
    <w:rsid w:val="53682217"/>
    <w:rsid w:val="538C23AA"/>
    <w:rsid w:val="5397158E"/>
    <w:rsid w:val="53B70B31"/>
    <w:rsid w:val="53BD2C37"/>
    <w:rsid w:val="53CA0D92"/>
    <w:rsid w:val="53EB70D0"/>
    <w:rsid w:val="54013861"/>
    <w:rsid w:val="54136627"/>
    <w:rsid w:val="542B571F"/>
    <w:rsid w:val="54487265"/>
    <w:rsid w:val="54491F75"/>
    <w:rsid w:val="544D6070"/>
    <w:rsid w:val="54605E1E"/>
    <w:rsid w:val="549459EB"/>
    <w:rsid w:val="54A15EF3"/>
    <w:rsid w:val="54AD25D8"/>
    <w:rsid w:val="54B3506A"/>
    <w:rsid w:val="54B51D52"/>
    <w:rsid w:val="54C067AF"/>
    <w:rsid w:val="54CA0D16"/>
    <w:rsid w:val="54CD67D6"/>
    <w:rsid w:val="54DD4057"/>
    <w:rsid w:val="54E7490F"/>
    <w:rsid w:val="55006BAB"/>
    <w:rsid w:val="550764A4"/>
    <w:rsid w:val="550B2BF6"/>
    <w:rsid w:val="551B318C"/>
    <w:rsid w:val="551E5284"/>
    <w:rsid w:val="55214EB5"/>
    <w:rsid w:val="55364EFD"/>
    <w:rsid w:val="5540169E"/>
    <w:rsid w:val="55455C35"/>
    <w:rsid w:val="55570796"/>
    <w:rsid w:val="555D4828"/>
    <w:rsid w:val="5560764A"/>
    <w:rsid w:val="55684751"/>
    <w:rsid w:val="556C4241"/>
    <w:rsid w:val="5579695E"/>
    <w:rsid w:val="557A4C8B"/>
    <w:rsid w:val="55851EE3"/>
    <w:rsid w:val="558931E1"/>
    <w:rsid w:val="55923347"/>
    <w:rsid w:val="55925180"/>
    <w:rsid w:val="55982511"/>
    <w:rsid w:val="55983288"/>
    <w:rsid w:val="55983B1B"/>
    <w:rsid w:val="559F6FA1"/>
    <w:rsid w:val="55A8376B"/>
    <w:rsid w:val="55A86101"/>
    <w:rsid w:val="55B47996"/>
    <w:rsid w:val="55BD2CEE"/>
    <w:rsid w:val="55D652EC"/>
    <w:rsid w:val="55DC29B6"/>
    <w:rsid w:val="55DD4241"/>
    <w:rsid w:val="55E71B19"/>
    <w:rsid w:val="55E77D6B"/>
    <w:rsid w:val="56114DE8"/>
    <w:rsid w:val="561F7505"/>
    <w:rsid w:val="562023F9"/>
    <w:rsid w:val="56440D1A"/>
    <w:rsid w:val="56633896"/>
    <w:rsid w:val="566B6D1E"/>
    <w:rsid w:val="56725887"/>
    <w:rsid w:val="567D4C06"/>
    <w:rsid w:val="56835CE6"/>
    <w:rsid w:val="568A72E9"/>
    <w:rsid w:val="56B16294"/>
    <w:rsid w:val="56B9225B"/>
    <w:rsid w:val="56C360E3"/>
    <w:rsid w:val="56C854A7"/>
    <w:rsid w:val="56E359DD"/>
    <w:rsid w:val="56FE711B"/>
    <w:rsid w:val="57032A2C"/>
    <w:rsid w:val="570453D1"/>
    <w:rsid w:val="570F5219"/>
    <w:rsid w:val="57122BC6"/>
    <w:rsid w:val="571F7091"/>
    <w:rsid w:val="5734435F"/>
    <w:rsid w:val="574134AB"/>
    <w:rsid w:val="575D12B5"/>
    <w:rsid w:val="57610A87"/>
    <w:rsid w:val="576553EC"/>
    <w:rsid w:val="577473DD"/>
    <w:rsid w:val="577B1140"/>
    <w:rsid w:val="577B7F21"/>
    <w:rsid w:val="577F181B"/>
    <w:rsid w:val="57921984"/>
    <w:rsid w:val="57947A4C"/>
    <w:rsid w:val="579737F0"/>
    <w:rsid w:val="579E4B36"/>
    <w:rsid w:val="57AA1051"/>
    <w:rsid w:val="57AB7B30"/>
    <w:rsid w:val="57AF5251"/>
    <w:rsid w:val="57B26373"/>
    <w:rsid w:val="57B63F04"/>
    <w:rsid w:val="57C06AC6"/>
    <w:rsid w:val="57CD20C2"/>
    <w:rsid w:val="57CD248A"/>
    <w:rsid w:val="57D675AB"/>
    <w:rsid w:val="57D936E4"/>
    <w:rsid w:val="57D95FDD"/>
    <w:rsid w:val="57EC78BB"/>
    <w:rsid w:val="57F4051E"/>
    <w:rsid w:val="582708F3"/>
    <w:rsid w:val="583A2674"/>
    <w:rsid w:val="58445001"/>
    <w:rsid w:val="58496ABB"/>
    <w:rsid w:val="58613E05"/>
    <w:rsid w:val="58690F0C"/>
    <w:rsid w:val="588412A1"/>
    <w:rsid w:val="58917D2F"/>
    <w:rsid w:val="5894085C"/>
    <w:rsid w:val="58AE4F0C"/>
    <w:rsid w:val="58B85899"/>
    <w:rsid w:val="58BD6D69"/>
    <w:rsid w:val="58C779E0"/>
    <w:rsid w:val="58D86C9F"/>
    <w:rsid w:val="58E363A9"/>
    <w:rsid w:val="58F00CE5"/>
    <w:rsid w:val="590D7AE9"/>
    <w:rsid w:val="59154BEF"/>
    <w:rsid w:val="5919023C"/>
    <w:rsid w:val="595B6AA6"/>
    <w:rsid w:val="595E1678"/>
    <w:rsid w:val="596D5BD4"/>
    <w:rsid w:val="596D67DA"/>
    <w:rsid w:val="597E3DD8"/>
    <w:rsid w:val="59831350"/>
    <w:rsid w:val="59974FE2"/>
    <w:rsid w:val="59A421B4"/>
    <w:rsid w:val="59C81C62"/>
    <w:rsid w:val="59D14FBA"/>
    <w:rsid w:val="59F36936"/>
    <w:rsid w:val="59F80043"/>
    <w:rsid w:val="59FD7B5D"/>
    <w:rsid w:val="59FF7626"/>
    <w:rsid w:val="5A0071B3"/>
    <w:rsid w:val="5A09252F"/>
    <w:rsid w:val="5A0B2778"/>
    <w:rsid w:val="5A0E725A"/>
    <w:rsid w:val="5A117165"/>
    <w:rsid w:val="5A2A7C7B"/>
    <w:rsid w:val="5A3E2560"/>
    <w:rsid w:val="5A431385"/>
    <w:rsid w:val="5A461504"/>
    <w:rsid w:val="5A4968FF"/>
    <w:rsid w:val="5A5D3B6E"/>
    <w:rsid w:val="5A637A76"/>
    <w:rsid w:val="5A6D33BA"/>
    <w:rsid w:val="5A792B1F"/>
    <w:rsid w:val="5A874767"/>
    <w:rsid w:val="5AAD6F28"/>
    <w:rsid w:val="5ABB1358"/>
    <w:rsid w:val="5AD63A24"/>
    <w:rsid w:val="5AEB20AC"/>
    <w:rsid w:val="5AF52A20"/>
    <w:rsid w:val="5AF947C9"/>
    <w:rsid w:val="5B080DF0"/>
    <w:rsid w:val="5B0A0D22"/>
    <w:rsid w:val="5B2E1A1D"/>
    <w:rsid w:val="5B464AF4"/>
    <w:rsid w:val="5B4D241F"/>
    <w:rsid w:val="5B6B6D49"/>
    <w:rsid w:val="5B6D486F"/>
    <w:rsid w:val="5B7025B1"/>
    <w:rsid w:val="5B7C2D04"/>
    <w:rsid w:val="5B8322E4"/>
    <w:rsid w:val="5B843A1C"/>
    <w:rsid w:val="5B873E3F"/>
    <w:rsid w:val="5BB64468"/>
    <w:rsid w:val="5BC56459"/>
    <w:rsid w:val="5BD36C81"/>
    <w:rsid w:val="5BE2043F"/>
    <w:rsid w:val="5BF40AEC"/>
    <w:rsid w:val="5C02690E"/>
    <w:rsid w:val="5C0351D3"/>
    <w:rsid w:val="5C196DA7"/>
    <w:rsid w:val="5C1F4650"/>
    <w:rsid w:val="5C2A048C"/>
    <w:rsid w:val="5C4C6B7A"/>
    <w:rsid w:val="5C7165E1"/>
    <w:rsid w:val="5C80234E"/>
    <w:rsid w:val="5C8A680C"/>
    <w:rsid w:val="5C9718FC"/>
    <w:rsid w:val="5CA00C74"/>
    <w:rsid w:val="5CA32728"/>
    <w:rsid w:val="5CCD4019"/>
    <w:rsid w:val="5CD31049"/>
    <w:rsid w:val="5CDB3A5A"/>
    <w:rsid w:val="5CF07506"/>
    <w:rsid w:val="5D0908B6"/>
    <w:rsid w:val="5D0C4701"/>
    <w:rsid w:val="5D0F0395"/>
    <w:rsid w:val="5D221076"/>
    <w:rsid w:val="5D2B2C34"/>
    <w:rsid w:val="5D2D0F82"/>
    <w:rsid w:val="5D397964"/>
    <w:rsid w:val="5D4D2245"/>
    <w:rsid w:val="5D530B4C"/>
    <w:rsid w:val="5D537A94"/>
    <w:rsid w:val="5D5A391C"/>
    <w:rsid w:val="5D5E6285"/>
    <w:rsid w:val="5D5F10C0"/>
    <w:rsid w:val="5D5F468B"/>
    <w:rsid w:val="5D6F2B20"/>
    <w:rsid w:val="5D8503D2"/>
    <w:rsid w:val="5D891B7B"/>
    <w:rsid w:val="5DAD38EE"/>
    <w:rsid w:val="5DB524FD"/>
    <w:rsid w:val="5E006862"/>
    <w:rsid w:val="5E0207B9"/>
    <w:rsid w:val="5E1834A1"/>
    <w:rsid w:val="5E20206C"/>
    <w:rsid w:val="5E261785"/>
    <w:rsid w:val="5E4A7017"/>
    <w:rsid w:val="5E552BBA"/>
    <w:rsid w:val="5E611C10"/>
    <w:rsid w:val="5E6C7060"/>
    <w:rsid w:val="5E9465B6"/>
    <w:rsid w:val="5E954808"/>
    <w:rsid w:val="5EAE4B05"/>
    <w:rsid w:val="5EC0115A"/>
    <w:rsid w:val="5EE035AA"/>
    <w:rsid w:val="5EFC7377"/>
    <w:rsid w:val="5F04373C"/>
    <w:rsid w:val="5F06174D"/>
    <w:rsid w:val="5F0738A9"/>
    <w:rsid w:val="5F1C2834"/>
    <w:rsid w:val="5F261904"/>
    <w:rsid w:val="5F2636B2"/>
    <w:rsid w:val="5F2D5A7F"/>
    <w:rsid w:val="5F370C6B"/>
    <w:rsid w:val="5F3A3602"/>
    <w:rsid w:val="5F3C1128"/>
    <w:rsid w:val="5F526256"/>
    <w:rsid w:val="5F6277C6"/>
    <w:rsid w:val="5F6D0B1D"/>
    <w:rsid w:val="5F7206A6"/>
    <w:rsid w:val="5F7268F8"/>
    <w:rsid w:val="5F8135FC"/>
    <w:rsid w:val="5F8B1768"/>
    <w:rsid w:val="5F8D0B82"/>
    <w:rsid w:val="5F93686E"/>
    <w:rsid w:val="5F990172"/>
    <w:rsid w:val="5FAD5B82"/>
    <w:rsid w:val="5FC609F2"/>
    <w:rsid w:val="5FCC5339"/>
    <w:rsid w:val="5FDA449D"/>
    <w:rsid w:val="5FDA624B"/>
    <w:rsid w:val="5FE34A5B"/>
    <w:rsid w:val="5FE377F5"/>
    <w:rsid w:val="5FF4555F"/>
    <w:rsid w:val="5FFE1E36"/>
    <w:rsid w:val="600D475C"/>
    <w:rsid w:val="600F4147"/>
    <w:rsid w:val="60193217"/>
    <w:rsid w:val="60232584"/>
    <w:rsid w:val="60432042"/>
    <w:rsid w:val="60561D75"/>
    <w:rsid w:val="606F1958"/>
    <w:rsid w:val="607330CE"/>
    <w:rsid w:val="60825176"/>
    <w:rsid w:val="60875BE1"/>
    <w:rsid w:val="609D79A4"/>
    <w:rsid w:val="609F2AC4"/>
    <w:rsid w:val="60AA20C1"/>
    <w:rsid w:val="60C3313F"/>
    <w:rsid w:val="60E5329F"/>
    <w:rsid w:val="60F35816"/>
    <w:rsid w:val="60F72BCB"/>
    <w:rsid w:val="60FA2EE8"/>
    <w:rsid w:val="61054A27"/>
    <w:rsid w:val="610A52BC"/>
    <w:rsid w:val="611D2366"/>
    <w:rsid w:val="613C540F"/>
    <w:rsid w:val="61421856"/>
    <w:rsid w:val="61493688"/>
    <w:rsid w:val="61516B08"/>
    <w:rsid w:val="615227C4"/>
    <w:rsid w:val="615A312F"/>
    <w:rsid w:val="615D5386"/>
    <w:rsid w:val="61654E3F"/>
    <w:rsid w:val="61691F7C"/>
    <w:rsid w:val="616B7AA3"/>
    <w:rsid w:val="617C45E3"/>
    <w:rsid w:val="6182292A"/>
    <w:rsid w:val="619012B7"/>
    <w:rsid w:val="619F7F92"/>
    <w:rsid w:val="61DE0274"/>
    <w:rsid w:val="61E10092"/>
    <w:rsid w:val="61F94C26"/>
    <w:rsid w:val="62000E56"/>
    <w:rsid w:val="621B723E"/>
    <w:rsid w:val="623C31ED"/>
    <w:rsid w:val="624F3E49"/>
    <w:rsid w:val="62576091"/>
    <w:rsid w:val="62632286"/>
    <w:rsid w:val="626D33A6"/>
    <w:rsid w:val="62885958"/>
    <w:rsid w:val="628C6355"/>
    <w:rsid w:val="62946B85"/>
    <w:rsid w:val="62A35C71"/>
    <w:rsid w:val="62AB2E85"/>
    <w:rsid w:val="62F40B65"/>
    <w:rsid w:val="62FC2CFE"/>
    <w:rsid w:val="63016CD4"/>
    <w:rsid w:val="63024505"/>
    <w:rsid w:val="632C14B3"/>
    <w:rsid w:val="632F6EBB"/>
    <w:rsid w:val="63312626"/>
    <w:rsid w:val="635B1DB5"/>
    <w:rsid w:val="636E387A"/>
    <w:rsid w:val="63711FED"/>
    <w:rsid w:val="637136BF"/>
    <w:rsid w:val="63880DDC"/>
    <w:rsid w:val="638D750D"/>
    <w:rsid w:val="63AC6CC0"/>
    <w:rsid w:val="63AE44A8"/>
    <w:rsid w:val="63C70247"/>
    <w:rsid w:val="63D77B95"/>
    <w:rsid w:val="63DA2CBD"/>
    <w:rsid w:val="63E15DFA"/>
    <w:rsid w:val="64055776"/>
    <w:rsid w:val="64124205"/>
    <w:rsid w:val="64240056"/>
    <w:rsid w:val="6429154F"/>
    <w:rsid w:val="64393E88"/>
    <w:rsid w:val="643E143A"/>
    <w:rsid w:val="647C6435"/>
    <w:rsid w:val="64894152"/>
    <w:rsid w:val="648B6EEF"/>
    <w:rsid w:val="649B244D"/>
    <w:rsid w:val="64BD6867"/>
    <w:rsid w:val="64BF7CA8"/>
    <w:rsid w:val="64C01EB3"/>
    <w:rsid w:val="64C158BF"/>
    <w:rsid w:val="64C319A4"/>
    <w:rsid w:val="64CE2EAA"/>
    <w:rsid w:val="64E35BA2"/>
    <w:rsid w:val="64E617ED"/>
    <w:rsid w:val="650A18B1"/>
    <w:rsid w:val="65102E3B"/>
    <w:rsid w:val="65273CE0"/>
    <w:rsid w:val="652F4D47"/>
    <w:rsid w:val="6530528B"/>
    <w:rsid w:val="65384140"/>
    <w:rsid w:val="653C3090"/>
    <w:rsid w:val="655D1BE0"/>
    <w:rsid w:val="65854376"/>
    <w:rsid w:val="658767BE"/>
    <w:rsid w:val="65892531"/>
    <w:rsid w:val="658B5060"/>
    <w:rsid w:val="65AD68DC"/>
    <w:rsid w:val="65AF0A99"/>
    <w:rsid w:val="65C449B8"/>
    <w:rsid w:val="65D5198E"/>
    <w:rsid w:val="65E46075"/>
    <w:rsid w:val="65E77987"/>
    <w:rsid w:val="66195831"/>
    <w:rsid w:val="661E3335"/>
    <w:rsid w:val="662E75B1"/>
    <w:rsid w:val="662F6ADA"/>
    <w:rsid w:val="66342C2E"/>
    <w:rsid w:val="663E784C"/>
    <w:rsid w:val="66585AE0"/>
    <w:rsid w:val="665E1984"/>
    <w:rsid w:val="666351EC"/>
    <w:rsid w:val="66664917"/>
    <w:rsid w:val="666E1009"/>
    <w:rsid w:val="668B6A45"/>
    <w:rsid w:val="66AE6B74"/>
    <w:rsid w:val="66BB6DD6"/>
    <w:rsid w:val="66D93700"/>
    <w:rsid w:val="66E6653E"/>
    <w:rsid w:val="66F10A4A"/>
    <w:rsid w:val="66FA6453"/>
    <w:rsid w:val="670B6AD7"/>
    <w:rsid w:val="670F0ED0"/>
    <w:rsid w:val="6712451C"/>
    <w:rsid w:val="671B5F04"/>
    <w:rsid w:val="671D35ED"/>
    <w:rsid w:val="672C1A82"/>
    <w:rsid w:val="672D5FC6"/>
    <w:rsid w:val="672F3F24"/>
    <w:rsid w:val="673E055F"/>
    <w:rsid w:val="674A63AC"/>
    <w:rsid w:val="67551CE3"/>
    <w:rsid w:val="675E4773"/>
    <w:rsid w:val="676631BE"/>
    <w:rsid w:val="676E3529"/>
    <w:rsid w:val="677551D7"/>
    <w:rsid w:val="67803B7C"/>
    <w:rsid w:val="67A22552"/>
    <w:rsid w:val="67B22DCC"/>
    <w:rsid w:val="67B94ACA"/>
    <w:rsid w:val="67BE71AA"/>
    <w:rsid w:val="67C467C7"/>
    <w:rsid w:val="67D90273"/>
    <w:rsid w:val="67DE5875"/>
    <w:rsid w:val="67E55852"/>
    <w:rsid w:val="67EB1AB4"/>
    <w:rsid w:val="67FA1285"/>
    <w:rsid w:val="680058F8"/>
    <w:rsid w:val="68142C42"/>
    <w:rsid w:val="6821710D"/>
    <w:rsid w:val="6844104D"/>
    <w:rsid w:val="68475733"/>
    <w:rsid w:val="68551F4F"/>
    <w:rsid w:val="68684D3C"/>
    <w:rsid w:val="687C10C9"/>
    <w:rsid w:val="68840C16"/>
    <w:rsid w:val="68876EFB"/>
    <w:rsid w:val="68884654"/>
    <w:rsid w:val="689E69AF"/>
    <w:rsid w:val="689F444F"/>
    <w:rsid w:val="68B96DBB"/>
    <w:rsid w:val="68CA2805"/>
    <w:rsid w:val="68DB72BC"/>
    <w:rsid w:val="68DF3741"/>
    <w:rsid w:val="68E937A3"/>
    <w:rsid w:val="690A7BA1"/>
    <w:rsid w:val="69106252"/>
    <w:rsid w:val="69164798"/>
    <w:rsid w:val="69224EEB"/>
    <w:rsid w:val="692B7DF1"/>
    <w:rsid w:val="693E15D3"/>
    <w:rsid w:val="69627681"/>
    <w:rsid w:val="69635503"/>
    <w:rsid w:val="696A4AE4"/>
    <w:rsid w:val="6977531D"/>
    <w:rsid w:val="69833A63"/>
    <w:rsid w:val="699E5035"/>
    <w:rsid w:val="69C76B2A"/>
    <w:rsid w:val="69CC2BFF"/>
    <w:rsid w:val="69F745C9"/>
    <w:rsid w:val="69FD24A2"/>
    <w:rsid w:val="69FD55B8"/>
    <w:rsid w:val="6A0B1C62"/>
    <w:rsid w:val="6A0E7DD9"/>
    <w:rsid w:val="6A2406C8"/>
    <w:rsid w:val="6A297EC9"/>
    <w:rsid w:val="6A310DC4"/>
    <w:rsid w:val="6A51414C"/>
    <w:rsid w:val="6A7259FE"/>
    <w:rsid w:val="6ABF6769"/>
    <w:rsid w:val="6AC67AF8"/>
    <w:rsid w:val="6ADE0BD1"/>
    <w:rsid w:val="6AE96859"/>
    <w:rsid w:val="6B147746"/>
    <w:rsid w:val="6B24787C"/>
    <w:rsid w:val="6B2A452A"/>
    <w:rsid w:val="6B573233"/>
    <w:rsid w:val="6B5B6274"/>
    <w:rsid w:val="6B612554"/>
    <w:rsid w:val="6B641196"/>
    <w:rsid w:val="6B784689"/>
    <w:rsid w:val="6B817F14"/>
    <w:rsid w:val="6B821406"/>
    <w:rsid w:val="6B935D53"/>
    <w:rsid w:val="6B95409A"/>
    <w:rsid w:val="6BA240C1"/>
    <w:rsid w:val="6BC77FCB"/>
    <w:rsid w:val="6BD91AAD"/>
    <w:rsid w:val="6C0E1756"/>
    <w:rsid w:val="6C196F71"/>
    <w:rsid w:val="6C226FCB"/>
    <w:rsid w:val="6C2918DA"/>
    <w:rsid w:val="6C31226F"/>
    <w:rsid w:val="6C384A25"/>
    <w:rsid w:val="6C552F0B"/>
    <w:rsid w:val="6C584C7A"/>
    <w:rsid w:val="6C5D26DE"/>
    <w:rsid w:val="6C6B6BA9"/>
    <w:rsid w:val="6C6E6699"/>
    <w:rsid w:val="6C7F2654"/>
    <w:rsid w:val="6C84482D"/>
    <w:rsid w:val="6C8C67B7"/>
    <w:rsid w:val="6C8D4D71"/>
    <w:rsid w:val="6C9D744C"/>
    <w:rsid w:val="6CA200F0"/>
    <w:rsid w:val="6CC33B47"/>
    <w:rsid w:val="6CC62031"/>
    <w:rsid w:val="6CD83A31"/>
    <w:rsid w:val="6D167928"/>
    <w:rsid w:val="6D26299B"/>
    <w:rsid w:val="6D30394E"/>
    <w:rsid w:val="6D325918"/>
    <w:rsid w:val="6D394EF9"/>
    <w:rsid w:val="6D4772EC"/>
    <w:rsid w:val="6D4D2B68"/>
    <w:rsid w:val="6D521B17"/>
    <w:rsid w:val="6D543460"/>
    <w:rsid w:val="6D61130D"/>
    <w:rsid w:val="6D7E290C"/>
    <w:rsid w:val="6D9078AF"/>
    <w:rsid w:val="6D91263F"/>
    <w:rsid w:val="6D9F3659"/>
    <w:rsid w:val="6DAA3FEF"/>
    <w:rsid w:val="6DC0172B"/>
    <w:rsid w:val="6DCB690C"/>
    <w:rsid w:val="6DCE5641"/>
    <w:rsid w:val="6DD0129C"/>
    <w:rsid w:val="6DD222E3"/>
    <w:rsid w:val="6DD41A5B"/>
    <w:rsid w:val="6DE3508D"/>
    <w:rsid w:val="6DF43C2E"/>
    <w:rsid w:val="6DF51CA3"/>
    <w:rsid w:val="6DF53E5B"/>
    <w:rsid w:val="6E3D4575"/>
    <w:rsid w:val="6E510020"/>
    <w:rsid w:val="6E647D53"/>
    <w:rsid w:val="6E6B7334"/>
    <w:rsid w:val="6E8335BD"/>
    <w:rsid w:val="6E84712D"/>
    <w:rsid w:val="6E8E12EF"/>
    <w:rsid w:val="6E967FF1"/>
    <w:rsid w:val="6E972936"/>
    <w:rsid w:val="6EAB7730"/>
    <w:rsid w:val="6ECC1868"/>
    <w:rsid w:val="6ED053E9"/>
    <w:rsid w:val="6ED446C5"/>
    <w:rsid w:val="6EF015E7"/>
    <w:rsid w:val="6EFC1D3A"/>
    <w:rsid w:val="6F0357BE"/>
    <w:rsid w:val="6F103A37"/>
    <w:rsid w:val="6F1424A7"/>
    <w:rsid w:val="6F2A7D94"/>
    <w:rsid w:val="6F310678"/>
    <w:rsid w:val="6F5012F4"/>
    <w:rsid w:val="6F685621"/>
    <w:rsid w:val="6F8331F1"/>
    <w:rsid w:val="6FA67EF8"/>
    <w:rsid w:val="6FAE1A09"/>
    <w:rsid w:val="6FC62348"/>
    <w:rsid w:val="6FD75BF8"/>
    <w:rsid w:val="6FE0530C"/>
    <w:rsid w:val="7007308C"/>
    <w:rsid w:val="702552C0"/>
    <w:rsid w:val="70340294"/>
    <w:rsid w:val="70383246"/>
    <w:rsid w:val="705C33D8"/>
    <w:rsid w:val="705D0EFE"/>
    <w:rsid w:val="70671D7D"/>
    <w:rsid w:val="707723D0"/>
    <w:rsid w:val="70871AD7"/>
    <w:rsid w:val="70C1148D"/>
    <w:rsid w:val="70C920F0"/>
    <w:rsid w:val="70CD6084"/>
    <w:rsid w:val="70F5661B"/>
    <w:rsid w:val="70FF1FB5"/>
    <w:rsid w:val="710870BC"/>
    <w:rsid w:val="710C353F"/>
    <w:rsid w:val="71327C95"/>
    <w:rsid w:val="71360107"/>
    <w:rsid w:val="713B688E"/>
    <w:rsid w:val="713C6F27"/>
    <w:rsid w:val="713F6856"/>
    <w:rsid w:val="714858B4"/>
    <w:rsid w:val="71491080"/>
    <w:rsid w:val="71566079"/>
    <w:rsid w:val="716D1325"/>
    <w:rsid w:val="71A05546"/>
    <w:rsid w:val="71D40D4C"/>
    <w:rsid w:val="71D43752"/>
    <w:rsid w:val="71F1796A"/>
    <w:rsid w:val="71FA6D52"/>
    <w:rsid w:val="720505CA"/>
    <w:rsid w:val="72154626"/>
    <w:rsid w:val="721C77D7"/>
    <w:rsid w:val="721F290F"/>
    <w:rsid w:val="722577FA"/>
    <w:rsid w:val="72262B5D"/>
    <w:rsid w:val="72283FF7"/>
    <w:rsid w:val="722E7212"/>
    <w:rsid w:val="72331F17"/>
    <w:rsid w:val="723A0474"/>
    <w:rsid w:val="725923E4"/>
    <w:rsid w:val="72864BF7"/>
    <w:rsid w:val="728A1058"/>
    <w:rsid w:val="729023FC"/>
    <w:rsid w:val="72CE1C3F"/>
    <w:rsid w:val="72D60AF4"/>
    <w:rsid w:val="72DF5BFA"/>
    <w:rsid w:val="72E820EE"/>
    <w:rsid w:val="72FD2525"/>
    <w:rsid w:val="73012015"/>
    <w:rsid w:val="730833A3"/>
    <w:rsid w:val="73092C77"/>
    <w:rsid w:val="731F06ED"/>
    <w:rsid w:val="73683F81"/>
    <w:rsid w:val="73903399"/>
    <w:rsid w:val="73972979"/>
    <w:rsid w:val="739D493C"/>
    <w:rsid w:val="73BE3A62"/>
    <w:rsid w:val="73C0646E"/>
    <w:rsid w:val="73EB05CF"/>
    <w:rsid w:val="73F456D6"/>
    <w:rsid w:val="73F561BF"/>
    <w:rsid w:val="73FF4FB7"/>
    <w:rsid w:val="7414117C"/>
    <w:rsid w:val="74212243"/>
    <w:rsid w:val="742222F5"/>
    <w:rsid w:val="74455F31"/>
    <w:rsid w:val="74476126"/>
    <w:rsid w:val="744A79EB"/>
    <w:rsid w:val="746740F9"/>
    <w:rsid w:val="74706664"/>
    <w:rsid w:val="747F3682"/>
    <w:rsid w:val="749173C8"/>
    <w:rsid w:val="749C4185"/>
    <w:rsid w:val="74B15375"/>
    <w:rsid w:val="74C01A5C"/>
    <w:rsid w:val="74E249F9"/>
    <w:rsid w:val="74F760E0"/>
    <w:rsid w:val="7500081F"/>
    <w:rsid w:val="75015137"/>
    <w:rsid w:val="75067759"/>
    <w:rsid w:val="751122B7"/>
    <w:rsid w:val="752124FA"/>
    <w:rsid w:val="752850C3"/>
    <w:rsid w:val="752C1D15"/>
    <w:rsid w:val="752E6DCD"/>
    <w:rsid w:val="753A41D8"/>
    <w:rsid w:val="753C5586"/>
    <w:rsid w:val="7547676F"/>
    <w:rsid w:val="7551380D"/>
    <w:rsid w:val="75600BE5"/>
    <w:rsid w:val="7564475C"/>
    <w:rsid w:val="75693EA1"/>
    <w:rsid w:val="75776724"/>
    <w:rsid w:val="757E5B9F"/>
    <w:rsid w:val="7583797F"/>
    <w:rsid w:val="75874327"/>
    <w:rsid w:val="75AE1234"/>
    <w:rsid w:val="75B415C0"/>
    <w:rsid w:val="75B447FA"/>
    <w:rsid w:val="75C35DE6"/>
    <w:rsid w:val="75CD4430"/>
    <w:rsid w:val="75D20F1D"/>
    <w:rsid w:val="75D237F5"/>
    <w:rsid w:val="75DA2C18"/>
    <w:rsid w:val="75EA3234"/>
    <w:rsid w:val="75EB024A"/>
    <w:rsid w:val="75F54412"/>
    <w:rsid w:val="761B0AF3"/>
    <w:rsid w:val="761D08E0"/>
    <w:rsid w:val="765D347C"/>
    <w:rsid w:val="76732FEE"/>
    <w:rsid w:val="76826699"/>
    <w:rsid w:val="76C87133"/>
    <w:rsid w:val="76CD08D5"/>
    <w:rsid w:val="76D417EE"/>
    <w:rsid w:val="76D87530"/>
    <w:rsid w:val="76DB4B92"/>
    <w:rsid w:val="76EC75C5"/>
    <w:rsid w:val="76F41491"/>
    <w:rsid w:val="76F65C09"/>
    <w:rsid w:val="76F81981"/>
    <w:rsid w:val="76FD32A9"/>
    <w:rsid w:val="77041073"/>
    <w:rsid w:val="77052AA4"/>
    <w:rsid w:val="770B16B4"/>
    <w:rsid w:val="77136511"/>
    <w:rsid w:val="7718792D"/>
    <w:rsid w:val="77240332"/>
    <w:rsid w:val="77340A39"/>
    <w:rsid w:val="77351FD0"/>
    <w:rsid w:val="77472422"/>
    <w:rsid w:val="775D17E4"/>
    <w:rsid w:val="7762504C"/>
    <w:rsid w:val="777032C5"/>
    <w:rsid w:val="77707B0E"/>
    <w:rsid w:val="777F31F2"/>
    <w:rsid w:val="778E4093"/>
    <w:rsid w:val="77AB3185"/>
    <w:rsid w:val="77B84C6C"/>
    <w:rsid w:val="77BA276B"/>
    <w:rsid w:val="77BD0700"/>
    <w:rsid w:val="77C70B32"/>
    <w:rsid w:val="77D1700D"/>
    <w:rsid w:val="77EC04CC"/>
    <w:rsid w:val="7838116A"/>
    <w:rsid w:val="786077DD"/>
    <w:rsid w:val="7866291A"/>
    <w:rsid w:val="787119EB"/>
    <w:rsid w:val="78775729"/>
    <w:rsid w:val="78801C2E"/>
    <w:rsid w:val="78A42DB0"/>
    <w:rsid w:val="78A656AB"/>
    <w:rsid w:val="78AA0A59"/>
    <w:rsid w:val="78AA4AF0"/>
    <w:rsid w:val="78B2245C"/>
    <w:rsid w:val="78B35B5F"/>
    <w:rsid w:val="78E0447A"/>
    <w:rsid w:val="78E172CC"/>
    <w:rsid w:val="78EA1D1F"/>
    <w:rsid w:val="7904172F"/>
    <w:rsid w:val="79074C3A"/>
    <w:rsid w:val="790F7E27"/>
    <w:rsid w:val="79224A93"/>
    <w:rsid w:val="792A231A"/>
    <w:rsid w:val="792C3B64"/>
    <w:rsid w:val="79316829"/>
    <w:rsid w:val="795804B5"/>
    <w:rsid w:val="796450AB"/>
    <w:rsid w:val="79694470"/>
    <w:rsid w:val="797E66A9"/>
    <w:rsid w:val="797F1EE5"/>
    <w:rsid w:val="799F7E92"/>
    <w:rsid w:val="79A97383"/>
    <w:rsid w:val="79BF22E2"/>
    <w:rsid w:val="79C1605A"/>
    <w:rsid w:val="79C618C2"/>
    <w:rsid w:val="79E24222"/>
    <w:rsid w:val="79E27E8B"/>
    <w:rsid w:val="79E87A8A"/>
    <w:rsid w:val="79F71A7C"/>
    <w:rsid w:val="79F850CE"/>
    <w:rsid w:val="79FD443C"/>
    <w:rsid w:val="7A1D1975"/>
    <w:rsid w:val="7A2C57BB"/>
    <w:rsid w:val="7A320D06"/>
    <w:rsid w:val="7A3E5150"/>
    <w:rsid w:val="7A447969"/>
    <w:rsid w:val="7A4670D6"/>
    <w:rsid w:val="7A5258BB"/>
    <w:rsid w:val="7A533D57"/>
    <w:rsid w:val="7A534B63"/>
    <w:rsid w:val="7A615382"/>
    <w:rsid w:val="7A666C01"/>
    <w:rsid w:val="7A67303B"/>
    <w:rsid w:val="7A8D01D4"/>
    <w:rsid w:val="7A992B33"/>
    <w:rsid w:val="7AAB1D04"/>
    <w:rsid w:val="7ABA4368"/>
    <w:rsid w:val="7ABD31FF"/>
    <w:rsid w:val="7ACB59A3"/>
    <w:rsid w:val="7AD05746"/>
    <w:rsid w:val="7AD46911"/>
    <w:rsid w:val="7AE55D78"/>
    <w:rsid w:val="7AF21BC8"/>
    <w:rsid w:val="7AF23020"/>
    <w:rsid w:val="7B0F1047"/>
    <w:rsid w:val="7B257FFD"/>
    <w:rsid w:val="7B343476"/>
    <w:rsid w:val="7B3E2E2F"/>
    <w:rsid w:val="7B577F20"/>
    <w:rsid w:val="7B5A2978"/>
    <w:rsid w:val="7B5A7E4C"/>
    <w:rsid w:val="7B667AF9"/>
    <w:rsid w:val="7B7468F8"/>
    <w:rsid w:val="7BA81073"/>
    <w:rsid w:val="7BB74327"/>
    <w:rsid w:val="7BBB5D58"/>
    <w:rsid w:val="7BBC11CF"/>
    <w:rsid w:val="7BDE5361"/>
    <w:rsid w:val="7BEE0103"/>
    <w:rsid w:val="7C0A0FE4"/>
    <w:rsid w:val="7C246ADF"/>
    <w:rsid w:val="7C254906"/>
    <w:rsid w:val="7C3B7EB4"/>
    <w:rsid w:val="7C421432"/>
    <w:rsid w:val="7C457B7C"/>
    <w:rsid w:val="7C590818"/>
    <w:rsid w:val="7C683105"/>
    <w:rsid w:val="7C6A0C2B"/>
    <w:rsid w:val="7C7C10F6"/>
    <w:rsid w:val="7C831CEC"/>
    <w:rsid w:val="7C853BEA"/>
    <w:rsid w:val="7C881368"/>
    <w:rsid w:val="7C923CDE"/>
    <w:rsid w:val="7C9E2682"/>
    <w:rsid w:val="7C9E6B26"/>
    <w:rsid w:val="7CC778A3"/>
    <w:rsid w:val="7CD3133D"/>
    <w:rsid w:val="7CE27788"/>
    <w:rsid w:val="7D0C32F1"/>
    <w:rsid w:val="7D0F408D"/>
    <w:rsid w:val="7D1920E4"/>
    <w:rsid w:val="7D3134F6"/>
    <w:rsid w:val="7D3739F2"/>
    <w:rsid w:val="7D491C6C"/>
    <w:rsid w:val="7D5429C0"/>
    <w:rsid w:val="7D6E6D43"/>
    <w:rsid w:val="7D717D97"/>
    <w:rsid w:val="7D7F24B4"/>
    <w:rsid w:val="7D7F469A"/>
    <w:rsid w:val="7DB57A34"/>
    <w:rsid w:val="7DE60973"/>
    <w:rsid w:val="7DE70059"/>
    <w:rsid w:val="7DE809E1"/>
    <w:rsid w:val="7DEF0916"/>
    <w:rsid w:val="7DF509C8"/>
    <w:rsid w:val="7DF770A8"/>
    <w:rsid w:val="7DF775D2"/>
    <w:rsid w:val="7E0D5685"/>
    <w:rsid w:val="7E1E5218"/>
    <w:rsid w:val="7E88183C"/>
    <w:rsid w:val="7E9A4E1F"/>
    <w:rsid w:val="7EA7723A"/>
    <w:rsid w:val="7EC42148"/>
    <w:rsid w:val="7EC860DC"/>
    <w:rsid w:val="7EF56FBB"/>
    <w:rsid w:val="7EF944E8"/>
    <w:rsid w:val="7F0768EB"/>
    <w:rsid w:val="7F0A2251"/>
    <w:rsid w:val="7F143BEC"/>
    <w:rsid w:val="7F3F4879"/>
    <w:rsid w:val="7F410946"/>
    <w:rsid w:val="7F5E7DB7"/>
    <w:rsid w:val="7F631961"/>
    <w:rsid w:val="7F6531DB"/>
    <w:rsid w:val="7F696111"/>
    <w:rsid w:val="7F6D458E"/>
    <w:rsid w:val="7F715AF2"/>
    <w:rsid w:val="7F886E69"/>
    <w:rsid w:val="7F8C0EB8"/>
    <w:rsid w:val="7F8F36EF"/>
    <w:rsid w:val="7F9966B8"/>
    <w:rsid w:val="7FD05249"/>
    <w:rsid w:val="7FDA6E20"/>
    <w:rsid w:val="7FF60A27"/>
    <w:rsid w:val="7FF9105C"/>
    <w:rsid w:val="ADE30066"/>
    <w:rsid w:val="BB7FA927"/>
    <w:rsid w:val="F5FFD31F"/>
    <w:rsid w:val="FA76FA6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99" w:name="index 2" w:locked="1"/>
    <w:lsdException w:uiPriority="99" w:name="index 3" w:locked="1"/>
    <w:lsdException w:uiPriority="99" w:name="index 4" w:locked="1"/>
    <w:lsdException w:qFormat="1" w:unhideWhenUsed="0" w:uiPriority="99" w:semiHidden="0" w:name="index 5"/>
    <w:lsdException w:uiPriority="99" w:name="index 6" w:locked="1"/>
    <w:lsdException w:qFormat="1" w:unhideWhenUsed="0" w:uiPriority="0"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qFormat="1" w:unhideWhenUsed="0" w:uiPriority="99" w:semiHidden="0" w:name="List Number"/>
    <w:lsdException w:qFormat="1" w:unhideWhenUsed="0" w:uiPriority="99" w:semiHidden="0" w:name="List 2"/>
    <w:lsdException w:uiPriority="99" w:name="List 3" w:locked="1"/>
    <w:lsdException w:uiPriority="99" w:name="List 4" w:locked="1"/>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uiPriority="99" w:name="List Bullet 5" w:locked="1"/>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uiPriority="99" w:name="Closing" w:locked="1"/>
    <w:lsdException w:qFormat="1" w:unhideWhenUsed="0" w:uiPriority="99"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qFormat="1" w:unhideWhenUsed="0" w:uiPriority="99" w:semiHidden="0" w:name="Body Text 2"/>
    <w:lsdException w:qFormat="1"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qFormat="1" w:unhideWhenUsed="0" w:uiPriority="99" w:semiHidden="0" w:name="HTML Address"/>
    <w:lsdException w:uiPriority="99" w:name="HTML Cite" w:locked="1"/>
    <w:lsdException w:qFormat="1" w:unhideWhenUsed="0" w:uiPriority="99" w:semiHidden="0" w:name="HTML Code"/>
    <w:lsdException w:uiPriority="99" w:name="HTML Definition" w:locked="1"/>
    <w:lsdException w:uiPriority="99" w:name="HTML Keyboard" w:locked="1"/>
    <w:lsdException w:qFormat="1" w:unhideWhenUsed="0" w:uiPriority="99" w:semiHidden="0" w:name="HTML Preformatted"/>
    <w:lsdException w:qFormat="1"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qFormat="1" w:unhideWhenUsed="0" w:uiPriority="99" w:semiHidden="0" w:name="Table Grid 5"/>
    <w:lsdException w:uiPriority="99" w:name="Table Grid 6" w:locked="1"/>
    <w:lsdException w:uiPriority="99" w:name="Table Grid 7" w:locked="1"/>
    <w:lsdException w:qFormat="1" w:unhideWhenUsed="0" w:uiPriority="99" w:semiHidden="0" w:name="Table Grid 8"/>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qFormat="1" w:unhideWhenUsed="0" w:uiPriority="99" w:semiHidden="0" w:name="Table Professional"/>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qFormat="1" w:unhideWhenUsed="0" w:uiPriority="99"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0"/>
    <w:qFormat/>
    <w:uiPriority w:val="99"/>
    <w:pPr>
      <w:keepNext/>
      <w:keepLines/>
      <w:tabs>
        <w:tab w:val="left" w:pos="432"/>
      </w:tabs>
      <w:spacing w:before="340" w:after="330" w:line="578" w:lineRule="auto"/>
      <w:ind w:left="432" w:hanging="432"/>
      <w:outlineLvl w:val="0"/>
    </w:pPr>
    <w:rPr>
      <w:b/>
      <w:kern w:val="44"/>
      <w:sz w:val="44"/>
      <w:szCs w:val="20"/>
    </w:rPr>
  </w:style>
  <w:style w:type="paragraph" w:styleId="3">
    <w:name w:val="heading 2"/>
    <w:basedOn w:val="1"/>
    <w:next w:val="1"/>
    <w:link w:val="91"/>
    <w:qFormat/>
    <w:uiPriority w:val="99"/>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1"/>
    <w:link w:val="92"/>
    <w:qFormat/>
    <w:uiPriority w:val="99"/>
    <w:pPr>
      <w:keepNext/>
      <w:keepLines/>
      <w:tabs>
        <w:tab w:val="left" w:pos="900"/>
      </w:tabs>
      <w:spacing w:before="260" w:after="260" w:line="416" w:lineRule="auto"/>
      <w:ind w:left="900" w:hanging="720"/>
      <w:outlineLvl w:val="2"/>
    </w:pPr>
    <w:rPr>
      <w:b/>
      <w:bCs/>
      <w:sz w:val="32"/>
      <w:szCs w:val="32"/>
    </w:rPr>
  </w:style>
  <w:style w:type="paragraph" w:styleId="5">
    <w:name w:val="heading 4"/>
    <w:basedOn w:val="1"/>
    <w:next w:val="1"/>
    <w:link w:val="93"/>
    <w:qFormat/>
    <w:uiPriority w:val="99"/>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6">
    <w:name w:val="heading 5"/>
    <w:basedOn w:val="1"/>
    <w:next w:val="1"/>
    <w:link w:val="94"/>
    <w:qFormat/>
    <w:uiPriority w:val="99"/>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1"/>
    <w:link w:val="95"/>
    <w:qFormat/>
    <w:uiPriority w:val="99"/>
    <w:pPr>
      <w:keepNext/>
      <w:keepLines/>
      <w:tabs>
        <w:tab w:val="left" w:pos="1152"/>
      </w:tabs>
      <w:spacing w:before="240" w:after="64" w:line="320" w:lineRule="auto"/>
      <w:ind w:left="1152" w:hanging="1152"/>
      <w:outlineLvl w:val="5"/>
    </w:pPr>
    <w:rPr>
      <w:rFonts w:ascii="Arial" w:hAnsi="Arial" w:eastAsia="黑体"/>
      <w:b/>
      <w:bCs/>
      <w:sz w:val="24"/>
    </w:rPr>
  </w:style>
  <w:style w:type="paragraph" w:styleId="8">
    <w:name w:val="heading 7"/>
    <w:basedOn w:val="1"/>
    <w:next w:val="1"/>
    <w:link w:val="329"/>
    <w:qFormat/>
    <w:uiPriority w:val="99"/>
    <w:pPr>
      <w:keepNext/>
      <w:keepLines/>
      <w:tabs>
        <w:tab w:val="left" w:pos="1296"/>
      </w:tabs>
      <w:spacing w:before="240" w:after="64" w:line="320" w:lineRule="auto"/>
      <w:ind w:left="1296" w:hanging="1296"/>
      <w:outlineLvl w:val="6"/>
    </w:pPr>
    <w:rPr>
      <w:b/>
      <w:sz w:val="24"/>
      <w:szCs w:val="20"/>
    </w:rPr>
  </w:style>
  <w:style w:type="paragraph" w:styleId="9">
    <w:name w:val="heading 8"/>
    <w:basedOn w:val="1"/>
    <w:next w:val="1"/>
    <w:link w:val="97"/>
    <w:qFormat/>
    <w:uiPriority w:val="99"/>
    <w:pPr>
      <w:keepNext/>
      <w:keepLines/>
      <w:tabs>
        <w:tab w:val="left" w:pos="1440"/>
      </w:tabs>
      <w:spacing w:before="240" w:after="64" w:line="320" w:lineRule="auto"/>
      <w:ind w:left="1440" w:hanging="1440"/>
      <w:outlineLvl w:val="7"/>
    </w:pPr>
    <w:rPr>
      <w:rFonts w:ascii="Arial" w:hAnsi="Arial" w:eastAsia="黑体"/>
      <w:sz w:val="24"/>
    </w:rPr>
  </w:style>
  <w:style w:type="paragraph" w:styleId="10">
    <w:name w:val="heading 9"/>
    <w:basedOn w:val="1"/>
    <w:next w:val="1"/>
    <w:link w:val="98"/>
    <w:qFormat/>
    <w:uiPriority w:val="99"/>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1">
    <w:name w:val="Default Paragraph Font"/>
    <w:semiHidden/>
    <w:unhideWhenUsed/>
    <w:qFormat/>
    <w:uiPriority w:val="1"/>
  </w:style>
  <w:style w:type="table" w:default="1" w:styleId="6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99"/>
    <w:pPr>
      <w:ind w:left="2520" w:leftChars="1200"/>
    </w:pPr>
  </w:style>
  <w:style w:type="paragraph" w:styleId="12">
    <w:name w:val="List Number 2"/>
    <w:basedOn w:val="1"/>
    <w:qFormat/>
    <w:uiPriority w:val="99"/>
    <w:pPr>
      <w:widowControl/>
      <w:tabs>
        <w:tab w:val="left" w:pos="1697"/>
      </w:tabs>
      <w:adjustRightInd/>
      <w:spacing w:afterLines="50"/>
      <w:ind w:left="1697" w:hanging="420"/>
      <w:jc w:val="left"/>
    </w:pPr>
    <w:rPr>
      <w:kern w:val="0"/>
      <w:sz w:val="24"/>
      <w:szCs w:val="20"/>
    </w:rPr>
  </w:style>
  <w:style w:type="paragraph" w:styleId="13">
    <w:name w:val="List Bullet 4"/>
    <w:basedOn w:val="1"/>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99"/>
    <w:pPr>
      <w:widowControl/>
      <w:tabs>
        <w:tab w:val="left" w:pos="390"/>
        <w:tab w:val="left" w:pos="454"/>
      </w:tabs>
      <w:adjustRightInd/>
      <w:spacing w:afterLines="50"/>
      <w:ind w:left="454" w:hanging="284"/>
      <w:jc w:val="left"/>
    </w:pPr>
    <w:rPr>
      <w:kern w:val="0"/>
      <w:sz w:val="24"/>
      <w:szCs w:val="20"/>
    </w:rPr>
  </w:style>
  <w:style w:type="paragraph" w:styleId="15">
    <w:name w:val="Normal Indent"/>
    <w:basedOn w:val="1"/>
    <w:link w:val="222"/>
    <w:qFormat/>
    <w:uiPriority w:val="99"/>
    <w:pPr>
      <w:widowControl/>
      <w:snapToGrid w:val="0"/>
      <w:spacing w:line="480" w:lineRule="exact"/>
      <w:ind w:firstLine="567"/>
    </w:pPr>
    <w:rPr>
      <w:rFonts w:ascii="宋体"/>
      <w:color w:val="000000"/>
      <w:kern w:val="28"/>
      <w:sz w:val="28"/>
      <w:szCs w:val="20"/>
    </w:rPr>
  </w:style>
  <w:style w:type="paragraph" w:styleId="16">
    <w:name w:val="caption"/>
    <w:basedOn w:val="1"/>
    <w:next w:val="1"/>
    <w:link w:val="256"/>
    <w:qFormat/>
    <w:uiPriority w:val="99"/>
    <w:rPr>
      <w:b/>
      <w:sz w:val="28"/>
      <w:szCs w:val="20"/>
    </w:rPr>
  </w:style>
  <w:style w:type="paragraph" w:styleId="17">
    <w:name w:val="index 5"/>
    <w:basedOn w:val="1"/>
    <w:next w:val="1"/>
    <w:qFormat/>
    <w:uiPriority w:val="99"/>
    <w:pPr>
      <w:adjustRightInd/>
      <w:ind w:left="800" w:leftChars="800" w:firstLine="200" w:firstLineChars="200"/>
    </w:pPr>
  </w:style>
  <w:style w:type="paragraph" w:styleId="18">
    <w:name w:val="Document Map"/>
    <w:basedOn w:val="1"/>
    <w:link w:val="231"/>
    <w:qFormat/>
    <w:uiPriority w:val="99"/>
    <w:pPr>
      <w:shd w:val="clear" w:color="auto" w:fill="000080"/>
    </w:pPr>
    <w:rPr>
      <w:sz w:val="24"/>
      <w:szCs w:val="20"/>
    </w:rPr>
  </w:style>
  <w:style w:type="paragraph" w:styleId="19">
    <w:name w:val="annotation text"/>
    <w:basedOn w:val="1"/>
    <w:link w:val="361"/>
    <w:qFormat/>
    <w:uiPriority w:val="99"/>
    <w:pPr>
      <w:jc w:val="left"/>
    </w:pPr>
    <w:rPr>
      <w:sz w:val="24"/>
      <w:szCs w:val="20"/>
    </w:rPr>
  </w:style>
  <w:style w:type="paragraph" w:styleId="20">
    <w:name w:val="Salutation"/>
    <w:basedOn w:val="1"/>
    <w:next w:val="1"/>
    <w:link w:val="103"/>
    <w:qFormat/>
    <w:uiPriority w:val="99"/>
    <w:rPr>
      <w:rFonts w:ascii="仿宋_GB2312" w:eastAsia="仿宋_GB2312"/>
      <w:sz w:val="28"/>
      <w:szCs w:val="20"/>
    </w:rPr>
  </w:style>
  <w:style w:type="paragraph" w:styleId="21">
    <w:name w:val="Body Text 3"/>
    <w:basedOn w:val="1"/>
    <w:unhideWhenUsed/>
    <w:qFormat/>
    <w:uiPriority w:val="99"/>
    <w:pPr>
      <w:spacing w:after="120"/>
    </w:pPr>
    <w:rPr>
      <w:sz w:val="16"/>
      <w:szCs w:val="16"/>
    </w:rPr>
  </w:style>
  <w:style w:type="paragraph" w:styleId="22">
    <w:name w:val="List Bullet 3"/>
    <w:basedOn w:val="1"/>
    <w:qFormat/>
    <w:uiPriority w:val="99"/>
    <w:pPr>
      <w:snapToGrid w:val="0"/>
      <w:spacing w:line="360" w:lineRule="auto"/>
      <w:ind w:left="360" w:right="238" w:hanging="360"/>
      <w:contextualSpacing/>
    </w:pPr>
    <w:rPr>
      <w:sz w:val="24"/>
    </w:rPr>
  </w:style>
  <w:style w:type="paragraph" w:styleId="23">
    <w:name w:val="Body Text"/>
    <w:basedOn w:val="1"/>
    <w:next w:val="24"/>
    <w:link w:val="99"/>
    <w:qFormat/>
    <w:uiPriority w:val="99"/>
    <w:pPr>
      <w:autoSpaceDE w:val="0"/>
      <w:autoSpaceDN w:val="0"/>
      <w:spacing w:line="360" w:lineRule="auto"/>
    </w:pPr>
    <w:rPr>
      <w:rFonts w:ascii="宋体" w:hAnsi="Arial" w:cs="Arial"/>
      <w:sz w:val="24"/>
      <w:szCs w:val="21"/>
      <w:lang w:val="zh-CN"/>
    </w:rPr>
  </w:style>
  <w:style w:type="paragraph" w:styleId="24">
    <w:name w:val="Body Text First Indent"/>
    <w:basedOn w:val="23"/>
    <w:next w:val="25"/>
    <w:link w:val="100"/>
    <w:qFormat/>
    <w:uiPriority w:val="99"/>
    <w:pPr>
      <w:ind w:firstLine="420"/>
    </w:pPr>
    <w:rPr>
      <w:rFonts w:hAnsi="Times New Roman" w:cs="Times New Roman"/>
      <w:szCs w:val="20"/>
    </w:rPr>
  </w:style>
  <w:style w:type="paragraph" w:styleId="25">
    <w:name w:val="toc 6"/>
    <w:basedOn w:val="1"/>
    <w:next w:val="1"/>
    <w:qFormat/>
    <w:uiPriority w:val="99"/>
    <w:pPr>
      <w:ind w:left="2100" w:leftChars="1000"/>
    </w:pPr>
  </w:style>
  <w:style w:type="paragraph" w:styleId="26">
    <w:name w:val="Body Text Indent"/>
    <w:basedOn w:val="1"/>
    <w:next w:val="1"/>
    <w:link w:val="105"/>
    <w:qFormat/>
    <w:uiPriority w:val="99"/>
    <w:pPr>
      <w:spacing w:line="480" w:lineRule="exact"/>
      <w:ind w:firstLine="480" w:firstLineChars="200"/>
    </w:pPr>
    <w:rPr>
      <w:rFonts w:ascii="宋体" w:hAnsi="宋体"/>
      <w:sz w:val="24"/>
    </w:rPr>
  </w:style>
  <w:style w:type="paragraph" w:styleId="27">
    <w:name w:val="List Number 3"/>
    <w:basedOn w:val="1"/>
    <w:qFormat/>
    <w:uiPriority w:val="99"/>
    <w:pPr>
      <w:widowControl/>
      <w:tabs>
        <w:tab w:val="left" w:pos="360"/>
        <w:tab w:val="left" w:pos="482"/>
      </w:tabs>
      <w:adjustRightInd/>
      <w:spacing w:afterLines="50"/>
      <w:ind w:left="482" w:hanging="340"/>
      <w:jc w:val="left"/>
    </w:pPr>
    <w:rPr>
      <w:kern w:val="0"/>
      <w:sz w:val="24"/>
      <w:szCs w:val="20"/>
    </w:rPr>
  </w:style>
  <w:style w:type="paragraph" w:styleId="28">
    <w:name w:val="List 2"/>
    <w:basedOn w:val="1"/>
    <w:qFormat/>
    <w:uiPriority w:val="99"/>
    <w:pPr>
      <w:adjustRightInd/>
      <w:spacing w:line="360" w:lineRule="auto"/>
      <w:ind w:left="100" w:leftChars="200" w:hanging="200" w:hangingChars="200"/>
    </w:pPr>
    <w:rPr>
      <w:rFonts w:eastAsia="微软雅黑"/>
    </w:rPr>
  </w:style>
  <w:style w:type="paragraph" w:styleId="29">
    <w:name w:val="Block Text"/>
    <w:basedOn w:val="1"/>
    <w:qFormat/>
    <w:uiPriority w:val="99"/>
    <w:pPr>
      <w:ind w:left="-359" w:leftChars="-171" w:right="-244" w:rightChars="-244" w:firstLine="501" w:firstLineChars="239"/>
    </w:pPr>
    <w:rPr>
      <w:rFonts w:ascii="仿宋_GB2312" w:eastAsia="仿宋_GB2312"/>
      <w:sz w:val="30"/>
      <w:szCs w:val="20"/>
    </w:rPr>
  </w:style>
  <w:style w:type="paragraph" w:styleId="30">
    <w:name w:val="List Bullet 2"/>
    <w:basedOn w:val="1"/>
    <w:qFormat/>
    <w:uiPriority w:val="99"/>
    <w:pPr>
      <w:autoSpaceDE w:val="0"/>
      <w:autoSpaceDN w:val="0"/>
      <w:ind w:left="420"/>
      <w:jc w:val="left"/>
    </w:pPr>
    <w:rPr>
      <w:rFonts w:ascii="宋体" w:hAnsi="宋体"/>
      <w:color w:val="000000"/>
      <w:kern w:val="0"/>
      <w:sz w:val="24"/>
      <w:szCs w:val="20"/>
    </w:rPr>
  </w:style>
  <w:style w:type="paragraph" w:styleId="31">
    <w:name w:val="HTML Address"/>
    <w:basedOn w:val="1"/>
    <w:link w:val="106"/>
    <w:qFormat/>
    <w:uiPriority w:val="99"/>
    <w:pPr>
      <w:widowControl/>
      <w:adjustRightInd/>
      <w:ind w:firstLine="200" w:firstLineChars="200"/>
      <w:jc w:val="left"/>
    </w:pPr>
    <w:rPr>
      <w:rFonts w:ascii="宋体" w:hAnsi="宋体"/>
      <w:i/>
      <w:iCs/>
      <w:kern w:val="0"/>
      <w:sz w:val="24"/>
    </w:rPr>
  </w:style>
  <w:style w:type="paragraph" w:styleId="32">
    <w:name w:val="toc 5"/>
    <w:basedOn w:val="1"/>
    <w:next w:val="1"/>
    <w:qFormat/>
    <w:uiPriority w:val="99"/>
    <w:pPr>
      <w:ind w:left="1680" w:leftChars="800"/>
    </w:pPr>
  </w:style>
  <w:style w:type="paragraph" w:styleId="33">
    <w:name w:val="toc 3"/>
    <w:basedOn w:val="1"/>
    <w:next w:val="1"/>
    <w:qFormat/>
    <w:uiPriority w:val="99"/>
    <w:pPr>
      <w:tabs>
        <w:tab w:val="right" w:leader="dot" w:pos="8268"/>
      </w:tabs>
      <w:spacing w:line="460" w:lineRule="exact"/>
      <w:ind w:left="840" w:leftChars="400" w:firstLine="482"/>
    </w:pPr>
    <w:rPr>
      <w:rFonts w:ascii="宋体" w:hAnsi="宋体"/>
    </w:rPr>
  </w:style>
  <w:style w:type="paragraph" w:styleId="34">
    <w:name w:val="Plain Text"/>
    <w:basedOn w:val="1"/>
    <w:next w:val="35"/>
    <w:link w:val="107"/>
    <w:qFormat/>
    <w:uiPriority w:val="99"/>
    <w:rPr>
      <w:rFonts w:ascii="宋体" w:hAnsi="Courier New" w:cs="Arial"/>
      <w:szCs w:val="21"/>
    </w:rPr>
  </w:style>
  <w:style w:type="paragraph" w:styleId="35">
    <w:name w:val="index 7"/>
    <w:basedOn w:val="1"/>
    <w:next w:val="1"/>
    <w:semiHidden/>
    <w:qFormat/>
    <w:locked/>
    <w:uiPriority w:val="0"/>
    <w:pPr>
      <w:ind w:left="1200" w:leftChars="1200"/>
    </w:pPr>
  </w:style>
  <w:style w:type="paragraph" w:styleId="36">
    <w:name w:val="List Number 4"/>
    <w:basedOn w:val="1"/>
    <w:qFormat/>
    <w:uiPriority w:val="99"/>
    <w:pPr>
      <w:tabs>
        <w:tab w:val="left" w:pos="840"/>
      </w:tabs>
      <w:autoSpaceDE w:val="0"/>
      <w:autoSpaceDN w:val="0"/>
      <w:spacing w:line="360" w:lineRule="atLeast"/>
      <w:ind w:left="840" w:hanging="420"/>
    </w:pPr>
    <w:rPr>
      <w:kern w:val="0"/>
      <w:sz w:val="24"/>
    </w:rPr>
  </w:style>
  <w:style w:type="paragraph" w:styleId="37">
    <w:name w:val="toc 8"/>
    <w:basedOn w:val="1"/>
    <w:next w:val="1"/>
    <w:qFormat/>
    <w:uiPriority w:val="99"/>
    <w:pPr>
      <w:ind w:left="2940" w:leftChars="1400"/>
    </w:pPr>
  </w:style>
  <w:style w:type="paragraph" w:styleId="38">
    <w:name w:val="Date"/>
    <w:basedOn w:val="1"/>
    <w:next w:val="1"/>
    <w:link w:val="108"/>
    <w:qFormat/>
    <w:uiPriority w:val="99"/>
    <w:pPr>
      <w:ind w:left="100" w:leftChars="2500"/>
    </w:pPr>
    <w:rPr>
      <w:rFonts w:ascii="宋体"/>
      <w:sz w:val="24"/>
      <w:szCs w:val="21"/>
      <w:lang w:val="zh-CN"/>
    </w:rPr>
  </w:style>
  <w:style w:type="paragraph" w:styleId="39">
    <w:name w:val="Body Text Indent 2"/>
    <w:basedOn w:val="1"/>
    <w:link w:val="109"/>
    <w:qFormat/>
    <w:uiPriority w:val="99"/>
    <w:pPr>
      <w:spacing w:line="360" w:lineRule="auto"/>
      <w:ind w:firstLine="601"/>
      <w:textAlignment w:val="baseline"/>
    </w:pPr>
    <w:rPr>
      <w:rFonts w:ascii="宋体"/>
      <w:kern w:val="0"/>
      <w:sz w:val="28"/>
      <w:szCs w:val="20"/>
    </w:rPr>
  </w:style>
  <w:style w:type="paragraph" w:styleId="40">
    <w:name w:val="endnote text"/>
    <w:basedOn w:val="1"/>
    <w:link w:val="110"/>
    <w:qFormat/>
    <w:uiPriority w:val="99"/>
    <w:rPr>
      <w:lang w:val="zh-CN"/>
    </w:rPr>
  </w:style>
  <w:style w:type="paragraph" w:styleId="41">
    <w:name w:val="Balloon Text"/>
    <w:basedOn w:val="1"/>
    <w:link w:val="217"/>
    <w:qFormat/>
    <w:uiPriority w:val="99"/>
    <w:rPr>
      <w:sz w:val="18"/>
      <w:szCs w:val="20"/>
    </w:rPr>
  </w:style>
  <w:style w:type="paragraph" w:styleId="42">
    <w:name w:val="footer"/>
    <w:basedOn w:val="1"/>
    <w:link w:val="397"/>
    <w:qFormat/>
    <w:uiPriority w:val="99"/>
    <w:pPr>
      <w:tabs>
        <w:tab w:val="center" w:pos="4153"/>
        <w:tab w:val="right" w:pos="8306"/>
      </w:tabs>
      <w:snapToGrid w:val="0"/>
      <w:jc w:val="left"/>
    </w:pPr>
    <w:rPr>
      <w:sz w:val="18"/>
      <w:szCs w:val="20"/>
    </w:rPr>
  </w:style>
  <w:style w:type="paragraph" w:styleId="43">
    <w:name w:val="envelope return"/>
    <w:basedOn w:val="1"/>
    <w:qFormat/>
    <w:locked/>
    <w:uiPriority w:val="0"/>
    <w:pPr>
      <w:snapToGrid w:val="0"/>
    </w:pPr>
    <w:rPr>
      <w:rFonts w:ascii="Arial" w:hAnsi="Arial"/>
    </w:rPr>
  </w:style>
  <w:style w:type="paragraph" w:styleId="44">
    <w:name w:val="header"/>
    <w:basedOn w:val="1"/>
    <w:link w:val="406"/>
    <w:qFormat/>
    <w:uiPriority w:val="99"/>
    <w:pPr>
      <w:pBdr>
        <w:bottom w:val="single" w:color="auto" w:sz="6" w:space="1"/>
      </w:pBdr>
      <w:tabs>
        <w:tab w:val="center" w:pos="4153"/>
        <w:tab w:val="right" w:pos="8306"/>
      </w:tabs>
      <w:snapToGrid w:val="0"/>
      <w:jc w:val="center"/>
    </w:pPr>
    <w:rPr>
      <w:sz w:val="18"/>
      <w:szCs w:val="20"/>
    </w:rPr>
  </w:style>
  <w:style w:type="paragraph" w:styleId="45">
    <w:name w:val="Signature"/>
    <w:basedOn w:val="1"/>
    <w:link w:val="114"/>
    <w:qFormat/>
    <w:uiPriority w:val="99"/>
    <w:pPr>
      <w:spacing w:after="600" w:line="312" w:lineRule="atLeast"/>
      <w:jc w:val="center"/>
      <w:textAlignment w:val="baseline"/>
    </w:pPr>
    <w:rPr>
      <w:rFonts w:eastAsia="仿宋_GB2312"/>
      <w:kern w:val="0"/>
      <w:sz w:val="24"/>
      <w:szCs w:val="20"/>
    </w:rPr>
  </w:style>
  <w:style w:type="paragraph" w:styleId="46">
    <w:name w:val="toc 1"/>
    <w:basedOn w:val="1"/>
    <w:next w:val="1"/>
    <w:qFormat/>
    <w:uiPriority w:val="99"/>
  </w:style>
  <w:style w:type="paragraph" w:styleId="47">
    <w:name w:val="toc 4"/>
    <w:basedOn w:val="1"/>
    <w:next w:val="1"/>
    <w:qFormat/>
    <w:uiPriority w:val="99"/>
    <w:pPr>
      <w:ind w:left="1260" w:leftChars="600"/>
    </w:pPr>
  </w:style>
  <w:style w:type="paragraph" w:styleId="48">
    <w:name w:val="index heading"/>
    <w:basedOn w:val="1"/>
    <w:next w:val="49"/>
    <w:qFormat/>
    <w:uiPriority w:val="99"/>
    <w:pPr>
      <w:adjustRightInd/>
      <w:ind w:firstLine="200" w:firstLineChars="200"/>
    </w:pPr>
  </w:style>
  <w:style w:type="paragraph" w:styleId="49">
    <w:name w:val="index 1"/>
    <w:basedOn w:val="1"/>
    <w:next w:val="1"/>
    <w:qFormat/>
    <w:uiPriority w:val="99"/>
    <w:pPr>
      <w:adjustRightInd/>
      <w:spacing w:line="360" w:lineRule="auto"/>
      <w:ind w:firstLine="200" w:firstLineChars="200"/>
      <w:jc w:val="center"/>
    </w:pPr>
    <w:rPr>
      <w:sz w:val="24"/>
      <w:szCs w:val="20"/>
    </w:rPr>
  </w:style>
  <w:style w:type="paragraph" w:styleId="50">
    <w:name w:val="Subtitle"/>
    <w:basedOn w:val="1"/>
    <w:link w:val="115"/>
    <w:qFormat/>
    <w:uiPriority w:val="99"/>
    <w:pPr>
      <w:widowControl/>
      <w:snapToGrid w:val="0"/>
      <w:spacing w:before="240" w:after="480"/>
      <w:jc w:val="center"/>
    </w:pPr>
    <w:rPr>
      <w:rFonts w:ascii="Arial" w:hAnsi="Arial" w:eastAsia="隶书"/>
      <w:b/>
      <w:bCs/>
      <w:kern w:val="28"/>
      <w:sz w:val="44"/>
      <w:szCs w:val="32"/>
    </w:rPr>
  </w:style>
  <w:style w:type="paragraph" w:styleId="51">
    <w:name w:val="List Number 5"/>
    <w:basedOn w:val="1"/>
    <w:qFormat/>
    <w:uiPriority w:val="99"/>
    <w:pPr>
      <w:tabs>
        <w:tab w:val="left" w:pos="902"/>
      </w:tabs>
      <w:adjustRightInd/>
      <w:spacing w:line="400" w:lineRule="exact"/>
      <w:ind w:left="902" w:hanging="420"/>
    </w:pPr>
    <w:rPr>
      <w:sz w:val="24"/>
      <w:szCs w:val="20"/>
    </w:rPr>
  </w:style>
  <w:style w:type="paragraph" w:styleId="52">
    <w:name w:val="List"/>
    <w:basedOn w:val="1"/>
    <w:qFormat/>
    <w:uiPriority w:val="99"/>
    <w:pPr>
      <w:ind w:left="200" w:hanging="200" w:hangingChars="200"/>
    </w:pPr>
  </w:style>
  <w:style w:type="paragraph" w:styleId="53">
    <w:name w:val="footnote text"/>
    <w:basedOn w:val="15"/>
    <w:link w:val="116"/>
    <w:qFormat/>
    <w:uiPriority w:val="99"/>
    <w:pPr>
      <w:adjustRightInd/>
      <w:snapToGrid/>
      <w:spacing w:before="60" w:after="60" w:line="300" w:lineRule="exact"/>
      <w:ind w:firstLine="0"/>
    </w:pPr>
    <w:rPr>
      <w:rFonts w:ascii="Times New Roman"/>
      <w:color w:val="0000FF"/>
      <w:kern w:val="0"/>
      <w:sz w:val="21"/>
    </w:rPr>
  </w:style>
  <w:style w:type="paragraph" w:styleId="54">
    <w:name w:val="List 5"/>
    <w:basedOn w:val="1"/>
    <w:qFormat/>
    <w:uiPriority w:val="99"/>
    <w:pPr>
      <w:adjustRightInd/>
      <w:ind w:left="100" w:leftChars="800" w:hanging="200" w:hangingChars="200"/>
    </w:pPr>
  </w:style>
  <w:style w:type="paragraph" w:styleId="55">
    <w:name w:val="Body Text Indent 3"/>
    <w:basedOn w:val="1"/>
    <w:link w:val="117"/>
    <w:qFormat/>
    <w:uiPriority w:val="99"/>
    <w:pPr>
      <w:spacing w:line="360" w:lineRule="auto"/>
      <w:ind w:firstLine="420"/>
    </w:pPr>
    <w:rPr>
      <w:sz w:val="24"/>
      <w:szCs w:val="20"/>
    </w:rPr>
  </w:style>
  <w:style w:type="paragraph" w:styleId="56">
    <w:name w:val="toc 2"/>
    <w:basedOn w:val="1"/>
    <w:next w:val="1"/>
    <w:qFormat/>
    <w:uiPriority w:val="99"/>
    <w:pPr>
      <w:ind w:left="420" w:leftChars="200"/>
    </w:pPr>
  </w:style>
  <w:style w:type="paragraph" w:styleId="57">
    <w:name w:val="toc 9"/>
    <w:basedOn w:val="1"/>
    <w:next w:val="1"/>
    <w:qFormat/>
    <w:uiPriority w:val="99"/>
    <w:pPr>
      <w:ind w:left="3360" w:leftChars="1600"/>
    </w:pPr>
  </w:style>
  <w:style w:type="paragraph" w:styleId="58">
    <w:name w:val="Body Text 2"/>
    <w:basedOn w:val="1"/>
    <w:link w:val="118"/>
    <w:qFormat/>
    <w:uiPriority w:val="99"/>
    <w:pPr>
      <w:spacing w:after="120" w:line="480" w:lineRule="auto"/>
    </w:pPr>
  </w:style>
  <w:style w:type="paragraph" w:styleId="59">
    <w:name w:val="HTML Preformatted"/>
    <w:basedOn w:val="1"/>
    <w:link w:val="119"/>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60">
    <w:name w:val="Normal (Web)"/>
    <w:basedOn w:val="1"/>
    <w:qFormat/>
    <w:uiPriority w:val="99"/>
    <w:pPr>
      <w:widowControl/>
      <w:spacing w:before="100" w:beforeAutospacing="1" w:after="100" w:afterAutospacing="1"/>
      <w:jc w:val="left"/>
    </w:pPr>
    <w:rPr>
      <w:rFonts w:ascii="宋体" w:hAnsi="宋体"/>
      <w:kern w:val="0"/>
      <w:sz w:val="24"/>
    </w:rPr>
  </w:style>
  <w:style w:type="paragraph" w:styleId="61">
    <w:name w:val="Title"/>
    <w:basedOn w:val="1"/>
    <w:link w:val="120"/>
    <w:qFormat/>
    <w:uiPriority w:val="99"/>
    <w:pPr>
      <w:widowControl/>
      <w:overflowPunct w:val="0"/>
      <w:autoSpaceDE w:val="0"/>
      <w:autoSpaceDN w:val="0"/>
      <w:jc w:val="center"/>
      <w:textAlignment w:val="baseline"/>
    </w:pPr>
    <w:rPr>
      <w:b/>
      <w:kern w:val="0"/>
      <w:sz w:val="24"/>
      <w:szCs w:val="20"/>
      <w:lang w:val="en-GB"/>
    </w:rPr>
  </w:style>
  <w:style w:type="paragraph" w:styleId="62">
    <w:name w:val="annotation subject"/>
    <w:basedOn w:val="19"/>
    <w:next w:val="19"/>
    <w:link w:val="121"/>
    <w:qFormat/>
    <w:uiPriority w:val="99"/>
    <w:rPr>
      <w:b/>
      <w:bCs/>
    </w:rPr>
  </w:style>
  <w:style w:type="paragraph" w:styleId="63">
    <w:name w:val="Body Text First Indent 2"/>
    <w:basedOn w:val="26"/>
    <w:link w:val="122"/>
    <w:qFormat/>
    <w:uiPriority w:val="99"/>
    <w:pPr>
      <w:adjustRightInd/>
      <w:spacing w:after="120" w:line="240" w:lineRule="auto"/>
      <w:ind w:left="420" w:leftChars="200" w:firstLine="210"/>
    </w:pPr>
    <w:rPr>
      <w:sz w:val="21"/>
    </w:rPr>
  </w:style>
  <w:style w:type="table" w:styleId="65">
    <w:name w:val="Table Grid"/>
    <w:basedOn w:val="6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6">
    <w:name w:val="Table Theme"/>
    <w:basedOn w:val="64"/>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7">
    <w:name w:val="Table Elegant"/>
    <w:basedOn w:val="64"/>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blStylePr w:type="firstRow">
      <w:rPr>
        <w:rFonts w:cs="Times New Roman"/>
        <w:caps/>
        <w:color w:val="auto"/>
      </w:rPr>
      <w:tblPr/>
      <w:tcPr>
        <w:tcBorders>
          <w:top w:val="nil"/>
          <w:left w:val="nil"/>
          <w:bottom w:val="nil"/>
          <w:right w:val="nil"/>
          <w:insideH w:val="nil"/>
          <w:insideV w:val="nil"/>
          <w:tl2br w:val="nil"/>
          <w:tr2bl w:val="nil"/>
        </w:tcBorders>
      </w:tcPr>
    </w:tblStylePr>
  </w:style>
  <w:style w:type="table" w:styleId="68">
    <w:name w:val="Table Grid 5"/>
    <w:basedOn w:val="64"/>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blStylePr w:type="firstRow">
      <w:rPr>
        <w:rFonts w:cs="Times New Roman"/>
      </w:rPr>
      <w:tblPr/>
      <w:tcPr>
        <w:tcBorders>
          <w:top w:val="nil"/>
          <w:left w:val="nil"/>
          <w:bottom w:val="single" w:color="000000" w:sz="12" w:space="0"/>
          <w:right w:val="nil"/>
          <w:insideH w:val="nil"/>
          <w:insideV w:val="nil"/>
          <w:tl2br w:val="nil"/>
          <w:tr2bl w:val="nil"/>
        </w:tcBorders>
      </w:tcPr>
    </w:tblStylePr>
    <w:tblStylePr w:type="lastRow">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69">
    <w:name w:val="Table Grid 8"/>
    <w:basedOn w:val="64"/>
    <w:qFormat/>
    <w:uiPriority w:val="99"/>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blStylePr w:type="firstRow">
      <w:rPr>
        <w:rFonts w:cs="Times New Roman"/>
        <w:b/>
        <w:bCs/>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Times New Roman"/>
        <w:b/>
        <w:bCs/>
        <w:color w:val="auto"/>
      </w:rPr>
      <w:tblPr/>
      <w:tcPr>
        <w:tcBorders>
          <w:top w:val="nil"/>
          <w:left w:val="nil"/>
          <w:bottom w:val="nil"/>
          <w:right w:val="nil"/>
          <w:insideH w:val="nil"/>
          <w:insideV w:val="nil"/>
          <w:tl2br w:val="nil"/>
          <w:tr2bl w:val="nil"/>
        </w:tcBorders>
      </w:tcPr>
    </w:tblStylePr>
    <w:tblStylePr w:type="lastCol">
      <w:rPr>
        <w:rFonts w:cs="Times New Roman"/>
        <w:b/>
        <w:bCs/>
        <w:color w:val="auto"/>
      </w:rPr>
      <w:tblPr/>
      <w:tcPr>
        <w:tcBorders>
          <w:top w:val="nil"/>
          <w:left w:val="nil"/>
          <w:bottom w:val="nil"/>
          <w:right w:val="nil"/>
          <w:insideH w:val="nil"/>
          <w:insideV w:val="nil"/>
          <w:tl2br w:val="nil"/>
          <w:tr2bl w:val="nil"/>
        </w:tcBorders>
      </w:tcPr>
    </w:tblStylePr>
  </w:style>
  <w:style w:type="table" w:styleId="70">
    <w:name w:val="Table Professional"/>
    <w:basedOn w:val="64"/>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blStylePr w:type="firstRow">
      <w:rPr>
        <w:rFonts w:cs="Times New Roman"/>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2">
    <w:name w:val="Strong"/>
    <w:basedOn w:val="71"/>
    <w:qFormat/>
    <w:uiPriority w:val="99"/>
    <w:rPr>
      <w:rFonts w:cs="Times New Roman"/>
      <w:b/>
    </w:rPr>
  </w:style>
  <w:style w:type="character" w:styleId="73">
    <w:name w:val="endnote reference"/>
    <w:basedOn w:val="71"/>
    <w:qFormat/>
    <w:uiPriority w:val="99"/>
    <w:rPr>
      <w:rFonts w:cs="Times New Roman"/>
      <w:vertAlign w:val="superscript"/>
    </w:rPr>
  </w:style>
  <w:style w:type="character" w:styleId="74">
    <w:name w:val="page number"/>
    <w:basedOn w:val="71"/>
    <w:qFormat/>
    <w:uiPriority w:val="99"/>
    <w:rPr>
      <w:rFonts w:ascii="Arial" w:hAnsi="Arial" w:eastAsia="黑体" w:cs="Arial"/>
      <w:snapToGrid w:val="0"/>
      <w:kern w:val="0"/>
      <w:sz w:val="21"/>
      <w:szCs w:val="21"/>
    </w:rPr>
  </w:style>
  <w:style w:type="character" w:styleId="75">
    <w:name w:val="FollowedHyperlink"/>
    <w:basedOn w:val="71"/>
    <w:qFormat/>
    <w:uiPriority w:val="99"/>
    <w:rPr>
      <w:rFonts w:ascii="Arial" w:hAnsi="Arial" w:eastAsia="黑体" w:cs="Times New Roman"/>
      <w:snapToGrid w:val="0"/>
      <w:color w:val="000000"/>
      <w:kern w:val="0"/>
      <w:sz w:val="18"/>
      <w:u w:val="none"/>
    </w:rPr>
  </w:style>
  <w:style w:type="character" w:styleId="76">
    <w:name w:val="Emphasis"/>
    <w:basedOn w:val="71"/>
    <w:qFormat/>
    <w:uiPriority w:val="99"/>
    <w:rPr>
      <w:rFonts w:cs="Times New Roman"/>
      <w:color w:val="CC0033"/>
    </w:rPr>
  </w:style>
  <w:style w:type="character" w:styleId="77">
    <w:name w:val="line number"/>
    <w:basedOn w:val="71"/>
    <w:qFormat/>
    <w:uiPriority w:val="99"/>
    <w:rPr>
      <w:rFonts w:ascii="Arial" w:hAnsi="Arial" w:eastAsia="黑体" w:cs="Arial"/>
      <w:snapToGrid w:val="0"/>
      <w:kern w:val="0"/>
      <w:sz w:val="21"/>
      <w:szCs w:val="21"/>
    </w:rPr>
  </w:style>
  <w:style w:type="character" w:styleId="78">
    <w:name w:val="Hyperlink"/>
    <w:basedOn w:val="71"/>
    <w:qFormat/>
    <w:uiPriority w:val="99"/>
    <w:rPr>
      <w:rFonts w:ascii="Arial" w:hAnsi="Arial" w:eastAsia="黑体" w:cs="Times New Roman"/>
      <w:snapToGrid w:val="0"/>
      <w:color w:val="000000"/>
      <w:kern w:val="0"/>
      <w:sz w:val="18"/>
      <w:u w:val="none"/>
    </w:rPr>
  </w:style>
  <w:style w:type="character" w:styleId="79">
    <w:name w:val="HTML Code"/>
    <w:basedOn w:val="71"/>
    <w:qFormat/>
    <w:uiPriority w:val="99"/>
    <w:rPr>
      <w:rFonts w:ascii="黑体" w:hAnsi="Courier New" w:eastAsia="黑体" w:cs="Times New Roman"/>
      <w:sz w:val="20"/>
    </w:rPr>
  </w:style>
  <w:style w:type="character" w:styleId="80">
    <w:name w:val="annotation reference"/>
    <w:basedOn w:val="71"/>
    <w:qFormat/>
    <w:uiPriority w:val="99"/>
    <w:rPr>
      <w:rFonts w:cs="Times New Roman"/>
      <w:sz w:val="21"/>
    </w:rPr>
  </w:style>
  <w:style w:type="character" w:styleId="81">
    <w:name w:val="HTML Sample"/>
    <w:basedOn w:val="71"/>
    <w:semiHidden/>
    <w:unhideWhenUsed/>
    <w:qFormat/>
    <w:locked/>
    <w:uiPriority w:val="99"/>
    <w:rPr>
      <w:rFonts w:ascii="Courier New" w:hAnsi="Courier New"/>
    </w:rPr>
  </w:style>
  <w:style w:type="paragraph" w:customStyle="1" w:styleId="82">
    <w:name w:val="Body Text First Indent 21"/>
    <w:basedOn w:val="83"/>
    <w:qFormat/>
    <w:uiPriority w:val="0"/>
    <w:pPr>
      <w:adjustRightInd/>
      <w:ind w:firstLine="420"/>
    </w:pPr>
    <w:rPr>
      <w:rFonts w:cs="宋体" w:asciiTheme="minorHAnsi" w:hAnsiTheme="minorHAnsi" w:eastAsiaTheme="minorEastAsia"/>
    </w:rPr>
  </w:style>
  <w:style w:type="paragraph" w:customStyle="1" w:styleId="83">
    <w:name w:val="Body Text Indent1"/>
    <w:basedOn w:val="1"/>
    <w:next w:val="1"/>
    <w:qFormat/>
    <w:uiPriority w:val="0"/>
    <w:pPr>
      <w:ind w:left="420" w:leftChars="200"/>
    </w:pPr>
  </w:style>
  <w:style w:type="paragraph" w:customStyle="1" w:styleId="84">
    <w:name w:val="xl53"/>
    <w:basedOn w:val="1"/>
    <w:next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sz w:val="20"/>
    </w:rPr>
  </w:style>
  <w:style w:type="paragraph" w:customStyle="1" w:styleId="85">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86">
    <w:name w:val="表格文字"/>
    <w:basedOn w:val="34"/>
    <w:next w:val="23"/>
    <w:qFormat/>
    <w:uiPriority w:val="99"/>
    <w:pPr>
      <w:adjustRightInd/>
      <w:ind w:firstLine="200" w:firstLineChars="200"/>
    </w:pPr>
    <w:rPr>
      <w:rFonts w:ascii="Arial" w:hAnsi="Arial"/>
      <w:spacing w:val="-5"/>
      <w:kern w:val="0"/>
      <w:sz w:val="24"/>
      <w:szCs w:val="20"/>
    </w:rPr>
  </w:style>
  <w:style w:type="paragraph" w:customStyle="1" w:styleId="87">
    <w:name w:val="表格文字（两侧对齐）"/>
    <w:basedOn w:val="1"/>
    <w:qFormat/>
    <w:uiPriority w:val="0"/>
    <w:pPr>
      <w:snapToGrid w:val="0"/>
    </w:pPr>
    <w:rPr>
      <w:sz w:val="20"/>
    </w:rPr>
  </w:style>
  <w:style w:type="paragraph" w:customStyle="1" w:styleId="88">
    <w:name w:val="表格"/>
    <w:basedOn w:val="1"/>
    <w:qFormat/>
    <w:uiPriority w:val="99"/>
    <w:pPr>
      <w:snapToGrid w:val="0"/>
      <w:ind w:firstLine="42" w:firstLineChars="21"/>
    </w:pPr>
    <w:rPr>
      <w:rFonts w:ascii="宋体" w:hAnsi="宋体"/>
      <w:kern w:val="0"/>
      <w:sz w:val="20"/>
      <w:szCs w:val="20"/>
    </w:rPr>
  </w:style>
  <w:style w:type="paragraph" w:customStyle="1" w:styleId="89">
    <w:name w:val="Body Text 31"/>
    <w:basedOn w:val="1"/>
    <w:qFormat/>
    <w:uiPriority w:val="0"/>
    <w:rPr>
      <w:sz w:val="16"/>
      <w:szCs w:val="16"/>
    </w:rPr>
  </w:style>
  <w:style w:type="character" w:customStyle="1" w:styleId="90">
    <w:name w:val="Heading 1 Char"/>
    <w:basedOn w:val="71"/>
    <w:link w:val="2"/>
    <w:qFormat/>
    <w:locked/>
    <w:uiPriority w:val="99"/>
    <w:rPr>
      <w:rFonts w:ascii="Times New Roman" w:hAnsi="Times New Roman" w:eastAsia="黑体" w:cs="Times New Roman"/>
      <w:b/>
      <w:kern w:val="0"/>
      <w:sz w:val="24"/>
    </w:rPr>
  </w:style>
  <w:style w:type="character" w:customStyle="1" w:styleId="91">
    <w:name w:val="标题 2 Char1"/>
    <w:basedOn w:val="71"/>
    <w:link w:val="3"/>
    <w:semiHidden/>
    <w:qFormat/>
    <w:locked/>
    <w:uiPriority w:val="99"/>
    <w:rPr>
      <w:rFonts w:ascii="Cambria" w:hAnsi="Cambria" w:eastAsia="宋体" w:cs="Times New Roman"/>
      <w:b/>
      <w:bCs/>
      <w:sz w:val="32"/>
      <w:szCs w:val="32"/>
    </w:rPr>
  </w:style>
  <w:style w:type="character" w:customStyle="1" w:styleId="92">
    <w:name w:val="标题 3 Char"/>
    <w:basedOn w:val="71"/>
    <w:link w:val="4"/>
    <w:semiHidden/>
    <w:qFormat/>
    <w:locked/>
    <w:uiPriority w:val="99"/>
    <w:rPr>
      <w:rFonts w:cs="Times New Roman"/>
      <w:b/>
      <w:bCs/>
      <w:sz w:val="32"/>
      <w:szCs w:val="32"/>
    </w:rPr>
  </w:style>
  <w:style w:type="character" w:customStyle="1" w:styleId="93">
    <w:name w:val="标题 4 Char2"/>
    <w:basedOn w:val="71"/>
    <w:link w:val="5"/>
    <w:qFormat/>
    <w:locked/>
    <w:uiPriority w:val="99"/>
    <w:rPr>
      <w:rFonts w:ascii="Arial" w:hAnsi="Arial" w:eastAsia="黑体" w:cs="Times New Roman"/>
      <w:b/>
      <w:kern w:val="2"/>
      <w:sz w:val="28"/>
      <w:lang w:val="zh-CN"/>
    </w:rPr>
  </w:style>
  <w:style w:type="character" w:customStyle="1" w:styleId="94">
    <w:name w:val="标题 5 Char"/>
    <w:basedOn w:val="71"/>
    <w:link w:val="6"/>
    <w:qFormat/>
    <w:locked/>
    <w:uiPriority w:val="99"/>
    <w:rPr>
      <w:rFonts w:cs="Times New Roman"/>
      <w:b/>
      <w:kern w:val="2"/>
      <w:sz w:val="28"/>
    </w:rPr>
  </w:style>
  <w:style w:type="character" w:customStyle="1" w:styleId="95">
    <w:name w:val="标题 6 Char"/>
    <w:basedOn w:val="71"/>
    <w:link w:val="7"/>
    <w:qFormat/>
    <w:locked/>
    <w:uiPriority w:val="99"/>
    <w:rPr>
      <w:rFonts w:ascii="Arial" w:hAnsi="Arial" w:eastAsia="黑体" w:cs="Times New Roman"/>
      <w:b/>
      <w:kern w:val="2"/>
      <w:sz w:val="24"/>
    </w:rPr>
  </w:style>
  <w:style w:type="character" w:customStyle="1" w:styleId="96">
    <w:name w:val="Heading 7 Char"/>
    <w:basedOn w:val="71"/>
    <w:link w:val="8"/>
    <w:qFormat/>
    <w:locked/>
    <w:uiPriority w:val="99"/>
    <w:rPr>
      <w:rFonts w:ascii="宋体" w:hAnsi="宋体" w:eastAsia="宋体" w:cs="Times New Roman"/>
      <w:b/>
      <w:kern w:val="2"/>
      <w:sz w:val="24"/>
      <w:lang w:val="en-US" w:eastAsia="zh-CN"/>
    </w:rPr>
  </w:style>
  <w:style w:type="character" w:customStyle="1" w:styleId="97">
    <w:name w:val="标题 8 Char"/>
    <w:basedOn w:val="71"/>
    <w:link w:val="9"/>
    <w:qFormat/>
    <w:locked/>
    <w:uiPriority w:val="99"/>
    <w:rPr>
      <w:rFonts w:ascii="Arial" w:hAnsi="Arial" w:eastAsia="黑体" w:cs="Times New Roman"/>
      <w:kern w:val="2"/>
      <w:sz w:val="24"/>
    </w:rPr>
  </w:style>
  <w:style w:type="character" w:customStyle="1" w:styleId="98">
    <w:name w:val="标题 9 Char"/>
    <w:basedOn w:val="71"/>
    <w:link w:val="10"/>
    <w:qFormat/>
    <w:locked/>
    <w:uiPriority w:val="99"/>
    <w:rPr>
      <w:rFonts w:ascii="Arial" w:hAnsi="Arial" w:eastAsia="黑体" w:cs="Times New Roman"/>
      <w:kern w:val="2"/>
      <w:sz w:val="21"/>
    </w:rPr>
  </w:style>
  <w:style w:type="character" w:customStyle="1" w:styleId="99">
    <w:name w:val="正文文本 Char1"/>
    <w:basedOn w:val="71"/>
    <w:link w:val="23"/>
    <w:qFormat/>
    <w:locked/>
    <w:uiPriority w:val="99"/>
    <w:rPr>
      <w:rFonts w:ascii="宋体" w:hAnsi="Arial" w:eastAsia="宋体" w:cs="Times New Roman"/>
      <w:snapToGrid w:val="0"/>
      <w:kern w:val="2"/>
      <w:sz w:val="21"/>
      <w:lang w:val="zh-CN" w:eastAsia="zh-CN"/>
    </w:rPr>
  </w:style>
  <w:style w:type="character" w:customStyle="1" w:styleId="100">
    <w:name w:val="正文首行缩进 Char"/>
    <w:basedOn w:val="99"/>
    <w:link w:val="24"/>
    <w:qFormat/>
    <w:locked/>
    <w:uiPriority w:val="99"/>
    <w:rPr>
      <w:sz w:val="24"/>
    </w:rPr>
  </w:style>
  <w:style w:type="character" w:customStyle="1" w:styleId="101">
    <w:name w:val="Document Map Char"/>
    <w:basedOn w:val="71"/>
    <w:link w:val="18"/>
    <w:qFormat/>
    <w:locked/>
    <w:uiPriority w:val="99"/>
    <w:rPr>
      <w:rFonts w:eastAsia="宋体" w:cs="Times New Roman"/>
      <w:kern w:val="2"/>
      <w:sz w:val="24"/>
      <w:lang w:val="en-US" w:eastAsia="zh-CN"/>
    </w:rPr>
  </w:style>
  <w:style w:type="character" w:customStyle="1" w:styleId="102">
    <w:name w:val="Comment Text Char"/>
    <w:basedOn w:val="71"/>
    <w:link w:val="19"/>
    <w:qFormat/>
    <w:locked/>
    <w:uiPriority w:val="99"/>
    <w:rPr>
      <w:rFonts w:ascii="宋体" w:hAnsi="宋体" w:eastAsia="宋体" w:cs="Times New Roman"/>
      <w:kern w:val="2"/>
      <w:sz w:val="24"/>
      <w:lang w:val="en-US" w:eastAsia="zh-CN"/>
    </w:rPr>
  </w:style>
  <w:style w:type="character" w:customStyle="1" w:styleId="103">
    <w:name w:val="称呼 Char"/>
    <w:basedOn w:val="71"/>
    <w:link w:val="20"/>
    <w:qFormat/>
    <w:locked/>
    <w:uiPriority w:val="99"/>
    <w:rPr>
      <w:rFonts w:ascii="仿宋_GB2312" w:eastAsia="仿宋_GB2312" w:cs="Times New Roman"/>
      <w:kern w:val="2"/>
      <w:sz w:val="28"/>
    </w:rPr>
  </w:style>
  <w:style w:type="character" w:customStyle="1" w:styleId="104">
    <w:name w:val="Body Text 3 Char"/>
    <w:basedOn w:val="71"/>
    <w:qFormat/>
    <w:locked/>
    <w:uiPriority w:val="99"/>
    <w:rPr>
      <w:rFonts w:cs="Times New Roman"/>
      <w:kern w:val="2"/>
      <w:sz w:val="21"/>
    </w:rPr>
  </w:style>
  <w:style w:type="character" w:customStyle="1" w:styleId="105">
    <w:name w:val="正文文本缩进 Char3"/>
    <w:basedOn w:val="71"/>
    <w:link w:val="26"/>
    <w:qFormat/>
    <w:locked/>
    <w:uiPriority w:val="99"/>
    <w:rPr>
      <w:rFonts w:ascii="宋体" w:eastAsia="宋体" w:cs="Times New Roman"/>
      <w:kern w:val="2"/>
      <w:sz w:val="24"/>
    </w:rPr>
  </w:style>
  <w:style w:type="character" w:customStyle="1" w:styleId="106">
    <w:name w:val="HTML 地址 Char"/>
    <w:basedOn w:val="71"/>
    <w:link w:val="31"/>
    <w:qFormat/>
    <w:locked/>
    <w:uiPriority w:val="99"/>
    <w:rPr>
      <w:rFonts w:ascii="宋体" w:eastAsia="宋体" w:cs="Times New Roman"/>
      <w:i/>
      <w:sz w:val="24"/>
    </w:rPr>
  </w:style>
  <w:style w:type="character" w:customStyle="1" w:styleId="107">
    <w:name w:val="纯文本 Char"/>
    <w:basedOn w:val="71"/>
    <w:link w:val="34"/>
    <w:qFormat/>
    <w:locked/>
    <w:uiPriority w:val="99"/>
    <w:rPr>
      <w:rFonts w:ascii="宋体" w:hAnsi="Courier New" w:eastAsia="宋体" w:cs="Times New Roman"/>
      <w:snapToGrid w:val="0"/>
      <w:kern w:val="2"/>
      <w:sz w:val="21"/>
      <w:lang w:val="en-US" w:eastAsia="zh-CN"/>
    </w:rPr>
  </w:style>
  <w:style w:type="character" w:customStyle="1" w:styleId="108">
    <w:name w:val="日期 Char"/>
    <w:basedOn w:val="71"/>
    <w:link w:val="38"/>
    <w:qFormat/>
    <w:locked/>
    <w:uiPriority w:val="99"/>
    <w:rPr>
      <w:rFonts w:ascii="宋体" w:cs="Times New Roman"/>
      <w:kern w:val="2"/>
      <w:sz w:val="21"/>
      <w:lang w:val="zh-CN"/>
    </w:rPr>
  </w:style>
  <w:style w:type="character" w:customStyle="1" w:styleId="109">
    <w:name w:val="正文文本缩进 2 Char"/>
    <w:basedOn w:val="71"/>
    <w:link w:val="39"/>
    <w:qFormat/>
    <w:locked/>
    <w:uiPriority w:val="99"/>
    <w:rPr>
      <w:rFonts w:ascii="宋体" w:cs="Times New Roman"/>
      <w:sz w:val="28"/>
    </w:rPr>
  </w:style>
  <w:style w:type="character" w:customStyle="1" w:styleId="110">
    <w:name w:val="尾注文本 Char"/>
    <w:basedOn w:val="71"/>
    <w:link w:val="40"/>
    <w:qFormat/>
    <w:locked/>
    <w:uiPriority w:val="99"/>
    <w:rPr>
      <w:rFonts w:cs="Times New Roman"/>
      <w:kern w:val="2"/>
      <w:sz w:val="24"/>
      <w:lang w:val="zh-CN"/>
    </w:rPr>
  </w:style>
  <w:style w:type="character" w:customStyle="1" w:styleId="111">
    <w:name w:val="Balloon Text Char"/>
    <w:basedOn w:val="71"/>
    <w:link w:val="41"/>
    <w:qFormat/>
    <w:locked/>
    <w:uiPriority w:val="99"/>
    <w:rPr>
      <w:rFonts w:eastAsia="宋体" w:cs="Times New Roman"/>
      <w:kern w:val="2"/>
      <w:sz w:val="18"/>
      <w:lang w:val="en-US" w:eastAsia="zh-CN"/>
    </w:rPr>
  </w:style>
  <w:style w:type="character" w:customStyle="1" w:styleId="112">
    <w:name w:val="Footer Char"/>
    <w:basedOn w:val="71"/>
    <w:link w:val="42"/>
    <w:qFormat/>
    <w:locked/>
    <w:uiPriority w:val="99"/>
    <w:rPr>
      <w:rFonts w:eastAsia="宋体" w:cs="Times New Roman"/>
      <w:kern w:val="2"/>
      <w:sz w:val="18"/>
      <w:lang w:val="en-US" w:eastAsia="zh-CN"/>
    </w:rPr>
  </w:style>
  <w:style w:type="character" w:customStyle="1" w:styleId="113">
    <w:name w:val="Header Char"/>
    <w:basedOn w:val="71"/>
    <w:link w:val="44"/>
    <w:qFormat/>
    <w:locked/>
    <w:uiPriority w:val="99"/>
    <w:rPr>
      <w:rFonts w:eastAsia="宋体" w:cs="Times New Roman"/>
      <w:kern w:val="2"/>
      <w:sz w:val="18"/>
      <w:lang w:val="en-US" w:eastAsia="zh-CN"/>
    </w:rPr>
  </w:style>
  <w:style w:type="character" w:customStyle="1" w:styleId="114">
    <w:name w:val="签名 Char"/>
    <w:basedOn w:val="71"/>
    <w:link w:val="45"/>
    <w:qFormat/>
    <w:locked/>
    <w:uiPriority w:val="99"/>
    <w:rPr>
      <w:rFonts w:eastAsia="仿宋_GB2312" w:cs="Times New Roman"/>
      <w:sz w:val="24"/>
    </w:rPr>
  </w:style>
  <w:style w:type="character" w:customStyle="1" w:styleId="115">
    <w:name w:val="副标题 Char"/>
    <w:basedOn w:val="71"/>
    <w:link w:val="50"/>
    <w:qFormat/>
    <w:locked/>
    <w:uiPriority w:val="99"/>
    <w:rPr>
      <w:rFonts w:ascii="Arial" w:hAnsi="Arial" w:eastAsia="隶书" w:cs="Times New Roman"/>
      <w:b/>
      <w:kern w:val="28"/>
      <w:sz w:val="32"/>
      <w:lang w:val="en-US" w:eastAsia="zh-CN"/>
    </w:rPr>
  </w:style>
  <w:style w:type="character" w:customStyle="1" w:styleId="116">
    <w:name w:val="脚注文本 Char"/>
    <w:basedOn w:val="71"/>
    <w:link w:val="53"/>
    <w:qFormat/>
    <w:locked/>
    <w:uiPriority w:val="99"/>
    <w:rPr>
      <w:rFonts w:cs="Times New Roman"/>
      <w:color w:val="0000FF"/>
      <w:sz w:val="21"/>
    </w:rPr>
  </w:style>
  <w:style w:type="character" w:customStyle="1" w:styleId="117">
    <w:name w:val="正文文本缩进 3 Char"/>
    <w:basedOn w:val="71"/>
    <w:link w:val="55"/>
    <w:qFormat/>
    <w:locked/>
    <w:uiPriority w:val="99"/>
    <w:rPr>
      <w:rFonts w:cs="Times New Roman"/>
      <w:kern w:val="2"/>
      <w:sz w:val="24"/>
    </w:rPr>
  </w:style>
  <w:style w:type="character" w:customStyle="1" w:styleId="118">
    <w:name w:val="正文文本 2 Char1"/>
    <w:basedOn w:val="71"/>
    <w:link w:val="58"/>
    <w:qFormat/>
    <w:locked/>
    <w:uiPriority w:val="99"/>
    <w:rPr>
      <w:rFonts w:cs="Times New Roman"/>
      <w:kern w:val="2"/>
      <w:sz w:val="24"/>
    </w:rPr>
  </w:style>
  <w:style w:type="character" w:customStyle="1" w:styleId="119">
    <w:name w:val="HTML 预设格式 Char"/>
    <w:basedOn w:val="71"/>
    <w:link w:val="59"/>
    <w:qFormat/>
    <w:locked/>
    <w:uiPriority w:val="99"/>
    <w:rPr>
      <w:rFonts w:ascii="黑体" w:hAnsi="Courier New" w:eastAsia="黑体" w:cs="Times New Roman"/>
    </w:rPr>
  </w:style>
  <w:style w:type="character" w:customStyle="1" w:styleId="120">
    <w:name w:val="标题 Char2"/>
    <w:basedOn w:val="71"/>
    <w:link w:val="61"/>
    <w:qFormat/>
    <w:locked/>
    <w:uiPriority w:val="99"/>
    <w:rPr>
      <w:rFonts w:cs="Times New Roman"/>
      <w:b/>
      <w:sz w:val="24"/>
      <w:lang w:val="en-GB"/>
    </w:rPr>
  </w:style>
  <w:style w:type="character" w:customStyle="1" w:styleId="121">
    <w:name w:val="批注主题 Char1"/>
    <w:basedOn w:val="102"/>
    <w:link w:val="62"/>
    <w:qFormat/>
    <w:locked/>
    <w:uiPriority w:val="99"/>
    <w:rPr>
      <w:b/>
    </w:rPr>
  </w:style>
  <w:style w:type="character" w:customStyle="1" w:styleId="122">
    <w:name w:val="正文首行缩进 2 Char"/>
    <w:basedOn w:val="105"/>
    <w:link w:val="63"/>
    <w:qFormat/>
    <w:locked/>
    <w:uiPriority w:val="99"/>
  </w:style>
  <w:style w:type="character" w:customStyle="1" w:styleId="123">
    <w:name w:val="表格非标题文字 Char"/>
    <w:link w:val="124"/>
    <w:qFormat/>
    <w:locked/>
    <w:uiPriority w:val="99"/>
    <w:rPr>
      <w:rFonts w:ascii="Futura Bk" w:hAnsi="Futura Bk"/>
      <w:kern w:val="2"/>
      <w:sz w:val="21"/>
      <w:lang w:val="en-US" w:eastAsia="zh-CN"/>
    </w:rPr>
  </w:style>
  <w:style w:type="paragraph" w:customStyle="1" w:styleId="124">
    <w:name w:val="表格非标题文字"/>
    <w:link w:val="123"/>
    <w:qFormat/>
    <w:uiPriority w:val="99"/>
    <w:pPr>
      <w:snapToGrid w:val="0"/>
      <w:spacing w:before="80" w:after="40"/>
    </w:pPr>
    <w:rPr>
      <w:rFonts w:ascii="Futura Bk" w:hAnsi="Futura Bk" w:eastAsia="宋体" w:cs="Times New Roman"/>
      <w:kern w:val="2"/>
      <w:sz w:val="18"/>
      <w:szCs w:val="21"/>
      <w:lang w:val="en-US" w:eastAsia="zh-CN" w:bidi="ar-SA"/>
    </w:rPr>
  </w:style>
  <w:style w:type="character" w:customStyle="1" w:styleId="125">
    <w:name w:val="*正文 Char"/>
    <w:link w:val="126"/>
    <w:qFormat/>
    <w:locked/>
    <w:uiPriority w:val="99"/>
    <w:rPr>
      <w:rFonts w:ascii="宋体" w:eastAsia="宋体"/>
      <w:sz w:val="24"/>
    </w:rPr>
  </w:style>
  <w:style w:type="paragraph" w:customStyle="1" w:styleId="126">
    <w:name w:val="*正文"/>
    <w:basedOn w:val="1"/>
    <w:link w:val="125"/>
    <w:qFormat/>
    <w:uiPriority w:val="99"/>
    <w:pPr>
      <w:snapToGrid w:val="0"/>
      <w:spacing w:line="360" w:lineRule="auto"/>
      <w:ind w:firstLine="482"/>
      <w:jc w:val="left"/>
    </w:pPr>
    <w:rPr>
      <w:rFonts w:ascii="宋体"/>
      <w:kern w:val="0"/>
      <w:sz w:val="24"/>
      <w:szCs w:val="20"/>
    </w:rPr>
  </w:style>
  <w:style w:type="character" w:customStyle="1" w:styleId="127">
    <w:name w:val="Char Char71"/>
    <w:semiHidden/>
    <w:qFormat/>
    <w:uiPriority w:val="99"/>
    <w:rPr>
      <w:rFonts w:eastAsia="宋体"/>
      <w:kern w:val="2"/>
      <w:sz w:val="24"/>
      <w:lang w:val="en-US" w:eastAsia="zh-CN"/>
    </w:rPr>
  </w:style>
  <w:style w:type="character" w:customStyle="1" w:styleId="128">
    <w:name w:val="Char Char6"/>
    <w:qFormat/>
    <w:uiPriority w:val="99"/>
    <w:rPr>
      <w:rFonts w:eastAsia="宋体"/>
      <w:kern w:val="2"/>
      <w:sz w:val="24"/>
      <w:lang w:val="en-US" w:eastAsia="zh-CN"/>
    </w:rPr>
  </w:style>
  <w:style w:type="character" w:customStyle="1" w:styleId="129">
    <w:name w:val="正文缩进 Char"/>
    <w:qFormat/>
    <w:uiPriority w:val="99"/>
    <w:rPr>
      <w:rFonts w:eastAsia="宋体"/>
      <w:kern w:val="2"/>
      <w:sz w:val="21"/>
      <w:lang w:val="en-US" w:eastAsia="zh-CN"/>
    </w:rPr>
  </w:style>
  <w:style w:type="character" w:customStyle="1" w:styleId="130">
    <w:name w:val="正文首行缩进 Char1"/>
    <w:qFormat/>
    <w:uiPriority w:val="99"/>
    <w:rPr>
      <w:rFonts w:ascii="宋体" w:hAnsi="Times New Roman" w:eastAsia="宋体"/>
      <w:snapToGrid w:val="0"/>
      <w:kern w:val="2"/>
      <w:sz w:val="21"/>
      <w:lang w:val="zh-CN"/>
    </w:rPr>
  </w:style>
  <w:style w:type="character" w:customStyle="1" w:styleId="131">
    <w:name w:val="Char Char28"/>
    <w:qFormat/>
    <w:uiPriority w:val="99"/>
    <w:rPr>
      <w:rFonts w:ascii="仿宋_GB2312" w:hAnsi="仿宋_GB2312" w:eastAsia="仿宋_GB2312"/>
      <w:kern w:val="1"/>
      <w:sz w:val="28"/>
    </w:rPr>
  </w:style>
  <w:style w:type="character" w:customStyle="1" w:styleId="132">
    <w:name w:val="标题 3 Char1"/>
    <w:qFormat/>
    <w:uiPriority w:val="99"/>
    <w:rPr>
      <w:rFonts w:ascii="华文中宋" w:hAnsi="华文中宋" w:eastAsia="华文中宋"/>
      <w:b/>
      <w:kern w:val="2"/>
      <w:sz w:val="32"/>
      <w:lang w:val="en-US" w:eastAsia="zh-CN"/>
    </w:rPr>
  </w:style>
  <w:style w:type="character" w:customStyle="1" w:styleId="133">
    <w:name w:val="U_正文 Char"/>
    <w:link w:val="134"/>
    <w:qFormat/>
    <w:locked/>
    <w:uiPriority w:val="99"/>
    <w:rPr>
      <w:sz w:val="24"/>
    </w:rPr>
  </w:style>
  <w:style w:type="paragraph" w:customStyle="1" w:styleId="134">
    <w:name w:val="U_正文"/>
    <w:basedOn w:val="1"/>
    <w:link w:val="133"/>
    <w:qFormat/>
    <w:uiPriority w:val="99"/>
    <w:pPr>
      <w:adjustRightInd/>
      <w:spacing w:beforeLines="20" w:afterLines="20" w:line="300" w:lineRule="auto"/>
      <w:ind w:firstLine="200" w:firstLineChars="200"/>
    </w:pPr>
    <w:rPr>
      <w:kern w:val="0"/>
      <w:sz w:val="24"/>
      <w:szCs w:val="20"/>
    </w:rPr>
  </w:style>
  <w:style w:type="character" w:customStyle="1" w:styleId="135">
    <w:name w:val="HTML 地址 Char1"/>
    <w:qFormat/>
    <w:uiPriority w:val="99"/>
    <w:rPr>
      <w:rFonts w:ascii="Times New Roman" w:hAnsi="Times New Roman" w:eastAsia="宋体"/>
      <w:i/>
      <w:sz w:val="24"/>
    </w:rPr>
  </w:style>
  <w:style w:type="character" w:customStyle="1" w:styleId="136">
    <w:name w:val="Char Char51"/>
    <w:qFormat/>
    <w:uiPriority w:val="99"/>
    <w:rPr>
      <w:rFonts w:ascii="宋体" w:hAnsi="Courier New" w:eastAsia="宋体"/>
      <w:kern w:val="2"/>
      <w:sz w:val="21"/>
      <w:lang w:val="en-US" w:eastAsia="zh-CN"/>
    </w:rPr>
  </w:style>
  <w:style w:type="character" w:customStyle="1" w:styleId="137">
    <w:name w:val="表正文 Char"/>
    <w:qFormat/>
    <w:uiPriority w:val="99"/>
    <w:rPr>
      <w:rFonts w:ascii="宋体" w:eastAsia="宋体"/>
      <w:snapToGrid w:val="0"/>
      <w:color w:val="000000"/>
      <w:kern w:val="28"/>
      <w:sz w:val="28"/>
      <w:lang w:val="en-US" w:eastAsia="zh-CN"/>
    </w:rPr>
  </w:style>
  <w:style w:type="character" w:customStyle="1" w:styleId="138">
    <w:name w:val="Char Char34"/>
    <w:qFormat/>
    <w:uiPriority w:val="99"/>
    <w:rPr>
      <w:b/>
      <w:kern w:val="1"/>
      <w:sz w:val="28"/>
    </w:rPr>
  </w:style>
  <w:style w:type="character" w:customStyle="1" w:styleId="139">
    <w:name w:val="Normal Indent Char"/>
    <w:qFormat/>
    <w:locked/>
    <w:uiPriority w:val="99"/>
    <w:rPr>
      <w:rFonts w:ascii="Calibri" w:hAnsi="Calibri" w:eastAsia="宋体"/>
      <w:snapToGrid w:val="0"/>
      <w:kern w:val="2"/>
      <w:sz w:val="22"/>
      <w:lang w:val="en-US" w:eastAsia="zh-CN"/>
    </w:rPr>
  </w:style>
  <w:style w:type="character" w:customStyle="1" w:styleId="140">
    <w:name w:val="哈哈正文 Char"/>
    <w:link w:val="141"/>
    <w:qFormat/>
    <w:locked/>
    <w:uiPriority w:val="99"/>
    <w:rPr>
      <w:rFonts w:ascii="宋体" w:hAnsi="宋体" w:eastAsia="宋体"/>
      <w:kern w:val="2"/>
      <w:sz w:val="24"/>
    </w:rPr>
  </w:style>
  <w:style w:type="paragraph" w:customStyle="1" w:styleId="141">
    <w:name w:val="哈哈正文"/>
    <w:basedOn w:val="1"/>
    <w:link w:val="140"/>
    <w:qFormat/>
    <w:uiPriority w:val="99"/>
    <w:pPr>
      <w:adjustRightInd/>
      <w:spacing w:line="360" w:lineRule="auto"/>
      <w:ind w:firstLine="200" w:firstLineChars="200"/>
    </w:pPr>
    <w:rPr>
      <w:rFonts w:ascii="宋体" w:hAnsi="宋体"/>
      <w:sz w:val="24"/>
      <w:szCs w:val="20"/>
    </w:rPr>
  </w:style>
  <w:style w:type="character" w:customStyle="1" w:styleId="142">
    <w:name w:val="未处理的提及1"/>
    <w:qFormat/>
    <w:uiPriority w:val="99"/>
    <w:rPr>
      <w:color w:val="808080"/>
      <w:shd w:val="clear" w:color="auto" w:fill="E6E6E6"/>
    </w:rPr>
  </w:style>
  <w:style w:type="character" w:customStyle="1" w:styleId="143">
    <w:name w:val="txt"/>
    <w:qFormat/>
    <w:uiPriority w:val="99"/>
    <w:rPr>
      <w:rFonts w:ascii="仿宋_GB2312" w:eastAsia="微软雅黑"/>
      <w:b/>
      <w:kern w:val="2"/>
      <w:sz w:val="32"/>
      <w:lang w:val="en-US" w:eastAsia="zh-CN"/>
    </w:rPr>
  </w:style>
  <w:style w:type="character" w:customStyle="1" w:styleId="144">
    <w:name w:val="二级标题 Char Char"/>
    <w:qFormat/>
    <w:uiPriority w:val="99"/>
    <w:rPr>
      <w:rFonts w:ascii="宋体" w:hAnsi="宋体" w:eastAsia="宋体"/>
      <w:b/>
      <w:snapToGrid w:val="0"/>
      <w:kern w:val="2"/>
      <w:sz w:val="24"/>
      <w:lang w:val="en-US" w:eastAsia="zh-CN"/>
    </w:rPr>
  </w:style>
  <w:style w:type="character" w:customStyle="1" w:styleId="145">
    <w:name w:val="Char Char32"/>
    <w:qFormat/>
    <w:uiPriority w:val="99"/>
    <w:rPr>
      <w:b/>
      <w:kern w:val="1"/>
      <w:sz w:val="24"/>
    </w:rPr>
  </w:style>
  <w:style w:type="character" w:customStyle="1" w:styleId="146">
    <w:name w:val="PI Char1"/>
    <w:qFormat/>
    <w:uiPriority w:val="99"/>
    <w:rPr>
      <w:rFonts w:ascii="宋体" w:eastAsia="宋体"/>
      <w:kern w:val="2"/>
      <w:sz w:val="24"/>
    </w:rPr>
  </w:style>
  <w:style w:type="character" w:customStyle="1" w:styleId="147">
    <w:name w:val="tw4winTerm"/>
    <w:qFormat/>
    <w:uiPriority w:val="99"/>
    <w:rPr>
      <w:color w:val="0000FF"/>
    </w:rPr>
  </w:style>
  <w:style w:type="character" w:customStyle="1" w:styleId="148">
    <w:name w:val="普通文字 Char Char1"/>
    <w:qFormat/>
    <w:uiPriority w:val="99"/>
    <w:rPr>
      <w:rFonts w:ascii="宋体" w:hAnsi="Courier New"/>
      <w:kern w:val="2"/>
      <w:sz w:val="21"/>
    </w:rPr>
  </w:style>
  <w:style w:type="character" w:customStyle="1" w:styleId="149">
    <w:name w:val="Char Char101"/>
    <w:qFormat/>
    <w:uiPriority w:val="99"/>
    <w:rPr>
      <w:rFonts w:ascii="宋体" w:eastAsia="宋体"/>
      <w:kern w:val="2"/>
      <w:sz w:val="24"/>
      <w:lang w:val="en-US" w:eastAsia="zh-CN"/>
    </w:rPr>
  </w:style>
  <w:style w:type="character" w:customStyle="1" w:styleId="150">
    <w:name w:val="标题 4 Char"/>
    <w:qFormat/>
    <w:uiPriority w:val="99"/>
    <w:rPr>
      <w:rFonts w:ascii="Arial" w:hAnsi="Arial" w:eastAsia="黑体"/>
      <w:b/>
      <w:kern w:val="2"/>
      <w:sz w:val="28"/>
    </w:rPr>
  </w:style>
  <w:style w:type="character" w:customStyle="1" w:styleId="151">
    <w:name w:val="链接"/>
    <w:qFormat/>
    <w:uiPriority w:val="99"/>
    <w:rPr>
      <w:color w:val="0000FF"/>
      <w:sz w:val="21"/>
      <w:u w:val="single"/>
    </w:rPr>
  </w:style>
  <w:style w:type="character" w:customStyle="1" w:styleId="152">
    <w:name w:val="h4 Char"/>
    <w:qFormat/>
    <w:uiPriority w:val="99"/>
    <w:rPr>
      <w:rFonts w:ascii="Arial" w:hAnsi="Arial" w:eastAsia="黑体"/>
      <w:b/>
      <w:kern w:val="2"/>
      <w:sz w:val="28"/>
      <w:lang w:val="zh-CN" w:eastAsia="zh-CN"/>
    </w:rPr>
  </w:style>
  <w:style w:type="character" w:customStyle="1" w:styleId="153">
    <w:name w:val="5正文 Char"/>
    <w:link w:val="154"/>
    <w:qFormat/>
    <w:locked/>
    <w:uiPriority w:val="99"/>
    <w:rPr>
      <w:rFonts w:ascii="仿宋_GB2312" w:hAnsi="微软雅黑" w:eastAsia="仿宋_GB2312"/>
      <w:sz w:val="21"/>
    </w:rPr>
  </w:style>
  <w:style w:type="paragraph" w:customStyle="1" w:styleId="154">
    <w:name w:val="5正文"/>
    <w:basedOn w:val="1"/>
    <w:link w:val="153"/>
    <w:qFormat/>
    <w:uiPriority w:val="99"/>
    <w:pPr>
      <w:adjustRightInd/>
      <w:spacing w:line="360" w:lineRule="auto"/>
      <w:ind w:firstLine="566" w:firstLineChars="202"/>
      <w:jc w:val="left"/>
    </w:pPr>
    <w:rPr>
      <w:rFonts w:ascii="仿宋_GB2312" w:hAnsi="微软雅黑" w:eastAsia="仿宋_GB2312"/>
      <w:kern w:val="0"/>
      <w:szCs w:val="20"/>
    </w:rPr>
  </w:style>
  <w:style w:type="character" w:customStyle="1" w:styleId="155">
    <w:name w:val="标题 3 字符"/>
    <w:qFormat/>
    <w:uiPriority w:val="99"/>
    <w:rPr>
      <w:b/>
      <w:kern w:val="2"/>
      <w:sz w:val="32"/>
    </w:rPr>
  </w:style>
  <w:style w:type="character" w:customStyle="1" w:styleId="156">
    <w:name w:val="样式6 Char"/>
    <w:qFormat/>
    <w:uiPriority w:val="99"/>
    <w:rPr>
      <w:rFonts w:ascii="仿宋_GB2312" w:hAnsi="宋体" w:eastAsia="仿宋_GB2312"/>
      <w:b/>
      <w:kern w:val="2"/>
      <w:sz w:val="24"/>
      <w:lang w:val="en-US" w:eastAsia="zh-CN"/>
    </w:rPr>
  </w:style>
  <w:style w:type="character" w:customStyle="1" w:styleId="157">
    <w:name w:val="Char Char14"/>
    <w:qFormat/>
    <w:uiPriority w:val="99"/>
    <w:rPr>
      <w:rFonts w:ascii="黑体" w:hAnsi="黑体" w:eastAsia="黑体"/>
    </w:rPr>
  </w:style>
  <w:style w:type="character" w:customStyle="1" w:styleId="158">
    <w:name w:val="Heading 2 Hidden Char"/>
    <w:qFormat/>
    <w:uiPriority w:val="99"/>
    <w:rPr>
      <w:rFonts w:ascii="仿宋_GB2312" w:eastAsia="仿宋_GB2312"/>
      <w:b/>
      <w:kern w:val="2"/>
      <w:sz w:val="24"/>
      <w:lang w:val="zh-CN" w:eastAsia="zh-CN"/>
    </w:rPr>
  </w:style>
  <w:style w:type="character" w:customStyle="1" w:styleId="159">
    <w:name w:val="font11"/>
    <w:qFormat/>
    <w:uiPriority w:val="99"/>
    <w:rPr>
      <w:rFonts w:ascii="Times New Roman" w:hAnsi="Times New Roman"/>
      <w:color w:val="000000"/>
      <w:sz w:val="22"/>
      <w:u w:val="none"/>
    </w:rPr>
  </w:style>
  <w:style w:type="character" w:customStyle="1" w:styleId="160">
    <w:name w:val="表正文 Char1"/>
    <w:qFormat/>
    <w:uiPriority w:val="99"/>
    <w:rPr>
      <w:rFonts w:ascii="宋体" w:eastAsia="宋体"/>
      <w:snapToGrid w:val="0"/>
      <w:color w:val="000000"/>
      <w:kern w:val="28"/>
      <w:sz w:val="28"/>
    </w:rPr>
  </w:style>
  <w:style w:type="character" w:customStyle="1" w:styleId="161">
    <w:name w:val="blue1"/>
    <w:basedOn w:val="71"/>
    <w:qFormat/>
    <w:uiPriority w:val="99"/>
    <w:rPr>
      <w:rFonts w:ascii="Arial" w:hAnsi="Arial" w:eastAsia="黑体" w:cs="Arial"/>
      <w:snapToGrid w:val="0"/>
      <w:kern w:val="0"/>
      <w:sz w:val="21"/>
      <w:szCs w:val="21"/>
    </w:rPr>
  </w:style>
  <w:style w:type="character" w:customStyle="1" w:styleId="162">
    <w:name w:val="标书1 Char"/>
    <w:qFormat/>
    <w:uiPriority w:val="99"/>
    <w:rPr>
      <w:rFonts w:eastAsia="宋体"/>
      <w:b/>
      <w:kern w:val="44"/>
      <w:sz w:val="44"/>
      <w:lang w:val="en-US" w:eastAsia="zh-CN"/>
    </w:rPr>
  </w:style>
  <w:style w:type="character" w:customStyle="1" w:styleId="163">
    <w:name w:val="样式5 Char"/>
    <w:qFormat/>
    <w:uiPriority w:val="99"/>
    <w:rPr>
      <w:rFonts w:ascii="仿宋_GB2312" w:hAnsi="仿宋" w:eastAsia="仿宋_GB2312"/>
      <w:kern w:val="2"/>
      <w:sz w:val="24"/>
    </w:rPr>
  </w:style>
  <w:style w:type="character" w:customStyle="1" w:styleId="164">
    <w:name w:val="样式4 Char"/>
    <w:qFormat/>
    <w:uiPriority w:val="99"/>
    <w:rPr>
      <w:rFonts w:ascii="仿宋_GB2312" w:hAnsi="仿宋" w:eastAsia="仿宋_GB2312"/>
      <w:b/>
      <w:kern w:val="2"/>
      <w:sz w:val="32"/>
    </w:rPr>
  </w:style>
  <w:style w:type="character" w:customStyle="1" w:styleId="165">
    <w:name w:val="插图说明 Char"/>
    <w:qFormat/>
    <w:uiPriority w:val="99"/>
    <w:rPr>
      <w:rFonts w:eastAsia="黑体"/>
      <w:sz w:val="24"/>
      <w:lang w:val="en-US" w:eastAsia="zh-CN"/>
    </w:rPr>
  </w:style>
  <w:style w:type="character" w:customStyle="1" w:styleId="166">
    <w:name w:val="正文2 Char Char"/>
    <w:link w:val="167"/>
    <w:qFormat/>
    <w:locked/>
    <w:uiPriority w:val="99"/>
    <w:rPr>
      <w:rFonts w:eastAsia="宋体"/>
      <w:kern w:val="2"/>
      <w:sz w:val="24"/>
      <w:lang w:val="en-US" w:eastAsia="zh-CN"/>
    </w:rPr>
  </w:style>
  <w:style w:type="paragraph" w:customStyle="1" w:styleId="167">
    <w:name w:val="正文2"/>
    <w:basedOn w:val="1"/>
    <w:link w:val="166"/>
    <w:qFormat/>
    <w:uiPriority w:val="99"/>
    <w:pPr>
      <w:spacing w:before="156" w:line="360" w:lineRule="auto"/>
      <w:ind w:firstLine="510" w:firstLineChars="200"/>
    </w:pPr>
    <w:rPr>
      <w:sz w:val="24"/>
      <w:szCs w:val="20"/>
    </w:rPr>
  </w:style>
  <w:style w:type="character" w:customStyle="1" w:styleId="168">
    <w:name w:val="Char Char24"/>
    <w:qFormat/>
    <w:uiPriority w:val="99"/>
    <w:rPr>
      <w:kern w:val="1"/>
      <w:sz w:val="21"/>
    </w:rPr>
  </w:style>
  <w:style w:type="character" w:customStyle="1" w:styleId="169">
    <w:name w:val="普通文字 Char1 Char"/>
    <w:qFormat/>
    <w:uiPriority w:val="99"/>
    <w:rPr>
      <w:rFonts w:ascii="宋体" w:hAnsi="Courier New" w:eastAsia="宋体"/>
      <w:kern w:val="2"/>
      <w:sz w:val="24"/>
      <w:lang w:val="en-US" w:eastAsia="zh-CN"/>
    </w:rPr>
  </w:style>
  <w:style w:type="character" w:customStyle="1" w:styleId="170">
    <w:name w:val="h3 Char1"/>
    <w:qFormat/>
    <w:uiPriority w:val="99"/>
    <w:rPr>
      <w:rFonts w:eastAsia="宋体"/>
      <w:b/>
      <w:kern w:val="2"/>
      <w:sz w:val="32"/>
    </w:rPr>
  </w:style>
  <w:style w:type="character" w:customStyle="1" w:styleId="171">
    <w:name w:val="标题 Char1"/>
    <w:qFormat/>
    <w:uiPriority w:val="99"/>
    <w:rPr>
      <w:rFonts w:ascii="Cambria" w:hAnsi="Cambria" w:eastAsia="宋体"/>
      <w:b/>
      <w:sz w:val="32"/>
    </w:rPr>
  </w:style>
  <w:style w:type="character" w:customStyle="1" w:styleId="172">
    <w:name w:val="gf正文1 Char"/>
    <w:qFormat/>
    <w:uiPriority w:val="99"/>
    <w:rPr>
      <w:rFonts w:ascii="宋体" w:hAnsi="宋体" w:eastAsia="宋体"/>
      <w:kern w:val="2"/>
      <w:sz w:val="24"/>
      <w:lang w:val="en-US" w:eastAsia="zh-CN"/>
    </w:rPr>
  </w:style>
  <w:style w:type="character" w:customStyle="1" w:styleId="173">
    <w:name w:val="正文文本缩进 Char1"/>
    <w:qFormat/>
    <w:uiPriority w:val="99"/>
    <w:rPr>
      <w:rFonts w:ascii="Calibri" w:hAnsi="Calibri"/>
      <w:sz w:val="28"/>
    </w:rPr>
  </w:style>
  <w:style w:type="character" w:customStyle="1" w:styleId="174">
    <w:name w:val="No Spacing Char"/>
    <w:link w:val="175"/>
    <w:qFormat/>
    <w:locked/>
    <w:uiPriority w:val="99"/>
    <w:rPr>
      <w:sz w:val="22"/>
      <w:lang w:val="en-US" w:eastAsia="zh-CN"/>
    </w:rPr>
  </w:style>
  <w:style w:type="paragraph" w:customStyle="1" w:styleId="175">
    <w:name w:val="无间隔1"/>
    <w:link w:val="174"/>
    <w:qFormat/>
    <w:uiPriority w:val="99"/>
    <w:rPr>
      <w:rFonts w:ascii="Times New Roman" w:hAnsi="Times New Roman" w:eastAsia="宋体" w:cs="Times New Roman"/>
      <w:sz w:val="22"/>
      <w:szCs w:val="22"/>
      <w:lang w:val="en-US" w:eastAsia="zh-CN" w:bidi="ar-SA"/>
    </w:rPr>
  </w:style>
  <w:style w:type="character" w:customStyle="1" w:styleId="176">
    <w:name w:val="样式7 Char"/>
    <w:qFormat/>
    <w:uiPriority w:val="99"/>
    <w:rPr>
      <w:rFonts w:ascii="仿宋_GB2312" w:hAnsi="仿宋" w:eastAsia="仿宋_GB2312"/>
      <w:b/>
      <w:kern w:val="2"/>
      <w:sz w:val="24"/>
    </w:rPr>
  </w:style>
  <w:style w:type="character" w:customStyle="1" w:styleId="177">
    <w:name w:val="font12gray1"/>
    <w:qFormat/>
    <w:uiPriority w:val="99"/>
    <w:rPr>
      <w:rFonts w:ascii="仿宋_GB2312" w:eastAsia="微软雅黑"/>
      <w:b/>
      <w:spacing w:val="300"/>
      <w:kern w:val="2"/>
      <w:sz w:val="18"/>
      <w:lang w:val="en-US" w:eastAsia="zh-CN"/>
    </w:rPr>
  </w:style>
  <w:style w:type="character" w:customStyle="1" w:styleId="178">
    <w:name w:val="Char Char7"/>
    <w:semiHidden/>
    <w:qFormat/>
    <w:uiPriority w:val="99"/>
    <w:rPr>
      <w:rFonts w:eastAsia="宋体"/>
      <w:kern w:val="2"/>
      <w:sz w:val="24"/>
      <w:lang w:val="en-US" w:eastAsia="zh-CN"/>
    </w:rPr>
  </w:style>
  <w:style w:type="character" w:customStyle="1" w:styleId="179">
    <w:name w:val="表名 Char"/>
    <w:qFormat/>
    <w:uiPriority w:val="99"/>
    <w:rPr>
      <w:rFonts w:eastAsia="宋体"/>
      <w:b/>
      <w:kern w:val="2"/>
      <w:sz w:val="24"/>
      <w:lang w:val="en-US" w:eastAsia="zh-CN"/>
    </w:rPr>
  </w:style>
  <w:style w:type="character" w:customStyle="1" w:styleId="180">
    <w:name w:val="font41"/>
    <w:qFormat/>
    <w:uiPriority w:val="99"/>
    <w:rPr>
      <w:rFonts w:ascii="仿宋_GB2312" w:eastAsia="仿宋_GB2312"/>
      <w:color w:val="000000"/>
      <w:sz w:val="22"/>
      <w:u w:val="none"/>
    </w:rPr>
  </w:style>
  <w:style w:type="character" w:customStyle="1" w:styleId="181">
    <w:name w:val="纯文本 Char_0"/>
    <w:link w:val="182"/>
    <w:qFormat/>
    <w:locked/>
    <w:uiPriority w:val="99"/>
    <w:rPr>
      <w:rFonts w:ascii="宋体" w:hAnsi="Courier New"/>
      <w:kern w:val="2"/>
      <w:sz w:val="21"/>
      <w:lang w:val="en-US" w:eastAsia="zh-CN"/>
    </w:rPr>
  </w:style>
  <w:style w:type="paragraph" w:customStyle="1" w:styleId="182">
    <w:name w:val="纯文本_0_0"/>
    <w:basedOn w:val="183"/>
    <w:link w:val="181"/>
    <w:qFormat/>
    <w:uiPriority w:val="99"/>
    <w:rPr>
      <w:rFonts w:ascii="宋体" w:hAnsi="Courier New"/>
      <w:szCs w:val="20"/>
    </w:rPr>
  </w:style>
  <w:style w:type="paragraph" w:customStyle="1" w:styleId="183">
    <w:name w:val="正文_1_0"/>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184">
    <w:name w:val="正文 项目2 Char"/>
    <w:basedOn w:val="185"/>
    <w:qFormat/>
    <w:uiPriority w:val="99"/>
    <w:rPr>
      <w:rFonts w:cs="Times New Roman"/>
      <w:lang w:bidi="ar-SA"/>
    </w:rPr>
  </w:style>
  <w:style w:type="character" w:customStyle="1" w:styleId="185">
    <w:name w:val="正文 项目 Char"/>
    <w:qFormat/>
    <w:uiPriority w:val="99"/>
    <w:rPr>
      <w:rFonts w:ascii="仿宋_GB2312" w:hAnsi="仿宋_GB2312" w:eastAsia="仿宋_GB2312"/>
      <w:kern w:val="2"/>
      <w:sz w:val="24"/>
    </w:rPr>
  </w:style>
  <w:style w:type="character" w:customStyle="1" w:styleId="186">
    <w:name w:val="h Char Char1"/>
    <w:qFormat/>
    <w:uiPriority w:val="99"/>
    <w:rPr>
      <w:rFonts w:eastAsia="宋体"/>
      <w:kern w:val="2"/>
      <w:sz w:val="18"/>
      <w:lang w:val="en-US" w:eastAsia="zh-CN"/>
    </w:rPr>
  </w:style>
  <w:style w:type="character" w:customStyle="1" w:styleId="187">
    <w:name w:val="Char Char27"/>
    <w:qFormat/>
    <w:uiPriority w:val="99"/>
    <w:rPr>
      <w:rFonts w:ascii="宋体" w:hAnsi="宋体" w:eastAsia="宋体"/>
      <w:color w:val="000000"/>
      <w:kern w:val="1"/>
      <w:sz w:val="28"/>
      <w:lang w:val="en-US" w:eastAsia="zh-CN"/>
    </w:rPr>
  </w:style>
  <w:style w:type="character" w:customStyle="1" w:styleId="188">
    <w:name w:val="px14"/>
    <w:qFormat/>
    <w:uiPriority w:val="99"/>
    <w:rPr>
      <w:rFonts w:ascii="仿宋_GB2312" w:eastAsia="微软雅黑"/>
      <w:b/>
      <w:kern w:val="2"/>
      <w:sz w:val="32"/>
      <w:lang w:val="en-US" w:eastAsia="zh-CN"/>
    </w:rPr>
  </w:style>
  <w:style w:type="character" w:customStyle="1" w:styleId="189">
    <w:name w:val="HTML 预设格式 Char1"/>
    <w:qFormat/>
    <w:uiPriority w:val="99"/>
    <w:rPr>
      <w:rFonts w:ascii="Courier New" w:hAnsi="Courier New" w:eastAsia="宋体"/>
      <w:sz w:val="20"/>
    </w:rPr>
  </w:style>
  <w:style w:type="character" w:customStyle="1" w:styleId="190">
    <w:name w:val="普通文字 Char1"/>
    <w:qFormat/>
    <w:uiPriority w:val="99"/>
    <w:rPr>
      <w:rFonts w:ascii="宋体" w:hAnsi="Courier New" w:eastAsia="宋体"/>
      <w:kern w:val="2"/>
      <w:sz w:val="21"/>
      <w:lang w:val="en-US" w:eastAsia="zh-CN"/>
    </w:rPr>
  </w:style>
  <w:style w:type="character" w:customStyle="1" w:styleId="191">
    <w:name w:val="hei16b1"/>
    <w:qFormat/>
    <w:uiPriority w:val="99"/>
    <w:rPr>
      <w:rFonts w:ascii="Arial" w:hAnsi="Arial"/>
      <w:b/>
      <w:color w:val="000000"/>
      <w:sz w:val="24"/>
    </w:rPr>
  </w:style>
  <w:style w:type="character" w:customStyle="1" w:styleId="192">
    <w:name w:val="正文（绿盟科技） Char"/>
    <w:link w:val="193"/>
    <w:qFormat/>
    <w:locked/>
    <w:uiPriority w:val="99"/>
    <w:rPr>
      <w:rFonts w:ascii="Arial" w:hAnsi="Arial"/>
      <w:sz w:val="21"/>
      <w:lang w:val="en-US" w:eastAsia="zh-CN"/>
    </w:rPr>
  </w:style>
  <w:style w:type="paragraph" w:customStyle="1" w:styleId="193">
    <w:name w:val="正文（绿盟科技）"/>
    <w:link w:val="192"/>
    <w:qFormat/>
    <w:uiPriority w:val="99"/>
    <w:pPr>
      <w:spacing w:line="300" w:lineRule="auto"/>
    </w:pPr>
    <w:rPr>
      <w:rFonts w:ascii="Arial" w:hAnsi="Arial" w:eastAsia="宋体" w:cs="Times New Roman"/>
      <w:sz w:val="21"/>
      <w:szCs w:val="21"/>
      <w:lang w:val="en-US" w:eastAsia="zh-CN" w:bidi="ar-SA"/>
    </w:rPr>
  </w:style>
  <w:style w:type="character" w:customStyle="1" w:styleId="194">
    <w:name w:val="Char Char19"/>
    <w:qFormat/>
    <w:uiPriority w:val="99"/>
    <w:rPr>
      <w:rFonts w:ascii="宋体" w:eastAsia="宋体"/>
      <w:i/>
      <w:sz w:val="24"/>
    </w:rPr>
  </w:style>
  <w:style w:type="character" w:customStyle="1" w:styleId="195">
    <w:name w:val="页脚 Char"/>
    <w:qFormat/>
    <w:uiPriority w:val="99"/>
    <w:rPr>
      <w:rFonts w:eastAsia="仿宋_GB2312"/>
      <w:kern w:val="2"/>
      <w:sz w:val="18"/>
      <w:lang w:val="en-US" w:eastAsia="zh-CN"/>
    </w:rPr>
  </w:style>
  <w:style w:type="character" w:customStyle="1" w:styleId="196">
    <w:name w:val="批注主题 Char"/>
    <w:qFormat/>
    <w:uiPriority w:val="99"/>
    <w:rPr>
      <w:rFonts w:eastAsia="宋体"/>
      <w:b/>
      <w:kern w:val="2"/>
      <w:sz w:val="24"/>
      <w:lang w:val="en-US" w:eastAsia="zh-CN"/>
    </w:rPr>
  </w:style>
  <w:style w:type="character" w:customStyle="1" w:styleId="197">
    <w:name w:val="标题 2 字符"/>
    <w:qFormat/>
    <w:uiPriority w:val="99"/>
    <w:rPr>
      <w:rFonts w:ascii="仿宋_GB2312" w:hAnsi="Times New Roman" w:eastAsia="仿宋_GB2312"/>
      <w:b/>
      <w:kern w:val="2"/>
      <w:sz w:val="24"/>
      <w:lang w:val="zh-CN"/>
    </w:rPr>
  </w:style>
  <w:style w:type="character" w:customStyle="1" w:styleId="198">
    <w:name w:val="Char Char72"/>
    <w:qFormat/>
    <w:uiPriority w:val="99"/>
    <w:rPr>
      <w:rFonts w:eastAsia="宋体"/>
      <w:kern w:val="2"/>
      <w:sz w:val="24"/>
      <w:lang w:val="en-US" w:eastAsia="zh-CN"/>
    </w:rPr>
  </w:style>
  <w:style w:type="character" w:customStyle="1" w:styleId="199">
    <w:name w:val="正文文本缩进 Char2"/>
    <w:qFormat/>
    <w:uiPriority w:val="99"/>
    <w:rPr>
      <w:rFonts w:ascii="Times New Roman" w:hAnsi="Times New Roman" w:eastAsia="宋体"/>
      <w:snapToGrid w:val="0"/>
      <w:kern w:val="0"/>
      <w:sz w:val="24"/>
    </w:rPr>
  </w:style>
  <w:style w:type="character" w:customStyle="1" w:styleId="200">
    <w:name w:val="样式2 Char"/>
    <w:qFormat/>
    <w:uiPriority w:val="99"/>
    <w:rPr>
      <w:rFonts w:ascii="仿宋_GB2312" w:hAnsi="仿宋" w:eastAsia="仿宋_GB2312"/>
      <w:b/>
      <w:sz w:val="30"/>
      <w:lang w:val="zh-CN"/>
    </w:rPr>
  </w:style>
  <w:style w:type="character" w:customStyle="1" w:styleId="201">
    <w:name w:val="表格名称[858D7CFB-ED40-4347-BF05-701D383B685F]"/>
    <w:link w:val="202"/>
    <w:qFormat/>
    <w:locked/>
    <w:uiPriority w:val="99"/>
    <w:rPr>
      <w:sz w:val="32"/>
    </w:rPr>
  </w:style>
  <w:style w:type="paragraph" w:customStyle="1" w:styleId="202">
    <w:name w:val="表格名称"/>
    <w:basedOn w:val="3"/>
    <w:link w:val="201"/>
    <w:qFormat/>
    <w:uiPriority w:val="99"/>
    <w:pPr>
      <w:snapToGrid w:val="0"/>
      <w:spacing w:before="240" w:after="240" w:line="240" w:lineRule="auto"/>
      <w:ind w:left="0" w:firstLine="0"/>
      <w:jc w:val="center"/>
    </w:pPr>
    <w:rPr>
      <w:rFonts w:ascii="Times New Roman" w:hAnsi="Times New Roman" w:eastAsia="宋体"/>
      <w:b w:val="0"/>
      <w:bCs w:val="0"/>
      <w:kern w:val="0"/>
      <w:szCs w:val="20"/>
      <w:lang w:val="en-US"/>
    </w:rPr>
  </w:style>
  <w:style w:type="character" w:customStyle="1" w:styleId="203">
    <w:name w:val="Char Char4"/>
    <w:qFormat/>
    <w:uiPriority w:val="99"/>
    <w:rPr>
      <w:rFonts w:eastAsia="宋体"/>
      <w:b/>
      <w:sz w:val="24"/>
      <w:lang w:val="en-GB" w:eastAsia="zh-CN"/>
    </w:rPr>
  </w:style>
  <w:style w:type="character" w:customStyle="1" w:styleId="204">
    <w:name w:val="c7 style3"/>
    <w:qFormat/>
    <w:uiPriority w:val="99"/>
  </w:style>
  <w:style w:type="character" w:customStyle="1" w:styleId="205">
    <w:name w:val="正文文本 3 Char1"/>
    <w:semiHidden/>
    <w:qFormat/>
    <w:uiPriority w:val="99"/>
    <w:rPr>
      <w:rFonts w:ascii="Times New Roman" w:hAnsi="Times New Roman" w:eastAsia="宋体"/>
      <w:sz w:val="16"/>
    </w:rPr>
  </w:style>
  <w:style w:type="character" w:customStyle="1" w:styleId="206">
    <w:name w:val="tw4winInternal"/>
    <w:qFormat/>
    <w:uiPriority w:val="99"/>
    <w:rPr>
      <w:rFonts w:ascii="Courier New" w:hAnsi="Courier New"/>
      <w:color w:val="FF0000"/>
      <w:lang w:val="en-US" w:eastAsia="zh-CN"/>
    </w:rPr>
  </w:style>
  <w:style w:type="character" w:customStyle="1" w:styleId="207">
    <w:name w:val="Char Char10"/>
    <w:semiHidden/>
    <w:qFormat/>
    <w:uiPriority w:val="99"/>
    <w:rPr>
      <w:rFonts w:ascii="宋体" w:eastAsia="宋体"/>
      <w:kern w:val="2"/>
      <w:sz w:val="24"/>
      <w:lang w:val="en-US" w:eastAsia="zh-CN"/>
    </w:rPr>
  </w:style>
  <w:style w:type="character" w:customStyle="1" w:styleId="208">
    <w:name w:val="shadow11"/>
    <w:qFormat/>
    <w:uiPriority w:val="99"/>
    <w:rPr>
      <w:color w:val="000000"/>
      <w:sz w:val="21"/>
    </w:rPr>
  </w:style>
  <w:style w:type="character" w:customStyle="1" w:styleId="209">
    <w:name w:val="正文非缩进 Char3"/>
    <w:qFormat/>
    <w:uiPriority w:val="99"/>
    <w:rPr>
      <w:rFonts w:ascii="宋体" w:eastAsia="宋体"/>
      <w:snapToGrid w:val="0"/>
      <w:color w:val="000000"/>
      <w:kern w:val="28"/>
      <w:sz w:val="28"/>
      <w:lang w:val="en-US" w:eastAsia="zh-CN"/>
    </w:rPr>
  </w:style>
  <w:style w:type="character" w:customStyle="1" w:styleId="210">
    <w:name w:val="Char Char"/>
    <w:qFormat/>
    <w:uiPriority w:val="99"/>
    <w:rPr>
      <w:rFonts w:ascii="宋体" w:hAnsi="Courier New" w:eastAsia="宋体"/>
      <w:kern w:val="2"/>
      <w:sz w:val="21"/>
      <w:lang w:val="en-US" w:eastAsia="zh-CN"/>
    </w:rPr>
  </w:style>
  <w:style w:type="character" w:customStyle="1" w:styleId="211">
    <w:name w:val="签名 Char1"/>
    <w:qFormat/>
    <w:uiPriority w:val="99"/>
    <w:rPr>
      <w:rFonts w:ascii="Times New Roman" w:hAnsi="Times New Roman" w:eastAsia="宋体"/>
      <w:sz w:val="24"/>
    </w:rPr>
  </w:style>
  <w:style w:type="character" w:customStyle="1" w:styleId="212">
    <w:name w:val="Char Char18"/>
    <w:qFormat/>
    <w:uiPriority w:val="99"/>
    <w:rPr>
      <w:rFonts w:ascii="宋体" w:eastAsia="宋体"/>
      <w:sz w:val="28"/>
    </w:rPr>
  </w:style>
  <w:style w:type="character" w:customStyle="1" w:styleId="213">
    <w:name w:val="批注文字 Char"/>
    <w:qFormat/>
    <w:uiPriority w:val="99"/>
    <w:rPr>
      <w:kern w:val="2"/>
      <w:sz w:val="24"/>
    </w:rPr>
  </w:style>
  <w:style w:type="character" w:customStyle="1" w:styleId="214">
    <w:name w:val="Char Char22"/>
    <w:qFormat/>
    <w:uiPriority w:val="99"/>
    <w:rPr>
      <w:rFonts w:ascii="宋体" w:eastAsia="宋体"/>
      <w:kern w:val="1"/>
      <w:sz w:val="24"/>
    </w:rPr>
  </w:style>
  <w:style w:type="character" w:customStyle="1" w:styleId="215">
    <w:name w:val="pt141"/>
    <w:qFormat/>
    <w:uiPriority w:val="99"/>
    <w:rPr>
      <w:color w:val="330066"/>
      <w:sz w:val="22"/>
    </w:rPr>
  </w:style>
  <w:style w:type="character" w:customStyle="1" w:styleId="216">
    <w:name w:val="正文文本缩进 2 Char1"/>
    <w:semiHidden/>
    <w:qFormat/>
    <w:uiPriority w:val="99"/>
    <w:rPr>
      <w:rFonts w:ascii="Times New Roman" w:hAnsi="Times New Roman" w:eastAsia="宋体"/>
      <w:sz w:val="24"/>
    </w:rPr>
  </w:style>
  <w:style w:type="character" w:customStyle="1" w:styleId="217">
    <w:name w:val="批注框文本 Char"/>
    <w:link w:val="41"/>
    <w:qFormat/>
    <w:locked/>
    <w:uiPriority w:val="99"/>
    <w:rPr>
      <w:kern w:val="2"/>
      <w:sz w:val="18"/>
    </w:rPr>
  </w:style>
  <w:style w:type="character" w:customStyle="1" w:styleId="218">
    <w:name w:val="Char Char611"/>
    <w:qFormat/>
    <w:uiPriority w:val="99"/>
    <w:rPr>
      <w:rFonts w:eastAsia="宋体"/>
      <w:kern w:val="2"/>
      <w:sz w:val="24"/>
      <w:lang w:val="en-US" w:eastAsia="zh-CN"/>
    </w:rPr>
  </w:style>
  <w:style w:type="character" w:customStyle="1" w:styleId="219">
    <w:name w:val="highlight1"/>
    <w:qFormat/>
    <w:uiPriority w:val="99"/>
    <w:rPr>
      <w:rFonts w:ascii="仿宋_GB2312" w:eastAsia="微软雅黑"/>
      <w:b/>
      <w:kern w:val="2"/>
      <w:sz w:val="23"/>
      <w:lang w:val="en-US" w:eastAsia="zh-CN"/>
    </w:rPr>
  </w:style>
  <w:style w:type="character" w:customStyle="1" w:styleId="220">
    <w:name w:val="my正文 Char"/>
    <w:link w:val="221"/>
    <w:qFormat/>
    <w:locked/>
    <w:uiPriority w:val="99"/>
    <w:rPr>
      <w:rFonts w:ascii="Tahoma" w:hAnsi="Tahoma"/>
      <w:sz w:val="24"/>
    </w:rPr>
  </w:style>
  <w:style w:type="paragraph" w:customStyle="1" w:styleId="221">
    <w:name w:val="my正文"/>
    <w:basedOn w:val="1"/>
    <w:link w:val="220"/>
    <w:qFormat/>
    <w:uiPriority w:val="99"/>
    <w:pPr>
      <w:adjustRightInd/>
      <w:spacing w:line="360" w:lineRule="auto"/>
      <w:ind w:firstLine="480" w:firstLineChars="200"/>
    </w:pPr>
    <w:rPr>
      <w:rFonts w:ascii="Tahoma" w:hAnsi="Tahoma"/>
      <w:kern w:val="0"/>
      <w:sz w:val="24"/>
      <w:szCs w:val="20"/>
    </w:rPr>
  </w:style>
  <w:style w:type="character" w:customStyle="1" w:styleId="222">
    <w:name w:val="正文缩进 Char2"/>
    <w:link w:val="15"/>
    <w:qFormat/>
    <w:locked/>
    <w:uiPriority w:val="99"/>
    <w:rPr>
      <w:rFonts w:ascii="宋体" w:eastAsia="宋体"/>
      <w:snapToGrid w:val="0"/>
      <w:color w:val="000000"/>
      <w:kern w:val="28"/>
      <w:sz w:val="28"/>
      <w:lang w:val="en-US" w:eastAsia="zh-CN"/>
    </w:rPr>
  </w:style>
  <w:style w:type="character" w:customStyle="1" w:styleId="223">
    <w:name w:val="Used by Word for text of Help footnotes Char Char1"/>
    <w:qFormat/>
    <w:uiPriority w:val="99"/>
    <w:rPr>
      <w:color w:val="0000FF"/>
      <w:sz w:val="21"/>
    </w:rPr>
  </w:style>
  <w:style w:type="character" w:customStyle="1" w:styleId="224">
    <w:name w:val="页眉 Char"/>
    <w:qFormat/>
    <w:uiPriority w:val="99"/>
    <w:rPr>
      <w:rFonts w:eastAsia="仿宋_GB2312"/>
      <w:kern w:val="2"/>
      <w:sz w:val="18"/>
      <w:lang w:val="en-US" w:eastAsia="zh-CN"/>
    </w:rPr>
  </w:style>
  <w:style w:type="character" w:customStyle="1" w:styleId="225">
    <w:name w:val="FA正文 Char Char"/>
    <w:qFormat/>
    <w:uiPriority w:val="99"/>
    <w:rPr>
      <w:rFonts w:hAnsi="宋体"/>
      <w:kern w:val="2"/>
      <w:sz w:val="24"/>
    </w:rPr>
  </w:style>
  <w:style w:type="character" w:customStyle="1" w:styleId="226">
    <w:name w:val="纯文本 字符"/>
    <w:qFormat/>
    <w:uiPriority w:val="99"/>
    <w:rPr>
      <w:rFonts w:ascii="宋体" w:hAnsi="Courier New" w:eastAsia="宋体"/>
      <w:snapToGrid w:val="0"/>
      <w:kern w:val="2"/>
      <w:sz w:val="21"/>
      <w:lang w:val="en-US" w:eastAsia="zh-CN"/>
    </w:rPr>
  </w:style>
  <w:style w:type="character" w:customStyle="1" w:styleId="227">
    <w:name w:val="3级 Char"/>
    <w:link w:val="228"/>
    <w:qFormat/>
    <w:locked/>
    <w:uiPriority w:val="99"/>
    <w:rPr>
      <w:rFonts w:ascii="宋体" w:eastAsia="宋体"/>
      <w:b/>
      <w:sz w:val="28"/>
    </w:rPr>
  </w:style>
  <w:style w:type="paragraph" w:customStyle="1" w:styleId="228">
    <w:name w:val="3级"/>
    <w:basedOn w:val="229"/>
    <w:link w:val="227"/>
    <w:qFormat/>
    <w:uiPriority w:val="99"/>
    <w:pPr>
      <w:ind w:left="0" w:right="466" w:firstLine="288"/>
    </w:pPr>
    <w:rPr>
      <w:rFonts w:hAnsi="Times New Roman"/>
      <w:bCs w:val="0"/>
    </w:rPr>
  </w:style>
  <w:style w:type="paragraph" w:customStyle="1" w:styleId="229">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kern w:val="0"/>
      <w:sz w:val="28"/>
      <w:szCs w:val="20"/>
    </w:rPr>
  </w:style>
  <w:style w:type="character" w:customStyle="1" w:styleId="230">
    <w:name w:val="myp11"/>
    <w:qFormat/>
    <w:uiPriority w:val="99"/>
    <w:rPr>
      <w:rFonts w:ascii="仿宋_GB2312" w:eastAsia="微软雅黑"/>
      <w:b/>
      <w:kern w:val="2"/>
      <w:sz w:val="32"/>
      <w:lang w:val="en-US" w:eastAsia="zh-CN"/>
    </w:rPr>
  </w:style>
  <w:style w:type="character" w:customStyle="1" w:styleId="231">
    <w:name w:val="文档结构图 Char1"/>
    <w:link w:val="18"/>
    <w:qFormat/>
    <w:locked/>
    <w:uiPriority w:val="99"/>
    <w:rPr>
      <w:kern w:val="2"/>
      <w:sz w:val="24"/>
      <w:shd w:val="clear" w:color="auto" w:fill="000080"/>
    </w:rPr>
  </w:style>
  <w:style w:type="character" w:customStyle="1" w:styleId="232">
    <w:name w:val="H6 Char"/>
    <w:qFormat/>
    <w:uiPriority w:val="99"/>
    <w:rPr>
      <w:rFonts w:ascii="Arial" w:hAnsi="Arial" w:eastAsia="黑体"/>
      <w:b/>
      <w:kern w:val="2"/>
      <w:sz w:val="24"/>
    </w:rPr>
  </w:style>
  <w:style w:type="character" w:customStyle="1" w:styleId="233">
    <w:name w:val="Char Char91"/>
    <w:qFormat/>
    <w:uiPriority w:val="99"/>
    <w:rPr>
      <w:rFonts w:eastAsia="宋体"/>
      <w:kern w:val="2"/>
      <w:sz w:val="18"/>
      <w:lang w:val="en-US" w:eastAsia="zh-CN"/>
    </w:rPr>
  </w:style>
  <w:style w:type="character" w:customStyle="1" w:styleId="234">
    <w:name w:val="副标题 Char1"/>
    <w:qFormat/>
    <w:uiPriority w:val="99"/>
    <w:rPr>
      <w:rFonts w:ascii="Cambria" w:hAnsi="Cambria" w:eastAsia="宋体"/>
      <w:b/>
      <w:snapToGrid w:val="0"/>
      <w:kern w:val="28"/>
      <w:sz w:val="32"/>
    </w:rPr>
  </w:style>
  <w:style w:type="character" w:customStyle="1" w:styleId="235">
    <w:name w:val="font61"/>
    <w:basedOn w:val="71"/>
    <w:qFormat/>
    <w:uiPriority w:val="99"/>
    <w:rPr>
      <w:rFonts w:ascii="仿宋" w:hAnsi="仿宋" w:eastAsia="仿宋"/>
      <w:color w:val="000000"/>
      <w:sz w:val="20"/>
      <w:u w:val="none"/>
    </w:rPr>
  </w:style>
  <w:style w:type="character" w:customStyle="1" w:styleId="236">
    <w:name w:val="bod1"/>
    <w:qFormat/>
    <w:uiPriority w:val="99"/>
    <w:rPr>
      <w:rFonts w:ascii="MS Sans Serif" w:hAnsi="MS Sans Serif" w:eastAsia="微软雅黑"/>
      <w:b/>
      <w:color w:val="000000"/>
      <w:kern w:val="2"/>
      <w:sz w:val="20"/>
      <w:lang w:val="en-US" w:eastAsia="zh-CN"/>
    </w:rPr>
  </w:style>
  <w:style w:type="character" w:customStyle="1" w:styleId="237">
    <w:name w:val="Char Char211"/>
    <w:qFormat/>
    <w:uiPriority w:val="99"/>
    <w:rPr>
      <w:rFonts w:eastAsia="宋体"/>
      <w:b/>
      <w:kern w:val="2"/>
      <w:sz w:val="24"/>
      <w:lang w:val="en-US" w:eastAsia="zh-CN"/>
    </w:rPr>
  </w:style>
  <w:style w:type="character" w:customStyle="1" w:styleId="238">
    <w:name w:val="标题 2 Char"/>
    <w:qFormat/>
    <w:uiPriority w:val="99"/>
    <w:rPr>
      <w:rFonts w:ascii="Arial" w:hAnsi="Arial" w:eastAsia="黑体"/>
      <w:b/>
      <w:kern w:val="2"/>
      <w:sz w:val="32"/>
      <w:lang w:val="en-US" w:eastAsia="zh-CN"/>
    </w:rPr>
  </w:style>
  <w:style w:type="character" w:customStyle="1" w:styleId="239">
    <w:name w:val="maywed421"/>
    <w:qFormat/>
    <w:uiPriority w:val="99"/>
    <w:rPr>
      <w:color w:val="366FB6"/>
      <w:u w:val="none"/>
    </w:rPr>
  </w:style>
  <w:style w:type="character" w:customStyle="1" w:styleId="240">
    <w:name w:val="正文文本缩进 Char"/>
    <w:qFormat/>
    <w:uiPriority w:val="99"/>
    <w:rPr>
      <w:rFonts w:ascii="宋体" w:eastAsia="宋体"/>
      <w:kern w:val="2"/>
      <w:sz w:val="24"/>
    </w:rPr>
  </w:style>
  <w:style w:type="character" w:customStyle="1" w:styleId="241">
    <w:name w:val="Char Char102"/>
    <w:semiHidden/>
    <w:qFormat/>
    <w:uiPriority w:val="99"/>
    <w:rPr>
      <w:rFonts w:ascii="宋体" w:eastAsia="宋体"/>
      <w:kern w:val="2"/>
      <w:sz w:val="24"/>
      <w:lang w:val="en-US" w:eastAsia="zh-CN"/>
    </w:rPr>
  </w:style>
  <w:style w:type="character" w:customStyle="1" w:styleId="242">
    <w:name w:val="页眉 Char1"/>
    <w:qFormat/>
    <w:uiPriority w:val="99"/>
    <w:rPr>
      <w:rFonts w:eastAsia="宋体"/>
      <w:kern w:val="2"/>
      <w:sz w:val="18"/>
      <w:lang w:val="en-US" w:eastAsia="zh-CN"/>
    </w:rPr>
  </w:style>
  <w:style w:type="character" w:customStyle="1" w:styleId="243">
    <w:name w:val="md"/>
    <w:basedOn w:val="71"/>
    <w:qFormat/>
    <w:uiPriority w:val="99"/>
    <w:rPr>
      <w:rFonts w:ascii="Arial" w:hAnsi="Arial" w:eastAsia="黑体" w:cs="Arial"/>
      <w:snapToGrid w:val="0"/>
      <w:kern w:val="0"/>
      <w:sz w:val="21"/>
      <w:szCs w:val="21"/>
    </w:rPr>
  </w:style>
  <w:style w:type="character" w:customStyle="1" w:styleId="244">
    <w:name w:val="big1"/>
    <w:qFormat/>
    <w:uiPriority w:val="99"/>
    <w:rPr>
      <w:rFonts w:ascii="宋体" w:hAnsi="宋体" w:eastAsia="宋体"/>
      <w:color w:val="333333"/>
      <w:sz w:val="22"/>
    </w:rPr>
  </w:style>
  <w:style w:type="character" w:customStyle="1" w:styleId="245">
    <w:name w:val="Char Char311"/>
    <w:qFormat/>
    <w:uiPriority w:val="99"/>
    <w:rPr>
      <w:rFonts w:eastAsia="宋体"/>
      <w:kern w:val="2"/>
      <w:sz w:val="24"/>
      <w:lang w:val="en-US" w:eastAsia="zh-CN"/>
    </w:rPr>
  </w:style>
  <w:style w:type="character" w:customStyle="1" w:styleId="246">
    <w:name w:val="Char Char81"/>
    <w:qFormat/>
    <w:uiPriority w:val="99"/>
    <w:rPr>
      <w:rFonts w:eastAsia="宋体"/>
      <w:b/>
      <w:sz w:val="24"/>
      <w:lang w:val="en-GB" w:eastAsia="zh-CN"/>
    </w:rPr>
  </w:style>
  <w:style w:type="character" w:customStyle="1" w:styleId="247">
    <w:name w:val="样式3 Char"/>
    <w:basedOn w:val="200"/>
    <w:qFormat/>
    <w:uiPriority w:val="99"/>
    <w:rPr>
      <w:rFonts w:cs="仿宋_GB2312"/>
      <w:bCs/>
      <w:szCs w:val="30"/>
    </w:rPr>
  </w:style>
  <w:style w:type="character" w:customStyle="1" w:styleId="248">
    <w:name w:val="正文首行缩进 2 Char1"/>
    <w:qFormat/>
    <w:uiPriority w:val="99"/>
    <w:rPr>
      <w:rFonts w:ascii="Times New Roman" w:hAnsi="Times New Roman" w:eastAsia="宋体"/>
      <w:kern w:val="2"/>
      <w:sz w:val="24"/>
    </w:rPr>
  </w:style>
  <w:style w:type="character" w:customStyle="1" w:styleId="249">
    <w:name w:val="副标题 Char2"/>
    <w:qFormat/>
    <w:uiPriority w:val="99"/>
    <w:rPr>
      <w:rFonts w:ascii="Cambria" w:hAnsi="Cambria" w:eastAsia="宋体"/>
      <w:b/>
      <w:snapToGrid w:val="0"/>
      <w:kern w:val="28"/>
      <w:sz w:val="32"/>
    </w:rPr>
  </w:style>
  <w:style w:type="character" w:customStyle="1" w:styleId="250">
    <w:name w:val="标题4-dyf Char"/>
    <w:link w:val="251"/>
    <w:qFormat/>
    <w:locked/>
    <w:uiPriority w:val="99"/>
    <w:rPr>
      <w:rFonts w:ascii="Cambria" w:hAnsi="Cambria"/>
      <w:b/>
      <w:color w:val="000000"/>
      <w:kern w:val="2"/>
      <w:sz w:val="21"/>
    </w:rPr>
  </w:style>
  <w:style w:type="paragraph" w:customStyle="1" w:styleId="251">
    <w:name w:val="标题4-dyf"/>
    <w:basedOn w:val="5"/>
    <w:link w:val="250"/>
    <w:qFormat/>
    <w:uiPriority w:val="99"/>
    <w:pPr>
      <w:tabs>
        <w:tab w:val="left" w:pos="851"/>
        <w:tab w:val="clear" w:pos="864"/>
      </w:tabs>
      <w:adjustRightInd/>
      <w:spacing w:line="376" w:lineRule="atLeast"/>
      <w:ind w:left="851" w:hanging="851"/>
    </w:pPr>
    <w:rPr>
      <w:rFonts w:ascii="Cambria" w:hAnsi="Cambria" w:eastAsia="宋体"/>
      <w:bCs w:val="0"/>
      <w:color w:val="000000"/>
      <w:sz w:val="21"/>
      <w:szCs w:val="20"/>
      <w:lang w:val="en-US"/>
    </w:rPr>
  </w:style>
  <w:style w:type="character" w:customStyle="1" w:styleId="252">
    <w:name w:val="dectext1"/>
    <w:qFormat/>
    <w:uiPriority w:val="99"/>
    <w:rPr>
      <w:rFonts w:ascii="宋体" w:hAnsi="宋体" w:eastAsia="宋体"/>
      <w:color w:val="333333"/>
      <w:sz w:val="21"/>
      <w:u w:val="none"/>
    </w:rPr>
  </w:style>
  <w:style w:type="character" w:customStyle="1" w:styleId="253">
    <w:name w:val="冯 Char"/>
    <w:link w:val="254"/>
    <w:qFormat/>
    <w:locked/>
    <w:uiPriority w:val="99"/>
    <w:rPr>
      <w:rFonts w:ascii="宋体" w:eastAsia="宋体"/>
      <w:color w:val="000000"/>
      <w:sz w:val="24"/>
    </w:rPr>
  </w:style>
  <w:style w:type="paragraph" w:customStyle="1" w:styleId="254">
    <w:name w:val="冯"/>
    <w:basedOn w:val="1"/>
    <w:link w:val="253"/>
    <w:qFormat/>
    <w:uiPriority w:val="99"/>
    <w:pPr>
      <w:widowControl/>
      <w:adjustRightInd/>
      <w:spacing w:line="360" w:lineRule="auto"/>
      <w:ind w:firstLine="480" w:firstLineChars="200"/>
    </w:pPr>
    <w:rPr>
      <w:rFonts w:ascii="宋体"/>
      <w:color w:val="000000"/>
      <w:kern w:val="0"/>
      <w:sz w:val="24"/>
      <w:szCs w:val="20"/>
    </w:rPr>
  </w:style>
  <w:style w:type="character" w:customStyle="1" w:styleId="255">
    <w:name w:val="Char Char12"/>
    <w:qFormat/>
    <w:uiPriority w:val="99"/>
    <w:rPr>
      <w:rFonts w:ascii="仿宋_GB2312" w:eastAsia="仿宋_GB2312"/>
      <w:b/>
      <w:kern w:val="2"/>
      <w:sz w:val="24"/>
      <w:lang w:val="zh-CN" w:eastAsia="zh-CN"/>
    </w:rPr>
  </w:style>
  <w:style w:type="character" w:customStyle="1" w:styleId="256">
    <w:name w:val="题注 Char"/>
    <w:link w:val="16"/>
    <w:qFormat/>
    <w:locked/>
    <w:uiPriority w:val="99"/>
    <w:rPr>
      <w:b/>
      <w:kern w:val="2"/>
      <w:sz w:val="28"/>
    </w:rPr>
  </w:style>
  <w:style w:type="character" w:customStyle="1" w:styleId="257">
    <w:name w:val="普通文字 Char3"/>
    <w:qFormat/>
    <w:uiPriority w:val="99"/>
    <w:rPr>
      <w:rFonts w:ascii="宋体" w:hAnsi="Courier New" w:eastAsia="宋体"/>
      <w:kern w:val="2"/>
      <w:sz w:val="21"/>
      <w:lang w:val="en-US" w:eastAsia="zh-CN"/>
    </w:rPr>
  </w:style>
  <w:style w:type="character" w:customStyle="1" w:styleId="258">
    <w:name w:val="公文正文 Char"/>
    <w:qFormat/>
    <w:uiPriority w:val="99"/>
    <w:rPr>
      <w:rFonts w:ascii="仿宋_GB2312" w:eastAsia="仿宋_GB2312"/>
      <w:kern w:val="2"/>
      <w:sz w:val="24"/>
      <w:lang w:val="en-US" w:eastAsia="zh-CN"/>
    </w:rPr>
  </w:style>
  <w:style w:type="character" w:customStyle="1" w:styleId="259">
    <w:name w:val="正文首行缩进 Char Char Char Char Char"/>
    <w:qFormat/>
    <w:uiPriority w:val="99"/>
    <w:rPr>
      <w:rFonts w:ascii="宋体"/>
      <w:kern w:val="2"/>
      <w:sz w:val="24"/>
      <w:lang w:val="zh-CN"/>
    </w:rPr>
  </w:style>
  <w:style w:type="character" w:customStyle="1" w:styleId="260">
    <w:name w:val="PI Char"/>
    <w:qFormat/>
    <w:uiPriority w:val="99"/>
    <w:rPr>
      <w:rFonts w:ascii="宋体" w:hAnsi="宋体" w:eastAsia="宋体"/>
      <w:kern w:val="2"/>
      <w:sz w:val="24"/>
      <w:lang w:val="en-US" w:eastAsia="zh-CN"/>
    </w:rPr>
  </w:style>
  <w:style w:type="character" w:customStyle="1" w:styleId="261">
    <w:name w:val="Default Char"/>
    <w:link w:val="262"/>
    <w:qFormat/>
    <w:locked/>
    <w:uiPriority w:val="99"/>
    <w:rPr>
      <w:rFonts w:ascii="仿宋_GB2312" w:eastAsia="仿宋_GB2312"/>
      <w:color w:val="000000"/>
      <w:sz w:val="24"/>
      <w:lang w:val="en-US" w:eastAsia="zh-CN"/>
    </w:rPr>
  </w:style>
  <w:style w:type="paragraph" w:customStyle="1" w:styleId="262">
    <w:name w:val="Default"/>
    <w:next w:val="263"/>
    <w:link w:val="261"/>
    <w:qFormat/>
    <w:uiPriority w:val="99"/>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263">
    <w:name w:val="Intense Quote"/>
    <w:basedOn w:val="1"/>
    <w:next w:val="1"/>
    <w:qFormat/>
    <w:uiPriority w:val="0"/>
    <w:pPr>
      <w:wordWrap w:val="0"/>
      <w:spacing w:before="360" w:after="360"/>
      <w:ind w:left="950" w:right="950"/>
      <w:jc w:val="center"/>
    </w:pPr>
    <w:rPr>
      <w:i/>
    </w:rPr>
  </w:style>
  <w:style w:type="paragraph" w:customStyle="1" w:styleId="264">
    <w:name w:val="目录 71"/>
    <w:next w:val="1"/>
    <w:qFormat/>
    <w:uiPriority w:val="0"/>
    <w:pPr>
      <w:wordWrap w:val="0"/>
      <w:ind w:left="2550"/>
      <w:jc w:val="both"/>
    </w:pPr>
    <w:rPr>
      <w:rFonts w:ascii="宋体" w:hAnsi="宋体" w:eastAsia="Times New Roman" w:cs="Times New Roman"/>
      <w:sz w:val="21"/>
      <w:lang w:val="en-US" w:eastAsia="zh-CN" w:bidi="ar-SA"/>
    </w:rPr>
  </w:style>
  <w:style w:type="character" w:customStyle="1" w:styleId="265">
    <w:name w:val="style91"/>
    <w:qFormat/>
    <w:uiPriority w:val="99"/>
    <w:rPr>
      <w:color w:val="333333"/>
    </w:rPr>
  </w:style>
  <w:style w:type="character" w:customStyle="1" w:styleId="266">
    <w:name w:val="列出段落 Char2"/>
    <w:qFormat/>
    <w:uiPriority w:val="99"/>
    <w:rPr>
      <w:rFonts w:ascii="Calibri" w:hAnsi="Calibri"/>
      <w:kern w:val="2"/>
      <w:sz w:val="28"/>
    </w:rPr>
  </w:style>
  <w:style w:type="character" w:customStyle="1" w:styleId="267">
    <w:name w:val="mdeck"/>
    <w:qFormat/>
    <w:uiPriority w:val="99"/>
    <w:rPr>
      <w:rFonts w:ascii="仿宋_GB2312" w:eastAsia="微软雅黑"/>
      <w:b/>
      <w:kern w:val="2"/>
      <w:sz w:val="32"/>
      <w:lang w:val="en-US" w:eastAsia="zh-CN"/>
    </w:rPr>
  </w:style>
  <w:style w:type="character" w:customStyle="1" w:styleId="268">
    <w:name w:val="unnamed11"/>
    <w:qFormat/>
    <w:uiPriority w:val="99"/>
    <w:rPr>
      <w:sz w:val="20"/>
    </w:rPr>
  </w:style>
  <w:style w:type="character" w:customStyle="1" w:styleId="269">
    <w:name w:val="正文文本 Char2"/>
    <w:semiHidden/>
    <w:qFormat/>
    <w:uiPriority w:val="99"/>
    <w:rPr>
      <w:rFonts w:ascii="Times New Roman" w:hAnsi="Times New Roman" w:eastAsia="宋体"/>
      <w:snapToGrid w:val="0"/>
      <w:kern w:val="0"/>
      <w:sz w:val="24"/>
    </w:rPr>
  </w:style>
  <w:style w:type="character" w:customStyle="1" w:styleId="270">
    <w:name w:val="标书正文格式 Char"/>
    <w:qFormat/>
    <w:uiPriority w:val="99"/>
    <w:rPr>
      <w:rFonts w:eastAsia="楷体_GB2312"/>
      <w:kern w:val="2"/>
      <w:sz w:val="24"/>
    </w:rPr>
  </w:style>
  <w:style w:type="character" w:customStyle="1" w:styleId="271">
    <w:name w:val="Char Char11"/>
    <w:qFormat/>
    <w:locked/>
    <w:uiPriority w:val="99"/>
    <w:rPr>
      <w:rFonts w:ascii="宋体" w:hAnsi="宋体" w:eastAsia="宋体"/>
      <w:b/>
      <w:kern w:val="2"/>
      <w:sz w:val="24"/>
      <w:lang w:val="en-US" w:eastAsia="zh-CN"/>
    </w:rPr>
  </w:style>
  <w:style w:type="character" w:customStyle="1" w:styleId="272">
    <w:name w:val="ca-131"/>
    <w:qFormat/>
    <w:uiPriority w:val="99"/>
    <w:rPr>
      <w:rFonts w:ascii="仿宋_GB2312" w:eastAsia="仿宋_GB2312"/>
      <w:b/>
      <w:color w:val="000000"/>
      <w:spacing w:val="-20"/>
      <w:sz w:val="24"/>
    </w:rPr>
  </w:style>
  <w:style w:type="character" w:customStyle="1" w:styleId="273">
    <w:name w:val="tw4winMark"/>
    <w:qFormat/>
    <w:uiPriority w:val="99"/>
    <w:rPr>
      <w:rFonts w:ascii="Courier New" w:hAnsi="Courier New"/>
      <w:vanish/>
      <w:color w:val="800080"/>
      <w:sz w:val="24"/>
      <w:vertAlign w:val="subscript"/>
    </w:rPr>
  </w:style>
  <w:style w:type="character" w:customStyle="1" w:styleId="274">
    <w:name w:val="正文样式 Char"/>
    <w:link w:val="275"/>
    <w:qFormat/>
    <w:locked/>
    <w:uiPriority w:val="99"/>
    <w:rPr>
      <w:rFonts w:ascii="Calibri" w:hAnsi="Calibri"/>
      <w:sz w:val="24"/>
    </w:rPr>
  </w:style>
  <w:style w:type="paragraph" w:customStyle="1" w:styleId="275">
    <w:name w:val="正文样式"/>
    <w:basedOn w:val="1"/>
    <w:link w:val="274"/>
    <w:qFormat/>
    <w:uiPriority w:val="99"/>
    <w:pPr>
      <w:adjustRightInd/>
      <w:spacing w:line="360" w:lineRule="auto"/>
      <w:ind w:firstLine="480" w:firstLineChars="200"/>
    </w:pPr>
    <w:rPr>
      <w:rFonts w:ascii="Calibri" w:hAnsi="Calibri"/>
      <w:kern w:val="0"/>
      <w:sz w:val="24"/>
      <w:szCs w:val="20"/>
    </w:rPr>
  </w:style>
  <w:style w:type="character" w:customStyle="1" w:styleId="276">
    <w:name w:val="表正文 Char3"/>
    <w:qFormat/>
    <w:uiPriority w:val="99"/>
    <w:rPr>
      <w:rFonts w:eastAsia="宋体"/>
    </w:rPr>
  </w:style>
  <w:style w:type="character" w:customStyle="1" w:styleId="277">
    <w:name w:val="H5 Char"/>
    <w:qFormat/>
    <w:uiPriority w:val="99"/>
    <w:rPr>
      <w:b/>
      <w:kern w:val="2"/>
      <w:sz w:val="28"/>
    </w:rPr>
  </w:style>
  <w:style w:type="character" w:customStyle="1" w:styleId="278">
    <w:name w:val="Char Char3"/>
    <w:qFormat/>
    <w:uiPriority w:val="99"/>
    <w:rPr>
      <w:rFonts w:eastAsia="宋体"/>
      <w:kern w:val="2"/>
      <w:sz w:val="24"/>
      <w:lang w:val="en-US" w:eastAsia="zh-CN"/>
    </w:rPr>
  </w:style>
  <w:style w:type="character" w:customStyle="1" w:styleId="279">
    <w:name w:val="正文 编号 Char"/>
    <w:qFormat/>
    <w:uiPriority w:val="99"/>
    <w:rPr>
      <w:rFonts w:ascii="仿宋_GB2312" w:hAnsi="仿宋_GB2312" w:eastAsia="仿宋_GB2312"/>
      <w:kern w:val="2"/>
      <w:sz w:val="24"/>
    </w:rPr>
  </w:style>
  <w:style w:type="character" w:customStyle="1" w:styleId="280">
    <w:name w:val="question-title2"/>
    <w:qFormat/>
    <w:uiPriority w:val="99"/>
    <w:rPr>
      <w:rFonts w:ascii="Arial" w:hAnsi="Arial" w:eastAsia="黑体"/>
      <w:snapToGrid w:val="0"/>
      <w:kern w:val="0"/>
      <w:sz w:val="21"/>
    </w:rPr>
  </w:style>
  <w:style w:type="character" w:customStyle="1" w:styleId="281">
    <w:name w:val="gf正文1 Char Char"/>
    <w:link w:val="282"/>
    <w:qFormat/>
    <w:locked/>
    <w:uiPriority w:val="99"/>
    <w:rPr>
      <w:rFonts w:ascii="宋体" w:eastAsia="宋体"/>
      <w:kern w:val="2"/>
      <w:sz w:val="24"/>
    </w:rPr>
  </w:style>
  <w:style w:type="paragraph" w:customStyle="1" w:styleId="282">
    <w:name w:val="gf正文1"/>
    <w:basedOn w:val="1"/>
    <w:link w:val="281"/>
    <w:qFormat/>
    <w:uiPriority w:val="99"/>
    <w:pPr>
      <w:tabs>
        <w:tab w:val="left" w:pos="3240"/>
        <w:tab w:val="left" w:pos="3960"/>
      </w:tabs>
      <w:snapToGrid w:val="0"/>
      <w:spacing w:line="360" w:lineRule="auto"/>
      <w:ind w:firstLine="480" w:firstLineChars="200"/>
    </w:pPr>
    <w:rPr>
      <w:rFonts w:ascii="宋体"/>
      <w:sz w:val="24"/>
      <w:szCs w:val="20"/>
    </w:rPr>
  </w:style>
  <w:style w:type="character" w:customStyle="1" w:styleId="283">
    <w:name w:val="Char Char15"/>
    <w:qFormat/>
    <w:uiPriority w:val="99"/>
    <w:rPr>
      <w:rFonts w:ascii="宋体" w:eastAsia="宋体"/>
      <w:kern w:val="1"/>
      <w:sz w:val="21"/>
    </w:rPr>
  </w:style>
  <w:style w:type="character" w:customStyle="1" w:styleId="284">
    <w:name w:val="正文缩进 Char3"/>
    <w:qFormat/>
    <w:uiPriority w:val="99"/>
    <w:rPr>
      <w:rFonts w:ascii="宋体" w:eastAsia="宋体"/>
      <w:snapToGrid w:val="0"/>
      <w:color w:val="000000"/>
      <w:kern w:val="28"/>
      <w:sz w:val="28"/>
      <w:lang w:val="en-US" w:eastAsia="zh-CN"/>
    </w:rPr>
  </w:style>
  <w:style w:type="character" w:customStyle="1" w:styleId="285">
    <w:name w:val="列出段落 Char1"/>
    <w:link w:val="286"/>
    <w:qFormat/>
    <w:locked/>
    <w:uiPriority w:val="99"/>
    <w:rPr>
      <w:rFonts w:ascii="Calibri" w:hAnsi="Calibri"/>
      <w:sz w:val="24"/>
      <w:lang w:eastAsia="en-US"/>
    </w:rPr>
  </w:style>
  <w:style w:type="paragraph" w:customStyle="1" w:styleId="286">
    <w:name w:val="列表1"/>
    <w:basedOn w:val="1"/>
    <w:next w:val="287"/>
    <w:link w:val="285"/>
    <w:qFormat/>
    <w:uiPriority w:val="99"/>
    <w:pPr>
      <w:widowControl/>
      <w:adjustRightInd/>
      <w:spacing w:after="200" w:line="360" w:lineRule="auto"/>
      <w:ind w:left="720" w:firstLine="200" w:firstLineChars="200"/>
      <w:jc w:val="left"/>
    </w:pPr>
    <w:rPr>
      <w:rFonts w:ascii="Calibri" w:hAnsi="Calibri"/>
      <w:kern w:val="0"/>
      <w:sz w:val="24"/>
      <w:szCs w:val="20"/>
      <w:lang w:eastAsia="en-US"/>
    </w:rPr>
  </w:style>
  <w:style w:type="paragraph" w:styleId="287">
    <w:name w:val="List Paragraph"/>
    <w:basedOn w:val="1"/>
    <w:qFormat/>
    <w:uiPriority w:val="99"/>
    <w:pPr>
      <w:spacing w:line="360" w:lineRule="auto"/>
      <w:ind w:firstLine="200" w:firstLineChars="200"/>
    </w:pPr>
    <w:rPr>
      <w:rFonts w:eastAsia="楷体_GB2312" w:cs="Lucida Sans"/>
      <w:sz w:val="24"/>
    </w:rPr>
  </w:style>
  <w:style w:type="character" w:customStyle="1" w:styleId="288">
    <w:name w:val="Char Char8"/>
    <w:qFormat/>
    <w:uiPriority w:val="99"/>
    <w:rPr>
      <w:rFonts w:eastAsia="宋体"/>
      <w:b/>
      <w:sz w:val="24"/>
      <w:lang w:val="en-GB" w:eastAsia="zh-CN"/>
    </w:rPr>
  </w:style>
  <w:style w:type="character" w:customStyle="1" w:styleId="289">
    <w:name w:val="Normal Indent Char Char"/>
    <w:qFormat/>
    <w:uiPriority w:val="99"/>
    <w:rPr>
      <w:rFonts w:eastAsia="宋体"/>
      <w:kern w:val="2"/>
      <w:sz w:val="21"/>
      <w:lang w:val="en-US" w:eastAsia="zh-CN"/>
    </w:rPr>
  </w:style>
  <w:style w:type="character" w:customStyle="1" w:styleId="290">
    <w:name w:val="列表段落 字符"/>
    <w:qFormat/>
    <w:uiPriority w:val="99"/>
  </w:style>
  <w:style w:type="character" w:customStyle="1" w:styleId="291">
    <w:name w:val="Ò³Ã¼ Char Char1"/>
    <w:qFormat/>
    <w:uiPriority w:val="99"/>
    <w:rPr>
      <w:rFonts w:eastAsia="宋体"/>
      <w:kern w:val="2"/>
      <w:sz w:val="18"/>
      <w:lang w:val="en-US" w:eastAsia="zh-CN"/>
    </w:rPr>
  </w:style>
  <w:style w:type="character" w:customStyle="1" w:styleId="292">
    <w:name w:val="方案正文 Char"/>
    <w:qFormat/>
    <w:uiPriority w:val="99"/>
    <w:rPr>
      <w:rFonts w:ascii="仿宋_GB2312" w:eastAsia="仿宋_GB2312"/>
      <w:b/>
      <w:color w:val="000000"/>
      <w:kern w:val="2"/>
      <w:sz w:val="24"/>
      <w:lang w:val="en-US" w:eastAsia="zh-CN"/>
    </w:rPr>
  </w:style>
  <w:style w:type="character" w:customStyle="1" w:styleId="293">
    <w:name w:val="Char Char30"/>
    <w:qFormat/>
    <w:uiPriority w:val="99"/>
    <w:rPr>
      <w:rFonts w:ascii="Arial" w:hAnsi="Arial" w:eastAsia="黑体"/>
      <w:kern w:val="1"/>
      <w:sz w:val="21"/>
    </w:rPr>
  </w:style>
  <w:style w:type="character" w:customStyle="1" w:styleId="294">
    <w:name w:val="font01"/>
    <w:basedOn w:val="71"/>
    <w:qFormat/>
    <w:uiPriority w:val="99"/>
    <w:rPr>
      <w:rFonts w:ascii="微软雅黑" w:hAnsi="微软雅黑" w:eastAsia="微软雅黑"/>
      <w:color w:val="000000"/>
      <w:sz w:val="20"/>
      <w:u w:val="none"/>
    </w:rPr>
  </w:style>
  <w:style w:type="character" w:customStyle="1" w:styleId="295">
    <w:name w:val="Char Char20"/>
    <w:qFormat/>
    <w:uiPriority w:val="99"/>
    <w:rPr>
      <w:kern w:val="1"/>
      <w:sz w:val="24"/>
    </w:rPr>
  </w:style>
  <w:style w:type="character" w:customStyle="1" w:styleId="296">
    <w:name w:val="tw4winExternal"/>
    <w:qFormat/>
    <w:uiPriority w:val="99"/>
    <w:rPr>
      <w:rFonts w:ascii="Courier New" w:hAnsi="Courier New"/>
      <w:color w:val="808080"/>
      <w:lang w:val="en-US" w:eastAsia="zh-CN"/>
    </w:rPr>
  </w:style>
  <w:style w:type="character" w:customStyle="1" w:styleId="297">
    <w:name w:val="标题 4 Char1"/>
    <w:qFormat/>
    <w:uiPriority w:val="99"/>
    <w:rPr>
      <w:rFonts w:ascii="Cambria" w:hAnsi="Cambria" w:eastAsia="宋体"/>
      <w:b/>
      <w:kern w:val="2"/>
      <w:sz w:val="28"/>
    </w:rPr>
  </w:style>
  <w:style w:type="character" w:customStyle="1" w:styleId="298">
    <w:name w:val="批注文字 Char2"/>
    <w:qFormat/>
    <w:uiPriority w:val="99"/>
    <w:rPr>
      <w:rFonts w:ascii="Times New Roman" w:hAnsi="Times New Roman" w:eastAsia="宋体"/>
      <w:snapToGrid w:val="0"/>
      <w:kern w:val="0"/>
      <w:sz w:val="24"/>
    </w:rPr>
  </w:style>
  <w:style w:type="character" w:customStyle="1" w:styleId="299">
    <w:name w:val="正文文本 2 Char"/>
    <w:qFormat/>
    <w:uiPriority w:val="99"/>
    <w:rPr>
      <w:rFonts w:eastAsia="宋体"/>
      <w:kern w:val="2"/>
      <w:sz w:val="24"/>
      <w:lang w:val="en-US" w:eastAsia="zh-CN"/>
    </w:rPr>
  </w:style>
  <w:style w:type="character" w:customStyle="1" w:styleId="300">
    <w:name w:val="Ò³Ã¼ Char Char"/>
    <w:qFormat/>
    <w:uiPriority w:val="99"/>
    <w:rPr>
      <w:rFonts w:eastAsia="宋体"/>
      <w:kern w:val="2"/>
      <w:sz w:val="18"/>
      <w:lang w:val="en-US" w:eastAsia="zh-CN"/>
    </w:rPr>
  </w:style>
  <w:style w:type="character" w:customStyle="1" w:styleId="301">
    <w:name w:val="message1"/>
    <w:qFormat/>
    <w:uiPriority w:val="99"/>
    <w:rPr>
      <w:rFonts w:ascii="Tahoma" w:hAnsi="Tahoma"/>
      <w:sz w:val="18"/>
    </w:rPr>
  </w:style>
  <w:style w:type="character" w:customStyle="1" w:styleId="302">
    <w:name w:val="Char Char23"/>
    <w:qFormat/>
    <w:uiPriority w:val="99"/>
    <w:rPr>
      <w:color w:val="0000FF"/>
      <w:sz w:val="21"/>
    </w:rPr>
  </w:style>
  <w:style w:type="character" w:customStyle="1" w:styleId="303">
    <w:name w:val="批注框文本 字符"/>
    <w:qFormat/>
    <w:uiPriority w:val="99"/>
    <w:rPr>
      <w:rFonts w:ascii="Arial" w:hAnsi="Arial" w:eastAsia="黑体"/>
      <w:snapToGrid w:val="0"/>
      <w:kern w:val="0"/>
      <w:sz w:val="18"/>
    </w:rPr>
  </w:style>
  <w:style w:type="character" w:customStyle="1" w:styleId="304">
    <w:name w:val="纯文本 Char2"/>
    <w:semiHidden/>
    <w:qFormat/>
    <w:uiPriority w:val="99"/>
    <w:rPr>
      <w:rFonts w:ascii="宋体" w:hAnsi="Courier New" w:eastAsia="宋体"/>
    </w:rPr>
  </w:style>
  <w:style w:type="character" w:customStyle="1" w:styleId="305">
    <w:name w:val="Char Char25"/>
    <w:qFormat/>
    <w:uiPriority w:val="99"/>
    <w:rPr>
      <w:rFonts w:ascii="宋体" w:eastAsia="宋体"/>
      <w:kern w:val="1"/>
      <w:sz w:val="24"/>
      <w:lang w:val="zh-CN"/>
    </w:rPr>
  </w:style>
  <w:style w:type="character" w:customStyle="1" w:styleId="306">
    <w:name w:val="Char Char411"/>
    <w:qFormat/>
    <w:uiPriority w:val="99"/>
    <w:rPr>
      <w:rFonts w:eastAsia="宋体"/>
      <w:b/>
      <w:sz w:val="24"/>
      <w:lang w:val="en-GB" w:eastAsia="zh-CN"/>
    </w:rPr>
  </w:style>
  <w:style w:type="character" w:customStyle="1" w:styleId="307">
    <w:name w:val="此正文 Char"/>
    <w:link w:val="308"/>
    <w:qFormat/>
    <w:locked/>
    <w:uiPriority w:val="99"/>
    <w:rPr>
      <w:kern w:val="2"/>
      <w:sz w:val="24"/>
    </w:rPr>
  </w:style>
  <w:style w:type="paragraph" w:customStyle="1" w:styleId="308">
    <w:name w:val="此正文"/>
    <w:basedOn w:val="1"/>
    <w:link w:val="307"/>
    <w:qFormat/>
    <w:uiPriority w:val="99"/>
    <w:pPr>
      <w:adjustRightInd/>
      <w:spacing w:line="360" w:lineRule="auto"/>
      <w:ind w:firstLine="200" w:firstLineChars="200"/>
    </w:pPr>
    <w:rPr>
      <w:sz w:val="24"/>
      <w:szCs w:val="20"/>
    </w:rPr>
  </w:style>
  <w:style w:type="character" w:customStyle="1" w:styleId="309">
    <w:name w:val="Char Char2"/>
    <w:qFormat/>
    <w:uiPriority w:val="99"/>
    <w:rPr>
      <w:rFonts w:eastAsia="宋体"/>
      <w:b/>
      <w:kern w:val="2"/>
      <w:sz w:val="24"/>
      <w:lang w:val="en-US" w:eastAsia="zh-CN"/>
    </w:rPr>
  </w:style>
  <w:style w:type="character" w:customStyle="1" w:styleId="310">
    <w:name w:val="标题 1 Char"/>
    <w:link w:val="2"/>
    <w:qFormat/>
    <w:locked/>
    <w:uiPriority w:val="99"/>
    <w:rPr>
      <w:b/>
      <w:kern w:val="44"/>
      <w:sz w:val="44"/>
    </w:rPr>
  </w:style>
  <w:style w:type="character" w:customStyle="1" w:styleId="311">
    <w:name w:val="Footer-Even Char1"/>
    <w:qFormat/>
    <w:uiPriority w:val="99"/>
    <w:rPr>
      <w:rFonts w:eastAsia="宋体"/>
      <w:kern w:val="2"/>
      <w:sz w:val="18"/>
      <w:lang w:val="en-US" w:eastAsia="zh-CN"/>
    </w:rPr>
  </w:style>
  <w:style w:type="character" w:customStyle="1" w:styleId="312">
    <w:name w:val="Char Char29"/>
    <w:qFormat/>
    <w:uiPriority w:val="99"/>
    <w:rPr>
      <w:rFonts w:ascii="Arial" w:hAnsi="Arial" w:eastAsia="微软雅黑"/>
      <w:b/>
      <w:kern w:val="1"/>
      <w:sz w:val="32"/>
      <w:lang w:val="en-US" w:eastAsia="zh-CN"/>
    </w:rPr>
  </w:style>
  <w:style w:type="character" w:customStyle="1" w:styleId="313">
    <w:name w:val="font81"/>
    <w:basedOn w:val="71"/>
    <w:qFormat/>
    <w:uiPriority w:val="99"/>
    <w:rPr>
      <w:rFonts w:ascii="微软雅黑" w:hAnsi="微软雅黑" w:eastAsia="微软雅黑"/>
      <w:color w:val="000000"/>
      <w:sz w:val="20"/>
      <w:u w:val="none"/>
    </w:rPr>
  </w:style>
  <w:style w:type="character" w:customStyle="1" w:styleId="314">
    <w:name w:val="Char Char312"/>
    <w:qFormat/>
    <w:uiPriority w:val="99"/>
    <w:rPr>
      <w:rFonts w:ascii="Times New Roman" w:hAnsi="Times New Roman" w:eastAsia="宋体"/>
      <w:b/>
      <w:kern w:val="2"/>
      <w:sz w:val="24"/>
      <w:lang w:val="en-US" w:eastAsia="zh-CN"/>
    </w:rPr>
  </w:style>
  <w:style w:type="character" w:customStyle="1" w:styleId="315">
    <w:name w:val="t21"/>
    <w:qFormat/>
    <w:uiPriority w:val="99"/>
    <w:rPr>
      <w:rFonts w:ascii="仿宋_GB2312" w:eastAsia="微软雅黑"/>
      <w:b/>
      <w:kern w:val="2"/>
      <w:sz w:val="23"/>
      <w:lang w:val="en-US" w:eastAsia="zh-CN"/>
    </w:rPr>
  </w:style>
  <w:style w:type="character" w:customStyle="1" w:styleId="316">
    <w:name w:val="样式8 Char"/>
    <w:qFormat/>
    <w:uiPriority w:val="99"/>
    <w:rPr>
      <w:rFonts w:ascii="仿宋_GB2312" w:hAnsi="宋体" w:eastAsia="仿宋_GB2312"/>
      <w:b/>
      <w:kern w:val="2"/>
      <w:sz w:val="24"/>
    </w:rPr>
  </w:style>
  <w:style w:type="character" w:customStyle="1" w:styleId="317">
    <w:name w:val="表格 Char Char"/>
    <w:qFormat/>
    <w:uiPriority w:val="99"/>
    <w:rPr>
      <w:rFonts w:ascii="宋体" w:hAnsi="宋体" w:eastAsia="宋体"/>
    </w:rPr>
  </w:style>
  <w:style w:type="character" w:customStyle="1" w:styleId="318">
    <w:name w:val="正文文本 字符1"/>
    <w:qFormat/>
    <w:uiPriority w:val="99"/>
    <w:rPr>
      <w:rFonts w:ascii="Calibri" w:hAnsi="Calibri" w:eastAsia="黑体"/>
      <w:snapToGrid w:val="0"/>
      <w:kern w:val="2"/>
      <w:sz w:val="21"/>
    </w:rPr>
  </w:style>
  <w:style w:type="character" w:customStyle="1" w:styleId="319">
    <w:name w:val="标题 6 Char1"/>
    <w:qFormat/>
    <w:uiPriority w:val="99"/>
    <w:rPr>
      <w:rFonts w:ascii="Arial" w:hAnsi="Arial" w:eastAsia="黑体"/>
      <w:b/>
      <w:sz w:val="20"/>
    </w:rPr>
  </w:style>
  <w:style w:type="character" w:customStyle="1" w:styleId="320">
    <w:name w:val="带编号样式 Char"/>
    <w:qFormat/>
    <w:uiPriority w:val="99"/>
    <w:rPr>
      <w:rFonts w:ascii="仿宋_GB2312" w:eastAsia="仿宋_GB2312"/>
      <w:color w:val="000000"/>
      <w:sz w:val="24"/>
    </w:rPr>
  </w:style>
  <w:style w:type="character" w:customStyle="1" w:styleId="321">
    <w:name w:val="unnamed31"/>
    <w:qFormat/>
    <w:uiPriority w:val="99"/>
    <w:rPr>
      <w:rFonts w:ascii="Tahoma" w:hAnsi="Tahoma" w:eastAsia="宋体"/>
      <w:b/>
      <w:kern w:val="2"/>
      <w:sz w:val="32"/>
      <w:u w:val="none"/>
      <w:lang w:val="en-US" w:eastAsia="zh-CN"/>
    </w:rPr>
  </w:style>
  <w:style w:type="character" w:customStyle="1" w:styleId="322">
    <w:name w:val="正文首行缩进 Char Char Char Char Char Char1"/>
    <w:qFormat/>
    <w:uiPriority w:val="99"/>
    <w:rPr>
      <w:rFonts w:ascii="宋体" w:eastAsia="宋体"/>
      <w:kern w:val="2"/>
      <w:sz w:val="24"/>
      <w:lang w:val="zh-CN"/>
    </w:rPr>
  </w:style>
  <w:style w:type="character" w:customStyle="1" w:styleId="323">
    <w:name w:val="文本正文 Char Char"/>
    <w:qFormat/>
    <w:locked/>
    <w:uiPriority w:val="99"/>
    <w:rPr>
      <w:sz w:val="24"/>
    </w:rPr>
  </w:style>
  <w:style w:type="character" w:customStyle="1" w:styleId="324">
    <w:name w:val="正文缩进 字符"/>
    <w:qFormat/>
    <w:uiPriority w:val="99"/>
    <w:rPr>
      <w:rFonts w:ascii="宋体" w:eastAsia="宋体"/>
      <w:snapToGrid w:val="0"/>
      <w:color w:val="000000"/>
      <w:kern w:val="28"/>
      <w:sz w:val="28"/>
      <w:lang w:val="en-US" w:eastAsia="zh-CN"/>
    </w:rPr>
  </w:style>
  <w:style w:type="character" w:customStyle="1" w:styleId="325">
    <w:name w:val="样式 样式 标题 4h4H4Fab-4T5Ref Heading 1rh1Heading sqlsect 1.2.3.... +... Char"/>
    <w:link w:val="326"/>
    <w:qFormat/>
    <w:locked/>
    <w:uiPriority w:val="99"/>
    <w:rPr>
      <w:rFonts w:ascii="微软雅黑" w:hAnsi="微软雅黑" w:eastAsia="微软雅黑"/>
      <w:b/>
      <w:kern w:val="2"/>
      <w:sz w:val="28"/>
    </w:rPr>
  </w:style>
  <w:style w:type="paragraph" w:customStyle="1" w:styleId="326">
    <w:name w:val="样式 样式 标题 4h4H4Fab-4T5Ref Heading 1rh1Heading sqlsect 1.2.3.... +..."/>
    <w:basedOn w:val="327"/>
    <w:link w:val="325"/>
    <w:qFormat/>
    <w:uiPriority w:val="99"/>
    <w:pPr>
      <w:tabs>
        <w:tab w:val="left" w:pos="2356"/>
      </w:tabs>
    </w:pPr>
  </w:style>
  <w:style w:type="paragraph" w:customStyle="1" w:styleId="327">
    <w:name w:val="样式 标题 4h4H4Fab-4T5Ref Heading 1rh1Heading sqlsect 1.2.3...."/>
    <w:basedOn w:val="5"/>
    <w:link w:val="427"/>
    <w:qFormat/>
    <w:uiPriority w:val="99"/>
    <w:pPr>
      <w:tabs>
        <w:tab w:val="left" w:pos="2356"/>
        <w:tab w:val="clear" w:pos="864"/>
      </w:tabs>
      <w:adjustRightInd/>
      <w:spacing w:line="360" w:lineRule="auto"/>
      <w:ind w:left="1984" w:leftChars="75" w:hanging="708" w:firstLineChars="200"/>
    </w:pPr>
    <w:rPr>
      <w:rFonts w:ascii="微软雅黑" w:hAnsi="微软雅黑" w:eastAsia="微软雅黑"/>
      <w:bCs w:val="0"/>
      <w:szCs w:val="20"/>
      <w:lang w:val="en-US"/>
    </w:rPr>
  </w:style>
  <w:style w:type="character" w:customStyle="1" w:styleId="328">
    <w:name w:val="正文非缩进 Char"/>
    <w:qFormat/>
    <w:uiPriority w:val="99"/>
    <w:rPr>
      <w:rFonts w:ascii="宋体" w:eastAsia="宋体"/>
      <w:snapToGrid w:val="0"/>
      <w:color w:val="000000"/>
      <w:kern w:val="28"/>
      <w:sz w:val="28"/>
      <w:lang w:val="en-US" w:eastAsia="zh-CN"/>
    </w:rPr>
  </w:style>
  <w:style w:type="character" w:customStyle="1" w:styleId="329">
    <w:name w:val="标题 7 Char"/>
    <w:link w:val="8"/>
    <w:qFormat/>
    <w:locked/>
    <w:uiPriority w:val="99"/>
    <w:rPr>
      <w:b/>
      <w:kern w:val="2"/>
      <w:sz w:val="24"/>
    </w:rPr>
  </w:style>
  <w:style w:type="character" w:customStyle="1" w:styleId="330">
    <w:name w:val="Char Char5"/>
    <w:qFormat/>
    <w:uiPriority w:val="99"/>
    <w:rPr>
      <w:rFonts w:ascii="宋体" w:hAnsi="Courier New" w:eastAsia="宋体"/>
      <w:kern w:val="2"/>
      <w:sz w:val="21"/>
      <w:lang w:val="en-US" w:eastAsia="zh-CN"/>
    </w:rPr>
  </w:style>
  <w:style w:type="character" w:customStyle="1" w:styleId="331">
    <w:name w:val="称呼 Char1"/>
    <w:qFormat/>
    <w:uiPriority w:val="99"/>
    <w:rPr>
      <w:rFonts w:ascii="Times New Roman" w:hAnsi="Times New Roman" w:eastAsia="宋体"/>
      <w:sz w:val="24"/>
    </w:rPr>
  </w:style>
  <w:style w:type="character" w:customStyle="1" w:styleId="332">
    <w:name w:val="正文1 Char"/>
    <w:qFormat/>
    <w:uiPriority w:val="99"/>
    <w:rPr>
      <w:rFonts w:ascii="宋体" w:eastAsia="宋体"/>
      <w:snapToGrid w:val="0"/>
      <w:color w:val="000000"/>
      <w:kern w:val="28"/>
      <w:sz w:val="28"/>
      <w:lang w:val="en-US" w:eastAsia="zh-CN"/>
    </w:rPr>
  </w:style>
  <w:style w:type="character" w:customStyle="1" w:styleId="333">
    <w:name w:val="正文缩进 Char1"/>
    <w:qFormat/>
    <w:uiPriority w:val="99"/>
    <w:rPr>
      <w:rFonts w:ascii="宋体" w:eastAsia="宋体"/>
      <w:snapToGrid w:val="0"/>
      <w:color w:val="000000"/>
      <w:kern w:val="28"/>
      <w:sz w:val="28"/>
      <w:lang w:val="en-US" w:eastAsia="zh-CN"/>
    </w:rPr>
  </w:style>
  <w:style w:type="character" w:customStyle="1" w:styleId="334">
    <w:name w:val="font21"/>
    <w:qFormat/>
    <w:uiPriority w:val="99"/>
    <w:rPr>
      <w:rFonts w:ascii="宋体" w:hAnsi="宋体" w:eastAsia="宋体"/>
      <w:kern w:val="2"/>
      <w:sz w:val="28"/>
      <w:lang w:val="en-US" w:eastAsia="zh-CN"/>
    </w:rPr>
  </w:style>
  <w:style w:type="character" w:customStyle="1" w:styleId="335">
    <w:name w:val="Char Char26"/>
    <w:qFormat/>
    <w:uiPriority w:val="99"/>
    <w:rPr>
      <w:kern w:val="1"/>
      <w:sz w:val="24"/>
    </w:rPr>
  </w:style>
  <w:style w:type="character" w:customStyle="1" w:styleId="336">
    <w:name w:val="Item List Char"/>
    <w:link w:val="337"/>
    <w:qFormat/>
    <w:locked/>
    <w:uiPriority w:val="99"/>
    <w:rPr>
      <w:rFonts w:ascii="Arial"/>
      <w:sz w:val="21"/>
      <w:lang w:val="en-US" w:eastAsia="zh-CN"/>
    </w:rPr>
  </w:style>
  <w:style w:type="paragraph" w:customStyle="1" w:styleId="337">
    <w:name w:val="Item List"/>
    <w:link w:val="336"/>
    <w:qFormat/>
    <w:uiPriority w:val="99"/>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38">
    <w:name w:val="批注框文本 Char1"/>
    <w:qFormat/>
    <w:uiPriority w:val="99"/>
    <w:rPr>
      <w:rFonts w:ascii="Times New Roman" w:hAnsi="Times New Roman" w:eastAsia="宋体"/>
      <w:sz w:val="18"/>
    </w:rPr>
  </w:style>
  <w:style w:type="character" w:customStyle="1" w:styleId="339">
    <w:name w:val="纯文本 Char1"/>
    <w:link w:val="340"/>
    <w:qFormat/>
    <w:locked/>
    <w:uiPriority w:val="99"/>
    <w:rPr>
      <w:rFonts w:ascii="宋体" w:hAnsi="Courier New"/>
    </w:rPr>
  </w:style>
  <w:style w:type="paragraph" w:customStyle="1" w:styleId="340">
    <w:name w:val="纯文本1"/>
    <w:basedOn w:val="1"/>
    <w:link w:val="339"/>
    <w:qFormat/>
    <w:uiPriority w:val="99"/>
    <w:pPr>
      <w:adjustRightInd/>
    </w:pPr>
    <w:rPr>
      <w:rFonts w:ascii="宋体" w:hAnsi="Courier New"/>
      <w:kern w:val="0"/>
      <w:sz w:val="20"/>
      <w:szCs w:val="20"/>
    </w:rPr>
  </w:style>
  <w:style w:type="character" w:customStyle="1" w:styleId="341">
    <w:name w:val="h3 Char"/>
    <w:qFormat/>
    <w:uiPriority w:val="99"/>
    <w:rPr>
      <w:rFonts w:eastAsia="宋体"/>
      <w:b/>
      <w:kern w:val="2"/>
      <w:sz w:val="32"/>
      <w:lang w:val="en-US" w:eastAsia="zh-CN"/>
    </w:rPr>
  </w:style>
  <w:style w:type="character" w:customStyle="1" w:styleId="342">
    <w:name w:val="dandyren_title1"/>
    <w:qFormat/>
    <w:uiPriority w:val="99"/>
    <w:rPr>
      <w:b/>
      <w:color w:val="FF6633"/>
      <w:sz w:val="18"/>
    </w:rPr>
  </w:style>
  <w:style w:type="character" w:customStyle="1" w:styleId="343">
    <w:name w:val="Char Char31"/>
    <w:qFormat/>
    <w:uiPriority w:val="99"/>
    <w:rPr>
      <w:rFonts w:ascii="Arial" w:hAnsi="Arial" w:eastAsia="黑体"/>
      <w:kern w:val="1"/>
      <w:sz w:val="24"/>
    </w:rPr>
  </w:style>
  <w:style w:type="character" w:customStyle="1" w:styleId="344">
    <w:name w:val="h Char1"/>
    <w:qFormat/>
    <w:uiPriority w:val="99"/>
    <w:rPr>
      <w:sz w:val="18"/>
    </w:rPr>
  </w:style>
  <w:style w:type="character" w:customStyle="1" w:styleId="345">
    <w:name w:val="solutionfonts"/>
    <w:qFormat/>
    <w:uiPriority w:val="99"/>
  </w:style>
  <w:style w:type="character" w:customStyle="1" w:styleId="346">
    <w:name w:val="首行缩进 Char"/>
    <w:qFormat/>
    <w:uiPriority w:val="99"/>
    <w:rPr>
      <w:rFonts w:ascii="宋体" w:eastAsia="宋体"/>
      <w:kern w:val="2"/>
      <w:sz w:val="24"/>
      <w:lang w:val="en-US" w:eastAsia="zh-CN"/>
    </w:rPr>
  </w:style>
  <w:style w:type="character" w:customStyle="1" w:styleId="347">
    <w:name w:val="Char Char52"/>
    <w:qFormat/>
    <w:uiPriority w:val="99"/>
    <w:rPr>
      <w:rFonts w:ascii="宋体" w:hAnsi="Courier New" w:eastAsia="宋体"/>
      <w:kern w:val="2"/>
      <w:sz w:val="21"/>
      <w:lang w:val="en-US" w:eastAsia="zh-CN"/>
    </w:rPr>
  </w:style>
  <w:style w:type="character" w:customStyle="1" w:styleId="348">
    <w:name w:val="font31"/>
    <w:basedOn w:val="71"/>
    <w:qFormat/>
    <w:uiPriority w:val="99"/>
    <w:rPr>
      <w:rFonts w:ascii="仿宋" w:hAnsi="仿宋" w:eastAsia="仿宋"/>
      <w:color w:val="000000"/>
      <w:sz w:val="20"/>
      <w:u w:val="none"/>
    </w:rPr>
  </w:style>
  <w:style w:type="character" w:customStyle="1" w:styleId="349">
    <w:name w:val="正文说明 Char"/>
    <w:link w:val="350"/>
    <w:qFormat/>
    <w:locked/>
    <w:uiPriority w:val="99"/>
    <w:rPr>
      <w:sz w:val="24"/>
    </w:rPr>
  </w:style>
  <w:style w:type="paragraph" w:customStyle="1" w:styleId="350">
    <w:name w:val="正文说明"/>
    <w:basedOn w:val="1"/>
    <w:link w:val="349"/>
    <w:qFormat/>
    <w:uiPriority w:val="99"/>
    <w:pPr>
      <w:adjustRightInd/>
      <w:spacing w:line="360" w:lineRule="auto"/>
    </w:pPr>
    <w:rPr>
      <w:kern w:val="0"/>
      <w:sz w:val="24"/>
      <w:szCs w:val="20"/>
    </w:rPr>
  </w:style>
  <w:style w:type="character" w:customStyle="1" w:styleId="351">
    <w:name w:val="脚注文本 Char1"/>
    <w:qFormat/>
    <w:uiPriority w:val="99"/>
    <w:rPr>
      <w:rFonts w:ascii="Times New Roman" w:hAnsi="Times New Roman" w:eastAsia="宋体"/>
      <w:sz w:val="18"/>
    </w:rPr>
  </w:style>
  <w:style w:type="character" w:customStyle="1" w:styleId="352">
    <w:name w:val="Char Char1211"/>
    <w:qFormat/>
    <w:uiPriority w:val="99"/>
    <w:rPr>
      <w:rFonts w:ascii="仿宋_GB2312" w:eastAsia="仿宋_GB2312"/>
      <w:b/>
      <w:kern w:val="2"/>
      <w:sz w:val="24"/>
      <w:lang w:val="zh-CN" w:eastAsia="zh-CN"/>
    </w:rPr>
  </w:style>
  <w:style w:type="character" w:customStyle="1" w:styleId="353">
    <w:name w:val="标题 Char"/>
    <w:qFormat/>
    <w:uiPriority w:val="99"/>
    <w:rPr>
      <w:rFonts w:eastAsia="宋体"/>
      <w:b/>
      <w:sz w:val="24"/>
      <w:lang w:val="en-GB" w:eastAsia="zh-CN"/>
    </w:rPr>
  </w:style>
  <w:style w:type="character" w:customStyle="1" w:styleId="354">
    <w:name w:val="Char Char35"/>
    <w:qFormat/>
    <w:uiPriority w:val="99"/>
    <w:rPr>
      <w:rFonts w:ascii="Arial" w:hAnsi="Arial" w:eastAsia="黑体"/>
      <w:b/>
      <w:kern w:val="1"/>
      <w:sz w:val="28"/>
      <w:lang w:val="zh-CN"/>
    </w:rPr>
  </w:style>
  <w:style w:type="character" w:customStyle="1" w:styleId="355">
    <w:name w:val="纯文本 Char Char Char"/>
    <w:qFormat/>
    <w:uiPriority w:val="99"/>
    <w:rPr>
      <w:rFonts w:ascii="宋体" w:hAnsi="Courier New" w:eastAsia="宋体"/>
      <w:kern w:val="2"/>
      <w:sz w:val="21"/>
      <w:lang w:val="en-US" w:eastAsia="zh-CN"/>
    </w:rPr>
  </w:style>
  <w:style w:type="character" w:customStyle="1" w:styleId="356">
    <w:name w:val="Table Text Char"/>
    <w:link w:val="357"/>
    <w:qFormat/>
    <w:locked/>
    <w:uiPriority w:val="99"/>
    <w:rPr>
      <w:sz w:val="24"/>
    </w:rPr>
  </w:style>
  <w:style w:type="paragraph" w:customStyle="1" w:styleId="357">
    <w:name w:val="Table Text"/>
    <w:basedOn w:val="1"/>
    <w:link w:val="356"/>
    <w:qFormat/>
    <w:uiPriority w:val="99"/>
    <w:pPr>
      <w:widowControl/>
      <w:spacing w:before="60" w:after="60"/>
      <w:jc w:val="left"/>
    </w:pPr>
    <w:rPr>
      <w:kern w:val="0"/>
      <w:sz w:val="24"/>
      <w:szCs w:val="20"/>
    </w:rPr>
  </w:style>
  <w:style w:type="character" w:customStyle="1" w:styleId="358">
    <w:name w:val="正文1 Char1"/>
    <w:qFormat/>
    <w:uiPriority w:val="99"/>
    <w:rPr>
      <w:rFonts w:ascii="仿宋_GB2312" w:hAnsi="Courier New" w:eastAsia="仿宋_GB2312"/>
      <w:kern w:val="28"/>
      <w:sz w:val="24"/>
      <w:lang w:val="en-US" w:eastAsia="zh-CN"/>
    </w:rPr>
  </w:style>
  <w:style w:type="character" w:customStyle="1" w:styleId="359">
    <w:name w:val="页脚 Char1"/>
    <w:qFormat/>
    <w:uiPriority w:val="99"/>
    <w:rPr>
      <w:rFonts w:eastAsia="宋体"/>
      <w:kern w:val="2"/>
      <w:sz w:val="18"/>
      <w:lang w:val="en-US" w:eastAsia="zh-CN"/>
    </w:rPr>
  </w:style>
  <w:style w:type="character" w:customStyle="1" w:styleId="360">
    <w:name w:val="Bold"/>
    <w:qFormat/>
    <w:uiPriority w:val="99"/>
    <w:rPr>
      <w:rFonts w:ascii="Arial" w:hAnsi="Arial" w:eastAsia="黑体"/>
      <w:b/>
      <w:kern w:val="2"/>
      <w:sz w:val="32"/>
      <w:lang w:val="en-US" w:eastAsia="zh-CN"/>
    </w:rPr>
  </w:style>
  <w:style w:type="character" w:customStyle="1" w:styleId="361">
    <w:name w:val="批注文字 Char1"/>
    <w:link w:val="19"/>
    <w:qFormat/>
    <w:locked/>
    <w:uiPriority w:val="99"/>
    <w:rPr>
      <w:kern w:val="2"/>
      <w:sz w:val="24"/>
    </w:rPr>
  </w:style>
  <w:style w:type="character" w:customStyle="1" w:styleId="362">
    <w:name w:val="hui3"/>
    <w:qFormat/>
    <w:uiPriority w:val="99"/>
    <w:rPr>
      <w:color w:val="333333"/>
    </w:rPr>
  </w:style>
  <w:style w:type="character" w:customStyle="1" w:styleId="363">
    <w:name w:val="Char Char17"/>
    <w:qFormat/>
    <w:uiPriority w:val="99"/>
    <w:rPr>
      <w:rFonts w:eastAsia="仿宋_GB2312"/>
      <w:sz w:val="24"/>
    </w:rPr>
  </w:style>
  <w:style w:type="character" w:customStyle="1" w:styleId="364">
    <w:name w:val="标题 4 字符"/>
    <w:qFormat/>
    <w:uiPriority w:val="99"/>
    <w:rPr>
      <w:rFonts w:ascii="等线 Light" w:hAnsi="等线 Light" w:eastAsia="等线 Light"/>
      <w:b/>
      <w:snapToGrid w:val="0"/>
      <w:kern w:val="0"/>
      <w:sz w:val="28"/>
    </w:rPr>
  </w:style>
  <w:style w:type="character" w:customStyle="1" w:styleId="365">
    <w:name w:val="Char Char37"/>
    <w:qFormat/>
    <w:uiPriority w:val="99"/>
    <w:rPr>
      <w:b/>
      <w:kern w:val="1"/>
      <w:sz w:val="44"/>
    </w:rPr>
  </w:style>
  <w:style w:type="character" w:customStyle="1" w:styleId="366">
    <w:name w:val="列出段落 Char"/>
    <w:qFormat/>
    <w:uiPriority w:val="99"/>
    <w:rPr>
      <w:rFonts w:eastAsia="楷体_GB2312"/>
      <w:kern w:val="2"/>
      <w:sz w:val="24"/>
      <w:lang w:val="en-US" w:eastAsia="zh-CN"/>
    </w:rPr>
  </w:style>
  <w:style w:type="character" w:customStyle="1" w:styleId="367">
    <w:name w:val="正文文本缩进 3 Char1"/>
    <w:semiHidden/>
    <w:qFormat/>
    <w:uiPriority w:val="99"/>
    <w:rPr>
      <w:rFonts w:ascii="Times New Roman" w:hAnsi="Times New Roman" w:eastAsia="宋体"/>
      <w:sz w:val="16"/>
    </w:rPr>
  </w:style>
  <w:style w:type="character" w:customStyle="1" w:styleId="368">
    <w:name w:val="公文正文 Char Char"/>
    <w:link w:val="369"/>
    <w:qFormat/>
    <w:locked/>
    <w:uiPriority w:val="99"/>
    <w:rPr>
      <w:rFonts w:ascii="仿宋_GB2312" w:eastAsia="仿宋_GB2312"/>
      <w:kern w:val="2"/>
      <w:sz w:val="24"/>
    </w:rPr>
  </w:style>
  <w:style w:type="paragraph" w:customStyle="1" w:styleId="369">
    <w:name w:val="公文正文"/>
    <w:basedOn w:val="1"/>
    <w:link w:val="368"/>
    <w:qFormat/>
    <w:uiPriority w:val="99"/>
    <w:pPr>
      <w:adjustRightInd/>
      <w:spacing w:before="156" w:line="360" w:lineRule="auto"/>
      <w:ind w:firstLine="360" w:firstLineChars="200"/>
    </w:pPr>
    <w:rPr>
      <w:rFonts w:ascii="仿宋_GB2312" w:eastAsia="仿宋_GB2312"/>
      <w:sz w:val="24"/>
      <w:szCs w:val="20"/>
    </w:rPr>
  </w:style>
  <w:style w:type="character" w:customStyle="1" w:styleId="370">
    <w:name w:val="Table Text Char1"/>
    <w:qFormat/>
    <w:uiPriority w:val="99"/>
    <w:rPr>
      <w:rFonts w:eastAsia="宋体"/>
      <w:sz w:val="24"/>
      <w:lang w:val="en-US" w:eastAsia="zh-CN"/>
    </w:rPr>
  </w:style>
  <w:style w:type="character" w:customStyle="1" w:styleId="371">
    <w:name w:val="标题 1 Char Char"/>
    <w:qFormat/>
    <w:uiPriority w:val="99"/>
    <w:rPr>
      <w:rFonts w:ascii="宋体" w:hAnsi="宋体" w:eastAsia="宋体"/>
      <w:b/>
      <w:spacing w:val="-2"/>
      <w:sz w:val="24"/>
      <w:lang w:val="en-US" w:eastAsia="zh-CN"/>
    </w:rPr>
  </w:style>
  <w:style w:type="character" w:customStyle="1" w:styleId="372">
    <w:name w:val="正文（缩进2汉字） Char"/>
    <w:link w:val="373"/>
    <w:qFormat/>
    <w:locked/>
    <w:uiPriority w:val="99"/>
    <w:rPr>
      <w:rFonts w:ascii="宋体"/>
    </w:rPr>
  </w:style>
  <w:style w:type="paragraph" w:customStyle="1" w:styleId="373">
    <w:name w:val="正文（缩进2汉字）"/>
    <w:basedOn w:val="1"/>
    <w:link w:val="372"/>
    <w:qFormat/>
    <w:uiPriority w:val="99"/>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74">
    <w:name w:val="标书表格字体格式 Char"/>
    <w:qFormat/>
    <w:uiPriority w:val="99"/>
    <w:rPr>
      <w:kern w:val="2"/>
      <w:sz w:val="24"/>
    </w:rPr>
  </w:style>
  <w:style w:type="character" w:customStyle="1" w:styleId="375">
    <w:name w:val="tw4winError"/>
    <w:qFormat/>
    <w:uiPriority w:val="99"/>
    <w:rPr>
      <w:rFonts w:ascii="Courier New" w:hAnsi="Courier New"/>
      <w:color w:val="00FF00"/>
      <w:sz w:val="40"/>
    </w:rPr>
  </w:style>
  <w:style w:type="character" w:customStyle="1" w:styleId="376">
    <w:name w:val="Body Text(ch) Char Char"/>
    <w:qFormat/>
    <w:uiPriority w:val="99"/>
    <w:rPr>
      <w:rFonts w:ascii="宋体"/>
      <w:kern w:val="2"/>
      <w:sz w:val="21"/>
      <w:lang w:val="zh-CN"/>
    </w:rPr>
  </w:style>
  <w:style w:type="character" w:customStyle="1" w:styleId="377">
    <w:name w:val="正文首行缩进两字 Char"/>
    <w:qFormat/>
    <w:uiPriority w:val="99"/>
    <w:rPr>
      <w:sz w:val="24"/>
      <w:lang w:val="en-US" w:eastAsia="zh-CN"/>
    </w:rPr>
  </w:style>
  <w:style w:type="character" w:customStyle="1" w:styleId="378">
    <w:name w:val="正文文本 Char"/>
    <w:qFormat/>
    <w:uiPriority w:val="99"/>
    <w:rPr>
      <w:rFonts w:eastAsia="宋体"/>
      <w:kern w:val="2"/>
      <w:sz w:val="24"/>
      <w:lang w:val="en-US" w:eastAsia="zh-CN"/>
    </w:rPr>
  </w:style>
  <w:style w:type="character" w:customStyle="1" w:styleId="379">
    <w:name w:val="文档结构图 字符1"/>
    <w:qFormat/>
    <w:uiPriority w:val="99"/>
    <w:rPr>
      <w:rFonts w:ascii="宋体" w:hAnsi="Calibri" w:eastAsia="黑体"/>
      <w:snapToGrid w:val="0"/>
      <w:kern w:val="2"/>
      <w:sz w:val="18"/>
    </w:rPr>
  </w:style>
  <w:style w:type="character" w:customStyle="1" w:styleId="380">
    <w:name w:val="content"/>
    <w:qFormat/>
    <w:uiPriority w:val="99"/>
  </w:style>
  <w:style w:type="character" w:customStyle="1" w:styleId="381">
    <w:name w:val="tw4winPopup"/>
    <w:qFormat/>
    <w:uiPriority w:val="99"/>
    <w:rPr>
      <w:rFonts w:ascii="Courier New" w:hAnsi="Courier New"/>
      <w:color w:val="008000"/>
      <w:lang w:val="en-US" w:eastAsia="zh-CN"/>
    </w:rPr>
  </w:style>
  <w:style w:type="character" w:customStyle="1" w:styleId="382">
    <w:name w:val="param-name"/>
    <w:qFormat/>
    <w:uiPriority w:val="99"/>
    <w:rPr>
      <w:rFonts w:ascii="Arial" w:hAnsi="Arial" w:eastAsia="黑体"/>
      <w:snapToGrid w:val="0"/>
      <w:kern w:val="0"/>
      <w:sz w:val="21"/>
    </w:rPr>
  </w:style>
  <w:style w:type="character" w:customStyle="1" w:styleId="383">
    <w:name w:val="标准正文格式 Char"/>
    <w:qFormat/>
    <w:uiPriority w:val="99"/>
    <w:rPr>
      <w:rFonts w:ascii="宋体" w:eastAsia="仿宋_GB2312"/>
      <w:color w:val="000000"/>
      <w:sz w:val="24"/>
      <w:lang w:val="en-US" w:eastAsia="zh-CN"/>
    </w:rPr>
  </w:style>
  <w:style w:type="character" w:customStyle="1" w:styleId="384">
    <w:name w:val="Char Char212"/>
    <w:qFormat/>
    <w:uiPriority w:val="99"/>
    <w:rPr>
      <w:rFonts w:eastAsia="宋体"/>
      <w:b/>
      <w:kern w:val="2"/>
      <w:sz w:val="24"/>
      <w:lang w:val="en-US" w:eastAsia="zh-CN"/>
    </w:rPr>
  </w:style>
  <w:style w:type="character" w:customStyle="1" w:styleId="385">
    <w:name w:val="文档结构图 Char"/>
    <w:qFormat/>
    <w:uiPriority w:val="99"/>
    <w:rPr>
      <w:rFonts w:eastAsia="宋体"/>
      <w:kern w:val="2"/>
      <w:sz w:val="24"/>
      <w:lang w:val="en-US" w:eastAsia="zh-CN"/>
    </w:rPr>
  </w:style>
  <w:style w:type="character" w:customStyle="1" w:styleId="386">
    <w:name w:val="zbggmain style9"/>
    <w:qFormat/>
    <w:uiPriority w:val="99"/>
  </w:style>
  <w:style w:type="character" w:customStyle="1" w:styleId="387">
    <w:name w:val="Char Char16"/>
    <w:qFormat/>
    <w:uiPriority w:val="99"/>
    <w:rPr>
      <w:kern w:val="1"/>
      <w:sz w:val="18"/>
    </w:rPr>
  </w:style>
  <w:style w:type="character" w:customStyle="1" w:styleId="388">
    <w:name w:val="font51"/>
    <w:qFormat/>
    <w:uiPriority w:val="99"/>
    <w:rPr>
      <w:rFonts w:ascii="仿宋" w:hAnsi="仿宋" w:eastAsia="仿宋"/>
      <w:color w:val="000000"/>
      <w:sz w:val="20"/>
      <w:u w:val="none"/>
    </w:rPr>
  </w:style>
  <w:style w:type="character" w:customStyle="1" w:styleId="389">
    <w:name w:val="Char Char82"/>
    <w:qFormat/>
    <w:uiPriority w:val="99"/>
    <w:rPr>
      <w:rFonts w:eastAsia="宋体"/>
      <w:b/>
      <w:sz w:val="24"/>
      <w:lang w:val="en-GB" w:eastAsia="zh-CN"/>
    </w:rPr>
  </w:style>
  <w:style w:type="character" w:customStyle="1" w:styleId="390">
    <w:name w:val="日期 Char1"/>
    <w:semiHidden/>
    <w:qFormat/>
    <w:uiPriority w:val="99"/>
    <w:rPr>
      <w:rFonts w:ascii="Times New Roman" w:hAnsi="Times New Roman" w:eastAsia="宋体"/>
      <w:sz w:val="24"/>
    </w:rPr>
  </w:style>
  <w:style w:type="character" w:customStyle="1" w:styleId="391">
    <w:name w:val="页眉 字符"/>
    <w:qFormat/>
    <w:uiPriority w:val="99"/>
    <w:rPr>
      <w:kern w:val="2"/>
      <w:sz w:val="18"/>
    </w:rPr>
  </w:style>
  <w:style w:type="character" w:customStyle="1" w:styleId="392">
    <w:name w:val="Char Char33"/>
    <w:qFormat/>
    <w:uiPriority w:val="99"/>
    <w:rPr>
      <w:rFonts w:ascii="Arial" w:hAnsi="Arial" w:eastAsia="黑体"/>
      <w:b/>
      <w:kern w:val="1"/>
      <w:sz w:val="24"/>
    </w:rPr>
  </w:style>
  <w:style w:type="character" w:customStyle="1" w:styleId="393">
    <w:name w:val="b11_01b Char"/>
    <w:link w:val="394"/>
    <w:qFormat/>
    <w:locked/>
    <w:uiPriority w:val="99"/>
    <w:rPr>
      <w:rFonts w:ascii="Verdana" w:hAnsi="Verdana"/>
      <w:b/>
      <w:color w:val="4A82CA"/>
      <w:sz w:val="17"/>
    </w:rPr>
  </w:style>
  <w:style w:type="paragraph" w:customStyle="1" w:styleId="394">
    <w:name w:val="b11_01b"/>
    <w:basedOn w:val="1"/>
    <w:next w:val="1"/>
    <w:link w:val="393"/>
    <w:qFormat/>
    <w:uiPriority w:val="99"/>
    <w:pPr>
      <w:widowControl/>
      <w:adjustRightInd/>
      <w:spacing w:before="100" w:beforeAutospacing="1" w:after="100" w:afterAutospacing="1" w:line="384" w:lineRule="auto"/>
      <w:jc w:val="left"/>
    </w:pPr>
    <w:rPr>
      <w:rFonts w:ascii="Verdana" w:hAnsi="Verdana"/>
      <w:b/>
      <w:color w:val="4A82CA"/>
      <w:kern w:val="0"/>
      <w:sz w:val="17"/>
      <w:szCs w:val="20"/>
    </w:rPr>
  </w:style>
  <w:style w:type="character" w:customStyle="1" w:styleId="395">
    <w:name w:val="Char Char121"/>
    <w:qFormat/>
    <w:uiPriority w:val="99"/>
    <w:rPr>
      <w:rFonts w:ascii="仿宋_GB2312" w:eastAsia="仿宋_GB2312"/>
      <w:b/>
      <w:kern w:val="2"/>
      <w:sz w:val="24"/>
      <w:lang w:val="zh-CN" w:eastAsia="zh-CN"/>
    </w:rPr>
  </w:style>
  <w:style w:type="character" w:customStyle="1" w:styleId="396">
    <w:name w:val="Footer-Even Char"/>
    <w:qFormat/>
    <w:uiPriority w:val="99"/>
    <w:rPr>
      <w:rFonts w:eastAsia="宋体"/>
      <w:kern w:val="2"/>
      <w:sz w:val="18"/>
      <w:lang w:val="en-US" w:eastAsia="zh-CN"/>
    </w:rPr>
  </w:style>
  <w:style w:type="character" w:customStyle="1" w:styleId="397">
    <w:name w:val="页脚 Char2"/>
    <w:link w:val="42"/>
    <w:qFormat/>
    <w:locked/>
    <w:uiPriority w:val="99"/>
    <w:rPr>
      <w:kern w:val="2"/>
      <w:sz w:val="18"/>
    </w:rPr>
  </w:style>
  <w:style w:type="character" w:customStyle="1" w:styleId="398">
    <w:name w:val="Char Char36"/>
    <w:qFormat/>
    <w:uiPriority w:val="99"/>
    <w:rPr>
      <w:rFonts w:ascii="仿宋_GB2312" w:hAnsi="仿宋_GB2312" w:eastAsia="仿宋_GB2312"/>
      <w:b/>
      <w:kern w:val="1"/>
      <w:sz w:val="32"/>
      <w:lang w:val="zh-CN" w:eastAsia="zh-CN"/>
    </w:rPr>
  </w:style>
  <w:style w:type="character" w:customStyle="1" w:styleId="399">
    <w:name w:val="Char Char61"/>
    <w:qFormat/>
    <w:uiPriority w:val="99"/>
    <w:rPr>
      <w:rFonts w:eastAsia="宋体"/>
      <w:kern w:val="2"/>
      <w:sz w:val="24"/>
      <w:lang w:val="en-US" w:eastAsia="zh-CN"/>
    </w:rPr>
  </w:style>
  <w:style w:type="character" w:customStyle="1" w:styleId="400">
    <w:name w:val="正文文字缩进 2 Char Char"/>
    <w:qFormat/>
    <w:uiPriority w:val="99"/>
    <w:rPr>
      <w:rFonts w:ascii="宋体"/>
      <w:sz w:val="28"/>
    </w:rPr>
  </w:style>
  <w:style w:type="character" w:customStyle="1" w:styleId="401">
    <w:name w:val="f141"/>
    <w:qFormat/>
    <w:uiPriority w:val="99"/>
    <w:rPr>
      <w:rFonts w:ascii="Tahoma" w:hAnsi="Tahoma" w:eastAsia="宋体"/>
      <w:b/>
      <w:kern w:val="2"/>
      <w:sz w:val="21"/>
      <w:lang w:val="en-US" w:eastAsia="zh-CN"/>
    </w:rPr>
  </w:style>
  <w:style w:type="character" w:customStyle="1" w:styleId="402">
    <w:name w:val="段落 Char Char"/>
    <w:link w:val="403"/>
    <w:qFormat/>
    <w:locked/>
    <w:uiPriority w:val="99"/>
    <w:rPr>
      <w:rFonts w:ascii="宋体" w:eastAsia="宋体"/>
      <w:sz w:val="24"/>
    </w:rPr>
  </w:style>
  <w:style w:type="paragraph" w:customStyle="1" w:styleId="403">
    <w:name w:val="段落"/>
    <w:basedOn w:val="1"/>
    <w:link w:val="402"/>
    <w:qFormat/>
    <w:uiPriority w:val="99"/>
    <w:pPr>
      <w:adjustRightInd/>
      <w:spacing w:line="360" w:lineRule="auto"/>
      <w:ind w:firstLine="480" w:firstLineChars="200"/>
    </w:pPr>
    <w:rPr>
      <w:rFonts w:ascii="宋体"/>
      <w:kern w:val="0"/>
      <w:sz w:val="24"/>
      <w:szCs w:val="20"/>
    </w:rPr>
  </w:style>
  <w:style w:type="character" w:customStyle="1" w:styleId="404">
    <w:name w:val="标题 3 Char2"/>
    <w:qFormat/>
    <w:uiPriority w:val="99"/>
    <w:rPr>
      <w:rFonts w:eastAsia="宋体"/>
      <w:b/>
      <w:kern w:val="2"/>
      <w:sz w:val="32"/>
      <w:lang w:val="en-US" w:eastAsia="zh-CN"/>
    </w:rPr>
  </w:style>
  <w:style w:type="character" w:customStyle="1" w:styleId="405">
    <w:name w:val="apple-converted-space"/>
    <w:qFormat/>
    <w:uiPriority w:val="99"/>
  </w:style>
  <w:style w:type="character" w:customStyle="1" w:styleId="406">
    <w:name w:val="页眉 Char2"/>
    <w:link w:val="44"/>
    <w:qFormat/>
    <w:locked/>
    <w:uiPriority w:val="99"/>
    <w:rPr>
      <w:kern w:val="2"/>
      <w:sz w:val="18"/>
    </w:rPr>
  </w:style>
  <w:style w:type="character" w:customStyle="1" w:styleId="407">
    <w:name w:val="Char Char9"/>
    <w:qFormat/>
    <w:uiPriority w:val="99"/>
    <w:rPr>
      <w:rFonts w:eastAsia="宋体"/>
      <w:kern w:val="2"/>
      <w:sz w:val="18"/>
      <w:lang w:val="en-US" w:eastAsia="zh-CN"/>
    </w:rPr>
  </w:style>
  <w:style w:type="character" w:customStyle="1" w:styleId="408">
    <w:name w:val="Char Char41"/>
    <w:qFormat/>
    <w:uiPriority w:val="99"/>
    <w:rPr>
      <w:rFonts w:eastAsia="宋体"/>
      <w:b/>
      <w:sz w:val="24"/>
      <w:lang w:val="en-GB" w:eastAsia="zh-CN"/>
    </w:rPr>
  </w:style>
  <w:style w:type="character" w:customStyle="1" w:styleId="409">
    <w:name w:val="large1"/>
    <w:qFormat/>
    <w:uiPriority w:val="99"/>
    <w:rPr>
      <w:rFonts w:ascii="宋体" w:hAnsi="宋体" w:eastAsia="宋体"/>
      <w:sz w:val="21"/>
    </w:rPr>
  </w:style>
  <w:style w:type="character" w:customStyle="1" w:styleId="410">
    <w:name w:val="正文段 Char"/>
    <w:link w:val="411"/>
    <w:qFormat/>
    <w:locked/>
    <w:uiPriority w:val="99"/>
    <w:rPr>
      <w:sz w:val="24"/>
    </w:rPr>
  </w:style>
  <w:style w:type="paragraph" w:customStyle="1" w:styleId="411">
    <w:name w:val="正文段"/>
    <w:basedOn w:val="1"/>
    <w:next w:val="17"/>
    <w:link w:val="410"/>
    <w:qFormat/>
    <w:uiPriority w:val="99"/>
    <w:pPr>
      <w:widowControl/>
      <w:snapToGrid w:val="0"/>
      <w:spacing w:afterLines="50"/>
      <w:ind w:firstLine="200" w:firstLineChars="200"/>
    </w:pPr>
    <w:rPr>
      <w:kern w:val="0"/>
      <w:sz w:val="24"/>
      <w:szCs w:val="20"/>
    </w:rPr>
  </w:style>
  <w:style w:type="character" w:customStyle="1" w:styleId="412">
    <w:name w:val="Char Char13"/>
    <w:qFormat/>
    <w:uiPriority w:val="99"/>
    <w:rPr>
      <w:rFonts w:ascii="宋体" w:eastAsia="宋体"/>
      <w:kern w:val="1"/>
      <w:sz w:val="24"/>
    </w:rPr>
  </w:style>
  <w:style w:type="character" w:customStyle="1" w:styleId="413">
    <w:name w:val="Char Char92"/>
    <w:qFormat/>
    <w:uiPriority w:val="99"/>
    <w:rPr>
      <w:rFonts w:ascii="Times New Roman" w:hAnsi="Times New Roman" w:eastAsia="宋体"/>
      <w:b/>
      <w:kern w:val="2"/>
      <w:sz w:val="32"/>
      <w:lang w:val="en-US" w:eastAsia="zh-CN"/>
    </w:rPr>
  </w:style>
  <w:style w:type="character" w:customStyle="1" w:styleId="414">
    <w:name w:val="冯广丽 Char"/>
    <w:link w:val="415"/>
    <w:qFormat/>
    <w:locked/>
    <w:uiPriority w:val="99"/>
    <w:rPr>
      <w:rFonts w:ascii="宋体" w:eastAsia="宋体"/>
      <w:kern w:val="2"/>
      <w:sz w:val="22"/>
    </w:rPr>
  </w:style>
  <w:style w:type="paragraph" w:customStyle="1" w:styleId="415">
    <w:name w:val="冯广丽"/>
    <w:basedOn w:val="1"/>
    <w:link w:val="414"/>
    <w:qFormat/>
    <w:uiPriority w:val="99"/>
    <w:pPr>
      <w:adjustRightInd/>
      <w:spacing w:line="360" w:lineRule="auto"/>
      <w:ind w:firstLine="480" w:firstLineChars="200"/>
    </w:pPr>
    <w:rPr>
      <w:rFonts w:ascii="宋体"/>
      <w:sz w:val="22"/>
      <w:szCs w:val="20"/>
    </w:rPr>
  </w:style>
  <w:style w:type="character" w:customStyle="1" w:styleId="416">
    <w:name w:val="批注文字 字符"/>
    <w:qFormat/>
    <w:uiPriority w:val="99"/>
    <w:rPr>
      <w:rFonts w:ascii="Arial" w:hAnsi="Arial" w:eastAsia="黑体"/>
      <w:snapToGrid w:val="0"/>
      <w:kern w:val="0"/>
      <w:sz w:val="21"/>
    </w:rPr>
  </w:style>
  <w:style w:type="character" w:customStyle="1" w:styleId="417">
    <w:name w:val="Char Char161"/>
    <w:qFormat/>
    <w:uiPriority w:val="99"/>
    <w:rPr>
      <w:rFonts w:eastAsia="宋体"/>
      <w:b/>
      <w:kern w:val="2"/>
      <w:sz w:val="32"/>
      <w:lang w:val="en-US" w:eastAsia="zh-CN"/>
    </w:rPr>
  </w:style>
  <w:style w:type="character" w:customStyle="1" w:styleId="418">
    <w:name w:val="javascript"/>
    <w:qFormat/>
    <w:uiPriority w:val="99"/>
  </w:style>
  <w:style w:type="character" w:customStyle="1" w:styleId="419">
    <w:name w:val="图名 Char"/>
    <w:qFormat/>
    <w:uiPriority w:val="99"/>
    <w:rPr>
      <w:rFonts w:ascii="Arial" w:hAnsi="Arial" w:eastAsia="黑体"/>
      <w:kern w:val="2"/>
      <w:sz w:val="24"/>
      <w:lang w:val="en-US" w:eastAsia="zh-CN"/>
    </w:rPr>
  </w:style>
  <w:style w:type="character" w:customStyle="1" w:styleId="420">
    <w:name w:val="Used by Word for text of Help footnotes Char Char"/>
    <w:qFormat/>
    <w:uiPriority w:val="99"/>
    <w:rPr>
      <w:rFonts w:ascii="Times New Roman" w:hAnsi="Times New Roman" w:eastAsia="宋体"/>
      <w:sz w:val="20"/>
    </w:rPr>
  </w:style>
  <w:style w:type="character" w:customStyle="1" w:styleId="421">
    <w:name w:val="编号，小四 Char"/>
    <w:link w:val="422"/>
    <w:qFormat/>
    <w:locked/>
    <w:uiPriority w:val="99"/>
    <w:rPr>
      <w:rFonts w:ascii="Arial" w:hAnsi="Arial"/>
      <w:sz w:val="24"/>
    </w:rPr>
  </w:style>
  <w:style w:type="paragraph" w:customStyle="1" w:styleId="422">
    <w:name w:val="编号，小四"/>
    <w:basedOn w:val="1"/>
    <w:link w:val="421"/>
    <w:qFormat/>
    <w:uiPriority w:val="99"/>
    <w:pPr>
      <w:tabs>
        <w:tab w:val="left" w:pos="432"/>
      </w:tabs>
      <w:adjustRightInd/>
      <w:spacing w:line="360" w:lineRule="auto"/>
      <w:ind w:left="432" w:hanging="432"/>
    </w:pPr>
    <w:rPr>
      <w:rFonts w:ascii="Arial" w:hAnsi="Arial"/>
      <w:kern w:val="0"/>
      <w:sz w:val="24"/>
      <w:szCs w:val="20"/>
    </w:rPr>
  </w:style>
  <w:style w:type="character" w:customStyle="1" w:styleId="423">
    <w:name w:val="Font Style82"/>
    <w:qFormat/>
    <w:uiPriority w:val="99"/>
    <w:rPr>
      <w:rFonts w:ascii="宋体" w:eastAsia="宋体"/>
      <w:color w:val="000000"/>
      <w:sz w:val="14"/>
    </w:rPr>
  </w:style>
  <w:style w:type="character" w:customStyle="1" w:styleId="424">
    <w:name w:val="标题 2 Char Char"/>
    <w:qFormat/>
    <w:uiPriority w:val="99"/>
    <w:rPr>
      <w:rFonts w:ascii="楷体_GB2312" w:hAnsi="Arial" w:eastAsia="楷体_GB2312"/>
      <w:b/>
      <w:kern w:val="2"/>
      <w:sz w:val="32"/>
      <w:lang w:val="en-US" w:eastAsia="zh-CN"/>
    </w:rPr>
  </w:style>
  <w:style w:type="character" w:customStyle="1" w:styleId="425">
    <w:name w:val="未用 Char"/>
    <w:qFormat/>
    <w:uiPriority w:val="99"/>
    <w:rPr>
      <w:rFonts w:ascii="Arial" w:hAnsi="Arial" w:eastAsia="黑体"/>
      <w:kern w:val="2"/>
      <w:sz w:val="21"/>
      <w:lang w:val="en-US" w:eastAsia="zh-CN"/>
    </w:rPr>
  </w:style>
  <w:style w:type="character" w:customStyle="1" w:styleId="426">
    <w:name w:val="myp1111"/>
    <w:qFormat/>
    <w:uiPriority w:val="99"/>
    <w:rPr>
      <w:rFonts w:ascii="??" w:hAnsi="??"/>
      <w:color w:val="000000"/>
      <w:sz w:val="20"/>
      <w:u w:val="none"/>
    </w:rPr>
  </w:style>
  <w:style w:type="character" w:customStyle="1" w:styleId="427">
    <w:name w:val="样式 标题 4h4H4Fab-4T5Ref Heading 1rh1Heading sqlsect 1.2.3.... Char"/>
    <w:link w:val="327"/>
    <w:qFormat/>
    <w:locked/>
    <w:uiPriority w:val="99"/>
    <w:rPr>
      <w:rFonts w:ascii="微软雅黑" w:hAnsi="微软雅黑" w:eastAsia="微软雅黑"/>
      <w:b/>
      <w:kern w:val="2"/>
      <w:sz w:val="28"/>
    </w:rPr>
  </w:style>
  <w:style w:type="character" w:customStyle="1" w:styleId="428">
    <w:name w:val="h Char Char"/>
    <w:qFormat/>
    <w:uiPriority w:val="99"/>
    <w:rPr>
      <w:rFonts w:eastAsia="宋体"/>
      <w:kern w:val="2"/>
      <w:sz w:val="18"/>
      <w:lang w:val="en-US" w:eastAsia="zh-CN"/>
    </w:rPr>
  </w:style>
  <w:style w:type="character" w:customStyle="1" w:styleId="429">
    <w:name w:val="仿宋正文 Char"/>
    <w:link w:val="430"/>
    <w:qFormat/>
    <w:locked/>
    <w:uiPriority w:val="99"/>
    <w:rPr>
      <w:rFonts w:ascii="仿宋_GB2312" w:eastAsia="仿宋_GB2312"/>
      <w:kern w:val="2"/>
      <w:sz w:val="24"/>
      <w:lang w:val="en-US" w:eastAsia="zh-CN"/>
    </w:rPr>
  </w:style>
  <w:style w:type="paragraph" w:customStyle="1" w:styleId="430">
    <w:name w:val="仿宋正文"/>
    <w:basedOn w:val="1"/>
    <w:link w:val="429"/>
    <w:qFormat/>
    <w:uiPriority w:val="99"/>
    <w:pPr>
      <w:adjustRightInd/>
      <w:spacing w:line="360" w:lineRule="auto"/>
      <w:ind w:firstLine="480" w:firstLineChars="200"/>
    </w:pPr>
    <w:rPr>
      <w:rFonts w:ascii="仿宋_GB2312" w:eastAsia="仿宋_GB2312"/>
      <w:sz w:val="24"/>
      <w:szCs w:val="20"/>
    </w:rPr>
  </w:style>
  <w:style w:type="character" w:customStyle="1" w:styleId="431">
    <w:name w:val="正文首行缩进 Char Char Char Char Char Char"/>
    <w:qFormat/>
    <w:uiPriority w:val="99"/>
    <w:rPr>
      <w:rFonts w:ascii="宋体" w:eastAsia="宋体"/>
      <w:kern w:val="2"/>
      <w:sz w:val="24"/>
      <w:lang w:val="zh-CN"/>
    </w:rPr>
  </w:style>
  <w:style w:type="character" w:customStyle="1" w:styleId="432">
    <w:name w:val="样式 宋体"/>
    <w:qFormat/>
    <w:uiPriority w:val="99"/>
    <w:rPr>
      <w:rFonts w:ascii="宋体" w:eastAsia="宋体"/>
      <w:sz w:val="24"/>
    </w:rPr>
  </w:style>
  <w:style w:type="character" w:customStyle="1" w:styleId="433">
    <w:name w:val="tw4winJump"/>
    <w:qFormat/>
    <w:uiPriority w:val="99"/>
    <w:rPr>
      <w:rFonts w:ascii="Courier New" w:hAnsi="Courier New"/>
      <w:color w:val="008080"/>
      <w:lang w:val="en-US" w:eastAsia="zh-CN"/>
    </w:rPr>
  </w:style>
  <w:style w:type="character" w:customStyle="1" w:styleId="434">
    <w:name w:val="标题 1 字符"/>
    <w:qFormat/>
    <w:uiPriority w:val="99"/>
    <w:rPr>
      <w:rFonts w:ascii="Arial" w:hAnsi="Arial" w:eastAsia="黑体"/>
      <w:b/>
      <w:snapToGrid w:val="0"/>
      <w:kern w:val="44"/>
      <w:sz w:val="44"/>
    </w:rPr>
  </w:style>
  <w:style w:type="character" w:customStyle="1" w:styleId="435">
    <w:name w:val="style36"/>
    <w:basedOn w:val="71"/>
    <w:qFormat/>
    <w:uiPriority w:val="99"/>
    <w:rPr>
      <w:rFonts w:ascii="Arial" w:hAnsi="Arial" w:eastAsia="黑体" w:cs="Arial"/>
      <w:snapToGrid w:val="0"/>
      <w:kern w:val="0"/>
      <w:sz w:val="21"/>
      <w:szCs w:val="21"/>
    </w:rPr>
  </w:style>
  <w:style w:type="character" w:customStyle="1" w:styleId="436">
    <w:name w:val="pt9"/>
    <w:qFormat/>
    <w:uiPriority w:val="99"/>
    <w:rPr>
      <w:rFonts w:ascii="仿宋_GB2312" w:eastAsia="微软雅黑"/>
      <w:b/>
      <w:kern w:val="2"/>
      <w:sz w:val="32"/>
      <w:lang w:val="en-US" w:eastAsia="zh-CN"/>
    </w:rPr>
  </w:style>
  <w:style w:type="character" w:customStyle="1" w:styleId="437">
    <w:name w:val="DO_NOT_TRANSLATE"/>
    <w:qFormat/>
    <w:uiPriority w:val="99"/>
    <w:rPr>
      <w:rFonts w:ascii="Courier New" w:hAnsi="Courier New"/>
      <w:color w:val="800000"/>
      <w:lang w:val="en-US" w:eastAsia="zh-CN"/>
    </w:rPr>
  </w:style>
  <w:style w:type="character" w:customStyle="1" w:styleId="438">
    <w:name w:val="标书1 Char1"/>
    <w:qFormat/>
    <w:uiPriority w:val="99"/>
    <w:rPr>
      <w:rFonts w:eastAsia="宋体"/>
      <w:b/>
      <w:kern w:val="44"/>
      <w:sz w:val="44"/>
      <w:lang w:val="en-US" w:eastAsia="zh-CN"/>
    </w:rPr>
  </w:style>
  <w:style w:type="character" w:customStyle="1" w:styleId="439">
    <w:name w:val="页脚 字符"/>
    <w:qFormat/>
    <w:uiPriority w:val="99"/>
    <w:rPr>
      <w:kern w:val="2"/>
      <w:sz w:val="18"/>
    </w:rPr>
  </w:style>
  <w:style w:type="character" w:customStyle="1" w:styleId="440">
    <w:name w:val="正文2 Char"/>
    <w:qFormat/>
    <w:uiPriority w:val="99"/>
    <w:rPr>
      <w:rFonts w:eastAsia="宋体"/>
      <w:kern w:val="2"/>
      <w:sz w:val="24"/>
      <w:lang w:val="en-US" w:eastAsia="zh-CN"/>
    </w:rPr>
  </w:style>
  <w:style w:type="character" w:customStyle="1" w:styleId="441">
    <w:name w:val="Char Char21"/>
    <w:qFormat/>
    <w:uiPriority w:val="99"/>
    <w:rPr>
      <w:rFonts w:ascii="宋体" w:eastAsia="宋体"/>
      <w:kern w:val="1"/>
      <w:sz w:val="21"/>
      <w:lang w:val="zh-CN"/>
    </w:rPr>
  </w:style>
  <w:style w:type="character" w:customStyle="1" w:styleId="442">
    <w:name w:val="样式 正文缩进 + 首行缩进:  2 字符 Char Char"/>
    <w:link w:val="443"/>
    <w:qFormat/>
    <w:locked/>
    <w:uiPriority w:val="99"/>
    <w:rPr>
      <w:kern w:val="2"/>
      <w:sz w:val="24"/>
    </w:rPr>
  </w:style>
  <w:style w:type="paragraph" w:customStyle="1" w:styleId="443">
    <w:name w:val="样式 正文缩进 + 首行缩进:  2 字符"/>
    <w:basedOn w:val="15"/>
    <w:link w:val="442"/>
    <w:qFormat/>
    <w:uiPriority w:val="99"/>
    <w:pPr>
      <w:widowControl w:val="0"/>
      <w:adjustRightInd/>
      <w:snapToGrid/>
      <w:spacing w:line="360" w:lineRule="auto"/>
      <w:ind w:firstLine="200" w:firstLineChars="200"/>
    </w:pPr>
    <w:rPr>
      <w:rFonts w:ascii="Times New Roman"/>
      <w:color w:val="auto"/>
      <w:kern w:val="2"/>
      <w:sz w:val="24"/>
    </w:rPr>
  </w:style>
  <w:style w:type="character" w:customStyle="1" w:styleId="444">
    <w:name w:val="gray6"/>
    <w:basedOn w:val="71"/>
    <w:qFormat/>
    <w:uiPriority w:val="99"/>
    <w:rPr>
      <w:rFonts w:ascii="Arial" w:hAnsi="Arial" w:eastAsia="黑体" w:cs="Arial"/>
      <w:snapToGrid w:val="0"/>
      <w:kern w:val="0"/>
      <w:sz w:val="21"/>
      <w:szCs w:val="21"/>
    </w:rPr>
  </w:style>
  <w:style w:type="character" w:customStyle="1" w:styleId="445">
    <w:name w:val="hui"/>
    <w:basedOn w:val="71"/>
    <w:qFormat/>
    <w:uiPriority w:val="99"/>
    <w:rPr>
      <w:rFonts w:ascii="Arial" w:hAnsi="Arial" w:eastAsia="黑体" w:cs="Arial"/>
      <w:snapToGrid w:val="0"/>
      <w:kern w:val="0"/>
      <w:sz w:val="21"/>
      <w:szCs w:val="21"/>
    </w:rPr>
  </w:style>
  <w:style w:type="character" w:customStyle="1" w:styleId="446">
    <w:name w:val="哈哈正文 Char Char"/>
    <w:qFormat/>
    <w:uiPriority w:val="99"/>
    <w:rPr>
      <w:rFonts w:ascii="宋体" w:hAnsi="宋体" w:eastAsia="宋体"/>
      <w:kern w:val="2"/>
      <w:sz w:val="24"/>
      <w:lang w:val="en-US" w:eastAsia="zh-CN"/>
    </w:rPr>
  </w:style>
  <w:style w:type="paragraph" w:customStyle="1" w:styleId="447">
    <w:name w:val="样式 正文文本缩进 + 左侧:  2 字符 首行缩进:  2 字符"/>
    <w:basedOn w:val="26"/>
    <w:qFormat/>
    <w:uiPriority w:val="99"/>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48">
    <w:name w:val="封面表格文本"/>
    <w:basedOn w:val="1"/>
    <w:qFormat/>
    <w:uiPriority w:val="99"/>
    <w:pPr>
      <w:autoSpaceDE w:val="0"/>
      <w:autoSpaceDN w:val="0"/>
      <w:ind w:firstLine="200" w:firstLineChars="200"/>
      <w:jc w:val="center"/>
    </w:pPr>
    <w:rPr>
      <w:rFonts w:ascii="Arial" w:hAnsi="Arial"/>
      <w:kern w:val="0"/>
      <w:szCs w:val="21"/>
    </w:rPr>
  </w:style>
  <w:style w:type="paragraph" w:customStyle="1" w:styleId="449">
    <w:name w:val="正文文本 221"/>
    <w:basedOn w:val="1"/>
    <w:qFormat/>
    <w:uiPriority w:val="99"/>
    <w:pPr>
      <w:widowControl/>
      <w:overflowPunct w:val="0"/>
      <w:autoSpaceDE w:val="0"/>
      <w:autoSpaceDN w:val="0"/>
      <w:ind w:left="720" w:hanging="720"/>
      <w:textAlignment w:val="baseline"/>
    </w:pPr>
    <w:rPr>
      <w:kern w:val="0"/>
      <w:sz w:val="24"/>
      <w:szCs w:val="20"/>
      <w:lang w:val="en-GB"/>
    </w:rPr>
  </w:style>
  <w:style w:type="paragraph" w:customStyle="1" w:styleId="450">
    <w:name w:val="表格标题1"/>
    <w:basedOn w:val="1"/>
    <w:qFormat/>
    <w:uiPriority w:val="99"/>
    <w:pPr>
      <w:adjustRightInd/>
      <w:spacing w:line="360" w:lineRule="auto"/>
      <w:jc w:val="center"/>
    </w:pPr>
    <w:rPr>
      <w:rFonts w:ascii="宋体" w:hAnsi="宋体" w:cs="宋体"/>
      <w:b/>
      <w:bCs/>
      <w:color w:val="000000"/>
      <w:sz w:val="24"/>
      <w:szCs w:val="21"/>
    </w:rPr>
  </w:style>
  <w:style w:type="paragraph" w:customStyle="1" w:styleId="451">
    <w:name w:val="目录标题"/>
    <w:basedOn w:val="1"/>
    <w:qFormat/>
    <w:uiPriority w:val="99"/>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52">
    <w:name w:val="subhead"/>
    <w:qFormat/>
    <w:uiPriority w:val="99"/>
    <w:pPr>
      <w:spacing w:after="120" w:line="300" w:lineRule="exact"/>
    </w:pPr>
    <w:rPr>
      <w:rFonts w:ascii="Arial" w:hAnsi="Arial" w:eastAsia="宋体" w:cs="Times New Roman"/>
      <w:b/>
      <w:sz w:val="26"/>
      <w:lang w:val="en-US" w:eastAsia="en-US" w:bidi="ar-SA"/>
    </w:rPr>
  </w:style>
  <w:style w:type="paragraph" w:customStyle="1" w:styleId="453">
    <w:name w:val="样式 宋体 三号 加粗 居中"/>
    <w:basedOn w:val="1"/>
    <w:qFormat/>
    <w:uiPriority w:val="99"/>
    <w:pPr>
      <w:adjustRightInd/>
      <w:spacing w:line="360" w:lineRule="auto"/>
      <w:jc w:val="center"/>
    </w:pPr>
    <w:rPr>
      <w:rFonts w:ascii="宋体" w:hAnsi="宋体" w:cs="宋体"/>
      <w:b/>
      <w:bCs/>
      <w:sz w:val="24"/>
      <w:szCs w:val="20"/>
    </w:rPr>
  </w:style>
  <w:style w:type="paragraph" w:customStyle="1" w:styleId="454">
    <w:name w:val="标题4_自定义"/>
    <w:basedOn w:val="5"/>
    <w:qFormat/>
    <w:uiPriority w:val="99"/>
    <w:pPr>
      <w:adjustRightInd/>
      <w:spacing w:before="0" w:after="0" w:line="360" w:lineRule="auto"/>
    </w:pPr>
    <w:rPr>
      <w:rFonts w:ascii="Verdana" w:eastAsia="Times New Roman"/>
      <w:sz w:val="21"/>
      <w:lang w:val="en-US"/>
    </w:rPr>
  </w:style>
  <w:style w:type="paragraph" w:customStyle="1" w:styleId="455">
    <w:name w:val="正文 内标 序号标"/>
    <w:basedOn w:val="456"/>
    <w:qFormat/>
    <w:uiPriority w:val="99"/>
    <w:pPr>
      <w:tabs>
        <w:tab w:val="left" w:pos="0"/>
      </w:tabs>
      <w:adjustRightInd/>
      <w:spacing w:before="0"/>
      <w:ind w:firstLine="482"/>
    </w:pPr>
    <w:rPr>
      <w:rFonts w:ascii="微软雅黑" w:hAnsi="微软雅黑"/>
      <w:sz w:val="24"/>
      <w:szCs w:val="24"/>
    </w:rPr>
  </w:style>
  <w:style w:type="paragraph" w:customStyle="1" w:styleId="456">
    <w:name w:val="My正文"/>
    <w:basedOn w:val="1"/>
    <w:qFormat/>
    <w:uiPriority w:val="99"/>
    <w:pPr>
      <w:spacing w:before="120" w:line="360" w:lineRule="auto"/>
      <w:ind w:firstLine="567"/>
    </w:pPr>
    <w:rPr>
      <w:rFonts w:ascii="Arial" w:hAnsi="Arial"/>
      <w:sz w:val="20"/>
      <w:szCs w:val="20"/>
    </w:rPr>
  </w:style>
  <w:style w:type="paragraph" w:customStyle="1" w:styleId="457">
    <w:name w:val="彩色底纹 - 强调文字颜色 11"/>
    <w:qFormat/>
    <w:uiPriority w:val="99"/>
    <w:rPr>
      <w:rFonts w:ascii="Times New Roman" w:hAnsi="Times New Roman" w:eastAsia="宋体" w:cs="Times New Roman"/>
      <w:kern w:val="2"/>
      <w:sz w:val="21"/>
      <w:szCs w:val="24"/>
      <w:lang w:val="en-US" w:eastAsia="zh-CN" w:bidi="ar-SA"/>
    </w:rPr>
  </w:style>
  <w:style w:type="paragraph" w:customStyle="1" w:styleId="458">
    <w:name w:val="正文 小标"/>
    <w:basedOn w:val="1"/>
    <w:qFormat/>
    <w:uiPriority w:val="99"/>
    <w:pPr>
      <w:tabs>
        <w:tab w:val="left" w:pos="0"/>
      </w:tabs>
      <w:adjustRightInd/>
      <w:spacing w:line="300" w:lineRule="auto"/>
      <w:ind w:left="425"/>
    </w:pPr>
    <w:rPr>
      <w:rFonts w:ascii="仿宋" w:hAnsi="Calibri" w:eastAsia="仿宋"/>
      <w:sz w:val="24"/>
      <w:szCs w:val="20"/>
    </w:rPr>
  </w:style>
  <w:style w:type="paragraph" w:customStyle="1" w:styleId="459">
    <w:name w:val="reader-word-layer"/>
    <w:basedOn w:val="1"/>
    <w:qFormat/>
    <w:uiPriority w:val="99"/>
    <w:pPr>
      <w:widowControl/>
      <w:adjustRightInd/>
      <w:spacing w:before="100" w:beforeAutospacing="1" w:after="100" w:afterAutospacing="1"/>
      <w:jc w:val="left"/>
    </w:pPr>
    <w:rPr>
      <w:rFonts w:ascii="宋体" w:hAnsi="宋体" w:cs="宋体"/>
      <w:kern w:val="0"/>
      <w:sz w:val="24"/>
    </w:rPr>
  </w:style>
  <w:style w:type="paragraph" w:customStyle="1" w:styleId="460">
    <w:name w:val="修订2"/>
    <w:qFormat/>
    <w:uiPriority w:val="99"/>
    <w:rPr>
      <w:rFonts w:ascii="Times New Roman" w:hAnsi="Times New Roman" w:eastAsia="宋体" w:cs="Times New Roman"/>
      <w:kern w:val="2"/>
      <w:sz w:val="21"/>
      <w:lang w:val="en-US" w:eastAsia="zh-CN" w:bidi="ar-SA"/>
    </w:rPr>
  </w:style>
  <w:style w:type="paragraph" w:customStyle="1" w:styleId="461">
    <w:name w:val="Char Char11 Char Char Char Char Char Char Char Char Char Char Char"/>
    <w:basedOn w:val="1"/>
    <w:qFormat/>
    <w:uiPriority w:val="99"/>
    <w:pPr>
      <w:adjustRightInd/>
      <w:spacing w:line="360" w:lineRule="auto"/>
    </w:pPr>
    <w:rPr>
      <w:rFonts w:ascii="Arial" w:hAnsi="Arial" w:eastAsia="黑体" w:cs="Arial"/>
      <w:kern w:val="0"/>
      <w:szCs w:val="21"/>
    </w:rPr>
  </w:style>
  <w:style w:type="paragraph" w:customStyle="1" w:styleId="462">
    <w:name w:val="xl84"/>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3">
    <w:name w:val="文章标题"/>
    <w:next w:val="464"/>
    <w:qFormat/>
    <w:uiPriority w:val="99"/>
    <w:pPr>
      <w:spacing w:beforeLines="800" w:afterLines="100"/>
      <w:jc w:val="center"/>
    </w:pPr>
    <w:rPr>
      <w:rFonts w:ascii="Arial" w:hAnsi="Arial" w:eastAsia="黑体" w:cs="宋体"/>
      <w:bCs/>
      <w:kern w:val="2"/>
      <w:sz w:val="52"/>
      <w:lang w:val="en-US" w:eastAsia="zh-CN" w:bidi="ar-SA"/>
    </w:rPr>
  </w:style>
  <w:style w:type="paragraph" w:customStyle="1" w:styleId="464">
    <w:name w:val="封面公司名"/>
    <w:qFormat/>
    <w:uiPriority w:val="99"/>
    <w:pPr>
      <w:jc w:val="center"/>
    </w:pPr>
    <w:rPr>
      <w:rFonts w:ascii="Arial" w:hAnsi="Arial" w:eastAsia="楷体_GB2312" w:cs="宋体"/>
      <w:bCs/>
      <w:kern w:val="2"/>
      <w:sz w:val="28"/>
      <w:lang w:val="en-US" w:eastAsia="zh-CN" w:bidi="ar-SA"/>
    </w:rPr>
  </w:style>
  <w:style w:type="paragraph" w:customStyle="1" w:styleId="465">
    <w:name w:val="Char1 Char Char Char5"/>
    <w:basedOn w:val="1"/>
    <w:qFormat/>
    <w:uiPriority w:val="99"/>
    <w:pPr>
      <w:adjustRightInd/>
      <w:ind w:firstLine="200" w:firstLineChars="200"/>
    </w:pPr>
    <w:rPr>
      <w:rFonts w:ascii="Tahoma" w:hAnsi="Tahoma"/>
      <w:sz w:val="24"/>
      <w:szCs w:val="20"/>
    </w:rPr>
  </w:style>
  <w:style w:type="paragraph" w:customStyle="1" w:styleId="466">
    <w:name w:val="style82 f9a f9a f9a"/>
    <w:basedOn w:val="1"/>
    <w:qFormat/>
    <w:uiPriority w:val="99"/>
    <w:pPr>
      <w:widowControl/>
      <w:spacing w:before="100" w:beforeAutospacing="1" w:after="100" w:afterAutospacing="1" w:line="276" w:lineRule="auto"/>
      <w:jc w:val="left"/>
    </w:pPr>
    <w:rPr>
      <w:rFonts w:ascii="宋体" w:hAnsi="宋体"/>
      <w:kern w:val="0"/>
      <w:sz w:val="24"/>
      <w:szCs w:val="20"/>
    </w:rPr>
  </w:style>
  <w:style w:type="paragraph" w:customStyle="1" w:styleId="467">
    <w:name w:val="正文 编号"/>
    <w:basedOn w:val="1"/>
    <w:qFormat/>
    <w:uiPriority w:val="99"/>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68">
    <w:name w:val="Char Char Char Char Char Char Char Char"/>
    <w:basedOn w:val="1"/>
    <w:qFormat/>
    <w:uiPriority w:val="99"/>
    <w:pPr>
      <w:tabs>
        <w:tab w:val="left" w:pos="360"/>
      </w:tabs>
    </w:pPr>
    <w:rPr>
      <w:sz w:val="24"/>
      <w:szCs w:val="20"/>
    </w:rPr>
  </w:style>
  <w:style w:type="paragraph" w:customStyle="1" w:styleId="469">
    <w:name w:val="Char Char11 Char Char Char"/>
    <w:basedOn w:val="1"/>
    <w:qFormat/>
    <w:uiPriority w:val="99"/>
    <w:pPr>
      <w:spacing w:line="360" w:lineRule="auto"/>
    </w:pPr>
    <w:rPr>
      <w:szCs w:val="20"/>
    </w:rPr>
  </w:style>
  <w:style w:type="paragraph" w:customStyle="1" w:styleId="470">
    <w:name w:val="gjt_3"/>
    <w:next w:val="1"/>
    <w:qFormat/>
    <w:uiPriority w:val="99"/>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71">
    <w:name w:val="金宏发行正文"/>
    <w:basedOn w:val="1"/>
    <w:qFormat/>
    <w:uiPriority w:val="99"/>
    <w:pPr>
      <w:adjustRightInd/>
      <w:spacing w:line="500" w:lineRule="exact"/>
      <w:ind w:firstLine="560" w:firstLineChars="200"/>
    </w:pPr>
    <w:rPr>
      <w:rFonts w:eastAsia="仿宋_GB2312"/>
      <w:sz w:val="28"/>
      <w:szCs w:val="20"/>
    </w:rPr>
  </w:style>
  <w:style w:type="paragraph" w:customStyle="1" w:styleId="472">
    <w:name w:val="样式3"/>
    <w:basedOn w:val="473"/>
    <w:qFormat/>
    <w:uiPriority w:val="99"/>
    <w:pPr>
      <w:tabs>
        <w:tab w:val="left" w:pos="2790"/>
        <w:tab w:val="left" w:pos="4230"/>
      </w:tabs>
      <w:spacing w:beforeLines="100"/>
      <w:jc w:val="left"/>
    </w:pPr>
  </w:style>
  <w:style w:type="paragraph" w:customStyle="1" w:styleId="473">
    <w:name w:val="样式2"/>
    <w:basedOn w:val="1"/>
    <w:qFormat/>
    <w:uiPriority w:val="99"/>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74">
    <w:name w:val="Char Char1 Char Char1 Char Char1"/>
    <w:basedOn w:val="1"/>
    <w:qFormat/>
    <w:uiPriority w:val="99"/>
    <w:pPr>
      <w:tabs>
        <w:tab w:val="left" w:pos="840"/>
      </w:tabs>
      <w:ind w:left="840" w:hanging="420"/>
    </w:pPr>
    <w:rPr>
      <w:rFonts w:ascii="Tahoma" w:hAnsi="Tahoma"/>
      <w:sz w:val="24"/>
    </w:rPr>
  </w:style>
  <w:style w:type="paragraph" w:customStyle="1" w:styleId="475">
    <w:name w:val="Z5"/>
    <w:basedOn w:val="1"/>
    <w:next w:val="1"/>
    <w:qFormat/>
    <w:uiPriority w:val="99"/>
    <w:pPr>
      <w:tabs>
        <w:tab w:val="left" w:pos="2100"/>
      </w:tabs>
      <w:adjustRightInd/>
      <w:spacing w:before="240"/>
      <w:ind w:firstLine="200" w:firstLineChars="200"/>
      <w:outlineLvl w:val="4"/>
    </w:pPr>
    <w:rPr>
      <w:rFonts w:ascii="Tahoma" w:hAnsi="Tahoma" w:eastAsia="幼圆"/>
    </w:rPr>
  </w:style>
  <w:style w:type="paragraph" w:customStyle="1" w:styleId="476">
    <w:name w:val="标书标题2"/>
    <w:basedOn w:val="3"/>
    <w:qFormat/>
    <w:uiPriority w:val="99"/>
    <w:pPr>
      <w:keepLines w:val="0"/>
      <w:widowControl/>
      <w:tabs>
        <w:tab w:val="left" w:pos="840"/>
        <w:tab w:val="clear" w:pos="432"/>
      </w:tabs>
      <w:adjustRightInd w:val="0"/>
      <w:snapToGrid w:val="0"/>
      <w:spacing w:beforeLines="50" w:after="60" w:line="300" w:lineRule="auto"/>
      <w:ind w:left="840" w:hanging="420"/>
    </w:pPr>
    <w:rPr>
      <w:rFonts w:ascii="Arial Narrow" w:hAnsi="Arial Narrow"/>
      <w:kern w:val="0"/>
      <w:szCs w:val="20"/>
      <w:lang w:val="en-US"/>
    </w:rPr>
  </w:style>
  <w:style w:type="paragraph" w:customStyle="1" w:styleId="477">
    <w:name w:val="样式 仿宋_GB2312 三号 加粗 黑色 居中 行距: 1.5 倍行距"/>
    <w:basedOn w:val="1"/>
    <w:qFormat/>
    <w:uiPriority w:val="99"/>
    <w:pPr>
      <w:spacing w:line="360" w:lineRule="auto"/>
      <w:jc w:val="center"/>
    </w:pPr>
    <w:rPr>
      <w:rFonts w:ascii="仿宋_GB2312" w:eastAsia="仿宋_GB2312" w:cs="宋体"/>
      <w:b/>
      <w:bCs/>
      <w:color w:val="000000"/>
      <w:sz w:val="28"/>
      <w:szCs w:val="20"/>
    </w:rPr>
  </w:style>
  <w:style w:type="paragraph" w:customStyle="1" w:styleId="478">
    <w:name w:val="正文21"/>
    <w:basedOn w:val="1"/>
    <w:qFormat/>
    <w:uiPriority w:val="99"/>
    <w:pPr>
      <w:adjustRightInd/>
      <w:spacing w:before="156" w:line="360" w:lineRule="auto"/>
      <w:ind w:firstLine="510" w:firstLineChars="200"/>
    </w:pPr>
    <w:rPr>
      <w:sz w:val="24"/>
      <w:szCs w:val="20"/>
    </w:rPr>
  </w:style>
  <w:style w:type="paragraph" w:customStyle="1" w:styleId="479">
    <w:name w:val="Test2"/>
    <w:basedOn w:val="3"/>
    <w:qFormat/>
    <w:uiPriority w:val="99"/>
    <w:pPr>
      <w:widowControl/>
      <w:adjustRightInd w:val="0"/>
      <w:snapToGrid w:val="0"/>
      <w:spacing w:before="360" w:after="360" w:line="240" w:lineRule="atLeast"/>
    </w:pPr>
    <w:rPr>
      <w:rFonts w:ascii="宋体" w:hAnsi="Arial" w:eastAsia="宋体"/>
      <w:kern w:val="0"/>
      <w:sz w:val="28"/>
      <w:lang w:val="en-US"/>
    </w:rPr>
  </w:style>
  <w:style w:type="paragraph" w:customStyle="1" w:styleId="480">
    <w:name w:val="xl34"/>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81">
    <w:name w:val="Char1"/>
    <w:basedOn w:val="1"/>
    <w:qFormat/>
    <w:uiPriority w:val="99"/>
    <w:rPr>
      <w:rFonts w:ascii="仿宋_GB2312" w:eastAsia="仿宋_GB2312"/>
      <w:b/>
      <w:sz w:val="32"/>
      <w:szCs w:val="32"/>
    </w:rPr>
  </w:style>
  <w:style w:type="paragraph" w:customStyle="1" w:styleId="482">
    <w:name w:val="xl81"/>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83">
    <w:name w:val="Char1 Char Char Char Char Char Char Char Char Char Char Char1 Char Char Char Char Char Char Char Char Char Char Char Char Char Char1 Char Char Char Char1"/>
    <w:basedOn w:val="1"/>
    <w:qFormat/>
    <w:uiPriority w:val="99"/>
    <w:pPr>
      <w:spacing w:line="360" w:lineRule="auto"/>
    </w:pPr>
    <w:rPr>
      <w:kern w:val="0"/>
      <w:sz w:val="24"/>
      <w:szCs w:val="20"/>
    </w:rPr>
  </w:style>
  <w:style w:type="paragraph" w:customStyle="1" w:styleId="484">
    <w:name w:val="样式 宋体 行距: 1.5 倍行距 首行缩进:  2 字符"/>
    <w:basedOn w:val="1"/>
    <w:qFormat/>
    <w:uiPriority w:val="99"/>
    <w:pPr>
      <w:adjustRightInd/>
      <w:spacing w:line="360" w:lineRule="auto"/>
      <w:ind w:firstLine="420" w:firstLineChars="200"/>
    </w:pPr>
    <w:rPr>
      <w:rFonts w:ascii="宋体" w:hAnsi="宋体"/>
      <w:sz w:val="24"/>
      <w:szCs w:val="20"/>
    </w:rPr>
  </w:style>
  <w:style w:type="paragraph" w:customStyle="1" w:styleId="485">
    <w:name w:val="xl68"/>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86">
    <w:name w:val="6级标题"/>
    <w:basedOn w:val="487"/>
    <w:qFormat/>
    <w:uiPriority w:val="99"/>
    <w:pPr>
      <w:keepNext/>
      <w:tabs>
        <w:tab w:val="left" w:pos="360"/>
      </w:tabs>
      <w:outlineLvl w:val="5"/>
    </w:pPr>
  </w:style>
  <w:style w:type="paragraph" w:customStyle="1" w:styleId="487">
    <w:name w:val="5级标题"/>
    <w:basedOn w:val="488"/>
    <w:qFormat/>
    <w:uiPriority w:val="99"/>
    <w:pPr>
      <w:keepLines w:val="0"/>
      <w:tabs>
        <w:tab w:val="left" w:pos="360"/>
      </w:tabs>
      <w:spacing w:beforeLines="10" w:afterLines="10"/>
      <w:outlineLvl w:val="4"/>
    </w:pPr>
    <w:rPr>
      <w:rFonts w:ascii="Times New Roman" w:hAnsi="Times New Roman" w:eastAsia="仿宋"/>
      <w:b/>
      <w:kern w:val="2"/>
      <w:szCs w:val="20"/>
      <w:lang w:eastAsia="zh-CN"/>
    </w:rPr>
  </w:style>
  <w:style w:type="paragraph" w:customStyle="1" w:styleId="488">
    <w:name w:val="4级标题"/>
    <w:basedOn w:val="287"/>
    <w:qFormat/>
    <w:uiPriority w:val="99"/>
    <w:pPr>
      <w:keepLines/>
      <w:adjustRightInd/>
      <w:ind w:firstLine="0" w:firstLineChars="0"/>
      <w:jc w:val="left"/>
      <w:outlineLvl w:val="3"/>
    </w:pPr>
    <w:rPr>
      <w:rFonts w:ascii="黑体" w:hAnsi="黑体" w:eastAsia="黑体" w:cs="Times New Roman"/>
      <w:kern w:val="0"/>
      <w:sz w:val="28"/>
      <w:lang w:eastAsia="en-US"/>
    </w:rPr>
  </w:style>
  <w:style w:type="paragraph" w:customStyle="1" w:styleId="489">
    <w:name w:val="样式 正文文本缩进 + 段前: 2 字符"/>
    <w:basedOn w:val="1"/>
    <w:qFormat/>
    <w:uiPriority w:val="99"/>
    <w:pPr>
      <w:adjustRightInd/>
      <w:ind w:left="420" w:leftChars="200"/>
      <w:jc w:val="left"/>
    </w:pPr>
    <w:rPr>
      <w:sz w:val="28"/>
      <w:szCs w:val="20"/>
      <w:lang w:eastAsia="zh-TW"/>
    </w:rPr>
  </w:style>
  <w:style w:type="paragraph" w:customStyle="1" w:styleId="490">
    <w:name w:val="Char2 Char Char"/>
    <w:basedOn w:val="1"/>
    <w:qFormat/>
    <w:uiPriority w:val="99"/>
    <w:pPr>
      <w:adjustRightInd/>
    </w:pPr>
    <w:rPr>
      <w:rFonts w:ascii="Tahoma" w:hAnsi="Tahoma"/>
      <w:sz w:val="24"/>
      <w:szCs w:val="20"/>
    </w:rPr>
  </w:style>
  <w:style w:type="paragraph" w:customStyle="1" w:styleId="491">
    <w:name w:val="_Style 11"/>
    <w:basedOn w:val="1"/>
    <w:qFormat/>
    <w:uiPriority w:val="99"/>
    <w:pPr>
      <w:adjustRightInd/>
      <w:ind w:firstLine="420" w:firstLineChars="200"/>
    </w:pPr>
    <w:rPr>
      <w:rFonts w:eastAsia="仿宋_GB2312"/>
      <w:sz w:val="28"/>
    </w:rPr>
  </w:style>
  <w:style w:type="paragraph" w:customStyle="1" w:styleId="492">
    <w:name w:val="xl89"/>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93">
    <w:name w:val="Char Char Char"/>
    <w:basedOn w:val="1"/>
    <w:qFormat/>
    <w:uiPriority w:val="99"/>
    <w:rPr>
      <w:rFonts w:ascii="Tahoma" w:hAnsi="Tahoma"/>
      <w:sz w:val="24"/>
      <w:szCs w:val="20"/>
    </w:rPr>
  </w:style>
  <w:style w:type="paragraph" w:customStyle="1" w:styleId="494">
    <w:name w:val="数字标题6"/>
    <w:basedOn w:val="7"/>
    <w:next w:val="1"/>
    <w:qFormat/>
    <w:uiPriority w:val="99"/>
    <w:pPr>
      <w:tabs>
        <w:tab w:val="left" w:pos="1080"/>
      </w:tabs>
      <w:ind w:left="1080" w:hanging="1080"/>
    </w:pPr>
    <w:rPr>
      <w:rFonts w:ascii="Times New Roman" w:hAnsi="Times New Roman" w:eastAsia="宋体"/>
      <w:i/>
    </w:rPr>
  </w:style>
  <w:style w:type="paragraph" w:customStyle="1" w:styleId="495">
    <w:name w:val="Table Cell"/>
    <w:qFormat/>
    <w:uiPriority w:val="99"/>
    <w:pPr>
      <w:adjustRightInd w:val="0"/>
      <w:snapToGrid w:val="0"/>
      <w:spacing w:before="20" w:after="20"/>
    </w:pPr>
    <w:rPr>
      <w:rFonts w:ascii="Courier New" w:hAnsi="Courier New" w:eastAsia="宋体" w:cs="Times New Roman"/>
      <w:sz w:val="24"/>
      <w:lang w:val="en-US" w:eastAsia="zh-CN" w:bidi="ar-SA"/>
    </w:rPr>
  </w:style>
  <w:style w:type="paragraph" w:styleId="496">
    <w:name w:val="No Spacing"/>
    <w:basedOn w:val="1"/>
    <w:link w:val="943"/>
    <w:qFormat/>
    <w:uiPriority w:val="99"/>
    <w:rPr>
      <w:sz w:val="22"/>
      <w:szCs w:val="20"/>
    </w:rPr>
  </w:style>
  <w:style w:type="paragraph" w:customStyle="1" w:styleId="497">
    <w:name w:val="??"/>
    <w:qFormat/>
    <w:uiPriority w:val="99"/>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98">
    <w:name w:val="Char Char Char Char Char Char Char Char Char Char Char Char1 Char1"/>
    <w:basedOn w:val="1"/>
    <w:qFormat/>
    <w:uiPriority w:val="99"/>
    <w:rPr>
      <w:rFonts w:ascii="Tahoma" w:hAnsi="Tahoma" w:cs="仿宋_GB2312"/>
      <w:sz w:val="24"/>
      <w:szCs w:val="20"/>
    </w:rPr>
  </w:style>
  <w:style w:type="paragraph" w:customStyle="1" w:styleId="499">
    <w:name w:val="xl65"/>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500">
    <w:name w:val="Char Char1 Char1"/>
    <w:basedOn w:val="1"/>
    <w:qFormat/>
    <w:uiPriority w:val="99"/>
    <w:pPr>
      <w:widowControl/>
      <w:snapToGrid w:val="0"/>
      <w:spacing w:before="120" w:after="160" w:line="360" w:lineRule="auto"/>
      <w:ind w:right="-360"/>
      <w:jc w:val="left"/>
    </w:pPr>
    <w:rPr>
      <w:rFonts w:ascii="Arial" w:hAnsi="Arial"/>
      <w:kern w:val="0"/>
      <w:sz w:val="24"/>
      <w:lang w:eastAsia="en-US"/>
    </w:rPr>
  </w:style>
  <w:style w:type="paragraph" w:customStyle="1" w:styleId="501">
    <w:name w:val="目录1"/>
    <w:basedOn w:val="1"/>
    <w:qFormat/>
    <w:uiPriority w:val="99"/>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502">
    <w:name w:val="MM Topic 2"/>
    <w:basedOn w:val="3"/>
    <w:qFormat/>
    <w:uiPriority w:val="99"/>
    <w:pPr>
      <w:tabs>
        <w:tab w:val="left" w:pos="1260"/>
      </w:tabs>
      <w:ind w:left="1260" w:hanging="420"/>
    </w:pPr>
    <w:rPr>
      <w:rFonts w:ascii="Arial" w:hAnsi="Arial" w:eastAsia="黑体"/>
      <w:lang w:val="en-US"/>
    </w:rPr>
  </w:style>
  <w:style w:type="paragraph" w:customStyle="1" w:styleId="503">
    <w:name w:val="五级无标题条"/>
    <w:basedOn w:val="1"/>
    <w:qFormat/>
    <w:uiPriority w:val="99"/>
    <w:pPr>
      <w:adjustRightInd/>
    </w:pPr>
  </w:style>
  <w:style w:type="paragraph" w:customStyle="1" w:styleId="504">
    <w:name w:val="Char5"/>
    <w:basedOn w:val="1"/>
    <w:qFormat/>
    <w:uiPriority w:val="99"/>
    <w:rPr>
      <w:rFonts w:ascii="仿宋_GB2312" w:eastAsia="仿宋_GB2312"/>
      <w:b/>
      <w:sz w:val="32"/>
      <w:szCs w:val="32"/>
    </w:rPr>
  </w:style>
  <w:style w:type="paragraph" w:customStyle="1" w:styleId="505">
    <w:name w:val="TOC 标题1"/>
    <w:basedOn w:val="2"/>
    <w:next w:val="1"/>
    <w:qFormat/>
    <w:uiPriority w:val="99"/>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06">
    <w:name w:val="彩色列表 - 强调文字颜色 12"/>
    <w:basedOn w:val="1"/>
    <w:qFormat/>
    <w:uiPriority w:val="99"/>
    <w:pPr>
      <w:adjustRightInd/>
      <w:ind w:firstLine="420" w:firstLineChars="200"/>
    </w:pPr>
    <w:rPr>
      <w:rFonts w:ascii="Calibri" w:hAnsi="Calibri"/>
      <w:szCs w:val="22"/>
    </w:rPr>
  </w:style>
  <w:style w:type="paragraph" w:customStyle="1" w:styleId="507">
    <w:name w:val="Char Char11 Char Char Char Char Char Char Char Char Char Char Char11"/>
    <w:basedOn w:val="1"/>
    <w:qFormat/>
    <w:uiPriority w:val="99"/>
    <w:pPr>
      <w:adjustRightInd/>
      <w:spacing w:line="360" w:lineRule="auto"/>
    </w:pPr>
    <w:rPr>
      <w:rFonts w:ascii="Arial" w:hAnsi="Arial" w:eastAsia="黑体" w:cs="Arial"/>
      <w:kern w:val="0"/>
      <w:szCs w:val="21"/>
    </w:rPr>
  </w:style>
  <w:style w:type="paragraph" w:customStyle="1" w:styleId="508">
    <w:name w:val="Char2"/>
    <w:basedOn w:val="1"/>
    <w:qFormat/>
    <w:uiPriority w:val="99"/>
    <w:rPr>
      <w:rFonts w:ascii="仿宋_GB2312" w:eastAsia="仿宋_GB2312"/>
      <w:b/>
      <w:sz w:val="32"/>
      <w:szCs w:val="32"/>
    </w:rPr>
  </w:style>
  <w:style w:type="paragraph" w:customStyle="1" w:styleId="509">
    <w:name w:val="数字标题3"/>
    <w:basedOn w:val="4"/>
    <w:next w:val="1"/>
    <w:qFormat/>
    <w:uiPriority w:val="99"/>
    <w:pPr>
      <w:spacing w:line="240" w:lineRule="auto"/>
    </w:pPr>
    <w:rPr>
      <w:sz w:val="28"/>
      <w:szCs w:val="28"/>
    </w:rPr>
  </w:style>
  <w:style w:type="paragraph" w:customStyle="1" w:styleId="510">
    <w:name w:val="FA正文"/>
    <w:basedOn w:val="1"/>
    <w:qFormat/>
    <w:uiPriority w:val="99"/>
    <w:pPr>
      <w:spacing w:line="360" w:lineRule="auto"/>
      <w:ind w:firstLine="480" w:firstLineChars="200"/>
    </w:pPr>
    <w:rPr>
      <w:rFonts w:hAnsi="宋体"/>
      <w:sz w:val="24"/>
      <w:szCs w:val="20"/>
    </w:rPr>
  </w:style>
  <w:style w:type="paragraph" w:customStyle="1" w:styleId="511">
    <w:name w:val="MM Topic 5"/>
    <w:basedOn w:val="6"/>
    <w:qFormat/>
    <w:uiPriority w:val="99"/>
    <w:pPr>
      <w:tabs>
        <w:tab w:val="left" w:pos="2520"/>
      </w:tabs>
      <w:adjustRightInd/>
      <w:ind w:left="2520" w:hanging="420"/>
    </w:pPr>
  </w:style>
  <w:style w:type="paragraph" w:customStyle="1" w:styleId="512">
    <w:name w:val="Char Char Char Char Char Char Char Char Char Char1"/>
    <w:basedOn w:val="1"/>
    <w:qFormat/>
    <w:uiPriority w:val="99"/>
    <w:rPr>
      <w:rFonts w:ascii="仿宋_GB2312" w:eastAsia="仿宋_GB2312"/>
      <w:b/>
      <w:sz w:val="32"/>
      <w:szCs w:val="32"/>
    </w:rPr>
  </w:style>
  <w:style w:type="paragraph" w:customStyle="1" w:styleId="513">
    <w:name w:val="xl38"/>
    <w:basedOn w:val="1"/>
    <w:qFormat/>
    <w:uiPriority w:val="99"/>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14">
    <w:name w:val="修订1"/>
    <w:qFormat/>
    <w:uiPriority w:val="99"/>
    <w:rPr>
      <w:rFonts w:ascii="Times New Roman" w:hAnsi="Times New Roman" w:eastAsia="宋体" w:cs="Times New Roman"/>
      <w:color w:val="000000"/>
      <w:kern w:val="1"/>
      <w:sz w:val="21"/>
      <w:lang w:val="en-US" w:eastAsia="zh-CN" w:bidi="ar-SA"/>
    </w:rPr>
  </w:style>
  <w:style w:type="paragraph" w:customStyle="1" w:styleId="515">
    <w:name w:val="Char2 Char Char Char"/>
    <w:basedOn w:val="1"/>
    <w:qFormat/>
    <w:uiPriority w:val="99"/>
    <w:rPr>
      <w:rFonts w:ascii="仿宋_GB2312" w:eastAsia="仿宋_GB2312"/>
      <w:b/>
      <w:sz w:val="32"/>
      <w:szCs w:val="32"/>
    </w:rPr>
  </w:style>
  <w:style w:type="paragraph" w:customStyle="1" w:styleId="516">
    <w:name w:val="Char2 Char Char Char1"/>
    <w:basedOn w:val="1"/>
    <w:qFormat/>
    <w:uiPriority w:val="99"/>
    <w:rPr>
      <w:rFonts w:ascii="仿宋_GB2312" w:eastAsia="仿宋_GB2312"/>
      <w:b/>
      <w:sz w:val="32"/>
      <w:szCs w:val="32"/>
    </w:rPr>
  </w:style>
  <w:style w:type="paragraph" w:customStyle="1" w:styleId="517">
    <w:name w:val="默认段落样式"/>
    <w:basedOn w:val="167"/>
    <w:qFormat/>
    <w:uiPriority w:val="99"/>
    <w:pPr>
      <w:spacing w:before="0"/>
      <w:ind w:firstLine="480"/>
      <w:outlineLvl w:val="2"/>
    </w:pPr>
    <w:rPr>
      <w:rFonts w:ascii="仿宋_GB2312" w:hAnsi="宋体" w:eastAsia="仿宋_GB2312"/>
      <w:color w:val="000000"/>
      <w:szCs w:val="24"/>
    </w:rPr>
  </w:style>
  <w:style w:type="paragraph" w:customStyle="1" w:styleId="518">
    <w:name w:val="图中文字"/>
    <w:basedOn w:val="1"/>
    <w:qFormat/>
    <w:uiPriority w:val="99"/>
    <w:pPr>
      <w:snapToGrid w:val="0"/>
      <w:spacing w:line="240" w:lineRule="atLeast"/>
      <w:ind w:firstLine="200" w:firstLineChars="200"/>
      <w:jc w:val="center"/>
    </w:pPr>
    <w:rPr>
      <w:sz w:val="24"/>
      <w:szCs w:val="20"/>
    </w:rPr>
  </w:style>
  <w:style w:type="paragraph" w:customStyle="1" w:styleId="519">
    <w:name w:val="xl35"/>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0">
    <w:name w:val="MM Topic 3"/>
    <w:basedOn w:val="4"/>
    <w:qFormat/>
    <w:uiPriority w:val="99"/>
    <w:pPr>
      <w:tabs>
        <w:tab w:val="left" w:pos="1680"/>
      </w:tabs>
      <w:adjustRightInd/>
      <w:ind w:left="1680" w:hanging="420"/>
    </w:pPr>
  </w:style>
  <w:style w:type="paragraph" w:customStyle="1" w:styleId="521">
    <w:name w:val="标准小四"/>
    <w:basedOn w:val="1"/>
    <w:qFormat/>
    <w:uiPriority w:val="99"/>
    <w:pPr>
      <w:spacing w:line="360" w:lineRule="auto"/>
      <w:ind w:firstLine="480" w:firstLineChars="200"/>
    </w:pPr>
    <w:rPr>
      <w:rFonts w:ascii="Arial" w:hAnsi="Arial"/>
      <w:sz w:val="24"/>
      <w:szCs w:val="21"/>
    </w:rPr>
  </w:style>
  <w:style w:type="paragraph" w:customStyle="1" w:styleId="522">
    <w:name w:val="样式 标题 2H2h2Underrubrik1prop2l2Chapter Titlesect 1.2DO NO..."/>
    <w:basedOn w:val="3"/>
    <w:qFormat/>
    <w:uiPriority w:val="99"/>
    <w:pPr>
      <w:spacing w:before="120" w:after="120"/>
      <w:ind w:left="425" w:hanging="425"/>
    </w:pPr>
    <w:rPr>
      <w:rFonts w:ascii="微软雅黑" w:hAnsi="微软雅黑" w:eastAsia="微软雅黑" w:cs="宋体"/>
      <w:szCs w:val="20"/>
      <w:lang w:val="en-US"/>
    </w:rPr>
  </w:style>
  <w:style w:type="paragraph" w:customStyle="1" w:styleId="523">
    <w:name w:val="表格（小）"/>
    <w:basedOn w:val="1"/>
    <w:qFormat/>
    <w:uiPriority w:val="99"/>
    <w:pPr>
      <w:adjustRightInd/>
      <w:snapToGrid w:val="0"/>
      <w:spacing w:line="300" w:lineRule="auto"/>
    </w:pPr>
    <w:rPr>
      <w:rFonts w:eastAsia="仿宋"/>
      <w:szCs w:val="21"/>
    </w:rPr>
  </w:style>
  <w:style w:type="paragraph" w:customStyle="1" w:styleId="524">
    <w:name w:val="Char Char Char Char Char Char1 Char"/>
    <w:basedOn w:val="1"/>
    <w:qFormat/>
    <w:uiPriority w:val="99"/>
    <w:pPr>
      <w:widowControl/>
      <w:spacing w:after="160" w:line="240" w:lineRule="exact"/>
      <w:jc w:val="left"/>
    </w:pPr>
    <w:rPr>
      <w:rFonts w:ascii="Verdana" w:hAnsi="Verdana"/>
      <w:kern w:val="0"/>
      <w:szCs w:val="20"/>
      <w:lang w:eastAsia="en-US"/>
    </w:rPr>
  </w:style>
  <w:style w:type="paragraph" w:customStyle="1" w:styleId="525">
    <w:name w:val="Char2 Char Char1"/>
    <w:basedOn w:val="1"/>
    <w:qFormat/>
    <w:uiPriority w:val="99"/>
    <w:pPr>
      <w:adjustRightInd/>
    </w:pPr>
    <w:rPr>
      <w:rFonts w:ascii="Tahoma" w:hAnsi="Tahoma"/>
      <w:sz w:val="24"/>
      <w:szCs w:val="20"/>
    </w:rPr>
  </w:style>
  <w:style w:type="paragraph" w:customStyle="1" w:styleId="526">
    <w:name w:val="列出段落5"/>
    <w:basedOn w:val="1"/>
    <w:qFormat/>
    <w:uiPriority w:val="99"/>
    <w:pPr>
      <w:spacing w:line="360" w:lineRule="auto"/>
      <w:ind w:firstLine="200" w:firstLineChars="200"/>
    </w:pPr>
    <w:rPr>
      <w:rFonts w:eastAsia="楷体_GB2312" w:cs="Lucida Sans"/>
      <w:sz w:val="24"/>
    </w:rPr>
  </w:style>
  <w:style w:type="paragraph" w:customStyle="1" w:styleId="527">
    <w:name w:val="font7"/>
    <w:basedOn w:val="1"/>
    <w:qFormat/>
    <w:uiPriority w:val="99"/>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28">
    <w:name w:val="Item Step in Table"/>
    <w:qFormat/>
    <w:uiPriority w:val="99"/>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29">
    <w:name w:val="TOC 标题111"/>
    <w:basedOn w:val="2"/>
    <w:next w:val="1"/>
    <w:qFormat/>
    <w:uiPriority w:val="99"/>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30">
    <w:name w:val="xl87"/>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31">
    <w:name w:val="样式 左侧:  0.85 厘米 首行缩进:  0.85 厘米"/>
    <w:basedOn w:val="1"/>
    <w:qFormat/>
    <w:uiPriority w:val="99"/>
    <w:pPr>
      <w:adjustRightInd/>
      <w:spacing w:line="360" w:lineRule="auto"/>
      <w:ind w:firstLine="482"/>
    </w:pPr>
    <w:rPr>
      <w:rFonts w:cs="宋体"/>
      <w:sz w:val="24"/>
      <w:szCs w:val="20"/>
    </w:rPr>
  </w:style>
  <w:style w:type="paragraph" w:customStyle="1" w:styleId="532">
    <w:name w:val="Char3 Char Char"/>
    <w:basedOn w:val="1"/>
    <w:qFormat/>
    <w:uiPriority w:val="99"/>
    <w:pPr>
      <w:widowControl/>
      <w:adjustRightInd/>
      <w:spacing w:after="160" w:line="240" w:lineRule="exact"/>
      <w:jc w:val="left"/>
    </w:pPr>
    <w:rPr>
      <w:rFonts w:ascii="Arial" w:hAnsi="Arial" w:cs="Verdana"/>
      <w:b/>
      <w:kern w:val="0"/>
      <w:sz w:val="24"/>
      <w:szCs w:val="20"/>
      <w:lang w:eastAsia="en-US"/>
    </w:rPr>
  </w:style>
  <w:style w:type="paragraph" w:customStyle="1" w:styleId="533">
    <w:name w:val="_Style 3"/>
    <w:basedOn w:val="1"/>
    <w:qFormat/>
    <w:uiPriority w:val="99"/>
    <w:pPr>
      <w:adjustRightInd/>
      <w:ind w:firstLine="420" w:firstLineChars="200"/>
    </w:pPr>
    <w:rPr>
      <w:rFonts w:eastAsia="仿宋_GB2312"/>
      <w:sz w:val="28"/>
    </w:rPr>
  </w:style>
  <w:style w:type="paragraph" w:customStyle="1" w:styleId="534">
    <w:name w:val="xl39"/>
    <w:basedOn w:val="1"/>
    <w:qFormat/>
    <w:uiPriority w:val="99"/>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35">
    <w:name w:val="Bulleting First Indent 1"/>
    <w:basedOn w:val="24"/>
    <w:qFormat/>
    <w:uiPriority w:val="99"/>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36">
    <w:name w:val="左对齐表格文字"/>
    <w:basedOn w:val="1"/>
    <w:qFormat/>
    <w:uiPriority w:val="99"/>
    <w:pPr>
      <w:adjustRightInd/>
      <w:ind w:firstLine="200" w:firstLineChars="200"/>
      <w:jc w:val="right"/>
    </w:pPr>
  </w:style>
  <w:style w:type="paragraph" w:customStyle="1" w:styleId="537">
    <w:name w:val="Char Char11 Char Char Char Char Char Char Char Char Char"/>
    <w:basedOn w:val="1"/>
    <w:qFormat/>
    <w:uiPriority w:val="99"/>
    <w:pPr>
      <w:spacing w:line="360" w:lineRule="auto"/>
    </w:pPr>
    <w:rPr>
      <w:szCs w:val="20"/>
    </w:rPr>
  </w:style>
  <w:style w:type="paragraph" w:customStyle="1" w:styleId="538">
    <w:name w:val="正文1.25"/>
    <w:basedOn w:val="1"/>
    <w:qFormat/>
    <w:uiPriority w:val="99"/>
    <w:pPr>
      <w:adjustRightInd/>
      <w:spacing w:line="300" w:lineRule="auto"/>
      <w:ind w:firstLine="480" w:firstLineChars="200"/>
    </w:pPr>
    <w:rPr>
      <w:sz w:val="24"/>
      <w:szCs w:val="20"/>
    </w:rPr>
  </w:style>
  <w:style w:type="paragraph" w:customStyle="1" w:styleId="539">
    <w:name w:val="1正文"/>
    <w:basedOn w:val="1"/>
    <w:qFormat/>
    <w:uiPriority w:val="99"/>
    <w:pPr>
      <w:adjustRightInd/>
      <w:spacing w:line="360" w:lineRule="auto"/>
      <w:ind w:firstLine="200" w:firstLineChars="200"/>
    </w:pPr>
    <w:rPr>
      <w:rFonts w:ascii="仿宋_GB2312" w:hAnsi="Arial" w:eastAsia="仿宋"/>
      <w:sz w:val="28"/>
      <w:szCs w:val="28"/>
    </w:rPr>
  </w:style>
  <w:style w:type="paragraph" w:customStyle="1" w:styleId="540">
    <w:name w:val="Bul Text 9/14"/>
    <w:qFormat/>
    <w:uiPriority w:val="99"/>
    <w:pPr>
      <w:widowControl w:val="0"/>
      <w:tabs>
        <w:tab w:val="left" w:pos="840"/>
      </w:tabs>
      <w:spacing w:line="280" w:lineRule="atLeast"/>
      <w:ind w:left="160" w:hanging="160"/>
    </w:pPr>
    <w:rPr>
      <w:rFonts w:ascii="Times New Roman" w:hAnsi="Times New Roman" w:eastAsia="宋体" w:cs="Times New Roman"/>
      <w:color w:val="000000"/>
      <w:sz w:val="18"/>
      <w:lang w:val="en-US" w:eastAsia="zh-CN" w:bidi="ar-SA"/>
    </w:rPr>
  </w:style>
  <w:style w:type="paragraph" w:customStyle="1" w:styleId="541">
    <w:name w:val="xl76"/>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42">
    <w:name w:val="Char Char1 Char Char Char1"/>
    <w:basedOn w:val="1"/>
    <w:qFormat/>
    <w:uiPriority w:val="99"/>
    <w:rPr>
      <w:rFonts w:ascii="仿宋_GB2312" w:eastAsia="仿宋_GB2312"/>
      <w:b/>
      <w:sz w:val="32"/>
      <w:szCs w:val="20"/>
    </w:rPr>
  </w:style>
  <w:style w:type="paragraph" w:customStyle="1" w:styleId="543">
    <w:name w:val="列出段落2"/>
    <w:basedOn w:val="1"/>
    <w:qFormat/>
    <w:uiPriority w:val="99"/>
    <w:pPr>
      <w:adjustRightInd/>
      <w:ind w:firstLine="420" w:firstLineChars="200"/>
    </w:pPr>
    <w:rPr>
      <w:rFonts w:ascii="宋体" w:hAnsi="宋体"/>
      <w:sz w:val="24"/>
    </w:rPr>
  </w:style>
  <w:style w:type="paragraph" w:customStyle="1" w:styleId="544">
    <w:name w:val="默认段落字体 Para Char Char Char Char Char Char Char"/>
    <w:basedOn w:val="1"/>
    <w:qFormat/>
    <w:uiPriority w:val="99"/>
    <w:rPr>
      <w:rFonts w:eastAsia="仿宋_GB2312"/>
      <w:sz w:val="28"/>
      <w:szCs w:val="20"/>
    </w:rPr>
  </w:style>
  <w:style w:type="paragraph" w:customStyle="1" w:styleId="545">
    <w:name w:val="xl74"/>
    <w:basedOn w:val="1"/>
    <w:qFormat/>
    <w:uiPriority w:val="99"/>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46">
    <w:name w:val="样式 标题 4PIM 4H4h4bulletblbbH41H42H43H44H45H46H47H48...1"/>
    <w:basedOn w:val="5"/>
    <w:qFormat/>
    <w:uiPriority w:val="99"/>
    <w:pPr>
      <w:widowControl/>
      <w:jc w:val="left"/>
    </w:pPr>
    <w:rPr>
      <w:rFonts w:cs="宋体"/>
      <w:sz w:val="24"/>
      <w:szCs w:val="20"/>
    </w:rPr>
  </w:style>
  <w:style w:type="paragraph" w:customStyle="1" w:styleId="547">
    <w:name w:val="彩色列表 - 强调文字颜色 11"/>
    <w:basedOn w:val="1"/>
    <w:qFormat/>
    <w:uiPriority w:val="99"/>
    <w:pPr>
      <w:adjustRightInd/>
      <w:ind w:firstLine="420" w:firstLineChars="200"/>
    </w:pPr>
    <w:rPr>
      <w:rFonts w:ascii="Calibri" w:hAnsi="Calibri"/>
      <w:szCs w:val="22"/>
    </w:rPr>
  </w:style>
  <w:style w:type="paragraph" w:customStyle="1" w:styleId="548">
    <w:name w:val="加粗正文"/>
    <w:basedOn w:val="1"/>
    <w:qFormat/>
    <w:uiPriority w:val="99"/>
    <w:pPr>
      <w:adjustRightInd/>
      <w:spacing w:beforeLines="50" w:afterLines="50" w:line="360" w:lineRule="auto"/>
      <w:ind w:firstLine="422" w:firstLineChars="200"/>
    </w:pPr>
    <w:rPr>
      <w:b/>
      <w:bCs/>
      <w:szCs w:val="21"/>
    </w:rPr>
  </w:style>
  <w:style w:type="paragraph" w:customStyle="1" w:styleId="549">
    <w:name w:val="xl94"/>
    <w:basedOn w:val="1"/>
    <w:qFormat/>
    <w:uiPriority w:val="99"/>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50">
    <w:name w:val="正文6"/>
    <w:basedOn w:val="1"/>
    <w:qFormat/>
    <w:uiPriority w:val="99"/>
    <w:pPr>
      <w:tabs>
        <w:tab w:val="left" w:pos="0"/>
        <w:tab w:val="left" w:pos="703"/>
      </w:tabs>
      <w:adjustRightInd/>
      <w:spacing w:before="60" w:after="60" w:line="360" w:lineRule="auto"/>
      <w:ind w:left="600" w:leftChars="600"/>
    </w:pPr>
    <w:rPr>
      <w:sz w:val="28"/>
    </w:rPr>
  </w:style>
  <w:style w:type="paragraph" w:customStyle="1" w:styleId="551">
    <w:name w:val="Char Char Char1 Char1"/>
    <w:basedOn w:val="1"/>
    <w:qFormat/>
    <w:uiPriority w:val="99"/>
    <w:rPr>
      <w:szCs w:val="20"/>
    </w:rPr>
  </w:style>
  <w:style w:type="paragraph" w:customStyle="1" w:styleId="552">
    <w:name w:val="xl27"/>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53">
    <w:name w:val="样式 标题 2 + 宋体 左侧:  1.76 厘米 首行缩进:  0 厘米"/>
    <w:basedOn w:val="3"/>
    <w:qFormat/>
    <w:uiPriority w:val="99"/>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54">
    <w:name w:val="List Paragraph*"/>
    <w:basedOn w:val="1"/>
    <w:qFormat/>
    <w:uiPriority w:val="99"/>
    <w:pPr>
      <w:adjustRightInd/>
      <w:spacing w:line="360" w:lineRule="auto"/>
      <w:ind w:firstLine="420"/>
    </w:pPr>
    <w:rPr>
      <w:rFonts w:ascii="Calibri" w:hAnsi="Calibri" w:cs="Calibri"/>
      <w:color w:val="000000"/>
      <w:kern w:val="1"/>
      <w:sz w:val="24"/>
      <w:szCs w:val="22"/>
    </w:rPr>
  </w:style>
  <w:style w:type="paragraph" w:customStyle="1" w:styleId="555">
    <w:name w:val="Char Char11 Char Char Char Char Char Char Char Char Char Char Char Char Char11"/>
    <w:basedOn w:val="1"/>
    <w:qFormat/>
    <w:uiPriority w:val="99"/>
    <w:pPr>
      <w:adjustRightInd/>
      <w:spacing w:line="360" w:lineRule="auto"/>
    </w:pPr>
    <w:rPr>
      <w:rFonts w:ascii="Arial" w:hAnsi="Arial" w:eastAsia="黑体" w:cs="Arial"/>
      <w:kern w:val="0"/>
      <w:szCs w:val="21"/>
    </w:rPr>
  </w:style>
  <w:style w:type="paragraph" w:customStyle="1" w:styleId="556">
    <w:name w:val="xl36"/>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57">
    <w:name w:val="CM14"/>
    <w:basedOn w:val="262"/>
    <w:next w:val="262"/>
    <w:qFormat/>
    <w:uiPriority w:val="99"/>
    <w:pPr>
      <w:spacing w:after="68"/>
    </w:pPr>
    <w:rPr>
      <w:rFonts w:ascii="FHLHE E+ Futura Bk" w:eastAsia="FHLHE E+ Futura Bk" w:cs="Times New Roman"/>
      <w:color w:val="auto"/>
    </w:rPr>
  </w:style>
  <w:style w:type="paragraph" w:customStyle="1" w:styleId="558">
    <w:name w:val="xl82"/>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59">
    <w:name w:val="无间隔*"/>
    <w:qFormat/>
    <w:uiPriority w:val="99"/>
    <w:pPr>
      <w:widowControl w:val="0"/>
      <w:jc w:val="both"/>
    </w:pPr>
    <w:rPr>
      <w:rFonts w:ascii="Times New Roman" w:hAnsi="Times New Roman" w:eastAsia="宋体" w:cs="Calibri"/>
      <w:color w:val="000000"/>
      <w:kern w:val="1"/>
      <w:sz w:val="21"/>
      <w:szCs w:val="22"/>
      <w:lang w:val="en-US" w:eastAsia="zh-CN" w:bidi="ar-SA"/>
    </w:rPr>
  </w:style>
  <w:style w:type="paragraph" w:customStyle="1" w:styleId="560">
    <w:name w:val="Char Char Char Char1"/>
    <w:basedOn w:val="1"/>
    <w:qFormat/>
    <w:uiPriority w:val="99"/>
    <w:pPr>
      <w:tabs>
        <w:tab w:val="left" w:pos="0"/>
      </w:tabs>
      <w:adjustRightInd/>
      <w:ind w:firstLine="200" w:firstLineChars="200"/>
    </w:pPr>
    <w:rPr>
      <w:rFonts w:ascii="宋体" w:hAnsi="宋体" w:eastAsia="仿宋_GB2312"/>
      <w:sz w:val="28"/>
    </w:rPr>
  </w:style>
  <w:style w:type="paragraph" w:customStyle="1" w:styleId="561">
    <w:name w:val="正文文字 2"/>
    <w:basedOn w:val="262"/>
    <w:next w:val="262"/>
    <w:qFormat/>
    <w:uiPriority w:val="99"/>
    <w:rPr>
      <w:rFonts w:ascii="宋体" w:eastAsia="宋体" w:cs="Times New Roman"/>
      <w:color w:val="auto"/>
    </w:rPr>
  </w:style>
  <w:style w:type="paragraph" w:customStyle="1" w:styleId="562">
    <w:name w:val="正文首行缩进两字"/>
    <w:qFormat/>
    <w:uiPriority w:val="99"/>
    <w:pPr>
      <w:spacing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63">
    <w:name w:val="Char Char1 Char"/>
    <w:basedOn w:val="1"/>
    <w:qFormat/>
    <w:uiPriority w:val="99"/>
    <w:rPr>
      <w:rFonts w:ascii="仿宋_GB2312" w:eastAsia="仿宋_GB2312"/>
      <w:b/>
      <w:sz w:val="32"/>
      <w:szCs w:val="32"/>
    </w:rPr>
  </w:style>
  <w:style w:type="paragraph" w:customStyle="1" w:styleId="564">
    <w:name w:val="xl77"/>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65">
    <w:name w:val="Char Char11 Char Char Char Char Char Char Char Char Char Char Char1"/>
    <w:basedOn w:val="1"/>
    <w:qFormat/>
    <w:uiPriority w:val="99"/>
    <w:pPr>
      <w:adjustRightInd/>
      <w:spacing w:line="360" w:lineRule="auto"/>
    </w:pPr>
    <w:rPr>
      <w:rFonts w:ascii="Arial" w:hAnsi="Arial" w:eastAsia="黑体" w:cs="Arial"/>
      <w:kern w:val="0"/>
      <w:szCs w:val="21"/>
    </w:rPr>
  </w:style>
  <w:style w:type="paragraph" w:customStyle="1" w:styleId="566">
    <w:name w:val="Char Char111"/>
    <w:basedOn w:val="1"/>
    <w:qFormat/>
    <w:uiPriority w:val="99"/>
    <w:pPr>
      <w:spacing w:line="360" w:lineRule="auto"/>
    </w:pPr>
    <w:rPr>
      <w:szCs w:val="20"/>
    </w:rPr>
  </w:style>
  <w:style w:type="paragraph" w:customStyle="1" w:styleId="567">
    <w:name w:val="Char"/>
    <w:basedOn w:val="1"/>
    <w:qFormat/>
    <w:uiPriority w:val="99"/>
    <w:rPr>
      <w:rFonts w:ascii="仿宋_GB2312" w:eastAsia="仿宋_GB2312"/>
      <w:b/>
      <w:sz w:val="32"/>
      <w:szCs w:val="32"/>
    </w:rPr>
  </w:style>
  <w:style w:type="paragraph" w:customStyle="1" w:styleId="568">
    <w:name w:val="RFI Heading 2nd Level"/>
    <w:basedOn w:val="1"/>
    <w:qFormat/>
    <w:uiPriority w:val="99"/>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69">
    <w:name w:val="af17cgridlangnp1033langf"/>
    <w:qFormat/>
    <w:uiPriority w:val="99"/>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70">
    <w:name w:val="Char Char Char1 Char"/>
    <w:basedOn w:val="1"/>
    <w:qFormat/>
    <w:uiPriority w:val="99"/>
    <w:rPr>
      <w:szCs w:val="20"/>
    </w:rPr>
  </w:style>
  <w:style w:type="paragraph" w:customStyle="1" w:styleId="571">
    <w:name w:val="正文标准"/>
    <w:basedOn w:val="1"/>
    <w:qFormat/>
    <w:uiPriority w:val="99"/>
    <w:pPr>
      <w:adjustRightInd/>
      <w:spacing w:line="360" w:lineRule="auto"/>
      <w:ind w:firstLine="200" w:firstLineChars="200"/>
    </w:pPr>
    <w:rPr>
      <w:rFonts w:ascii="宋体" w:hAnsi="Calibri"/>
      <w:sz w:val="24"/>
    </w:rPr>
  </w:style>
  <w:style w:type="paragraph" w:customStyle="1" w:styleId="572">
    <w:name w:val="正文格式"/>
    <w:basedOn w:val="1"/>
    <w:qFormat/>
    <w:uiPriority w:val="99"/>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73">
    <w:name w:val="Char Char11 Char Char Char Char Char Char Char Char Char Char Char Char Char Char Char"/>
    <w:basedOn w:val="1"/>
    <w:qFormat/>
    <w:uiPriority w:val="99"/>
    <w:pPr>
      <w:adjustRightInd/>
      <w:spacing w:line="360" w:lineRule="auto"/>
    </w:pPr>
    <w:rPr>
      <w:rFonts w:ascii="Arial" w:hAnsi="Arial" w:eastAsia="黑体" w:cs="Arial"/>
      <w:kern w:val="0"/>
      <w:szCs w:val="21"/>
    </w:rPr>
  </w:style>
  <w:style w:type="paragraph" w:customStyle="1" w:styleId="574">
    <w:name w:val="Th"/>
    <w:qFormat/>
    <w:uiPriority w:val="99"/>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75">
    <w:name w:val="规范正文"/>
    <w:basedOn w:val="1"/>
    <w:qFormat/>
    <w:uiPriority w:val="99"/>
    <w:pPr>
      <w:tabs>
        <w:tab w:val="left" w:pos="840"/>
      </w:tabs>
      <w:spacing w:beforeLines="50" w:line="360" w:lineRule="auto"/>
      <w:ind w:left="840" w:hanging="420"/>
      <w:textAlignment w:val="baseline"/>
    </w:pPr>
    <w:rPr>
      <w:szCs w:val="20"/>
    </w:rPr>
  </w:style>
  <w:style w:type="paragraph" w:customStyle="1" w:styleId="576">
    <w:name w:val="font12"/>
    <w:basedOn w:val="1"/>
    <w:qFormat/>
    <w:uiPriority w:val="99"/>
    <w:pPr>
      <w:widowControl/>
      <w:adjustRightInd/>
      <w:spacing w:before="100" w:beforeAutospacing="1" w:after="100" w:afterAutospacing="1"/>
      <w:jc w:val="left"/>
    </w:pPr>
    <w:rPr>
      <w:rFonts w:ascii="宋体" w:hAnsi="宋体" w:cs="宋体"/>
      <w:kern w:val="0"/>
      <w:sz w:val="18"/>
      <w:szCs w:val="18"/>
    </w:rPr>
  </w:style>
  <w:style w:type="paragraph" w:customStyle="1" w:styleId="577">
    <w:name w:val="Char Char1 Char2"/>
    <w:basedOn w:val="1"/>
    <w:qFormat/>
    <w:uiPriority w:val="99"/>
    <w:pPr>
      <w:widowControl/>
      <w:snapToGrid w:val="0"/>
      <w:spacing w:before="120" w:after="160" w:line="360" w:lineRule="auto"/>
      <w:ind w:right="-360"/>
      <w:jc w:val="left"/>
    </w:pPr>
    <w:rPr>
      <w:rFonts w:ascii="Arial" w:hAnsi="Arial"/>
      <w:kern w:val="0"/>
      <w:sz w:val="24"/>
      <w:lang w:eastAsia="en-US"/>
    </w:rPr>
  </w:style>
  <w:style w:type="paragraph" w:customStyle="1" w:styleId="578">
    <w:name w:val="Char Char Char11"/>
    <w:basedOn w:val="1"/>
    <w:qFormat/>
    <w:uiPriority w:val="99"/>
    <w:pPr>
      <w:widowControl/>
      <w:spacing w:after="160" w:line="240" w:lineRule="exact"/>
      <w:jc w:val="left"/>
    </w:pPr>
    <w:rPr>
      <w:rFonts w:ascii="Verdana" w:hAnsi="Verdana"/>
      <w:kern w:val="0"/>
      <w:sz w:val="20"/>
      <w:szCs w:val="20"/>
      <w:lang w:eastAsia="en-US"/>
    </w:rPr>
  </w:style>
  <w:style w:type="paragraph" w:customStyle="1" w:styleId="579">
    <w:name w:val="xl42"/>
    <w:basedOn w:val="1"/>
    <w:qFormat/>
    <w:uiPriority w:val="99"/>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80">
    <w:name w:val="目录4"/>
    <w:basedOn w:val="1"/>
    <w:qFormat/>
    <w:uiPriority w:val="99"/>
    <w:pPr>
      <w:tabs>
        <w:tab w:val="left" w:leader="dot" w:pos="7370"/>
      </w:tabs>
      <w:autoSpaceDE w:val="0"/>
      <w:autoSpaceDN w:val="0"/>
      <w:spacing w:line="317" w:lineRule="atLeast"/>
      <w:ind w:firstLine="629" w:firstLineChars="200"/>
    </w:pPr>
    <w:rPr>
      <w:color w:val="000000"/>
      <w:kern w:val="0"/>
      <w:szCs w:val="21"/>
    </w:rPr>
  </w:style>
  <w:style w:type="paragraph" w:customStyle="1" w:styleId="581">
    <w:name w:val="xl43"/>
    <w:basedOn w:val="1"/>
    <w:qFormat/>
    <w:uiPriority w:val="99"/>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82">
    <w:name w:val="solutionfonts1"/>
    <w:basedOn w:val="1"/>
    <w:qFormat/>
    <w:uiPriority w:val="99"/>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83">
    <w:name w:val="标准有序列表（L1）"/>
    <w:basedOn w:val="15"/>
    <w:qFormat/>
    <w:uiPriority w:val="99"/>
    <w:pPr>
      <w:widowControl w:val="0"/>
      <w:tabs>
        <w:tab w:val="left" w:pos="0"/>
        <w:tab w:val="left" w:pos="992"/>
      </w:tabs>
      <w:adjustRightInd/>
      <w:snapToGrid/>
      <w:spacing w:line="360" w:lineRule="auto"/>
      <w:ind w:firstLine="0"/>
    </w:pPr>
    <w:rPr>
      <w:rFonts w:ascii="黑体" w:eastAsia="黑体"/>
      <w:kern w:val="2"/>
      <w:sz w:val="24"/>
    </w:rPr>
  </w:style>
  <w:style w:type="paragraph" w:customStyle="1" w:styleId="584">
    <w:name w:val="Char Char Char Char Char Char Char Char Char Char"/>
    <w:basedOn w:val="1"/>
    <w:qFormat/>
    <w:uiPriority w:val="99"/>
    <w:rPr>
      <w:rFonts w:ascii="仿宋_GB2312" w:eastAsia="仿宋_GB2312"/>
      <w:b/>
      <w:sz w:val="32"/>
      <w:szCs w:val="32"/>
    </w:rPr>
  </w:style>
  <w:style w:type="paragraph" w:customStyle="1" w:styleId="585">
    <w:name w:val="Char1 Char Char Char Char Char Char Char Char Char Char Char1 Char Char Char Char Char Char Char Char Char Char Char Char Char Char1 Char Char Char Char"/>
    <w:basedOn w:val="1"/>
    <w:qFormat/>
    <w:uiPriority w:val="99"/>
    <w:pPr>
      <w:spacing w:line="360" w:lineRule="auto"/>
    </w:pPr>
    <w:rPr>
      <w:kern w:val="0"/>
      <w:sz w:val="24"/>
      <w:szCs w:val="20"/>
    </w:rPr>
  </w:style>
  <w:style w:type="paragraph" w:customStyle="1" w:styleId="586">
    <w:name w:val="_正文段落"/>
    <w:basedOn w:val="1"/>
    <w:qFormat/>
    <w:uiPriority w:val="99"/>
    <w:pPr>
      <w:adjustRightInd/>
      <w:ind w:firstLine="560"/>
    </w:pPr>
    <w:rPr>
      <w:rFonts w:ascii="仿宋_GB2312" w:hAnsi="仿宋" w:eastAsia="仿宋_GB2312"/>
      <w:kern w:val="0"/>
      <w:sz w:val="28"/>
      <w:szCs w:val="28"/>
    </w:rPr>
  </w:style>
  <w:style w:type="paragraph" w:customStyle="1" w:styleId="587">
    <w:name w:val="列出段落4"/>
    <w:basedOn w:val="1"/>
    <w:qFormat/>
    <w:uiPriority w:val="99"/>
    <w:pPr>
      <w:adjustRightInd/>
      <w:spacing w:line="360" w:lineRule="auto"/>
      <w:ind w:firstLine="420" w:firstLineChars="200"/>
    </w:pPr>
    <w:rPr>
      <w:rFonts w:ascii="Calibri" w:hAnsi="Calibri"/>
      <w:sz w:val="24"/>
      <w:szCs w:val="22"/>
    </w:rPr>
  </w:style>
  <w:style w:type="paragraph" w:customStyle="1" w:styleId="588">
    <w:name w:val="前言、引言标题"/>
    <w:next w:val="1"/>
    <w:qFormat/>
    <w:uiPriority w:val="99"/>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89">
    <w:name w:val="正文（首行缩进）"/>
    <w:basedOn w:val="26"/>
    <w:qFormat/>
    <w:uiPriority w:val="99"/>
    <w:pPr>
      <w:widowControl/>
      <w:tabs>
        <w:tab w:val="left" w:pos="840"/>
      </w:tabs>
      <w:overflowPunct w:val="0"/>
      <w:autoSpaceDE w:val="0"/>
      <w:autoSpaceDN w:val="0"/>
      <w:spacing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90">
    <w:name w:val="Char3 Char Char Char Char Char Char"/>
    <w:basedOn w:val="1"/>
    <w:qFormat/>
    <w:uiPriority w:val="99"/>
    <w:pPr>
      <w:adjustRightInd/>
      <w:spacing w:line="360" w:lineRule="auto"/>
    </w:pPr>
    <w:rPr>
      <w:rFonts w:ascii="Arial" w:hAnsi="Arial" w:eastAsia="黑体" w:cs="Arial"/>
      <w:kern w:val="0"/>
      <w:szCs w:val="21"/>
    </w:rPr>
  </w:style>
  <w:style w:type="paragraph" w:customStyle="1" w:styleId="591">
    <w:name w:val="font9"/>
    <w:basedOn w:val="1"/>
    <w:qFormat/>
    <w:uiPriority w:val="99"/>
    <w:pPr>
      <w:widowControl/>
      <w:adjustRightInd/>
      <w:spacing w:before="100" w:beforeAutospacing="1" w:after="100" w:afterAutospacing="1"/>
      <w:jc w:val="left"/>
    </w:pPr>
    <w:rPr>
      <w:rFonts w:ascii="宋体" w:hAnsi="宋体"/>
      <w:kern w:val="0"/>
      <w:sz w:val="20"/>
      <w:szCs w:val="20"/>
    </w:rPr>
  </w:style>
  <w:style w:type="paragraph" w:customStyle="1" w:styleId="592">
    <w:name w:val="方案正文无缩进"/>
    <w:qFormat/>
    <w:uiPriority w:val="99"/>
    <w:pPr>
      <w:spacing w:line="360" w:lineRule="auto"/>
    </w:pPr>
    <w:rPr>
      <w:rFonts w:ascii="Times New Roman" w:hAnsi="Times New Roman" w:eastAsia="宋体" w:cs="Times New Roman"/>
      <w:kern w:val="2"/>
      <w:sz w:val="24"/>
      <w:szCs w:val="24"/>
      <w:lang w:val="en-US" w:eastAsia="zh-CN" w:bidi="ar-SA"/>
    </w:rPr>
  </w:style>
  <w:style w:type="paragraph" w:customStyle="1" w:styleId="593">
    <w:name w:val="Char Char Char1 Char2"/>
    <w:basedOn w:val="1"/>
    <w:qFormat/>
    <w:uiPriority w:val="99"/>
    <w:rPr>
      <w:szCs w:val="20"/>
    </w:rPr>
  </w:style>
  <w:style w:type="paragraph" w:customStyle="1" w:styleId="594">
    <w:name w:val="Char Char11 Char Char Char Char Char Char Char Char Char Char Char Char Char1"/>
    <w:basedOn w:val="1"/>
    <w:qFormat/>
    <w:uiPriority w:val="99"/>
    <w:pPr>
      <w:adjustRightInd/>
      <w:spacing w:line="360" w:lineRule="auto"/>
    </w:pPr>
    <w:rPr>
      <w:rFonts w:ascii="Arial" w:hAnsi="Arial" w:eastAsia="黑体" w:cs="Arial"/>
      <w:kern w:val="0"/>
      <w:szCs w:val="21"/>
    </w:rPr>
  </w:style>
  <w:style w:type="paragraph" w:customStyle="1" w:styleId="595">
    <w:name w:val="默认段落字体 Para Char"/>
    <w:basedOn w:val="1"/>
    <w:qFormat/>
    <w:uiPriority w:val="99"/>
    <w:rPr>
      <w:rFonts w:ascii="Tahoma" w:hAnsi="Tahoma"/>
      <w:sz w:val="24"/>
      <w:szCs w:val="20"/>
    </w:rPr>
  </w:style>
  <w:style w:type="paragraph" w:customStyle="1" w:styleId="596">
    <w:name w:val="标题五"/>
    <w:basedOn w:val="1"/>
    <w:qFormat/>
    <w:uiPriority w:val="99"/>
    <w:pPr>
      <w:adjustRightInd/>
      <w:spacing w:beforeLines="50" w:line="360" w:lineRule="auto"/>
    </w:pPr>
    <w:rPr>
      <w:b/>
      <w:sz w:val="24"/>
    </w:rPr>
  </w:style>
  <w:style w:type="paragraph" w:customStyle="1" w:styleId="597">
    <w:name w:val="Char Char1101"/>
    <w:basedOn w:val="1"/>
    <w:qFormat/>
    <w:uiPriority w:val="99"/>
    <w:pPr>
      <w:spacing w:line="360" w:lineRule="auto"/>
    </w:pPr>
    <w:rPr>
      <w:rFonts w:ascii="Tahoma" w:hAnsi="Tahoma"/>
      <w:sz w:val="24"/>
      <w:szCs w:val="20"/>
    </w:rPr>
  </w:style>
  <w:style w:type="paragraph" w:customStyle="1" w:styleId="598">
    <w:name w:val="Char Char Char Char Char Char Char Char1"/>
    <w:basedOn w:val="1"/>
    <w:qFormat/>
    <w:uiPriority w:val="99"/>
    <w:pPr>
      <w:tabs>
        <w:tab w:val="left" w:pos="360"/>
      </w:tabs>
    </w:pPr>
    <w:rPr>
      <w:sz w:val="24"/>
      <w:szCs w:val="20"/>
    </w:rPr>
  </w:style>
  <w:style w:type="paragraph" w:customStyle="1" w:styleId="599">
    <w:name w:val="Char Char Char 字元 字元"/>
    <w:basedOn w:val="1"/>
    <w:qFormat/>
    <w:uiPriority w:val="99"/>
    <w:pPr>
      <w:adjustRightInd/>
      <w:spacing w:line="360" w:lineRule="auto"/>
      <w:ind w:firstLine="200" w:firstLineChars="200"/>
    </w:pPr>
    <w:rPr>
      <w:szCs w:val="20"/>
    </w:rPr>
  </w:style>
  <w:style w:type="paragraph" w:customStyle="1" w:styleId="600">
    <w:name w:val="xl70"/>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1">
    <w:name w:val="Char Char Char Char Char Char Char"/>
    <w:basedOn w:val="1"/>
    <w:qFormat/>
    <w:uiPriority w:val="99"/>
    <w:rPr>
      <w:rFonts w:ascii="仿宋_GB2312" w:eastAsia="仿宋_GB2312"/>
      <w:b/>
      <w:sz w:val="32"/>
      <w:szCs w:val="32"/>
    </w:rPr>
  </w:style>
  <w:style w:type="paragraph" w:customStyle="1" w:styleId="602">
    <w:name w:val="文章附标题"/>
    <w:basedOn w:val="1"/>
    <w:qFormat/>
    <w:uiPriority w:val="99"/>
    <w:pPr>
      <w:autoSpaceDE w:val="0"/>
      <w:autoSpaceDN w:val="0"/>
      <w:spacing w:before="187" w:after="175" w:line="374" w:lineRule="atLeast"/>
      <w:ind w:firstLine="200" w:firstLineChars="200"/>
      <w:jc w:val="center"/>
    </w:pPr>
    <w:rPr>
      <w:color w:val="000000"/>
      <w:kern w:val="0"/>
      <w:sz w:val="36"/>
      <w:szCs w:val="36"/>
    </w:rPr>
  </w:style>
  <w:style w:type="paragraph" w:customStyle="1" w:styleId="603">
    <w:name w:val="a2"/>
    <w:basedOn w:val="1"/>
    <w:qFormat/>
    <w:uiPriority w:val="99"/>
    <w:pPr>
      <w:widowControl/>
      <w:adjustRightInd/>
      <w:spacing w:before="100" w:beforeAutospacing="1" w:after="100" w:afterAutospacing="1"/>
      <w:jc w:val="left"/>
    </w:pPr>
    <w:rPr>
      <w:rFonts w:ascii="宋体" w:hAnsi="宋体" w:cs="宋体"/>
      <w:kern w:val="0"/>
      <w:sz w:val="24"/>
    </w:rPr>
  </w:style>
  <w:style w:type="paragraph" w:customStyle="1" w:styleId="604">
    <w:name w:val="样式 标题 22h2L1 Heading 2H2sect 1.2H21sect 1.21H22sect 1.2..."/>
    <w:basedOn w:val="3"/>
    <w:next w:val="1"/>
    <w:qFormat/>
    <w:uiPriority w:val="99"/>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605">
    <w:name w:val="样式6"/>
    <w:basedOn w:val="34"/>
    <w:qFormat/>
    <w:uiPriority w:val="99"/>
    <w:pPr>
      <w:spacing w:line="460" w:lineRule="exact"/>
      <w:outlineLvl w:val="2"/>
    </w:pPr>
    <w:rPr>
      <w:rFonts w:ascii="仿宋_GB2312" w:hAnsi="宋体" w:eastAsia="仿宋_GB2312"/>
      <w:b/>
      <w:bCs/>
      <w:sz w:val="24"/>
      <w:szCs w:val="24"/>
    </w:rPr>
  </w:style>
  <w:style w:type="paragraph" w:customStyle="1" w:styleId="606">
    <w:name w:val="批注框文本 Char Char"/>
    <w:basedOn w:val="1"/>
    <w:qFormat/>
    <w:uiPriority w:val="99"/>
    <w:pPr>
      <w:adjustRightInd/>
    </w:pPr>
    <w:rPr>
      <w:sz w:val="18"/>
      <w:szCs w:val="20"/>
    </w:rPr>
  </w:style>
  <w:style w:type="paragraph" w:customStyle="1" w:styleId="607">
    <w:name w:val="封面华为技术"/>
    <w:basedOn w:val="1"/>
    <w:qFormat/>
    <w:uiPriority w:val="99"/>
    <w:pPr>
      <w:autoSpaceDE w:val="0"/>
      <w:autoSpaceDN w:val="0"/>
      <w:spacing w:line="360" w:lineRule="auto"/>
      <w:ind w:firstLine="200" w:firstLineChars="200"/>
      <w:jc w:val="center"/>
    </w:pPr>
    <w:rPr>
      <w:rFonts w:ascii="Arial" w:hAnsi="Arial" w:eastAsia="黑体"/>
      <w:kern w:val="0"/>
      <w:sz w:val="32"/>
      <w:szCs w:val="32"/>
    </w:rPr>
  </w:style>
  <w:style w:type="paragraph" w:customStyle="1" w:styleId="608">
    <w:name w:val="xl32"/>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09">
    <w:name w:val="Char Char11 Char Char Char Char Char Char Char Char Char Char Char Char Char"/>
    <w:basedOn w:val="1"/>
    <w:qFormat/>
    <w:uiPriority w:val="99"/>
    <w:pPr>
      <w:adjustRightInd/>
      <w:spacing w:line="360" w:lineRule="auto"/>
    </w:pPr>
    <w:rPr>
      <w:rFonts w:ascii="Arial" w:hAnsi="Arial" w:eastAsia="黑体"/>
      <w:kern w:val="0"/>
      <w:sz w:val="20"/>
      <w:szCs w:val="21"/>
    </w:rPr>
  </w:style>
  <w:style w:type="paragraph" w:customStyle="1" w:styleId="610">
    <w:name w:val="gjt_2"/>
    <w:next w:val="1"/>
    <w:qFormat/>
    <w:uiPriority w:val="99"/>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11">
    <w:name w:val="索引 11"/>
    <w:basedOn w:val="1"/>
    <w:next w:val="1"/>
    <w:qFormat/>
    <w:uiPriority w:val="99"/>
    <w:pPr>
      <w:adjustRightInd/>
      <w:spacing w:line="360" w:lineRule="auto"/>
    </w:pPr>
    <w:rPr>
      <w:rFonts w:ascii="仿宋_GB2312" w:eastAsia="仿宋_GB2312"/>
      <w:sz w:val="24"/>
      <w:szCs w:val="20"/>
    </w:rPr>
  </w:style>
  <w:style w:type="paragraph" w:customStyle="1" w:styleId="612">
    <w:name w:val="xl67"/>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13">
    <w:name w:val="样式"/>
    <w:basedOn w:val="1"/>
    <w:qFormat/>
    <w:uiPriority w:val="99"/>
    <w:pPr>
      <w:autoSpaceDE w:val="0"/>
      <w:autoSpaceDN w:val="0"/>
      <w:snapToGrid w:val="0"/>
      <w:spacing w:before="120" w:after="120" w:line="360" w:lineRule="auto"/>
    </w:pPr>
    <w:rPr>
      <w:rFonts w:ascii="宋体"/>
      <w:sz w:val="24"/>
      <w:szCs w:val="20"/>
    </w:rPr>
  </w:style>
  <w:style w:type="paragraph" w:customStyle="1" w:styleId="614">
    <w:name w:val="正文文字缩进项目"/>
    <w:basedOn w:val="26"/>
    <w:qFormat/>
    <w:uiPriority w:val="99"/>
    <w:pPr>
      <w:tabs>
        <w:tab w:val="left" w:pos="840"/>
      </w:tabs>
      <w:adjustRightInd/>
      <w:spacing w:after="120" w:line="240" w:lineRule="auto"/>
      <w:ind w:hanging="420" w:firstLineChars="0"/>
    </w:pPr>
    <w:rPr>
      <w:rFonts w:ascii="Tahoma" w:hAnsi="Tahoma"/>
      <w:sz w:val="22"/>
      <w:szCs w:val="20"/>
    </w:rPr>
  </w:style>
  <w:style w:type="paragraph" w:customStyle="1" w:styleId="615">
    <w:name w:val="文档正文"/>
    <w:basedOn w:val="1"/>
    <w:qFormat/>
    <w:uiPriority w:val="99"/>
    <w:pPr>
      <w:spacing w:line="480" w:lineRule="atLeast"/>
      <w:ind w:firstLine="567"/>
      <w:textAlignment w:val="baseline"/>
    </w:pPr>
    <w:rPr>
      <w:kern w:val="0"/>
      <w:sz w:val="24"/>
      <w:szCs w:val="20"/>
    </w:rPr>
  </w:style>
  <w:style w:type="paragraph" w:customStyle="1" w:styleId="616">
    <w:name w:val="正文文字表格居中"/>
    <w:basedOn w:val="1"/>
    <w:next w:val="58"/>
    <w:qFormat/>
    <w:uiPriority w:val="99"/>
    <w:pPr>
      <w:snapToGrid w:val="0"/>
      <w:spacing w:line="360" w:lineRule="auto"/>
    </w:pPr>
    <w:rPr>
      <w:rFonts w:ascii="宋体"/>
      <w:b/>
      <w:sz w:val="24"/>
      <w:szCs w:val="20"/>
    </w:rPr>
  </w:style>
  <w:style w:type="paragraph" w:customStyle="1" w:styleId="617">
    <w:name w:val="规划正文"/>
    <w:basedOn w:val="1"/>
    <w:qFormat/>
    <w:uiPriority w:val="99"/>
    <w:pPr>
      <w:adjustRightInd/>
      <w:spacing w:beforeLines="100" w:line="360" w:lineRule="auto"/>
      <w:jc w:val="left"/>
    </w:pPr>
    <w:rPr>
      <w:rFonts w:ascii="Arial" w:hAnsi="Arial" w:eastAsia="仿宋_GB2312"/>
      <w:bCs/>
      <w:sz w:val="28"/>
    </w:rPr>
  </w:style>
  <w:style w:type="paragraph" w:customStyle="1" w:styleId="618">
    <w:name w:val="小节"/>
    <w:basedOn w:val="4"/>
    <w:qFormat/>
    <w:uiPriority w:val="99"/>
    <w:pPr>
      <w:adjustRightInd/>
      <w:spacing w:before="200" w:after="200" w:line="560" w:lineRule="exact"/>
      <w:jc w:val="left"/>
    </w:pPr>
    <w:rPr>
      <w:rFonts w:ascii="宋体" w:hAnsi="宋体"/>
      <w:bCs w:val="0"/>
      <w:color w:val="000000"/>
      <w:spacing w:val="10"/>
      <w:kern w:val="24"/>
      <w:sz w:val="28"/>
    </w:rPr>
  </w:style>
  <w:style w:type="paragraph" w:customStyle="1" w:styleId="619">
    <w:name w:val="Plain Text1"/>
    <w:basedOn w:val="1"/>
    <w:qFormat/>
    <w:uiPriority w:val="99"/>
    <w:pPr>
      <w:adjustRightInd/>
    </w:pPr>
    <w:rPr>
      <w:rFonts w:ascii="宋体" w:hAnsi="Courier New"/>
    </w:rPr>
  </w:style>
  <w:style w:type="paragraph" w:customStyle="1" w:styleId="620">
    <w:name w:val="Char3"/>
    <w:basedOn w:val="1"/>
    <w:qFormat/>
    <w:uiPriority w:val="99"/>
    <w:pPr>
      <w:adjustRightInd/>
    </w:pPr>
    <w:rPr>
      <w:rFonts w:ascii="仿宋_GB2312" w:eastAsia="仿宋_GB2312"/>
      <w:b/>
      <w:sz w:val="32"/>
      <w:szCs w:val="32"/>
    </w:rPr>
  </w:style>
  <w:style w:type="paragraph" w:customStyle="1" w:styleId="621">
    <w:name w:val="xl28"/>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22">
    <w:name w:val="ÕýÎÄÊ¡ÁÐÐËõ½ø"/>
    <w:basedOn w:val="1"/>
    <w:qFormat/>
    <w:uiPriority w:val="99"/>
    <w:pPr>
      <w:widowControl/>
      <w:overflowPunct w:val="0"/>
      <w:autoSpaceDE w:val="0"/>
      <w:autoSpaceDN w:val="0"/>
      <w:spacing w:line="360" w:lineRule="auto"/>
      <w:ind w:left="1134"/>
      <w:textAlignment w:val="baseline"/>
    </w:pPr>
    <w:rPr>
      <w:kern w:val="0"/>
      <w:szCs w:val="20"/>
    </w:rPr>
  </w:style>
  <w:style w:type="paragraph" w:customStyle="1" w:styleId="623">
    <w:name w:val="标题2"/>
    <w:basedOn w:val="3"/>
    <w:next w:val="1"/>
    <w:qFormat/>
    <w:uiPriority w:val="99"/>
    <w:pPr>
      <w:tabs>
        <w:tab w:val="left" w:pos="578"/>
        <w:tab w:val="left" w:pos="900"/>
        <w:tab w:val="left" w:pos="1440"/>
      </w:tabs>
      <w:ind w:left="1440" w:hanging="360"/>
    </w:pPr>
    <w:rPr>
      <w:rFonts w:ascii="仿宋" w:eastAsia="仿宋" w:cs="宋体"/>
      <w:bCs w:val="0"/>
      <w:szCs w:val="28"/>
    </w:rPr>
  </w:style>
  <w:style w:type="paragraph" w:customStyle="1" w:styleId="624">
    <w:name w:val="List Paragraph1"/>
    <w:basedOn w:val="1"/>
    <w:qFormat/>
    <w:uiPriority w:val="99"/>
    <w:pPr>
      <w:spacing w:line="360" w:lineRule="auto"/>
      <w:ind w:firstLine="200" w:firstLineChars="200"/>
    </w:pPr>
    <w:rPr>
      <w:rFonts w:eastAsia="楷体_GB2312" w:cs="Lucida Sans"/>
      <w:sz w:val="24"/>
    </w:rPr>
  </w:style>
  <w:style w:type="paragraph" w:customStyle="1" w:styleId="625">
    <w:name w:val="样式 标题 3标题 3 Char第二层条h33Bold Headbh章标题1小标题level_3PIM 3..."/>
    <w:basedOn w:val="4"/>
    <w:qFormat/>
    <w:uiPriority w:val="99"/>
    <w:pPr>
      <w:snapToGrid w:val="0"/>
      <w:spacing w:before="0" w:after="0" w:line="360" w:lineRule="auto"/>
    </w:pPr>
    <w:rPr>
      <w:rFonts w:ascii="黑体" w:hAnsi="宋体" w:eastAsia="黑体" w:cs="宋体"/>
      <w:b w:val="0"/>
      <w:bCs w:val="0"/>
      <w:color w:val="000000"/>
      <w:kern w:val="0"/>
      <w:sz w:val="28"/>
      <w:szCs w:val="20"/>
    </w:rPr>
  </w:style>
  <w:style w:type="paragraph" w:customStyle="1" w:styleId="626">
    <w:name w:val="xl29"/>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27">
    <w:name w:val="样式 小四 首行缩进:  0.74 厘米 行距: 1.5 倍行距"/>
    <w:basedOn w:val="1"/>
    <w:qFormat/>
    <w:uiPriority w:val="99"/>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28">
    <w:name w:val="Char3 Char Char Char"/>
    <w:basedOn w:val="1"/>
    <w:qFormat/>
    <w:uiPriority w:val="99"/>
    <w:pPr>
      <w:widowControl/>
      <w:adjustRightInd/>
      <w:spacing w:after="160" w:line="240" w:lineRule="exact"/>
      <w:jc w:val="left"/>
    </w:pPr>
    <w:rPr>
      <w:szCs w:val="20"/>
    </w:rPr>
  </w:style>
  <w:style w:type="paragraph" w:customStyle="1" w:styleId="629">
    <w:name w:val="表格标题2"/>
    <w:basedOn w:val="630"/>
    <w:qFormat/>
    <w:uiPriority w:val="99"/>
    <w:rPr>
      <w:b/>
    </w:rPr>
  </w:style>
  <w:style w:type="paragraph" w:customStyle="1" w:styleId="630">
    <w:name w:val="表格内文"/>
    <w:basedOn w:val="1"/>
    <w:qFormat/>
    <w:uiPriority w:val="99"/>
    <w:pPr>
      <w:adjustRightInd/>
      <w:spacing w:line="360" w:lineRule="auto"/>
    </w:pPr>
    <w:rPr>
      <w:rFonts w:ascii="宋体" w:hAnsi="宋体" w:cs="宋体"/>
      <w:color w:val="000000"/>
      <w:szCs w:val="20"/>
    </w:rPr>
  </w:style>
  <w:style w:type="paragraph" w:customStyle="1" w:styleId="631">
    <w:name w:val="Char Char Char Char Char Char Char Char Char Char2"/>
    <w:basedOn w:val="1"/>
    <w:qFormat/>
    <w:uiPriority w:val="99"/>
    <w:rPr>
      <w:rFonts w:ascii="仿宋_GB2312" w:eastAsia="仿宋_GB2312"/>
      <w:b/>
      <w:sz w:val="32"/>
      <w:szCs w:val="32"/>
    </w:rPr>
  </w:style>
  <w:style w:type="paragraph" w:customStyle="1" w:styleId="632">
    <w:name w:val="正文，首行缩进:  2 字符"/>
    <w:qFormat/>
    <w:uiPriority w:val="99"/>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33">
    <w:name w:val="Char3 Char Char1"/>
    <w:basedOn w:val="1"/>
    <w:qFormat/>
    <w:uiPriority w:val="99"/>
    <w:pPr>
      <w:widowControl/>
      <w:adjustRightInd/>
      <w:spacing w:after="160" w:line="240" w:lineRule="exact"/>
      <w:jc w:val="left"/>
    </w:pPr>
    <w:rPr>
      <w:rFonts w:ascii="Arial" w:hAnsi="Arial" w:cs="Verdana"/>
      <w:b/>
      <w:kern w:val="0"/>
      <w:sz w:val="24"/>
      <w:szCs w:val="20"/>
      <w:lang w:eastAsia="en-US"/>
    </w:rPr>
  </w:style>
  <w:style w:type="paragraph" w:customStyle="1" w:styleId="634">
    <w:name w:val="Char Char11 Char Char Char Char Char Char Char Char Char11"/>
    <w:basedOn w:val="1"/>
    <w:qFormat/>
    <w:uiPriority w:val="99"/>
    <w:pPr>
      <w:spacing w:line="360" w:lineRule="auto"/>
    </w:pPr>
    <w:rPr>
      <w:szCs w:val="20"/>
    </w:rPr>
  </w:style>
  <w:style w:type="paragraph" w:customStyle="1" w:styleId="635">
    <w:name w:val="正文 大标"/>
    <w:basedOn w:val="1"/>
    <w:qFormat/>
    <w:uiPriority w:val="99"/>
    <w:pPr>
      <w:tabs>
        <w:tab w:val="left" w:pos="0"/>
      </w:tabs>
      <w:adjustRightInd/>
      <w:spacing w:line="300" w:lineRule="auto"/>
      <w:ind w:left="1021"/>
    </w:pPr>
    <w:rPr>
      <w:rFonts w:ascii="仿宋" w:hAnsi="Calibri" w:eastAsia="仿宋"/>
      <w:sz w:val="24"/>
      <w:szCs w:val="20"/>
    </w:rPr>
  </w:style>
  <w:style w:type="paragraph" w:customStyle="1" w:styleId="636">
    <w:name w:val="样式  + 首行缩进:  2 字符"/>
    <w:basedOn w:val="1"/>
    <w:qFormat/>
    <w:uiPriority w:val="99"/>
    <w:pPr>
      <w:adjustRightInd/>
      <w:spacing w:before="60" w:after="60" w:line="360" w:lineRule="auto"/>
      <w:ind w:firstLine="200" w:firstLineChars="200"/>
    </w:pPr>
    <w:rPr>
      <w:sz w:val="28"/>
      <w:szCs w:val="20"/>
    </w:rPr>
  </w:style>
  <w:style w:type="paragraph" w:customStyle="1" w:styleId="637">
    <w:name w:val="MM Topic 1"/>
    <w:basedOn w:val="2"/>
    <w:qFormat/>
    <w:uiPriority w:val="99"/>
    <w:pPr>
      <w:tabs>
        <w:tab w:val="left" w:pos="840"/>
      </w:tabs>
      <w:adjustRightInd/>
      <w:ind w:left="840" w:hanging="420"/>
    </w:pPr>
  </w:style>
  <w:style w:type="paragraph" w:customStyle="1" w:styleId="638">
    <w:name w:val="样式 标题 2标题2H2Heading 2 HiddenHeading 2 CCBSheading 22nd lev..."/>
    <w:basedOn w:val="3"/>
    <w:qFormat/>
    <w:uiPriority w:val="99"/>
    <w:pPr>
      <w:widowControl/>
      <w:spacing w:before="260" w:after="260" w:line="416" w:lineRule="auto"/>
      <w:ind w:left="0" w:firstLine="0"/>
    </w:pPr>
    <w:rPr>
      <w:rFonts w:ascii="Arial" w:hAnsi="Arial" w:eastAsia="黑体"/>
      <w:sz w:val="30"/>
      <w:szCs w:val="21"/>
    </w:rPr>
  </w:style>
  <w:style w:type="paragraph" w:customStyle="1" w:styleId="639">
    <w:name w:val="文本正文 Char"/>
    <w:basedOn w:val="1"/>
    <w:qFormat/>
    <w:uiPriority w:val="99"/>
    <w:pPr>
      <w:spacing w:line="360" w:lineRule="auto"/>
      <w:ind w:firstLine="200" w:firstLineChars="200"/>
    </w:pPr>
    <w:rPr>
      <w:kern w:val="0"/>
      <w:sz w:val="24"/>
      <w:szCs w:val="20"/>
    </w:rPr>
  </w:style>
  <w:style w:type="paragraph" w:customStyle="1" w:styleId="640">
    <w:name w:val="标书标题4"/>
    <w:basedOn w:val="5"/>
    <w:qFormat/>
    <w:uiPriority w:val="99"/>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41">
    <w:name w:val="插图题注"/>
    <w:next w:val="1"/>
    <w:qFormat/>
    <w:uiPriority w:val="99"/>
    <w:pPr>
      <w:tabs>
        <w:tab w:val="left" w:pos="3780"/>
      </w:tabs>
      <w:spacing w:afterLines="100"/>
      <w:ind w:left="1089" w:hanging="369"/>
      <w:jc w:val="center"/>
    </w:pPr>
    <w:rPr>
      <w:rFonts w:ascii="Arial" w:hAnsi="Arial" w:eastAsia="宋体" w:cs="Times New Roman"/>
      <w:sz w:val="18"/>
      <w:szCs w:val="18"/>
      <w:lang w:val="en-US" w:eastAsia="zh-CN" w:bidi="ar-SA"/>
    </w:rPr>
  </w:style>
  <w:style w:type="paragraph" w:customStyle="1" w:styleId="642">
    <w:name w:val="xl91"/>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43">
    <w:name w:val="表格项目符号 2"/>
    <w:basedOn w:val="30"/>
    <w:qFormat/>
    <w:uiPriority w:val="99"/>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44">
    <w:name w:val="EB_表格"/>
    <w:basedOn w:val="1"/>
    <w:qFormat/>
    <w:uiPriority w:val="99"/>
    <w:pPr>
      <w:adjustRightInd/>
      <w:spacing w:line="300" w:lineRule="auto"/>
      <w:jc w:val="center"/>
    </w:pPr>
  </w:style>
  <w:style w:type="paragraph" w:customStyle="1" w:styleId="645">
    <w:name w:val="_Style 6"/>
    <w:basedOn w:val="1"/>
    <w:qFormat/>
    <w:uiPriority w:val="99"/>
    <w:pPr>
      <w:adjustRightInd/>
      <w:ind w:firstLine="420" w:firstLineChars="200"/>
    </w:pPr>
    <w:rPr>
      <w:rFonts w:eastAsia="仿宋_GB2312"/>
      <w:sz w:val="28"/>
    </w:rPr>
  </w:style>
  <w:style w:type="paragraph" w:customStyle="1" w:styleId="646">
    <w:name w:val="zTableCellBody"/>
    <w:basedOn w:val="1"/>
    <w:qFormat/>
    <w:uiPriority w:val="99"/>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47">
    <w:name w:val="button"/>
    <w:basedOn w:val="1"/>
    <w:qFormat/>
    <w:uiPriority w:val="99"/>
    <w:pPr>
      <w:widowControl/>
      <w:spacing w:before="100" w:beforeAutospacing="1" w:after="100" w:afterAutospacing="1"/>
      <w:jc w:val="left"/>
    </w:pPr>
    <w:rPr>
      <w:rFonts w:ascii="Arial Unicode MS" w:hAnsi="Arial Unicode MS"/>
      <w:color w:val="000000"/>
      <w:kern w:val="0"/>
      <w:sz w:val="24"/>
    </w:rPr>
  </w:style>
  <w:style w:type="paragraph" w:customStyle="1" w:styleId="648">
    <w:name w:val="!大节"/>
    <w:basedOn w:val="3"/>
    <w:qFormat/>
    <w:uiPriority w:val="99"/>
    <w:pPr>
      <w:spacing w:before="260" w:after="260" w:line="415" w:lineRule="auto"/>
      <w:ind w:left="420" w:hanging="420"/>
    </w:pPr>
    <w:rPr>
      <w:rFonts w:ascii="Arial" w:hAnsi="Arial" w:eastAsia="微软雅黑"/>
      <w:lang w:val="en-US"/>
    </w:rPr>
  </w:style>
  <w:style w:type="paragraph" w:customStyle="1" w:styleId="649">
    <w:name w:val="正文文本 22"/>
    <w:basedOn w:val="1"/>
    <w:qFormat/>
    <w:uiPriority w:val="99"/>
    <w:pPr>
      <w:widowControl/>
      <w:overflowPunct w:val="0"/>
      <w:autoSpaceDE w:val="0"/>
      <w:autoSpaceDN w:val="0"/>
      <w:ind w:left="720" w:hanging="720"/>
      <w:textAlignment w:val="baseline"/>
    </w:pPr>
    <w:rPr>
      <w:kern w:val="0"/>
      <w:sz w:val="24"/>
      <w:szCs w:val="20"/>
      <w:lang w:val="en-GB"/>
    </w:rPr>
  </w:style>
  <w:style w:type="paragraph" w:customStyle="1" w:styleId="650">
    <w:name w:val="正文表标题"/>
    <w:next w:val="651"/>
    <w:qFormat/>
    <w:uiPriority w:val="99"/>
    <w:pPr>
      <w:tabs>
        <w:tab w:val="left" w:pos="840"/>
      </w:tabs>
      <w:ind w:left="840" w:hanging="420"/>
      <w:jc w:val="center"/>
    </w:pPr>
    <w:rPr>
      <w:rFonts w:ascii="黑体" w:hAnsi="Times New Roman" w:eastAsia="黑体" w:cs="Times New Roman"/>
      <w:sz w:val="21"/>
      <w:lang w:val="en-US" w:eastAsia="zh-CN" w:bidi="ar-SA"/>
    </w:rPr>
  </w:style>
  <w:style w:type="paragraph" w:customStyle="1" w:styleId="651">
    <w:name w:val="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52">
    <w:name w:val="Char Char Char Char Char Char"/>
    <w:basedOn w:val="1"/>
    <w:qFormat/>
    <w:uiPriority w:val="99"/>
    <w:pPr>
      <w:widowControl/>
      <w:spacing w:beforeLines="50" w:afterLines="50" w:line="240" w:lineRule="exact"/>
      <w:jc w:val="left"/>
    </w:pPr>
    <w:rPr>
      <w:rFonts w:ascii="Verdana" w:hAnsi="Verdana"/>
      <w:kern w:val="0"/>
      <w:sz w:val="20"/>
      <w:szCs w:val="20"/>
      <w:lang w:eastAsia="en-US"/>
    </w:rPr>
  </w:style>
  <w:style w:type="paragraph" w:customStyle="1" w:styleId="653">
    <w:name w:val="trademark"/>
    <w:qFormat/>
    <w:uiPriority w:val="99"/>
    <w:pPr>
      <w:spacing w:after="60"/>
    </w:pPr>
    <w:rPr>
      <w:rFonts w:ascii="Futura Bk" w:hAnsi="Futura Bk" w:eastAsia="宋体" w:cs="Times New Roman"/>
      <w:sz w:val="15"/>
      <w:lang w:val="en-US" w:eastAsia="en-US" w:bidi="ar-SA"/>
    </w:rPr>
  </w:style>
  <w:style w:type="paragraph" w:customStyle="1" w:styleId="654">
    <w:name w:val="Bullet with text 4"/>
    <w:basedOn w:val="1"/>
    <w:qFormat/>
    <w:uiPriority w:val="99"/>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55">
    <w:name w:val="Char Char1 Char Char Char Char Char Char1"/>
    <w:basedOn w:val="1"/>
    <w:qFormat/>
    <w:uiPriority w:val="99"/>
    <w:rPr>
      <w:rFonts w:ascii="仿宋_GB2312" w:eastAsia="仿宋_GB2312"/>
      <w:b/>
      <w:sz w:val="32"/>
      <w:szCs w:val="20"/>
    </w:rPr>
  </w:style>
  <w:style w:type="paragraph" w:customStyle="1" w:styleId="656">
    <w:name w:val="大汉方案正文"/>
    <w:basedOn w:val="1"/>
    <w:qFormat/>
    <w:uiPriority w:val="99"/>
    <w:pPr>
      <w:adjustRightInd/>
      <w:spacing w:line="360" w:lineRule="auto"/>
      <w:ind w:firstLine="200" w:firstLineChars="200"/>
    </w:pPr>
    <w:rPr>
      <w:rFonts w:ascii="Arial" w:hAnsi="Arial"/>
      <w:sz w:val="24"/>
      <w:szCs w:val="20"/>
    </w:rPr>
  </w:style>
  <w:style w:type="paragraph" w:customStyle="1" w:styleId="657">
    <w:name w:val="Char1 Char Char Char1"/>
    <w:basedOn w:val="1"/>
    <w:qFormat/>
    <w:uiPriority w:val="99"/>
    <w:pPr>
      <w:adjustRightInd/>
      <w:ind w:firstLine="200" w:firstLineChars="200"/>
    </w:pPr>
    <w:rPr>
      <w:rFonts w:ascii="Tahoma" w:hAnsi="Tahoma"/>
      <w:sz w:val="24"/>
      <w:szCs w:val="20"/>
    </w:rPr>
  </w:style>
  <w:style w:type="paragraph" w:customStyle="1" w:styleId="658">
    <w:name w:val="a1"/>
    <w:basedOn w:val="1"/>
    <w:qFormat/>
    <w:uiPriority w:val="99"/>
    <w:pPr>
      <w:widowControl/>
      <w:spacing w:line="300" w:lineRule="atLeast"/>
      <w:jc w:val="left"/>
    </w:pPr>
    <w:rPr>
      <w:rFonts w:ascii="宋体" w:hAnsi="宋体"/>
      <w:kern w:val="0"/>
      <w:sz w:val="18"/>
      <w:szCs w:val="20"/>
    </w:rPr>
  </w:style>
  <w:style w:type="paragraph" w:customStyle="1" w:styleId="659">
    <w:name w:val="样式7"/>
    <w:basedOn w:val="660"/>
    <w:next w:val="1"/>
    <w:qFormat/>
    <w:uiPriority w:val="99"/>
    <w:pPr>
      <w:spacing w:afterLines="50"/>
      <w:jc w:val="left"/>
      <w:outlineLvl w:val="3"/>
    </w:pPr>
    <w:rPr>
      <w:sz w:val="24"/>
      <w:szCs w:val="24"/>
    </w:rPr>
  </w:style>
  <w:style w:type="paragraph" w:customStyle="1" w:styleId="660">
    <w:name w:val="样式4"/>
    <w:basedOn w:val="1"/>
    <w:qFormat/>
    <w:uiPriority w:val="99"/>
    <w:pPr>
      <w:spacing w:line="360" w:lineRule="auto"/>
      <w:ind w:firstLine="420"/>
      <w:jc w:val="center"/>
      <w:outlineLvl w:val="2"/>
    </w:pPr>
    <w:rPr>
      <w:rFonts w:ascii="仿宋_GB2312" w:hAnsi="仿宋" w:eastAsia="仿宋_GB2312"/>
      <w:b/>
      <w:sz w:val="32"/>
      <w:szCs w:val="32"/>
    </w:rPr>
  </w:style>
  <w:style w:type="paragraph" w:customStyle="1" w:styleId="661">
    <w:name w:val="Char Char11 Char Char Char Char Char Char Char Char Char Char Char Char Char Char Char Char Char"/>
    <w:basedOn w:val="1"/>
    <w:qFormat/>
    <w:uiPriority w:val="99"/>
    <w:pPr>
      <w:adjustRightInd/>
      <w:spacing w:line="360" w:lineRule="auto"/>
    </w:pPr>
    <w:rPr>
      <w:rFonts w:ascii="Arial" w:hAnsi="Arial" w:eastAsia="黑体" w:cs="Arial"/>
      <w:kern w:val="0"/>
      <w:szCs w:val="21"/>
    </w:rPr>
  </w:style>
  <w:style w:type="paragraph" w:customStyle="1" w:styleId="662">
    <w:name w:val="main"/>
    <w:basedOn w:val="1"/>
    <w:qFormat/>
    <w:uiPriority w:val="99"/>
    <w:pPr>
      <w:widowControl/>
      <w:adjustRightInd/>
      <w:spacing w:before="100" w:beforeAutospacing="1" w:after="100" w:afterAutospacing="1" w:line="320" w:lineRule="atLeast"/>
      <w:ind w:firstLine="200" w:firstLineChars="200"/>
      <w:jc w:val="left"/>
    </w:pPr>
    <w:rPr>
      <w:rFonts w:ascii="微软雅黑" w:eastAsia="微软雅黑" w:cs="Arial Unicode MS"/>
      <w:kern w:val="0"/>
      <w:sz w:val="23"/>
      <w:szCs w:val="23"/>
    </w:rPr>
  </w:style>
  <w:style w:type="paragraph" w:customStyle="1" w:styleId="663">
    <w:name w:val="样式 样式2 + 左侧:  1 字符 右侧:  1 字符"/>
    <w:basedOn w:val="473"/>
    <w:qFormat/>
    <w:uiPriority w:val="99"/>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64">
    <w:name w:val="Char2 Char Char2"/>
    <w:basedOn w:val="1"/>
    <w:qFormat/>
    <w:uiPriority w:val="99"/>
    <w:pPr>
      <w:adjustRightInd/>
    </w:pPr>
    <w:rPr>
      <w:rFonts w:ascii="Tahoma" w:hAnsi="Tahoma"/>
      <w:sz w:val="24"/>
      <w:szCs w:val="20"/>
    </w:rPr>
  </w:style>
  <w:style w:type="paragraph" w:customStyle="1" w:styleId="665">
    <w:name w:val="Char1 Char Char Char"/>
    <w:basedOn w:val="1"/>
    <w:qFormat/>
    <w:uiPriority w:val="99"/>
    <w:pPr>
      <w:widowControl/>
      <w:snapToGrid w:val="0"/>
      <w:spacing w:before="120" w:after="160" w:line="360" w:lineRule="auto"/>
      <w:ind w:right="-360"/>
      <w:jc w:val="left"/>
    </w:pPr>
    <w:rPr>
      <w:rFonts w:ascii="Arial" w:hAnsi="Arial"/>
      <w:kern w:val="0"/>
      <w:sz w:val="24"/>
      <w:lang w:eastAsia="en-US"/>
    </w:rPr>
  </w:style>
  <w:style w:type="paragraph" w:customStyle="1" w:styleId="666">
    <w:name w:val="三级条标题"/>
    <w:basedOn w:val="667"/>
    <w:next w:val="651"/>
    <w:qFormat/>
    <w:uiPriority w:val="99"/>
    <w:pPr>
      <w:tabs>
        <w:tab w:val="left" w:pos="1260"/>
        <w:tab w:val="left" w:pos="1680"/>
        <w:tab w:val="left" w:pos="2100"/>
        <w:tab w:val="left" w:pos="2520"/>
      </w:tabs>
      <w:ind w:left="2520"/>
      <w:outlineLvl w:val="4"/>
    </w:pPr>
  </w:style>
  <w:style w:type="paragraph" w:customStyle="1" w:styleId="667">
    <w:name w:val="二级条标题"/>
    <w:basedOn w:val="668"/>
    <w:next w:val="651"/>
    <w:qFormat/>
    <w:uiPriority w:val="99"/>
    <w:pPr>
      <w:tabs>
        <w:tab w:val="left" w:pos="1260"/>
        <w:tab w:val="left" w:pos="1680"/>
        <w:tab w:val="left" w:pos="2100"/>
      </w:tabs>
      <w:ind w:left="0"/>
      <w:outlineLvl w:val="3"/>
    </w:pPr>
  </w:style>
  <w:style w:type="paragraph" w:customStyle="1" w:styleId="668">
    <w:name w:val="一级条标题"/>
    <w:basedOn w:val="669"/>
    <w:next w:val="651"/>
    <w:qFormat/>
    <w:uiPriority w:val="99"/>
    <w:pPr>
      <w:tabs>
        <w:tab w:val="left" w:pos="1260"/>
        <w:tab w:val="left" w:pos="1680"/>
      </w:tabs>
      <w:spacing w:beforeLines="0" w:afterLines="0"/>
      <w:ind w:left="1680"/>
      <w:outlineLvl w:val="2"/>
    </w:pPr>
  </w:style>
  <w:style w:type="paragraph" w:customStyle="1" w:styleId="669">
    <w:name w:val="章标题"/>
    <w:next w:val="651"/>
    <w:qFormat/>
    <w:uiPriority w:val="99"/>
    <w:pPr>
      <w:tabs>
        <w:tab w:val="left" w:pos="1260"/>
      </w:tabs>
      <w:spacing w:beforeLines="50" w:afterLines="50"/>
      <w:ind w:left="1260" w:hanging="420"/>
      <w:jc w:val="both"/>
      <w:outlineLvl w:val="1"/>
    </w:pPr>
    <w:rPr>
      <w:rFonts w:ascii="黑体" w:hAnsi="Times New Roman" w:eastAsia="黑体" w:cs="Times New Roman"/>
      <w:sz w:val="21"/>
      <w:lang w:val="en-US" w:eastAsia="zh-CN" w:bidi="ar-SA"/>
    </w:rPr>
  </w:style>
  <w:style w:type="paragraph" w:customStyle="1" w:styleId="670">
    <w:name w:val="数字标题2"/>
    <w:basedOn w:val="3"/>
    <w:next w:val="1"/>
    <w:qFormat/>
    <w:uiPriority w:val="99"/>
    <w:pPr>
      <w:tabs>
        <w:tab w:val="left" w:pos="480"/>
      </w:tabs>
      <w:ind w:left="480" w:hanging="480"/>
    </w:pPr>
    <w:rPr>
      <w:rFonts w:ascii="Times New Roman" w:eastAsia="宋体"/>
      <w:i/>
      <w:sz w:val="36"/>
      <w:szCs w:val="36"/>
      <w:lang w:val="en-US"/>
    </w:rPr>
  </w:style>
  <w:style w:type="paragraph" w:customStyle="1" w:styleId="671">
    <w:name w:val="tabletext"/>
    <w:basedOn w:val="1"/>
    <w:qFormat/>
    <w:uiPriority w:val="99"/>
    <w:pPr>
      <w:widowControl/>
      <w:spacing w:before="100" w:beforeAutospacing="1" w:after="100" w:afterAutospacing="1"/>
      <w:jc w:val="left"/>
    </w:pPr>
    <w:rPr>
      <w:rFonts w:ascii="宋体" w:hAnsi="宋体" w:cs="宋体"/>
      <w:kern w:val="0"/>
      <w:sz w:val="24"/>
    </w:rPr>
  </w:style>
  <w:style w:type="paragraph" w:customStyle="1" w:styleId="672">
    <w:name w:val="样式 标题 1Level 1 HeadPIM 1Section Headh1l11Heading 0Datash..."/>
    <w:basedOn w:val="2"/>
    <w:qFormat/>
    <w:uiPriority w:val="99"/>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rPr>
  </w:style>
  <w:style w:type="paragraph" w:customStyle="1" w:styleId="673">
    <w:name w:val="xl26"/>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74">
    <w:name w:val="样式 标题 1章节第一层h1H"/>
    <w:basedOn w:val="2"/>
    <w:qFormat/>
    <w:uiPriority w:val="99"/>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75">
    <w:name w:val="xl30"/>
    <w:basedOn w:val="1"/>
    <w:qFormat/>
    <w:uiPriority w:val="99"/>
    <w:pPr>
      <w:widowControl/>
      <w:pBdr>
        <w:left w:val="single" w:color="auto" w:sz="4" w:space="0"/>
        <w:right w:val="single" w:color="auto" w:sz="4" w:space="0"/>
      </w:pBdr>
      <w:adjustRightInd/>
      <w:spacing w:before="100" w:beforeAutospacing="1" w:after="100" w:afterAutospacing="1"/>
      <w:jc w:val="center"/>
    </w:pPr>
    <w:rPr>
      <w:kern w:val="0"/>
      <w:szCs w:val="21"/>
    </w:rPr>
  </w:style>
  <w:style w:type="paragraph" w:customStyle="1" w:styleId="676">
    <w:name w:val="正文 项目2"/>
    <w:basedOn w:val="677"/>
    <w:qFormat/>
    <w:uiPriority w:val="99"/>
    <w:pPr>
      <w:tabs>
        <w:tab w:val="left" w:pos="840"/>
      </w:tabs>
      <w:spacing w:after="0"/>
      <w:ind w:left="900"/>
    </w:pPr>
  </w:style>
  <w:style w:type="paragraph" w:customStyle="1" w:styleId="677">
    <w:name w:val="正文 项目"/>
    <w:basedOn w:val="1"/>
    <w:qFormat/>
    <w:uiPriority w:val="99"/>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78">
    <w:name w:val="Body Text 2*"/>
    <w:basedOn w:val="1"/>
    <w:qFormat/>
    <w:uiPriority w:val="99"/>
    <w:pPr>
      <w:widowControl/>
      <w:adjustRightInd/>
      <w:ind w:left="720" w:hanging="720"/>
    </w:pPr>
    <w:rPr>
      <w:color w:val="000000"/>
      <w:kern w:val="0"/>
      <w:sz w:val="24"/>
      <w:szCs w:val="20"/>
      <w:lang w:val="en-GB"/>
    </w:rPr>
  </w:style>
  <w:style w:type="paragraph" w:customStyle="1" w:styleId="679">
    <w:name w:val="表1"/>
    <w:basedOn w:val="1"/>
    <w:qFormat/>
    <w:uiPriority w:val="99"/>
    <w:pPr>
      <w:tabs>
        <w:tab w:val="left" w:pos="703"/>
      </w:tabs>
      <w:adjustRightInd/>
      <w:spacing w:line="360" w:lineRule="auto"/>
      <w:ind w:left="703"/>
      <w:jc w:val="center"/>
    </w:pPr>
  </w:style>
  <w:style w:type="paragraph" w:customStyle="1" w:styleId="680">
    <w:name w:val="_Style 27"/>
    <w:qFormat/>
    <w:uiPriority w:val="99"/>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81">
    <w:name w:val="样式 样式 标题 4 + 非加粗 + (中文) 黑体 段前: 0 磅 段后: 0 磅 行距: 固定值 22 磅"/>
    <w:basedOn w:val="1"/>
    <w:qFormat/>
    <w:uiPriority w:val="99"/>
    <w:pPr>
      <w:keepNext/>
      <w:keepLines/>
      <w:adjustRightInd/>
      <w:spacing w:beforeLines="50" w:afterLines="50" w:line="500" w:lineRule="exact"/>
      <w:outlineLvl w:val="3"/>
    </w:pPr>
    <w:rPr>
      <w:rFonts w:ascii="Arial" w:hAnsi="Arial"/>
      <w:b/>
      <w:bCs/>
      <w:sz w:val="24"/>
    </w:rPr>
  </w:style>
  <w:style w:type="paragraph" w:customStyle="1" w:styleId="682">
    <w:name w:val="章正文"/>
    <w:basedOn w:val="1"/>
    <w:qFormat/>
    <w:uiPriority w:val="99"/>
    <w:pPr>
      <w:adjustRightInd/>
      <w:spacing w:beforeLines="50" w:after="120" w:line="300" w:lineRule="auto"/>
      <w:ind w:firstLine="480" w:firstLineChars="200"/>
    </w:pPr>
    <w:rPr>
      <w:rFonts w:ascii="Helvetica" w:hAnsi="Helvetica"/>
      <w:kern w:val="0"/>
      <w:sz w:val="24"/>
    </w:rPr>
  </w:style>
  <w:style w:type="paragraph" w:customStyle="1" w:styleId="683">
    <w:name w:val="2级标题"/>
    <w:basedOn w:val="684"/>
    <w:qFormat/>
    <w:uiPriority w:val="99"/>
    <w:pPr>
      <w:jc w:val="left"/>
      <w:outlineLvl w:val="1"/>
    </w:pPr>
    <w:rPr>
      <w:rFonts w:ascii="Times New Roman" w:hAnsi="Times New Roman" w:eastAsia="仿宋"/>
      <w:sz w:val="30"/>
    </w:rPr>
  </w:style>
  <w:style w:type="paragraph" w:customStyle="1" w:styleId="684">
    <w:name w:val="1级标题"/>
    <w:basedOn w:val="1"/>
    <w:qFormat/>
    <w:uiPriority w:val="99"/>
    <w:pPr>
      <w:adjustRightInd/>
      <w:spacing w:beforeLines="10" w:afterLines="10" w:line="360" w:lineRule="auto"/>
      <w:jc w:val="center"/>
      <w:outlineLvl w:val="0"/>
    </w:pPr>
    <w:rPr>
      <w:rFonts w:ascii="Calibri" w:hAnsi="Calibri"/>
      <w:b/>
      <w:sz w:val="44"/>
      <w:szCs w:val="22"/>
    </w:rPr>
  </w:style>
  <w:style w:type="paragraph" w:customStyle="1" w:styleId="685">
    <w:name w:val="正文 New New New New"/>
    <w:qFormat/>
    <w:uiPriority w:val="99"/>
    <w:pPr>
      <w:widowControl w:val="0"/>
      <w:jc w:val="both"/>
    </w:pPr>
    <w:rPr>
      <w:rFonts w:ascii="Times New Roman" w:hAnsi="Times New Roman" w:eastAsia="宋体" w:cs="Times New Roman"/>
      <w:color w:val="000000"/>
      <w:szCs w:val="24"/>
      <w:lang w:val="en-US" w:eastAsia="zh-CN" w:bidi="ar-SA"/>
    </w:rPr>
  </w:style>
  <w:style w:type="paragraph" w:customStyle="1" w:styleId="686">
    <w:name w:val="样式 微软雅黑 行距: 1.5 倍行距"/>
    <w:basedOn w:val="1"/>
    <w:qFormat/>
    <w:uiPriority w:val="99"/>
    <w:pPr>
      <w:adjustRightInd/>
      <w:spacing w:line="360" w:lineRule="auto"/>
      <w:ind w:firstLine="480" w:firstLineChars="200"/>
    </w:pPr>
    <w:rPr>
      <w:rFonts w:ascii="微软雅黑" w:hAnsi="宋体" w:eastAsia="微软雅黑" w:cs="宋体"/>
      <w:sz w:val="24"/>
      <w:szCs w:val="20"/>
    </w:rPr>
  </w:style>
  <w:style w:type="paragraph" w:customStyle="1" w:styleId="687">
    <w:name w:val="xl37"/>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88">
    <w:name w:val="xl33"/>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89">
    <w:name w:val="bullet"/>
    <w:basedOn w:val="1"/>
    <w:qFormat/>
    <w:uiPriority w:val="99"/>
    <w:pPr>
      <w:tabs>
        <w:tab w:val="left" w:pos="840"/>
      </w:tabs>
      <w:adjustRightInd/>
      <w:ind w:left="840" w:hanging="420"/>
    </w:pPr>
  </w:style>
  <w:style w:type="paragraph" w:customStyle="1" w:styleId="690">
    <w:name w:val="f9a style88 f9a"/>
    <w:basedOn w:val="1"/>
    <w:qFormat/>
    <w:uiPriority w:val="99"/>
    <w:pPr>
      <w:widowControl/>
      <w:spacing w:before="100" w:beforeAutospacing="1" w:after="100" w:afterAutospacing="1" w:line="276" w:lineRule="auto"/>
      <w:jc w:val="left"/>
    </w:pPr>
    <w:rPr>
      <w:rFonts w:ascii="宋体" w:hAnsi="宋体"/>
      <w:kern w:val="0"/>
      <w:sz w:val="24"/>
      <w:szCs w:val="20"/>
    </w:rPr>
  </w:style>
  <w:style w:type="paragraph" w:customStyle="1" w:styleId="691">
    <w:name w:val="普通正文"/>
    <w:basedOn w:val="1"/>
    <w:qFormat/>
    <w:uiPriority w:val="99"/>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92">
    <w:name w:val="说明"/>
    <w:basedOn w:val="1"/>
    <w:qFormat/>
    <w:uiPriority w:val="99"/>
    <w:pPr>
      <w:autoSpaceDE w:val="0"/>
      <w:autoSpaceDN w:val="0"/>
      <w:spacing w:line="440" w:lineRule="exact"/>
      <w:ind w:firstLine="200" w:firstLineChars="200"/>
    </w:pPr>
    <w:rPr>
      <w:rFonts w:ascii="宋体"/>
      <w:b/>
      <w:bCs/>
      <w:i/>
      <w:iCs/>
      <w:color w:val="0000FF"/>
      <w:kern w:val="0"/>
      <w:sz w:val="24"/>
    </w:rPr>
  </w:style>
  <w:style w:type="paragraph" w:customStyle="1" w:styleId="693">
    <w:name w:val="xl55"/>
    <w:basedOn w:val="1"/>
    <w:qFormat/>
    <w:uiPriority w:val="99"/>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94">
    <w:name w:val="Preformatted Text"/>
    <w:basedOn w:val="1"/>
    <w:qFormat/>
    <w:uiPriority w:val="99"/>
    <w:pPr>
      <w:suppressAutoHyphens/>
      <w:adjustRightInd/>
      <w:ind w:firstLine="200" w:firstLineChars="200"/>
    </w:pPr>
    <w:rPr>
      <w:rFonts w:ascii="Cumberland" w:hAnsi="Cumberland"/>
      <w:kern w:val="1"/>
      <w:sz w:val="20"/>
      <w:szCs w:val="20"/>
      <w:lang w:eastAsia="ar-SA"/>
    </w:rPr>
  </w:style>
  <w:style w:type="paragraph" w:customStyle="1" w:styleId="695">
    <w:name w:val="xl25"/>
    <w:basedOn w:val="1"/>
    <w:qFormat/>
    <w:uiPriority w:val="99"/>
    <w:pPr>
      <w:widowControl/>
      <w:spacing w:before="100" w:beforeAutospacing="1" w:after="100" w:afterAutospacing="1"/>
      <w:jc w:val="center"/>
      <w:textAlignment w:val="center"/>
    </w:pPr>
    <w:rPr>
      <w:rFonts w:ascii="楷体_GB2312" w:hAnsi="宋体" w:eastAsia="楷体_GB2312"/>
      <w:kern w:val="0"/>
      <w:sz w:val="24"/>
    </w:rPr>
  </w:style>
  <w:style w:type="paragraph" w:customStyle="1" w:styleId="696">
    <w:name w:val="xl73"/>
    <w:basedOn w:val="1"/>
    <w:qFormat/>
    <w:uiPriority w:val="99"/>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97">
    <w:name w:val="MM Topic 4"/>
    <w:basedOn w:val="5"/>
    <w:qFormat/>
    <w:uiPriority w:val="99"/>
    <w:pPr>
      <w:tabs>
        <w:tab w:val="left" w:pos="2100"/>
      </w:tabs>
      <w:adjustRightInd/>
      <w:ind w:left="2100" w:hanging="420"/>
    </w:pPr>
    <w:rPr>
      <w:lang w:val="en-US"/>
    </w:rPr>
  </w:style>
  <w:style w:type="paragraph" w:customStyle="1" w:styleId="698">
    <w:name w:val="Char11"/>
    <w:basedOn w:val="1"/>
    <w:qFormat/>
    <w:uiPriority w:val="99"/>
    <w:pPr>
      <w:tabs>
        <w:tab w:val="left" w:pos="432"/>
      </w:tabs>
      <w:adjustRightInd/>
      <w:spacing w:beforeLines="50" w:afterLines="50"/>
      <w:ind w:left="432" w:hanging="432" w:firstLineChars="200"/>
    </w:pPr>
    <w:rPr>
      <w:sz w:val="24"/>
    </w:rPr>
  </w:style>
  <w:style w:type="paragraph" w:customStyle="1" w:styleId="699">
    <w:name w:val="gjt_正文"/>
    <w:qFormat/>
    <w:uiPriority w:val="99"/>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700">
    <w:name w:val="Char Char11 Char Char Char Char Char Char Char Char Char1"/>
    <w:basedOn w:val="1"/>
    <w:qFormat/>
    <w:uiPriority w:val="99"/>
    <w:pPr>
      <w:spacing w:line="360" w:lineRule="auto"/>
    </w:pPr>
    <w:rPr>
      <w:szCs w:val="20"/>
    </w:rPr>
  </w:style>
  <w:style w:type="paragraph" w:customStyle="1" w:styleId="701">
    <w:name w:val="金宏发行正文 Char"/>
    <w:basedOn w:val="1"/>
    <w:qFormat/>
    <w:uiPriority w:val="99"/>
    <w:pPr>
      <w:adjustRightInd/>
      <w:spacing w:line="500" w:lineRule="exact"/>
      <w:ind w:firstLine="560" w:firstLineChars="200"/>
    </w:pPr>
    <w:rPr>
      <w:rFonts w:eastAsia="仿宋_GB2312"/>
      <w:sz w:val="28"/>
      <w:szCs w:val="20"/>
    </w:rPr>
  </w:style>
  <w:style w:type="paragraph" w:customStyle="1" w:styleId="702">
    <w:name w:val="批注框文本1"/>
    <w:basedOn w:val="1"/>
    <w:qFormat/>
    <w:uiPriority w:val="99"/>
    <w:pPr>
      <w:autoSpaceDE w:val="0"/>
      <w:autoSpaceDN w:val="0"/>
      <w:spacing w:line="351" w:lineRule="atLeast"/>
      <w:ind w:firstLine="419" w:firstLineChars="200"/>
    </w:pPr>
    <w:rPr>
      <w:color w:val="000000"/>
      <w:kern w:val="0"/>
      <w:sz w:val="18"/>
      <w:szCs w:val="18"/>
    </w:rPr>
  </w:style>
  <w:style w:type="paragraph" w:customStyle="1" w:styleId="703">
    <w:name w:val="body text bold"/>
    <w:basedOn w:val="23"/>
    <w:qFormat/>
    <w:uiPriority w:val="99"/>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704">
    <w:name w:val="部分1"/>
    <w:basedOn w:val="1"/>
    <w:qFormat/>
    <w:uiPriority w:val="99"/>
    <w:pPr>
      <w:keepNext/>
      <w:pageBreakBefore/>
      <w:tabs>
        <w:tab w:val="left" w:pos="720"/>
      </w:tabs>
      <w:spacing w:line="360" w:lineRule="auto"/>
      <w:jc w:val="center"/>
      <w:outlineLvl w:val="0"/>
    </w:pPr>
    <w:rPr>
      <w:rFonts w:eastAsia="黑体"/>
      <w:b/>
      <w:kern w:val="44"/>
      <w:sz w:val="36"/>
      <w:szCs w:val="20"/>
    </w:rPr>
  </w:style>
  <w:style w:type="paragraph" w:customStyle="1" w:styleId="705">
    <w:name w:val="xl69"/>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706">
    <w:name w:val="正文文字格式"/>
    <w:basedOn w:val="1"/>
    <w:qFormat/>
    <w:uiPriority w:val="99"/>
    <w:pPr>
      <w:adjustRightInd/>
      <w:spacing w:line="460" w:lineRule="exact"/>
      <w:ind w:firstLine="505"/>
      <w:jc w:val="left"/>
    </w:pPr>
    <w:rPr>
      <w:rFonts w:ascii="宋体"/>
      <w:kern w:val="24"/>
      <w:sz w:val="24"/>
      <w:szCs w:val="20"/>
    </w:rPr>
  </w:style>
  <w:style w:type="paragraph" w:customStyle="1" w:styleId="707">
    <w:name w:val="xl31"/>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708">
    <w:name w:val="xl40"/>
    <w:basedOn w:val="1"/>
    <w:qFormat/>
    <w:uiPriority w:val="99"/>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09">
    <w:name w:val="style25"/>
    <w:basedOn w:val="1"/>
    <w:qFormat/>
    <w:uiPriority w:val="99"/>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10">
    <w:name w:val="单元格居中"/>
    <w:basedOn w:val="1"/>
    <w:qFormat/>
    <w:uiPriority w:val="99"/>
    <w:pPr>
      <w:adjustRightInd/>
      <w:spacing w:line="360" w:lineRule="auto"/>
      <w:jc w:val="center"/>
    </w:pPr>
    <w:rPr>
      <w:sz w:val="24"/>
    </w:rPr>
  </w:style>
  <w:style w:type="paragraph" w:customStyle="1" w:styleId="711">
    <w:name w:val="正文3"/>
    <w:basedOn w:val="1"/>
    <w:qFormat/>
    <w:uiPriority w:val="99"/>
    <w:pPr>
      <w:adjustRightInd/>
      <w:spacing w:beforeLines="50" w:afterLines="50" w:line="360" w:lineRule="auto"/>
      <w:outlineLvl w:val="8"/>
    </w:pPr>
    <w:rPr>
      <w:rFonts w:ascii="Segoe UI" w:hAnsi="宋体" w:eastAsia="楷体_GB2312" w:cs="Latha"/>
      <w:sz w:val="24"/>
      <w:szCs w:val="21"/>
    </w:rPr>
  </w:style>
  <w:style w:type="paragraph" w:customStyle="1" w:styleId="712">
    <w:name w:val="Char Char Char Char Char Char Char1"/>
    <w:basedOn w:val="1"/>
    <w:qFormat/>
    <w:uiPriority w:val="99"/>
    <w:rPr>
      <w:rFonts w:ascii="仿宋_GB2312" w:eastAsia="仿宋_GB2312"/>
      <w:b/>
      <w:sz w:val="32"/>
      <w:szCs w:val="32"/>
    </w:rPr>
  </w:style>
  <w:style w:type="paragraph" w:customStyle="1" w:styleId="713">
    <w:name w:val="正文缩进1"/>
    <w:basedOn w:val="1"/>
    <w:next w:val="26"/>
    <w:qFormat/>
    <w:uiPriority w:val="99"/>
    <w:pPr>
      <w:autoSpaceDE w:val="0"/>
      <w:autoSpaceDN w:val="0"/>
      <w:snapToGrid w:val="0"/>
      <w:spacing w:after="120" w:line="360" w:lineRule="auto"/>
      <w:ind w:left="420" w:leftChars="200" w:firstLine="480" w:firstLineChars="200"/>
    </w:pPr>
    <w:rPr>
      <w:sz w:val="24"/>
      <w:szCs w:val="21"/>
    </w:rPr>
  </w:style>
  <w:style w:type="paragraph" w:customStyle="1" w:styleId="714">
    <w:name w:val="Ñ¡¡¡¡ì¬´"/>
    <w:qFormat/>
    <w:uiPriority w:val="99"/>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15">
    <w:name w:val="Char3 Char Char Char11"/>
    <w:basedOn w:val="1"/>
    <w:qFormat/>
    <w:uiPriority w:val="99"/>
    <w:pPr>
      <w:widowControl/>
      <w:adjustRightInd/>
      <w:spacing w:after="160" w:line="240" w:lineRule="exact"/>
      <w:jc w:val="left"/>
    </w:pPr>
    <w:rPr>
      <w:szCs w:val="20"/>
    </w:rPr>
  </w:style>
  <w:style w:type="paragraph" w:customStyle="1" w:styleId="716">
    <w:name w:val="Char Char1121"/>
    <w:basedOn w:val="1"/>
    <w:qFormat/>
    <w:uiPriority w:val="99"/>
    <w:pPr>
      <w:spacing w:line="360" w:lineRule="auto"/>
    </w:pPr>
    <w:rPr>
      <w:szCs w:val="20"/>
    </w:rPr>
  </w:style>
  <w:style w:type="paragraph" w:customStyle="1" w:styleId="717">
    <w:name w:val="小项目标题"/>
    <w:basedOn w:val="1"/>
    <w:qFormat/>
    <w:uiPriority w:val="99"/>
    <w:pPr>
      <w:adjustRightInd/>
      <w:spacing w:before="100" w:beforeAutospacing="1" w:after="100" w:afterAutospacing="1" w:line="360" w:lineRule="auto"/>
      <w:ind w:left="480" w:leftChars="200" w:firstLine="200" w:firstLineChars="200"/>
      <w:jc w:val="left"/>
    </w:pPr>
    <w:rPr>
      <w:sz w:val="24"/>
    </w:rPr>
  </w:style>
  <w:style w:type="paragraph" w:customStyle="1" w:styleId="718">
    <w:name w:val="gjt_4"/>
    <w:next w:val="1"/>
    <w:qFormat/>
    <w:uiPriority w:val="99"/>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19">
    <w:name w:val="Normal0"/>
    <w:qFormat/>
    <w:uiPriority w:val="99"/>
    <w:rPr>
      <w:rFonts w:ascii="Times New Roman" w:hAnsi="Times New Roman" w:eastAsia="宋体" w:cs="Times New Roman"/>
      <w:lang w:val="en-US" w:eastAsia="en-US" w:bidi="ar-SA"/>
    </w:rPr>
  </w:style>
  <w:style w:type="paragraph" w:customStyle="1" w:styleId="720">
    <w:name w:val="带编号样式"/>
    <w:basedOn w:val="639"/>
    <w:qFormat/>
    <w:uiPriority w:val="99"/>
    <w:pPr>
      <w:tabs>
        <w:tab w:val="left" w:pos="840"/>
      </w:tabs>
      <w:snapToGrid w:val="0"/>
      <w:ind w:left="840" w:hanging="420" w:firstLineChars="0"/>
    </w:pPr>
    <w:rPr>
      <w:rFonts w:ascii="仿宋_GB2312" w:eastAsia="仿宋_GB2312"/>
      <w:color w:val="000000"/>
    </w:rPr>
  </w:style>
  <w:style w:type="paragraph" w:customStyle="1" w:styleId="721">
    <w:name w:val="msonormal"/>
    <w:basedOn w:val="1"/>
    <w:qFormat/>
    <w:uiPriority w:val="99"/>
    <w:pPr>
      <w:widowControl/>
      <w:adjustRightInd/>
      <w:spacing w:before="100" w:beforeAutospacing="1" w:after="100" w:afterAutospacing="1"/>
      <w:jc w:val="left"/>
    </w:pPr>
    <w:rPr>
      <w:rFonts w:ascii="宋体" w:hAnsi="宋体" w:cs="宋体"/>
      <w:kern w:val="0"/>
      <w:sz w:val="24"/>
    </w:rPr>
  </w:style>
  <w:style w:type="paragraph" w:customStyle="1" w:styleId="722">
    <w:name w:val="方形箭头"/>
    <w:basedOn w:val="1"/>
    <w:qFormat/>
    <w:uiPriority w:val="99"/>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23">
    <w:name w:val="封面"/>
    <w:basedOn w:val="1"/>
    <w:qFormat/>
    <w:uiPriority w:val="99"/>
    <w:pPr>
      <w:spacing w:line="360" w:lineRule="atLeast"/>
      <w:jc w:val="right"/>
      <w:textAlignment w:val="baseline"/>
    </w:pPr>
    <w:rPr>
      <w:rFonts w:ascii="Symbol" w:hAnsi="Symbol"/>
      <w:kern w:val="0"/>
      <w:szCs w:val="20"/>
    </w:rPr>
  </w:style>
  <w:style w:type="paragraph" w:customStyle="1" w:styleId="724">
    <w:name w:val="__正文"/>
    <w:qFormat/>
    <w:uiPriority w:val="99"/>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25">
    <w:name w:val="font5"/>
    <w:basedOn w:val="1"/>
    <w:qFormat/>
    <w:uiPriority w:val="99"/>
    <w:pPr>
      <w:widowControl/>
      <w:adjustRightInd/>
      <w:spacing w:before="100" w:beforeAutospacing="1" w:after="100" w:afterAutospacing="1" w:line="360" w:lineRule="auto"/>
      <w:ind w:firstLine="200" w:firstLineChars="200"/>
      <w:jc w:val="left"/>
    </w:pPr>
    <w:rPr>
      <w:rFonts w:ascii="宋体" w:hAnsi="宋体"/>
      <w:kern w:val="0"/>
      <w:sz w:val="18"/>
      <w:szCs w:val="18"/>
    </w:rPr>
  </w:style>
  <w:style w:type="paragraph" w:customStyle="1" w:styleId="726">
    <w:name w:val="默认段落字体 Para Char Char Char1 Char"/>
    <w:basedOn w:val="1"/>
    <w:qFormat/>
    <w:uiPriority w:val="99"/>
    <w:pPr>
      <w:spacing w:line="240" w:lineRule="atLeast"/>
      <w:ind w:left="420" w:firstLine="420"/>
    </w:pPr>
    <w:rPr>
      <w:sz w:val="24"/>
    </w:rPr>
  </w:style>
  <w:style w:type="paragraph" w:customStyle="1" w:styleId="727">
    <w:name w:val="WW-正文文字缩进 2"/>
    <w:basedOn w:val="1"/>
    <w:qFormat/>
    <w:uiPriority w:val="99"/>
    <w:pPr>
      <w:suppressAutoHyphens/>
      <w:adjustRightInd/>
      <w:ind w:firstLine="420"/>
    </w:pPr>
    <w:rPr>
      <w:kern w:val="1"/>
      <w:szCs w:val="20"/>
    </w:rPr>
  </w:style>
  <w:style w:type="paragraph" w:customStyle="1" w:styleId="728">
    <w:name w:val="xl41"/>
    <w:basedOn w:val="1"/>
    <w:qFormat/>
    <w:uiPriority w:val="99"/>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29">
    <w:name w:val="样式 标题 2 + 四号"/>
    <w:basedOn w:val="3"/>
    <w:qFormat/>
    <w:uiPriority w:val="99"/>
    <w:pPr>
      <w:spacing w:before="120" w:after="120"/>
      <w:ind w:left="0" w:firstLine="0"/>
      <w:jc w:val="both"/>
    </w:pPr>
    <w:rPr>
      <w:rFonts w:ascii="宋体" w:hAnsi="Arial" w:eastAsia="宋体"/>
      <w:sz w:val="28"/>
      <w:lang w:val="en-US"/>
    </w:rPr>
  </w:style>
  <w:style w:type="paragraph" w:customStyle="1" w:styleId="730">
    <w:name w:val="有符号正文"/>
    <w:basedOn w:val="1"/>
    <w:qFormat/>
    <w:uiPriority w:val="99"/>
    <w:pPr>
      <w:adjustRightInd/>
      <w:spacing w:line="400" w:lineRule="exact"/>
      <w:ind w:firstLine="200" w:firstLineChars="200"/>
    </w:pPr>
    <w:rPr>
      <w:rFonts w:ascii="Arial" w:hAnsi="Arial"/>
    </w:rPr>
  </w:style>
  <w:style w:type="paragraph" w:customStyle="1" w:styleId="731">
    <w:name w:val="font10"/>
    <w:basedOn w:val="1"/>
    <w:qFormat/>
    <w:uiPriority w:val="99"/>
    <w:pPr>
      <w:widowControl/>
      <w:adjustRightInd/>
      <w:spacing w:before="100" w:beforeAutospacing="1" w:after="100" w:afterAutospacing="1"/>
      <w:jc w:val="left"/>
    </w:pPr>
    <w:rPr>
      <w:rFonts w:ascii="宋体" w:hAnsi="宋体" w:cs="宋体"/>
      <w:kern w:val="0"/>
      <w:sz w:val="18"/>
      <w:szCs w:val="18"/>
    </w:rPr>
  </w:style>
  <w:style w:type="paragraph" w:customStyle="1" w:styleId="732">
    <w:name w:val="样式 样式 正文文本缩进 + 仿宋_GB2312 小四 首行缩进:  0 厘米 行距: 1.5 倍行距 + (中文) 仿宋_GB... Char Char"/>
    <w:basedOn w:val="1"/>
    <w:qFormat/>
    <w:uiPriority w:val="99"/>
    <w:pPr>
      <w:spacing w:line="360" w:lineRule="auto"/>
      <w:ind w:firstLine="480" w:firstLineChars="200"/>
    </w:pPr>
    <w:rPr>
      <w:rFonts w:ascii="仿宋_GB2312" w:eastAsia="新宋体"/>
      <w:sz w:val="24"/>
      <w:szCs w:val="20"/>
    </w:rPr>
  </w:style>
  <w:style w:type="paragraph" w:customStyle="1" w:styleId="733">
    <w:name w:val="4"/>
    <w:basedOn w:val="1"/>
    <w:next w:val="39"/>
    <w:qFormat/>
    <w:uiPriority w:val="99"/>
    <w:pPr>
      <w:spacing w:after="120" w:line="480" w:lineRule="auto"/>
      <w:ind w:left="420" w:leftChars="200"/>
    </w:pPr>
    <w:rPr>
      <w:sz w:val="24"/>
      <w:szCs w:val="20"/>
    </w:rPr>
  </w:style>
  <w:style w:type="paragraph" w:customStyle="1" w:styleId="734">
    <w:name w:val="tableheading"/>
    <w:basedOn w:val="1"/>
    <w:qFormat/>
    <w:uiPriority w:val="99"/>
    <w:pPr>
      <w:widowControl/>
      <w:adjustRightInd/>
      <w:spacing w:before="100" w:beforeAutospacing="1" w:after="100" w:afterAutospacing="1"/>
      <w:jc w:val="left"/>
    </w:pPr>
    <w:rPr>
      <w:rFonts w:ascii="宋体" w:hAnsi="宋体" w:cs="宋体"/>
      <w:kern w:val="0"/>
      <w:sz w:val="24"/>
    </w:rPr>
  </w:style>
  <w:style w:type="paragraph" w:customStyle="1" w:styleId="735">
    <w:name w:val="样式1"/>
    <w:basedOn w:val="1"/>
    <w:qFormat/>
    <w:uiPriority w:val="99"/>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36">
    <w:name w:val="样式 标题 3H3 + 两端对齐"/>
    <w:basedOn w:val="4"/>
    <w:qFormat/>
    <w:uiPriority w:val="99"/>
    <w:pPr>
      <w:keepLines w:val="0"/>
      <w:spacing w:before="0" w:after="0" w:line="240" w:lineRule="auto"/>
      <w:jc w:val="left"/>
    </w:pPr>
    <w:rPr>
      <w:rFonts w:cs="宋体"/>
      <w:sz w:val="21"/>
      <w:szCs w:val="20"/>
    </w:rPr>
  </w:style>
  <w:style w:type="paragraph" w:customStyle="1" w:styleId="737">
    <w:name w:val="样式 仿宋_GB2312 小三 左侧:  1.06 厘米"/>
    <w:basedOn w:val="1"/>
    <w:qFormat/>
    <w:uiPriority w:val="99"/>
    <w:pPr>
      <w:spacing w:line="360" w:lineRule="auto"/>
      <w:ind w:left="601"/>
    </w:pPr>
    <w:rPr>
      <w:rFonts w:ascii="仿宋_GB2312" w:eastAsia="仿宋_GB2312"/>
      <w:sz w:val="24"/>
      <w:szCs w:val="20"/>
    </w:rPr>
  </w:style>
  <w:style w:type="paragraph" w:customStyle="1" w:styleId="738">
    <w:name w:val="小标题"/>
    <w:basedOn w:val="1"/>
    <w:qFormat/>
    <w:uiPriority w:val="99"/>
    <w:pPr>
      <w:spacing w:before="120" w:line="360" w:lineRule="atLeast"/>
      <w:ind w:left="1134"/>
      <w:jc w:val="left"/>
      <w:textAlignment w:val="baseline"/>
    </w:pPr>
    <w:rPr>
      <w:rFonts w:eastAsia="黑体"/>
      <w:kern w:val="0"/>
      <w:szCs w:val="20"/>
    </w:rPr>
  </w:style>
  <w:style w:type="paragraph" w:customStyle="1" w:styleId="739">
    <w:name w:val="节标题"/>
    <w:basedOn w:val="1"/>
    <w:qFormat/>
    <w:uiPriority w:val="99"/>
    <w:pPr>
      <w:autoSpaceDE w:val="0"/>
      <w:autoSpaceDN w:val="0"/>
      <w:spacing w:line="289" w:lineRule="atLeast"/>
      <w:ind w:firstLine="200" w:firstLineChars="200"/>
      <w:jc w:val="center"/>
    </w:pPr>
    <w:rPr>
      <w:color w:val="000000"/>
      <w:kern w:val="0"/>
      <w:sz w:val="28"/>
      <w:szCs w:val="28"/>
    </w:rPr>
  </w:style>
  <w:style w:type="paragraph" w:customStyle="1" w:styleId="740">
    <w:name w:val="表格 表头"/>
    <w:basedOn w:val="1"/>
    <w:qFormat/>
    <w:uiPriority w:val="99"/>
    <w:pPr>
      <w:adjustRightInd/>
      <w:spacing w:beforeLines="50" w:afterLines="50" w:line="360" w:lineRule="auto"/>
      <w:jc w:val="center"/>
    </w:pPr>
    <w:rPr>
      <w:rFonts w:ascii="微软雅黑" w:hAnsi="Calibri" w:eastAsia="微软雅黑"/>
      <w:b/>
      <w:sz w:val="28"/>
      <w:szCs w:val="20"/>
    </w:rPr>
  </w:style>
  <w:style w:type="paragraph" w:customStyle="1" w:styleId="741">
    <w:name w:val="xl75"/>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42">
    <w:name w:val="Char Char1 Char Char Char"/>
    <w:basedOn w:val="1"/>
    <w:qFormat/>
    <w:uiPriority w:val="99"/>
    <w:rPr>
      <w:rFonts w:ascii="仿宋_GB2312" w:eastAsia="仿宋_GB2312"/>
      <w:b/>
      <w:sz w:val="32"/>
      <w:szCs w:val="20"/>
    </w:rPr>
  </w:style>
  <w:style w:type="paragraph" w:customStyle="1" w:styleId="743">
    <w:name w:val="表格题注"/>
    <w:next w:val="1"/>
    <w:qFormat/>
    <w:uiPriority w:val="99"/>
    <w:pPr>
      <w:keepLines/>
      <w:tabs>
        <w:tab w:val="left" w:pos="4200"/>
      </w:tabs>
      <w:spacing w:beforeLines="100"/>
      <w:ind w:left="1089" w:hanging="369"/>
      <w:jc w:val="center"/>
    </w:pPr>
    <w:rPr>
      <w:rFonts w:ascii="Arial" w:hAnsi="Arial" w:eastAsia="宋体" w:cs="Times New Roman"/>
      <w:sz w:val="18"/>
      <w:szCs w:val="18"/>
      <w:lang w:val="en-US" w:eastAsia="zh-CN" w:bidi="ar-SA"/>
    </w:rPr>
  </w:style>
  <w:style w:type="paragraph" w:customStyle="1" w:styleId="744">
    <w:name w:val="Char Char11 Char Char Char Char Char Char Char Char Char Char Char Char Char Char Char Char Char1"/>
    <w:basedOn w:val="1"/>
    <w:qFormat/>
    <w:uiPriority w:val="99"/>
    <w:pPr>
      <w:adjustRightInd/>
      <w:spacing w:line="360" w:lineRule="auto"/>
    </w:pPr>
    <w:rPr>
      <w:rFonts w:ascii="Arial" w:hAnsi="Arial" w:eastAsia="黑体" w:cs="Arial"/>
      <w:kern w:val="0"/>
      <w:szCs w:val="21"/>
    </w:rPr>
  </w:style>
  <w:style w:type="paragraph" w:customStyle="1" w:styleId="745">
    <w:name w:val="Picture"/>
    <w:basedOn w:val="1"/>
    <w:next w:val="16"/>
    <w:qFormat/>
    <w:uiPriority w:val="99"/>
    <w:pPr>
      <w:keepNext/>
      <w:widowControl/>
      <w:adjustRightInd/>
      <w:ind w:firstLine="200" w:firstLineChars="200"/>
    </w:pPr>
    <w:rPr>
      <w:rFonts w:ascii="楷体" w:hAnsi="Arial" w:eastAsia="楷体"/>
      <w:b/>
      <w:spacing w:val="-5"/>
      <w:w w:val="98"/>
      <w:kern w:val="0"/>
      <w:sz w:val="24"/>
      <w:szCs w:val="20"/>
    </w:rPr>
  </w:style>
  <w:style w:type="paragraph" w:customStyle="1" w:styleId="746">
    <w:name w:val="Char Char1 Char Char Char2"/>
    <w:basedOn w:val="1"/>
    <w:qFormat/>
    <w:uiPriority w:val="99"/>
    <w:rPr>
      <w:rFonts w:ascii="仿宋_GB2312" w:eastAsia="仿宋_GB2312"/>
      <w:b/>
      <w:sz w:val="32"/>
      <w:szCs w:val="32"/>
    </w:rPr>
  </w:style>
  <w:style w:type="paragraph" w:customStyle="1" w:styleId="747">
    <w:name w:val="Char3 Char Char Char1"/>
    <w:basedOn w:val="1"/>
    <w:qFormat/>
    <w:uiPriority w:val="99"/>
    <w:pPr>
      <w:widowControl/>
      <w:adjustRightInd/>
      <w:spacing w:after="160" w:line="240" w:lineRule="exact"/>
      <w:jc w:val="left"/>
    </w:pPr>
    <w:rPr>
      <w:szCs w:val="20"/>
    </w:rPr>
  </w:style>
  <w:style w:type="paragraph" w:customStyle="1" w:styleId="748">
    <w:name w:val="Char1 Char Char Char21"/>
    <w:basedOn w:val="1"/>
    <w:qFormat/>
    <w:uiPriority w:val="99"/>
    <w:rPr>
      <w:rFonts w:ascii="Tahoma" w:hAnsi="Tahoma"/>
      <w:sz w:val="24"/>
      <w:szCs w:val="20"/>
    </w:rPr>
  </w:style>
  <w:style w:type="paragraph" w:customStyle="1" w:styleId="749">
    <w:name w:val="Char3 Char Char Char Char Char Char11"/>
    <w:basedOn w:val="1"/>
    <w:qFormat/>
    <w:uiPriority w:val="99"/>
    <w:pPr>
      <w:adjustRightInd/>
      <w:spacing w:line="360" w:lineRule="auto"/>
    </w:pPr>
    <w:rPr>
      <w:rFonts w:ascii="Arial" w:hAnsi="Arial" w:eastAsia="黑体" w:cs="Arial"/>
      <w:kern w:val="0"/>
      <w:szCs w:val="21"/>
    </w:rPr>
  </w:style>
  <w:style w:type="paragraph" w:customStyle="1" w:styleId="750">
    <w:name w:val="正文（标题三）"/>
    <w:basedOn w:val="1"/>
    <w:qFormat/>
    <w:uiPriority w:val="99"/>
    <w:pPr>
      <w:spacing w:line="360" w:lineRule="auto"/>
      <w:ind w:firstLine="200" w:firstLineChars="200"/>
    </w:pPr>
    <w:rPr>
      <w:sz w:val="24"/>
    </w:rPr>
  </w:style>
  <w:style w:type="paragraph" w:customStyle="1" w:styleId="751">
    <w:name w:val="样式 正1 + 首行缩进:  2 字符"/>
    <w:basedOn w:val="1"/>
    <w:qFormat/>
    <w:uiPriority w:val="99"/>
    <w:pPr>
      <w:adjustRightInd/>
      <w:spacing w:line="360" w:lineRule="auto"/>
      <w:ind w:firstLine="480" w:firstLineChars="200"/>
    </w:pPr>
    <w:rPr>
      <w:rFonts w:ascii="仿宋_GB2312" w:eastAsia="仿宋_GB2312"/>
      <w:sz w:val="24"/>
    </w:rPr>
  </w:style>
  <w:style w:type="paragraph" w:customStyle="1" w:styleId="752">
    <w:name w:val="xl66"/>
    <w:basedOn w:val="1"/>
    <w:qFormat/>
    <w:uiPriority w:val="99"/>
    <w:pPr>
      <w:widowControl/>
      <w:adjustRightInd/>
      <w:spacing w:before="100" w:beforeAutospacing="1" w:after="100" w:afterAutospacing="1"/>
      <w:jc w:val="left"/>
    </w:pPr>
    <w:rPr>
      <w:rFonts w:ascii="宋体" w:hAnsi="宋体" w:cs="宋体"/>
      <w:kern w:val="0"/>
      <w:sz w:val="24"/>
    </w:rPr>
  </w:style>
  <w:style w:type="paragraph" w:customStyle="1" w:styleId="753">
    <w:name w:val="样式 样式 宋体 小四 段前: 7.8 磅 段后: 7.8 磅 行距: 1.5 倍行距 + 小二 首行缩进:  2 字符"/>
    <w:basedOn w:val="1"/>
    <w:qFormat/>
    <w:uiPriority w:val="99"/>
    <w:pPr>
      <w:adjustRightInd/>
      <w:spacing w:line="360" w:lineRule="auto"/>
      <w:ind w:firstLine="480" w:firstLineChars="200"/>
    </w:pPr>
    <w:rPr>
      <w:rFonts w:ascii="宋体" w:hAnsi="宋体" w:cs="宋体"/>
      <w:sz w:val="24"/>
      <w:szCs w:val="20"/>
    </w:rPr>
  </w:style>
  <w:style w:type="paragraph" w:customStyle="1" w:styleId="754">
    <w:name w:val="Default Text"/>
    <w:basedOn w:val="1"/>
    <w:qFormat/>
    <w:uiPriority w:val="99"/>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55">
    <w:name w:val="小节标题"/>
    <w:basedOn w:val="1"/>
    <w:qFormat/>
    <w:uiPriority w:val="99"/>
    <w:pPr>
      <w:autoSpaceDE w:val="0"/>
      <w:autoSpaceDN w:val="0"/>
      <w:spacing w:before="175" w:after="102" w:line="351" w:lineRule="atLeast"/>
      <w:ind w:firstLine="200" w:firstLineChars="200"/>
    </w:pPr>
    <w:rPr>
      <w:color w:val="000000"/>
      <w:kern w:val="0"/>
      <w:szCs w:val="21"/>
    </w:rPr>
  </w:style>
  <w:style w:type="paragraph" w:customStyle="1" w:styleId="756">
    <w:name w:val="Char1 Char Char Char4"/>
    <w:basedOn w:val="1"/>
    <w:qFormat/>
    <w:uiPriority w:val="99"/>
    <w:pPr>
      <w:adjustRightInd/>
      <w:ind w:firstLine="200" w:firstLineChars="200"/>
    </w:pPr>
    <w:rPr>
      <w:rFonts w:ascii="Tahoma" w:hAnsi="Tahoma"/>
      <w:sz w:val="24"/>
      <w:szCs w:val="20"/>
    </w:rPr>
  </w:style>
  <w:style w:type="paragraph" w:customStyle="1" w:styleId="757">
    <w:name w:val="_标题2"/>
    <w:basedOn w:val="724"/>
    <w:next w:val="724"/>
    <w:qFormat/>
    <w:uiPriority w:val="99"/>
    <w:pPr>
      <w:widowControl w:val="0"/>
      <w:tabs>
        <w:tab w:val="left" w:pos="480"/>
      </w:tabs>
      <w:spacing w:beforeLines="50" w:afterLines="50"/>
      <w:ind w:left="50" w:leftChars="50" w:hanging="420" w:firstLineChars="0"/>
      <w:outlineLvl w:val="1"/>
    </w:pPr>
    <w:rPr>
      <w:b/>
      <w:sz w:val="36"/>
    </w:rPr>
  </w:style>
  <w:style w:type="paragraph" w:customStyle="1" w:styleId="758">
    <w:name w:val="样式1 + (中宋体"/>
    <w:basedOn w:val="735"/>
    <w:qFormat/>
    <w:uiPriority w:val="99"/>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59">
    <w:name w:val="xl71"/>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60">
    <w:name w:val="La0b"/>
    <w:basedOn w:val="1"/>
    <w:qFormat/>
    <w:uiPriority w:val="99"/>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61">
    <w:name w:val="正文 主体"/>
    <w:basedOn w:val="1"/>
    <w:qFormat/>
    <w:uiPriority w:val="99"/>
    <w:pPr>
      <w:adjustRightInd/>
      <w:spacing w:line="360" w:lineRule="auto"/>
      <w:ind w:firstLine="200" w:firstLineChars="200"/>
      <w:jc w:val="left"/>
    </w:pPr>
    <w:rPr>
      <w:rFonts w:ascii="微软雅黑" w:hAnsi="Calibri" w:eastAsia="微软雅黑"/>
      <w:kern w:val="0"/>
      <w:sz w:val="24"/>
      <w:szCs w:val="20"/>
    </w:rPr>
  </w:style>
  <w:style w:type="paragraph" w:customStyle="1" w:styleId="762">
    <w:name w:val="四号　首行缩进"/>
    <w:basedOn w:val="1"/>
    <w:qFormat/>
    <w:uiPriority w:val="99"/>
    <w:pPr>
      <w:adjustRightInd/>
      <w:spacing w:line="360" w:lineRule="auto"/>
    </w:pPr>
    <w:rPr>
      <w:rFonts w:ascii="宋体" w:hAnsi="宋体"/>
      <w:szCs w:val="20"/>
    </w:rPr>
  </w:style>
  <w:style w:type="paragraph" w:customStyle="1" w:styleId="763">
    <w:name w:val="深色列表 - 强调文字颜色 51"/>
    <w:basedOn w:val="1"/>
    <w:qFormat/>
    <w:uiPriority w:val="99"/>
    <w:pPr>
      <w:adjustRightInd/>
      <w:spacing w:line="360" w:lineRule="auto"/>
      <w:ind w:firstLine="200" w:firstLineChars="200"/>
    </w:pPr>
    <w:rPr>
      <w:rFonts w:eastAsia="楷体_GB2312" w:cs="Lucida Sans"/>
      <w:sz w:val="24"/>
    </w:rPr>
  </w:style>
  <w:style w:type="paragraph" w:customStyle="1" w:styleId="764">
    <w:name w:val="Char Char Char Char Char Char Char Char Char Char Char1 Char"/>
    <w:basedOn w:val="1"/>
    <w:qFormat/>
    <w:uiPriority w:val="99"/>
    <w:pPr>
      <w:adjustRightInd/>
    </w:pPr>
    <w:rPr>
      <w:rFonts w:ascii="Tahoma" w:hAnsi="Tahoma"/>
      <w:sz w:val="24"/>
    </w:rPr>
  </w:style>
  <w:style w:type="paragraph" w:customStyle="1" w:styleId="765">
    <w:name w:val="Char Char Char Char11"/>
    <w:basedOn w:val="1"/>
    <w:qFormat/>
    <w:uiPriority w:val="99"/>
    <w:rPr>
      <w:rFonts w:ascii="Tahoma" w:hAnsi="Tahoma"/>
      <w:sz w:val="24"/>
      <w:szCs w:val="20"/>
    </w:rPr>
  </w:style>
  <w:style w:type="paragraph" w:customStyle="1" w:styleId="766">
    <w:name w:val="封面文档标题"/>
    <w:basedOn w:val="1"/>
    <w:qFormat/>
    <w:uiPriority w:val="99"/>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67">
    <w:name w:val="Char Char Char Char"/>
    <w:basedOn w:val="1"/>
    <w:qFormat/>
    <w:uiPriority w:val="99"/>
    <w:rPr>
      <w:rFonts w:ascii="Tahoma" w:hAnsi="Tahoma"/>
      <w:sz w:val="24"/>
      <w:szCs w:val="20"/>
    </w:rPr>
  </w:style>
  <w:style w:type="paragraph" w:customStyle="1" w:styleId="768">
    <w:name w:val="标1"/>
    <w:basedOn w:val="1"/>
    <w:qFormat/>
    <w:uiPriority w:val="99"/>
    <w:pPr>
      <w:widowControl/>
      <w:tabs>
        <w:tab w:val="left" w:pos="1020"/>
      </w:tabs>
      <w:snapToGrid w:val="0"/>
      <w:spacing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69">
    <w:name w:val="Char19"/>
    <w:basedOn w:val="1"/>
    <w:qFormat/>
    <w:uiPriority w:val="99"/>
    <w:pPr>
      <w:adjustRightInd/>
    </w:pPr>
    <w:rPr>
      <w:szCs w:val="20"/>
    </w:rPr>
  </w:style>
  <w:style w:type="paragraph" w:customStyle="1" w:styleId="770">
    <w:name w:val="标书正文格式"/>
    <w:qFormat/>
    <w:uiPriority w:val="99"/>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71">
    <w:name w:val="样式8"/>
    <w:basedOn w:val="1"/>
    <w:qFormat/>
    <w:uiPriority w:val="99"/>
    <w:pPr>
      <w:spacing w:beforeLines="50" w:afterLines="50"/>
      <w:ind w:firstLine="200" w:firstLineChars="200"/>
      <w:outlineLvl w:val="4"/>
    </w:pPr>
    <w:rPr>
      <w:rFonts w:ascii="仿宋_GB2312" w:hAnsi="宋体" w:eastAsia="仿宋_GB2312"/>
      <w:b/>
      <w:bCs/>
      <w:sz w:val="24"/>
    </w:rPr>
  </w:style>
  <w:style w:type="paragraph" w:customStyle="1" w:styleId="772">
    <w:name w:val="_Style 5"/>
    <w:basedOn w:val="1"/>
    <w:qFormat/>
    <w:uiPriority w:val="99"/>
    <w:pPr>
      <w:adjustRightInd/>
      <w:ind w:firstLine="420" w:firstLineChars="200"/>
    </w:pPr>
    <w:rPr>
      <w:rFonts w:eastAsia="仿宋_GB2312"/>
      <w:sz w:val="28"/>
    </w:rPr>
  </w:style>
  <w:style w:type="paragraph" w:customStyle="1" w:styleId="773">
    <w:name w:val="正文文字缩进"/>
    <w:basedOn w:val="1"/>
    <w:qFormat/>
    <w:uiPriority w:val="99"/>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74">
    <w:name w:val="列出段落*"/>
    <w:basedOn w:val="1"/>
    <w:qFormat/>
    <w:uiPriority w:val="99"/>
    <w:pPr>
      <w:adjustRightInd/>
      <w:spacing w:line="360" w:lineRule="auto"/>
      <w:ind w:firstLine="200"/>
    </w:pPr>
    <w:rPr>
      <w:rFonts w:eastAsia="楷体_GB2312" w:cs="Lucida Sans Unicode"/>
      <w:color w:val="000000"/>
      <w:kern w:val="1"/>
      <w:sz w:val="24"/>
    </w:rPr>
  </w:style>
  <w:style w:type="paragraph" w:customStyle="1" w:styleId="775">
    <w:name w:val="文章总标题"/>
    <w:basedOn w:val="1"/>
    <w:qFormat/>
    <w:uiPriority w:val="99"/>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76">
    <w:name w:val="标书表格字体格式"/>
    <w:next w:val="770"/>
    <w:qFormat/>
    <w:uiPriority w:val="99"/>
    <w:rPr>
      <w:rFonts w:ascii="Times New Roman" w:hAnsi="Times New Roman" w:eastAsia="宋体" w:cs="Times New Roman"/>
      <w:kern w:val="2"/>
      <w:sz w:val="21"/>
      <w:szCs w:val="24"/>
      <w:lang w:val="en-US" w:eastAsia="zh-CN" w:bidi="ar-SA"/>
    </w:rPr>
  </w:style>
  <w:style w:type="paragraph" w:customStyle="1" w:styleId="777">
    <w:name w:val="Char22"/>
    <w:basedOn w:val="1"/>
    <w:qFormat/>
    <w:uiPriority w:val="99"/>
    <w:pPr>
      <w:adjustRightInd/>
      <w:spacing w:line="360" w:lineRule="auto"/>
      <w:ind w:firstLine="480" w:firstLineChars="200"/>
    </w:pPr>
    <w:rPr>
      <w:rFonts w:ascii="仿宋_GB2312" w:eastAsia="仿宋_GB2312"/>
      <w:b/>
      <w:sz w:val="32"/>
      <w:szCs w:val="32"/>
    </w:rPr>
  </w:style>
  <w:style w:type="paragraph" w:customStyle="1" w:styleId="778">
    <w:name w:val="Char12"/>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779">
    <w:name w:val="修订3"/>
    <w:qFormat/>
    <w:uiPriority w:val="99"/>
    <w:rPr>
      <w:rFonts w:ascii="Times New Roman" w:hAnsi="Times New Roman" w:eastAsia="宋体" w:cs="Times New Roman"/>
      <w:kern w:val="2"/>
      <w:sz w:val="21"/>
      <w:lang w:val="en-US" w:eastAsia="zh-CN" w:bidi="ar-SA"/>
    </w:rPr>
  </w:style>
  <w:style w:type="paragraph" w:customStyle="1" w:styleId="780">
    <w:name w:val="CSS1级正文 Char"/>
    <w:basedOn w:val="23"/>
    <w:qFormat/>
    <w:uiPriority w:val="99"/>
    <w:pPr>
      <w:autoSpaceDE/>
      <w:autoSpaceDN/>
      <w:snapToGrid w:val="0"/>
      <w:ind w:firstLine="480" w:firstLineChars="200"/>
    </w:pPr>
    <w:rPr>
      <w:rFonts w:ascii="Times New Roman"/>
      <w:szCs w:val="24"/>
      <w:lang w:val="en-US"/>
    </w:rPr>
  </w:style>
  <w:style w:type="paragraph" w:customStyle="1" w:styleId="781">
    <w:name w:val="无间隔2"/>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82">
    <w:name w:val="表文字"/>
    <w:qFormat/>
    <w:uiPriority w:val="99"/>
    <w:rPr>
      <w:rFonts w:ascii="宋体" w:hAnsi="Times New Roman" w:eastAsia="宋体" w:cs="Times New Roman"/>
      <w:kern w:val="2"/>
      <w:lang w:val="en-US" w:eastAsia="zh-CN" w:bidi="ar-SA"/>
    </w:rPr>
  </w:style>
  <w:style w:type="paragraph" w:customStyle="1" w:styleId="783">
    <w:name w:val="MM Title"/>
    <w:basedOn w:val="61"/>
    <w:qFormat/>
    <w:uiPriority w:val="99"/>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84">
    <w:name w:val="缺省文本"/>
    <w:basedOn w:val="1"/>
    <w:qFormat/>
    <w:uiPriority w:val="99"/>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85">
    <w:name w:val="Char Char Char Char Char Char1 Char1"/>
    <w:basedOn w:val="1"/>
    <w:qFormat/>
    <w:uiPriority w:val="99"/>
    <w:pPr>
      <w:widowControl/>
      <w:spacing w:after="160" w:line="240" w:lineRule="exact"/>
      <w:jc w:val="left"/>
    </w:pPr>
    <w:rPr>
      <w:rFonts w:ascii="Verdana" w:hAnsi="Verdana"/>
      <w:kern w:val="0"/>
      <w:szCs w:val="20"/>
      <w:lang w:eastAsia="en-US"/>
    </w:rPr>
  </w:style>
  <w:style w:type="paragraph" w:customStyle="1" w:styleId="786">
    <w:name w:val="Char Char Char Char Char Char Char Char2"/>
    <w:basedOn w:val="1"/>
    <w:qFormat/>
    <w:uiPriority w:val="99"/>
    <w:pPr>
      <w:tabs>
        <w:tab w:val="left" w:pos="360"/>
      </w:tabs>
    </w:pPr>
    <w:rPr>
      <w:sz w:val="24"/>
      <w:szCs w:val="20"/>
    </w:rPr>
  </w:style>
  <w:style w:type="paragraph" w:customStyle="1" w:styleId="787">
    <w:name w:val="表内文字"/>
    <w:basedOn w:val="1"/>
    <w:qFormat/>
    <w:uiPriority w:val="99"/>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88">
    <w:name w:val="正文文本 21"/>
    <w:basedOn w:val="1"/>
    <w:qFormat/>
    <w:uiPriority w:val="99"/>
    <w:pPr>
      <w:widowControl/>
      <w:overflowPunct w:val="0"/>
      <w:autoSpaceDE w:val="0"/>
      <w:autoSpaceDN w:val="0"/>
      <w:ind w:left="720" w:hanging="720"/>
      <w:textAlignment w:val="baseline"/>
    </w:pPr>
    <w:rPr>
      <w:kern w:val="0"/>
      <w:sz w:val="24"/>
      <w:szCs w:val="20"/>
      <w:lang w:val="en-GB"/>
    </w:rPr>
  </w:style>
  <w:style w:type="paragraph" w:customStyle="1" w:styleId="789">
    <w:name w:val="中文标题 3"/>
    <w:basedOn w:val="26"/>
    <w:qFormat/>
    <w:uiPriority w:val="99"/>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90">
    <w:name w:val="bt_content"/>
    <w:basedOn w:val="1"/>
    <w:qFormat/>
    <w:uiPriority w:val="99"/>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91">
    <w:name w:val="标准书眉_奇数页"/>
    <w:next w:val="1"/>
    <w:qFormat/>
    <w:uiPriority w:val="99"/>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92">
    <w:name w:val="正文－恩普"/>
    <w:basedOn w:val="15"/>
    <w:qFormat/>
    <w:uiPriority w:val="99"/>
    <w:pPr>
      <w:adjustRightInd/>
      <w:snapToGrid/>
      <w:spacing w:before="100" w:beforeAutospacing="1" w:afterLines="50" w:afterAutospacing="1" w:line="360" w:lineRule="auto"/>
      <w:ind w:firstLine="480" w:firstLineChars="200"/>
      <w:jc w:val="left"/>
    </w:pPr>
    <w:rPr>
      <w:rFonts w:ascii="Times New Roman"/>
      <w:color w:val="auto"/>
      <w:kern w:val="0"/>
      <w:sz w:val="24"/>
    </w:rPr>
  </w:style>
  <w:style w:type="paragraph" w:customStyle="1" w:styleId="793">
    <w:name w:val="Char Char11 Char Char Char Char Char Char Char Char Char Char Char Char Char12"/>
    <w:basedOn w:val="1"/>
    <w:qFormat/>
    <w:uiPriority w:val="99"/>
    <w:pPr>
      <w:adjustRightInd/>
      <w:spacing w:line="360" w:lineRule="auto"/>
    </w:pPr>
    <w:rPr>
      <w:rFonts w:ascii="Arial" w:hAnsi="Arial" w:eastAsia="黑体" w:cs="Arial"/>
      <w:kern w:val="0"/>
      <w:szCs w:val="21"/>
    </w:rPr>
  </w:style>
  <w:style w:type="paragraph" w:customStyle="1" w:styleId="794">
    <w:name w:val="Char4"/>
    <w:basedOn w:val="1"/>
    <w:qFormat/>
    <w:uiPriority w:val="99"/>
    <w:pPr>
      <w:tabs>
        <w:tab w:val="left" w:pos="432"/>
      </w:tabs>
      <w:adjustRightInd/>
      <w:spacing w:beforeLines="50" w:afterLines="50" w:line="360" w:lineRule="auto"/>
      <w:ind w:left="432" w:hanging="432" w:firstLineChars="200"/>
    </w:pPr>
    <w:rPr>
      <w:rFonts w:ascii="宋体" w:hAnsi="宋体" w:eastAsia="微软雅黑"/>
      <w:b/>
      <w:kern w:val="44"/>
      <w:sz w:val="32"/>
      <w:szCs w:val="32"/>
    </w:rPr>
  </w:style>
  <w:style w:type="paragraph" w:customStyle="1" w:styleId="795">
    <w:name w:val="p0"/>
    <w:basedOn w:val="1"/>
    <w:qFormat/>
    <w:uiPriority w:val="99"/>
    <w:pPr>
      <w:widowControl/>
      <w:adjustRightInd/>
    </w:pPr>
    <w:rPr>
      <w:kern w:val="0"/>
      <w:szCs w:val="21"/>
    </w:rPr>
  </w:style>
  <w:style w:type="paragraph" w:customStyle="1" w:styleId="796">
    <w:name w:val="Char6"/>
    <w:basedOn w:val="1"/>
    <w:qFormat/>
    <w:uiPriority w:val="99"/>
    <w:rPr>
      <w:rFonts w:ascii="仿宋_GB2312" w:eastAsia="仿宋_GB2312"/>
      <w:b/>
      <w:sz w:val="32"/>
      <w:szCs w:val="32"/>
    </w:rPr>
  </w:style>
  <w:style w:type="paragraph" w:customStyle="1" w:styleId="797">
    <w:name w:val="Char111"/>
    <w:basedOn w:val="1"/>
    <w:qFormat/>
    <w:uiPriority w:val="99"/>
    <w:rPr>
      <w:rFonts w:ascii="仿宋_GB2312" w:eastAsia="仿宋_GB2312"/>
      <w:b/>
      <w:sz w:val="32"/>
      <w:szCs w:val="32"/>
    </w:rPr>
  </w:style>
  <w:style w:type="paragraph" w:customStyle="1" w:styleId="798">
    <w:name w:val="标题3"/>
    <w:basedOn w:val="4"/>
    <w:next w:val="55"/>
    <w:qFormat/>
    <w:uiPriority w:val="99"/>
    <w:pPr>
      <w:tabs>
        <w:tab w:val="clear" w:pos="900"/>
      </w:tabs>
      <w:spacing w:after="0" w:line="360" w:lineRule="auto"/>
    </w:pPr>
    <w:rPr>
      <w:rFonts w:ascii="仿宋" w:hAnsi="仿宋" w:eastAsia="仿宋" w:cs="仿宋"/>
    </w:rPr>
  </w:style>
  <w:style w:type="paragraph" w:customStyle="1" w:styleId="799">
    <w:name w:val="xl23"/>
    <w:basedOn w:val="1"/>
    <w:qFormat/>
    <w:uiPriority w:val="99"/>
    <w:pPr>
      <w:widowControl/>
      <w:adjustRightInd/>
      <w:spacing w:before="100" w:beforeAutospacing="1" w:after="100" w:afterAutospacing="1" w:line="360" w:lineRule="auto"/>
      <w:ind w:firstLine="200" w:firstLineChars="200"/>
      <w:textAlignment w:val="top"/>
    </w:pPr>
    <w:rPr>
      <w:kern w:val="0"/>
      <w:sz w:val="24"/>
    </w:rPr>
  </w:style>
  <w:style w:type="paragraph" w:customStyle="1" w:styleId="800">
    <w:name w:val="Char 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801">
    <w:name w:val="Char1 Char Char Char2"/>
    <w:basedOn w:val="1"/>
    <w:qFormat/>
    <w:uiPriority w:val="99"/>
    <w:pPr>
      <w:adjustRightInd/>
      <w:ind w:firstLine="200" w:firstLineChars="200"/>
    </w:pPr>
    <w:rPr>
      <w:rFonts w:ascii="Tahoma" w:hAnsi="Tahoma"/>
      <w:sz w:val="24"/>
      <w:szCs w:val="20"/>
    </w:rPr>
  </w:style>
  <w:style w:type="paragraph" w:customStyle="1" w:styleId="802">
    <w:name w:val="列出段落1"/>
    <w:basedOn w:val="1"/>
    <w:qFormat/>
    <w:uiPriority w:val="99"/>
    <w:pPr>
      <w:adjustRightInd/>
      <w:spacing w:line="360" w:lineRule="auto"/>
      <w:ind w:firstLine="420" w:firstLineChars="200"/>
    </w:pPr>
    <w:rPr>
      <w:rFonts w:ascii="Calibri" w:hAnsi="Calibri"/>
      <w:sz w:val="24"/>
      <w:szCs w:val="22"/>
    </w:rPr>
  </w:style>
  <w:style w:type="paragraph" w:customStyle="1" w:styleId="803">
    <w:name w:val="样式 标题 1 + 黑色 段前: 0.5 行 段后: 0.5 行1"/>
    <w:basedOn w:val="2"/>
    <w:qFormat/>
    <w:uiPriority w:val="99"/>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rPr>
  </w:style>
  <w:style w:type="paragraph" w:customStyle="1" w:styleId="804">
    <w:name w:val="Char Char Char Char Char Char Char2"/>
    <w:basedOn w:val="1"/>
    <w:qFormat/>
    <w:uiPriority w:val="99"/>
    <w:rPr>
      <w:rFonts w:ascii="仿宋_GB2312" w:eastAsia="仿宋_GB2312"/>
      <w:b/>
      <w:sz w:val="32"/>
      <w:szCs w:val="32"/>
    </w:rPr>
  </w:style>
  <w:style w:type="paragraph" w:customStyle="1" w:styleId="805">
    <w:name w:val="五级条标题"/>
    <w:basedOn w:val="806"/>
    <w:next w:val="651"/>
    <w:qFormat/>
    <w:uiPriority w:val="99"/>
    <w:pPr>
      <w:tabs>
        <w:tab w:val="left" w:pos="1260"/>
        <w:tab w:val="left" w:pos="1680"/>
        <w:tab w:val="left" w:pos="2100"/>
        <w:tab w:val="left" w:pos="2940"/>
        <w:tab w:val="left" w:pos="3360"/>
      </w:tabs>
      <w:ind w:left="3360"/>
      <w:outlineLvl w:val="6"/>
    </w:pPr>
  </w:style>
  <w:style w:type="paragraph" w:customStyle="1" w:styleId="806">
    <w:name w:val="四级条标题"/>
    <w:basedOn w:val="666"/>
    <w:next w:val="651"/>
    <w:qFormat/>
    <w:uiPriority w:val="99"/>
    <w:pPr>
      <w:tabs>
        <w:tab w:val="left" w:pos="2940"/>
        <w:tab w:val="clear" w:pos="2520"/>
      </w:tabs>
      <w:ind w:left="2940"/>
      <w:outlineLvl w:val="5"/>
    </w:pPr>
  </w:style>
  <w:style w:type="paragraph" w:customStyle="1" w:styleId="807">
    <w:name w:val="目录3"/>
    <w:basedOn w:val="1"/>
    <w:qFormat/>
    <w:uiPriority w:val="99"/>
    <w:pPr>
      <w:tabs>
        <w:tab w:val="left" w:leader="dot" w:pos="7370"/>
      </w:tabs>
      <w:autoSpaceDE w:val="0"/>
      <w:autoSpaceDN w:val="0"/>
      <w:spacing w:line="317" w:lineRule="atLeast"/>
      <w:ind w:firstLine="419" w:firstLineChars="200"/>
    </w:pPr>
    <w:rPr>
      <w:color w:val="000000"/>
      <w:kern w:val="0"/>
      <w:szCs w:val="21"/>
    </w:rPr>
  </w:style>
  <w:style w:type="paragraph" w:customStyle="1" w:styleId="808">
    <w:name w:val="Char23"/>
    <w:basedOn w:val="1"/>
    <w:qFormat/>
    <w:uiPriority w:val="99"/>
    <w:rPr>
      <w:rFonts w:ascii="仿宋_GB2312" w:eastAsia="仿宋_GB2312"/>
      <w:b/>
      <w:sz w:val="32"/>
      <w:szCs w:val="32"/>
    </w:rPr>
  </w:style>
  <w:style w:type="paragraph" w:customStyle="1" w:styleId="809">
    <w:name w:val="style3"/>
    <w:basedOn w:val="1"/>
    <w:qFormat/>
    <w:uiPriority w:val="99"/>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10">
    <w:name w:val="列出段落3"/>
    <w:basedOn w:val="1"/>
    <w:qFormat/>
    <w:uiPriority w:val="99"/>
    <w:pPr>
      <w:adjustRightInd/>
      <w:spacing w:line="360" w:lineRule="auto"/>
      <w:ind w:firstLine="420" w:firstLineChars="200"/>
    </w:pPr>
    <w:rPr>
      <w:rFonts w:ascii="Calibri" w:hAnsi="Calibri"/>
      <w:sz w:val="24"/>
      <w:szCs w:val="22"/>
    </w:rPr>
  </w:style>
  <w:style w:type="paragraph" w:customStyle="1" w:styleId="811">
    <w:name w:val="首行缩进"/>
    <w:basedOn w:val="1"/>
    <w:qFormat/>
    <w:uiPriority w:val="99"/>
    <w:pPr>
      <w:spacing w:line="360" w:lineRule="auto"/>
      <w:ind w:firstLine="480" w:firstLineChars="200"/>
    </w:pPr>
    <w:rPr>
      <w:rFonts w:ascii="宋体"/>
      <w:sz w:val="24"/>
      <w:szCs w:val="20"/>
    </w:rPr>
  </w:style>
  <w:style w:type="paragraph" w:customStyle="1" w:styleId="812">
    <w:name w:val="默认段落字体 Para Char Char Char Char Char Char Char Char Char Char Char Char Char Char Char Char Char Char Char"/>
    <w:basedOn w:val="1"/>
    <w:qFormat/>
    <w:uiPriority w:val="99"/>
    <w:rPr>
      <w:rFonts w:ascii="Tahoma" w:hAnsi="Tahoma"/>
      <w:sz w:val="24"/>
      <w:szCs w:val="20"/>
    </w:rPr>
  </w:style>
  <w:style w:type="paragraph" w:customStyle="1" w:styleId="813">
    <w:name w:val="单元格左对齐"/>
    <w:basedOn w:val="1"/>
    <w:qFormat/>
    <w:uiPriority w:val="99"/>
    <w:pPr>
      <w:adjustRightInd/>
      <w:spacing w:line="360" w:lineRule="auto"/>
    </w:pPr>
    <w:rPr>
      <w:sz w:val="24"/>
    </w:rPr>
  </w:style>
  <w:style w:type="paragraph" w:customStyle="1" w:styleId="814">
    <w:name w:val="正文主体"/>
    <w:basedOn w:val="636"/>
    <w:qFormat/>
    <w:uiPriority w:val="99"/>
  </w:style>
  <w:style w:type="paragraph" w:customStyle="1" w:styleId="815">
    <w:name w:val="font6"/>
    <w:basedOn w:val="1"/>
    <w:qFormat/>
    <w:uiPriority w:val="99"/>
    <w:pPr>
      <w:widowControl/>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816">
    <w:name w:val="Char3 Char Char Char Char Char Char1"/>
    <w:basedOn w:val="1"/>
    <w:qFormat/>
    <w:uiPriority w:val="99"/>
    <w:pPr>
      <w:adjustRightInd/>
      <w:spacing w:line="360" w:lineRule="auto"/>
    </w:pPr>
    <w:rPr>
      <w:rFonts w:ascii="Arial" w:hAnsi="Arial" w:eastAsia="黑体" w:cs="Arial"/>
      <w:kern w:val="0"/>
      <w:szCs w:val="21"/>
    </w:rPr>
  </w:style>
  <w:style w:type="paragraph" w:customStyle="1" w:styleId="817">
    <w:name w:val="样式 首行缩进:  2 字符"/>
    <w:basedOn w:val="1"/>
    <w:qFormat/>
    <w:uiPriority w:val="99"/>
    <w:pPr>
      <w:snapToGrid w:val="0"/>
      <w:spacing w:line="360" w:lineRule="auto"/>
    </w:pPr>
    <w:rPr>
      <w:rFonts w:ascii="仿宋_GB2312" w:hAnsi="宋体" w:eastAsia="仿宋_GB2312" w:cs="宋体"/>
      <w:color w:val="000000"/>
      <w:kern w:val="0"/>
      <w:sz w:val="28"/>
      <w:szCs w:val="21"/>
    </w:rPr>
  </w:style>
  <w:style w:type="paragraph" w:customStyle="1" w:styleId="818">
    <w:name w:val="正文（首行缩进2字符）"/>
    <w:basedOn w:val="1"/>
    <w:qFormat/>
    <w:uiPriority w:val="99"/>
    <w:pPr>
      <w:adjustRightInd/>
      <w:spacing w:line="360" w:lineRule="auto"/>
      <w:ind w:firstLine="480" w:firstLineChars="200"/>
    </w:pPr>
    <w:rPr>
      <w:sz w:val="24"/>
      <w:szCs w:val="20"/>
    </w:rPr>
  </w:style>
  <w:style w:type="paragraph" w:customStyle="1" w:styleId="819">
    <w:name w:val="P1"/>
    <w:basedOn w:val="1"/>
    <w:qFormat/>
    <w:uiPriority w:val="99"/>
    <w:pPr>
      <w:adjustRightInd/>
      <w:spacing w:line="288" w:lineRule="auto"/>
      <w:ind w:firstLine="425" w:firstLineChars="200"/>
    </w:pPr>
  </w:style>
  <w:style w:type="paragraph" w:customStyle="1" w:styleId="820">
    <w:name w:val="列表内容"/>
    <w:basedOn w:val="1"/>
    <w:next w:val="1"/>
    <w:qFormat/>
    <w:uiPriority w:val="99"/>
    <w:pPr>
      <w:widowControl/>
      <w:tabs>
        <w:tab w:val="left" w:pos="840"/>
      </w:tabs>
      <w:ind w:left="840" w:hanging="420"/>
      <w:jc w:val="left"/>
    </w:pPr>
    <w:rPr>
      <w:kern w:val="0"/>
      <w:sz w:val="18"/>
    </w:rPr>
  </w:style>
  <w:style w:type="paragraph" w:customStyle="1" w:styleId="821">
    <w:name w:val="Char Char11 Char Char Char1"/>
    <w:basedOn w:val="1"/>
    <w:qFormat/>
    <w:uiPriority w:val="99"/>
    <w:pPr>
      <w:spacing w:line="360" w:lineRule="auto"/>
    </w:pPr>
    <w:rPr>
      <w:szCs w:val="20"/>
    </w:rPr>
  </w:style>
  <w:style w:type="paragraph" w:customStyle="1" w:styleId="822">
    <w:name w:val="默认段落字体 Para Char Char Char Char Char Char Char Char Char1 Char Char Char Char"/>
    <w:basedOn w:val="1"/>
    <w:qFormat/>
    <w:uiPriority w:val="99"/>
    <w:pPr>
      <w:adjustRightInd/>
    </w:pPr>
    <w:rPr>
      <w:rFonts w:ascii="Tahoma" w:hAnsi="Tahoma"/>
      <w:sz w:val="24"/>
      <w:szCs w:val="20"/>
    </w:rPr>
  </w:style>
  <w:style w:type="paragraph" w:customStyle="1" w:styleId="823">
    <w:name w:val="Char Char Char Char Char Char11"/>
    <w:basedOn w:val="1"/>
    <w:qFormat/>
    <w:uiPriority w:val="99"/>
    <w:pPr>
      <w:widowControl/>
      <w:spacing w:beforeLines="50" w:afterLines="50" w:line="240" w:lineRule="exact"/>
      <w:jc w:val="left"/>
    </w:pPr>
    <w:rPr>
      <w:rFonts w:ascii="Verdana" w:hAnsi="Verdana"/>
      <w:kern w:val="0"/>
      <w:sz w:val="20"/>
      <w:szCs w:val="20"/>
      <w:lang w:eastAsia="en-US"/>
    </w:rPr>
  </w:style>
  <w:style w:type="paragraph" w:customStyle="1" w:styleId="824">
    <w:name w:val="标题 41"/>
    <w:basedOn w:val="1"/>
    <w:next w:val="1"/>
    <w:qFormat/>
    <w:uiPriority w:val="99"/>
    <w:pPr>
      <w:keepNext/>
      <w:keepLines/>
      <w:adjustRightInd/>
      <w:spacing w:before="280" w:after="290" w:line="376" w:lineRule="auto"/>
      <w:outlineLvl w:val="3"/>
    </w:pPr>
    <w:rPr>
      <w:rFonts w:ascii="Cambria" w:hAnsi="Cambria"/>
      <w:b/>
      <w:bCs/>
      <w:sz w:val="28"/>
      <w:szCs w:val="28"/>
    </w:rPr>
  </w:style>
  <w:style w:type="paragraph" w:customStyle="1" w:styleId="825">
    <w:name w:val="Table Contents"/>
    <w:basedOn w:val="1"/>
    <w:qFormat/>
    <w:uiPriority w:val="99"/>
    <w:pPr>
      <w:suppressAutoHyphens/>
      <w:autoSpaceDE w:val="0"/>
      <w:spacing w:after="120"/>
      <w:jc w:val="left"/>
    </w:pPr>
    <w:rPr>
      <w:rFonts w:ascii="Helvetica" w:hAnsi="Helvetica"/>
      <w:kern w:val="1"/>
      <w:sz w:val="20"/>
      <w:szCs w:val="20"/>
    </w:rPr>
  </w:style>
  <w:style w:type="paragraph" w:customStyle="1" w:styleId="826">
    <w:name w:val="正文文字缩进2字"/>
    <w:basedOn w:val="23"/>
    <w:qFormat/>
    <w:uiPriority w:val="99"/>
    <w:pPr>
      <w:autoSpaceDE/>
      <w:autoSpaceDN/>
      <w:adjustRightInd/>
      <w:spacing w:before="60" w:after="60"/>
      <w:ind w:firstLine="200" w:firstLineChars="200"/>
    </w:pPr>
    <w:rPr>
      <w:rFonts w:ascii="Times New Roman"/>
      <w:szCs w:val="20"/>
      <w:lang w:val="en-US"/>
    </w:rPr>
  </w:style>
  <w:style w:type="paragraph" w:customStyle="1" w:styleId="827">
    <w:name w:val="默认段落字体 Para Char Char Char Char"/>
    <w:basedOn w:val="1"/>
    <w:qFormat/>
    <w:uiPriority w:val="99"/>
    <w:pPr>
      <w:spacing w:line="360" w:lineRule="auto"/>
    </w:pPr>
    <w:rPr>
      <w:szCs w:val="20"/>
    </w:rPr>
  </w:style>
  <w:style w:type="paragraph" w:customStyle="1" w:styleId="828">
    <w:name w:val="正文4"/>
    <w:basedOn w:val="1"/>
    <w:qFormat/>
    <w:uiPriority w:val="99"/>
    <w:pPr>
      <w:tabs>
        <w:tab w:val="left" w:pos="720"/>
      </w:tabs>
      <w:adjustRightInd/>
      <w:spacing w:before="60" w:after="60" w:line="360" w:lineRule="auto"/>
      <w:ind w:left="575" w:leftChars="400" w:hanging="175" w:hangingChars="175"/>
    </w:pPr>
    <w:rPr>
      <w:sz w:val="24"/>
    </w:rPr>
  </w:style>
  <w:style w:type="paragraph" w:customStyle="1" w:styleId="829">
    <w:name w:val="xl8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30">
    <w:name w:val="Char2 Char Char Char2"/>
    <w:basedOn w:val="1"/>
    <w:qFormat/>
    <w:uiPriority w:val="99"/>
    <w:rPr>
      <w:rFonts w:ascii="仿宋_GB2312" w:eastAsia="仿宋_GB2312"/>
      <w:b/>
      <w:sz w:val="32"/>
      <w:szCs w:val="32"/>
    </w:rPr>
  </w:style>
  <w:style w:type="paragraph" w:customStyle="1" w:styleId="831">
    <w:name w:val="Char1 Char Char Char Char Char Char Char Char Char"/>
    <w:basedOn w:val="1"/>
    <w:qFormat/>
    <w:uiPriority w:val="99"/>
    <w:pPr>
      <w:adjustRightInd/>
      <w:spacing w:before="240" w:after="120" w:line="288" w:lineRule="auto"/>
      <w:ind w:firstLine="200" w:firstLineChars="200"/>
      <w:jc w:val="left"/>
    </w:pPr>
    <w:rPr>
      <w:rFonts w:ascii="Tahoma" w:hAnsi="Tahoma"/>
      <w:sz w:val="24"/>
    </w:rPr>
  </w:style>
  <w:style w:type="paragraph" w:customStyle="1" w:styleId="832">
    <w:name w:val="Char Char Char Char2"/>
    <w:basedOn w:val="1"/>
    <w:qFormat/>
    <w:uiPriority w:val="99"/>
    <w:pPr>
      <w:widowControl/>
      <w:spacing w:after="160" w:line="240" w:lineRule="exact"/>
      <w:jc w:val="left"/>
    </w:pPr>
    <w:rPr>
      <w:rFonts w:ascii="Arial" w:hAnsi="Arial" w:cs="Verdana"/>
      <w:b/>
      <w:kern w:val="0"/>
      <w:sz w:val="24"/>
      <w:szCs w:val="20"/>
      <w:lang w:eastAsia="en-US"/>
    </w:rPr>
  </w:style>
  <w:style w:type="paragraph" w:customStyle="1" w:styleId="833">
    <w:name w:val="正文 首行缩进:  2 字符 Char"/>
    <w:basedOn w:val="1"/>
    <w:qFormat/>
    <w:uiPriority w:val="99"/>
    <w:pPr>
      <w:adjustRightInd/>
      <w:spacing w:line="360" w:lineRule="auto"/>
      <w:ind w:firstLine="480"/>
    </w:pPr>
    <w:rPr>
      <w:rFonts w:cs="宋体"/>
      <w:sz w:val="24"/>
      <w:szCs w:val="20"/>
    </w:rPr>
  </w:style>
  <w:style w:type="paragraph" w:customStyle="1" w:styleId="834">
    <w:name w:val="Char Char4 Char Char"/>
    <w:basedOn w:val="1"/>
    <w:qFormat/>
    <w:uiPriority w:val="99"/>
    <w:pPr>
      <w:widowControl/>
      <w:adjustRightInd/>
      <w:spacing w:after="160" w:line="240" w:lineRule="exact"/>
      <w:jc w:val="left"/>
    </w:pPr>
  </w:style>
  <w:style w:type="paragraph" w:customStyle="1" w:styleId="835">
    <w:name w:val="目录2"/>
    <w:basedOn w:val="1"/>
    <w:qFormat/>
    <w:uiPriority w:val="99"/>
    <w:pPr>
      <w:tabs>
        <w:tab w:val="left" w:leader="dot" w:pos="7370"/>
      </w:tabs>
      <w:autoSpaceDE w:val="0"/>
      <w:autoSpaceDN w:val="0"/>
      <w:spacing w:line="317" w:lineRule="atLeast"/>
      <w:ind w:firstLine="209" w:firstLineChars="200"/>
    </w:pPr>
    <w:rPr>
      <w:color w:val="000000"/>
      <w:kern w:val="0"/>
      <w:szCs w:val="21"/>
    </w:rPr>
  </w:style>
  <w:style w:type="paragraph" w:customStyle="1" w:styleId="836">
    <w:name w:val="Char Char11 Char Char Char2"/>
    <w:basedOn w:val="1"/>
    <w:qFormat/>
    <w:uiPriority w:val="99"/>
    <w:pPr>
      <w:spacing w:line="360" w:lineRule="auto"/>
    </w:pPr>
    <w:rPr>
      <w:szCs w:val="20"/>
    </w:rPr>
  </w:style>
  <w:style w:type="paragraph" w:customStyle="1" w:styleId="837">
    <w:name w:val="9"/>
    <w:qFormat/>
    <w:uiPriority w:val="99"/>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38">
    <w:name w:val="Char3 Char Char2"/>
    <w:basedOn w:val="1"/>
    <w:qFormat/>
    <w:uiPriority w:val="99"/>
    <w:pPr>
      <w:widowControl/>
      <w:adjustRightInd/>
      <w:spacing w:after="160" w:line="240" w:lineRule="exact"/>
      <w:jc w:val="left"/>
    </w:pPr>
    <w:rPr>
      <w:rFonts w:ascii="Arial" w:hAnsi="Arial" w:cs="Verdana"/>
      <w:b/>
      <w:kern w:val="0"/>
      <w:sz w:val="24"/>
      <w:szCs w:val="20"/>
      <w:lang w:eastAsia="en-US"/>
    </w:rPr>
  </w:style>
  <w:style w:type="paragraph" w:customStyle="1" w:styleId="839">
    <w:name w:val="数字标题4"/>
    <w:basedOn w:val="5"/>
    <w:qFormat/>
    <w:uiPriority w:val="99"/>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40">
    <w:name w:val="表格文字（大）"/>
    <w:basedOn w:val="1"/>
    <w:qFormat/>
    <w:uiPriority w:val="99"/>
    <w:pPr>
      <w:adjustRightInd/>
      <w:spacing w:before="20" w:after="20"/>
      <w:ind w:firstLine="200" w:firstLineChars="200"/>
    </w:pPr>
    <w:rPr>
      <w:rFonts w:ascii="Century Gothic" w:hAnsi="Century Gothic"/>
      <w:sz w:val="24"/>
      <w:szCs w:val="20"/>
    </w:rPr>
  </w:style>
  <w:style w:type="paragraph" w:customStyle="1" w:styleId="841">
    <w:name w:val="插图说明"/>
    <w:basedOn w:val="1"/>
    <w:qFormat/>
    <w:uiPriority w:val="99"/>
    <w:pPr>
      <w:spacing w:after="240"/>
      <w:ind w:firstLine="200" w:firstLineChars="200"/>
      <w:jc w:val="center"/>
      <w:textAlignment w:val="baseline"/>
    </w:pPr>
    <w:rPr>
      <w:rFonts w:eastAsia="黑体"/>
      <w:sz w:val="24"/>
      <w:szCs w:val="20"/>
    </w:rPr>
  </w:style>
  <w:style w:type="paragraph" w:customStyle="1" w:styleId="842">
    <w:name w:val="chart text"/>
    <w:basedOn w:val="1"/>
    <w:qFormat/>
    <w:uiPriority w:val="99"/>
    <w:pPr>
      <w:widowControl/>
      <w:adjustRightInd/>
      <w:spacing w:line="180" w:lineRule="exact"/>
      <w:ind w:firstLine="200" w:firstLineChars="200"/>
      <w:jc w:val="left"/>
    </w:pPr>
    <w:rPr>
      <w:rFonts w:ascii="Futura Bk" w:hAnsi="Futura Bk" w:cs="Futura Bk"/>
      <w:kern w:val="0"/>
      <w:sz w:val="14"/>
      <w:szCs w:val="14"/>
    </w:rPr>
  </w:style>
  <w:style w:type="paragraph" w:customStyle="1" w:styleId="843">
    <w:name w:val="Char311"/>
    <w:basedOn w:val="1"/>
    <w:qFormat/>
    <w:uiPriority w:val="99"/>
    <w:pPr>
      <w:adjustRightInd/>
      <w:ind w:firstLine="200" w:firstLineChars="200"/>
    </w:pPr>
    <w:rPr>
      <w:rFonts w:ascii="Tahoma" w:hAnsi="Tahoma"/>
      <w:sz w:val="24"/>
      <w:szCs w:val="20"/>
    </w:rPr>
  </w:style>
  <w:style w:type="paragraph" w:customStyle="1" w:styleId="844">
    <w:name w:val="正文文本 23"/>
    <w:basedOn w:val="1"/>
    <w:qFormat/>
    <w:uiPriority w:val="99"/>
    <w:pPr>
      <w:widowControl/>
      <w:overflowPunct w:val="0"/>
      <w:autoSpaceDE w:val="0"/>
      <w:autoSpaceDN w:val="0"/>
      <w:ind w:left="720" w:hanging="720"/>
      <w:textAlignment w:val="baseline"/>
    </w:pPr>
    <w:rPr>
      <w:kern w:val="0"/>
      <w:sz w:val="24"/>
      <w:szCs w:val="20"/>
      <w:lang w:val="en-GB"/>
    </w:rPr>
  </w:style>
  <w:style w:type="paragraph" w:customStyle="1" w:styleId="845">
    <w:name w:val="dash bullet"/>
    <w:qFormat/>
    <w:uiPriority w:val="99"/>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46">
    <w:name w:val="正文 内标"/>
    <w:basedOn w:val="761"/>
    <w:qFormat/>
    <w:uiPriority w:val="99"/>
    <w:pPr>
      <w:tabs>
        <w:tab w:val="left" w:pos="0"/>
      </w:tabs>
      <w:ind w:left="900" w:firstLine="0" w:firstLineChars="0"/>
    </w:pPr>
  </w:style>
  <w:style w:type="paragraph" w:customStyle="1" w:styleId="847">
    <w:name w:val="Bulleted List"/>
    <w:basedOn w:val="1"/>
    <w:qFormat/>
    <w:uiPriority w:val="99"/>
    <w:pPr>
      <w:tabs>
        <w:tab w:val="left" w:pos="1260"/>
      </w:tabs>
      <w:adjustRightInd/>
      <w:ind w:left="1260" w:hanging="420"/>
    </w:pPr>
  </w:style>
  <w:style w:type="paragraph" w:customStyle="1" w:styleId="848">
    <w:name w:val="样式 正文文本缩进 2 + 仿宋_GB2312 黑色 行距: 1.5 倍行距"/>
    <w:basedOn w:val="39"/>
    <w:qFormat/>
    <w:uiPriority w:val="99"/>
    <w:pPr>
      <w:adjustRightInd/>
      <w:ind w:firstLine="560" w:firstLineChars="200"/>
      <w:textAlignment w:val="auto"/>
    </w:pPr>
    <w:rPr>
      <w:rFonts w:hAnsi="宋体" w:cs="宋体"/>
      <w:color w:val="000000"/>
      <w:kern w:val="2"/>
      <w:sz w:val="24"/>
    </w:rPr>
  </w:style>
  <w:style w:type="paragraph" w:customStyle="1" w:styleId="849">
    <w:name w:val="样式 左侧:  0.85 厘米"/>
    <w:basedOn w:val="1"/>
    <w:qFormat/>
    <w:uiPriority w:val="99"/>
    <w:pPr>
      <w:adjustRightInd/>
      <w:spacing w:line="360" w:lineRule="auto"/>
    </w:pPr>
    <w:rPr>
      <w:rFonts w:cs="宋体"/>
      <w:sz w:val="24"/>
      <w:szCs w:val="20"/>
    </w:rPr>
  </w:style>
  <w:style w:type="paragraph" w:customStyle="1" w:styleId="850">
    <w:name w:val="Char Char Char Char Char Char Char Char Char Char Char Char1 Char"/>
    <w:basedOn w:val="1"/>
    <w:qFormat/>
    <w:uiPriority w:val="99"/>
    <w:rPr>
      <w:rFonts w:ascii="Tahoma" w:hAnsi="Tahoma" w:cs="仿宋_GB2312"/>
      <w:sz w:val="24"/>
      <w:szCs w:val="20"/>
    </w:rPr>
  </w:style>
  <w:style w:type="paragraph" w:customStyle="1" w:styleId="851">
    <w:name w:val="正文1"/>
    <w:basedOn w:val="33"/>
    <w:qFormat/>
    <w:uiPriority w:val="99"/>
    <w:pPr>
      <w:ind w:left="0" w:leftChars="0" w:firstLine="480" w:firstLineChars="200"/>
    </w:pPr>
    <w:rPr>
      <w:rFonts w:ascii="仿宋_GB2312" w:hAnsi="Courier New" w:eastAsia="仿宋_GB2312"/>
      <w:kern w:val="28"/>
      <w:sz w:val="24"/>
    </w:rPr>
  </w:style>
  <w:style w:type="paragraph" w:customStyle="1" w:styleId="852">
    <w:name w:val="Char Char11 Char Char Char Char Char Char Char Char Char Char Char Char Char2"/>
    <w:basedOn w:val="1"/>
    <w:qFormat/>
    <w:uiPriority w:val="99"/>
    <w:pPr>
      <w:adjustRightInd/>
      <w:spacing w:line="360" w:lineRule="auto"/>
    </w:pPr>
    <w:rPr>
      <w:rFonts w:ascii="Arial" w:hAnsi="Arial" w:eastAsia="黑体"/>
      <w:kern w:val="0"/>
      <w:sz w:val="20"/>
      <w:szCs w:val="21"/>
    </w:rPr>
  </w:style>
  <w:style w:type="paragraph" w:customStyle="1" w:styleId="853">
    <w:name w:val="xl88"/>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4">
    <w:name w:val="模板普通正文"/>
    <w:basedOn w:val="26"/>
    <w:qFormat/>
    <w:uiPriority w:val="99"/>
    <w:pPr>
      <w:adjustRightInd/>
      <w:spacing w:beforeLines="50" w:after="10" w:line="360" w:lineRule="auto"/>
      <w:ind w:firstLine="175" w:firstLineChars="175"/>
      <w:jc w:val="left"/>
    </w:pPr>
    <w:rPr>
      <w:rFonts w:ascii="Times New Roman" w:hAnsi="Times New Roman"/>
    </w:rPr>
  </w:style>
  <w:style w:type="paragraph" w:customStyle="1" w:styleId="855">
    <w:name w:val="Char Char1 Char Char Char Char Char Char"/>
    <w:basedOn w:val="1"/>
    <w:qFormat/>
    <w:uiPriority w:val="99"/>
    <w:rPr>
      <w:rFonts w:ascii="仿宋_GB2312" w:eastAsia="仿宋_GB2312"/>
      <w:b/>
      <w:sz w:val="32"/>
      <w:szCs w:val="20"/>
    </w:rPr>
  </w:style>
  <w:style w:type="paragraph" w:customStyle="1" w:styleId="856">
    <w:name w:val="font8"/>
    <w:basedOn w:val="1"/>
    <w:qFormat/>
    <w:uiPriority w:val="99"/>
    <w:pPr>
      <w:widowControl/>
      <w:adjustRightInd/>
      <w:spacing w:before="100" w:beforeAutospacing="1" w:after="100" w:afterAutospacing="1"/>
      <w:jc w:val="left"/>
    </w:pPr>
    <w:rPr>
      <w:color w:val="000000"/>
      <w:kern w:val="0"/>
      <w:sz w:val="20"/>
      <w:szCs w:val="20"/>
    </w:rPr>
  </w:style>
  <w:style w:type="paragraph" w:customStyle="1" w:styleId="857">
    <w:name w:val="Char Char1 Char Char Char Char Char Char2"/>
    <w:basedOn w:val="1"/>
    <w:qFormat/>
    <w:uiPriority w:val="99"/>
    <w:rPr>
      <w:rFonts w:ascii="仿宋_GB2312" w:eastAsia="仿宋_GB2312"/>
      <w:b/>
      <w:sz w:val="32"/>
      <w:szCs w:val="20"/>
    </w:rPr>
  </w:style>
  <w:style w:type="paragraph" w:customStyle="1" w:styleId="858">
    <w:name w:val="font13"/>
    <w:basedOn w:val="1"/>
    <w:qFormat/>
    <w:uiPriority w:val="99"/>
    <w:pPr>
      <w:widowControl/>
      <w:adjustRightInd/>
      <w:spacing w:before="100" w:beforeAutospacing="1" w:after="100" w:afterAutospacing="1"/>
      <w:jc w:val="left"/>
    </w:pPr>
    <w:rPr>
      <w:rFonts w:ascii="宋体" w:hAnsi="宋体" w:cs="宋体"/>
      <w:kern w:val="0"/>
      <w:sz w:val="22"/>
      <w:szCs w:val="22"/>
    </w:rPr>
  </w:style>
  <w:style w:type="paragraph" w:customStyle="1" w:styleId="859">
    <w:name w:val="默认段落字体 Para Char Char Char Char Char Char Char Char Char Char"/>
    <w:basedOn w:val="1"/>
    <w:qFormat/>
    <w:uiPriority w:val="99"/>
    <w:pPr>
      <w:adjustRightInd/>
    </w:pPr>
    <w:rPr>
      <w:rFonts w:ascii="Tahoma" w:hAnsi="Tahoma"/>
      <w:color w:val="000000"/>
      <w:sz w:val="24"/>
      <w:szCs w:val="20"/>
    </w:rPr>
  </w:style>
  <w:style w:type="paragraph" w:customStyle="1" w:styleId="860">
    <w:name w:val="legal"/>
    <w:basedOn w:val="1"/>
    <w:qFormat/>
    <w:uiPriority w:val="99"/>
    <w:pPr>
      <w:widowControl/>
      <w:adjustRightInd/>
      <w:spacing w:line="180" w:lineRule="exact"/>
      <w:ind w:firstLine="200" w:firstLineChars="200"/>
      <w:jc w:val="left"/>
    </w:pPr>
    <w:rPr>
      <w:rFonts w:ascii="Futura Bk" w:hAnsi="Futura Bk" w:cs="Futura Bk"/>
      <w:kern w:val="0"/>
      <w:sz w:val="13"/>
      <w:szCs w:val="13"/>
    </w:rPr>
  </w:style>
  <w:style w:type="paragraph" w:customStyle="1" w:styleId="861">
    <w:name w:val="xl85"/>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62">
    <w:name w:val="Char Char Char Char Char Char1 Char2"/>
    <w:basedOn w:val="1"/>
    <w:qFormat/>
    <w:uiPriority w:val="99"/>
    <w:pPr>
      <w:widowControl/>
      <w:spacing w:after="160" w:line="240" w:lineRule="exact"/>
      <w:jc w:val="left"/>
    </w:pPr>
    <w:rPr>
      <w:rFonts w:ascii="Verdana" w:hAnsi="Verdana"/>
      <w:kern w:val="0"/>
      <w:szCs w:val="20"/>
      <w:lang w:eastAsia="en-US"/>
    </w:rPr>
  </w:style>
  <w:style w:type="paragraph" w:customStyle="1" w:styleId="863">
    <w:name w:val="样式 首行缩进:  2 字符4"/>
    <w:basedOn w:val="1"/>
    <w:qFormat/>
    <w:uiPriority w:val="99"/>
    <w:pPr>
      <w:adjustRightInd/>
      <w:spacing w:before="120" w:line="360" w:lineRule="auto"/>
      <w:ind w:firstLine="480" w:firstLineChars="200"/>
    </w:pPr>
    <w:rPr>
      <w:rFonts w:eastAsia="仿宋_GB2312" w:cs="宋体"/>
      <w:sz w:val="28"/>
      <w:szCs w:val="20"/>
    </w:rPr>
  </w:style>
  <w:style w:type="paragraph" w:customStyle="1" w:styleId="864">
    <w:name w:val="中等深浅网格 1 - 强调文字颜色 21"/>
    <w:basedOn w:val="1"/>
    <w:qFormat/>
    <w:uiPriority w:val="99"/>
    <w:pPr>
      <w:spacing w:line="360" w:lineRule="auto"/>
      <w:ind w:firstLine="200" w:firstLineChars="200"/>
    </w:pPr>
    <w:rPr>
      <w:rFonts w:eastAsia="楷体_GB2312" w:cs="Lucida Sans"/>
      <w:sz w:val="24"/>
    </w:rPr>
  </w:style>
  <w:style w:type="paragraph" w:customStyle="1" w:styleId="865">
    <w:name w:val="xl86"/>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66">
    <w:name w:val="Body Copy"/>
    <w:basedOn w:val="1"/>
    <w:qFormat/>
    <w:uiPriority w:val="99"/>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67">
    <w:name w:val="Char31"/>
    <w:basedOn w:val="1"/>
    <w:qFormat/>
    <w:uiPriority w:val="99"/>
    <w:pPr>
      <w:adjustRightInd/>
    </w:pPr>
    <w:rPr>
      <w:rFonts w:ascii="仿宋_GB2312" w:eastAsia="仿宋_GB2312"/>
      <w:b/>
      <w:sz w:val="32"/>
      <w:szCs w:val="32"/>
    </w:rPr>
  </w:style>
  <w:style w:type="paragraph" w:customStyle="1" w:styleId="868">
    <w:name w:val="样式 标题 3h33rd level3Heading 3 - oldH3l3CTheading 3Headin..."/>
    <w:basedOn w:val="4"/>
    <w:qFormat/>
    <w:uiPriority w:val="99"/>
    <w:pPr>
      <w:snapToGrid w:val="0"/>
      <w:ind w:left="0" w:firstLine="0"/>
      <w:jc w:val="left"/>
    </w:pPr>
    <w:rPr>
      <w:rFonts w:eastAsia="黑体" w:cs="宋体"/>
      <w:sz w:val="28"/>
      <w:szCs w:val="20"/>
    </w:rPr>
  </w:style>
  <w:style w:type="paragraph" w:customStyle="1" w:styleId="869">
    <w:name w:val="Char Char Char Char Char Char1"/>
    <w:basedOn w:val="1"/>
    <w:qFormat/>
    <w:uiPriority w:val="99"/>
    <w:pPr>
      <w:widowControl/>
      <w:spacing w:beforeLines="50" w:afterLines="50" w:line="240" w:lineRule="exact"/>
      <w:jc w:val="left"/>
    </w:pPr>
    <w:rPr>
      <w:rFonts w:ascii="Verdana" w:hAnsi="Verdana"/>
      <w:kern w:val="0"/>
      <w:sz w:val="20"/>
      <w:szCs w:val="20"/>
      <w:lang w:eastAsia="en-US"/>
    </w:rPr>
  </w:style>
  <w:style w:type="paragraph" w:customStyle="1" w:styleId="870">
    <w:name w:val="xl90"/>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71">
    <w:name w:val="Char Char1"/>
    <w:basedOn w:val="1"/>
    <w:qFormat/>
    <w:uiPriority w:val="99"/>
    <w:pPr>
      <w:widowControl/>
      <w:spacing w:after="160" w:line="240" w:lineRule="exact"/>
      <w:jc w:val="left"/>
    </w:pPr>
    <w:rPr>
      <w:rFonts w:eastAsia="仿宋_GB2312"/>
      <w:sz w:val="28"/>
    </w:rPr>
  </w:style>
  <w:style w:type="paragraph" w:customStyle="1" w:styleId="872">
    <w:name w:val="Char21"/>
    <w:basedOn w:val="1"/>
    <w:qFormat/>
    <w:uiPriority w:val="99"/>
    <w:pPr>
      <w:adjustRightInd/>
      <w:ind w:firstLine="200" w:firstLineChars="200"/>
    </w:pPr>
    <w:rPr>
      <w:rFonts w:ascii="仿宋_GB2312" w:eastAsia="仿宋_GB2312"/>
      <w:b/>
      <w:sz w:val="32"/>
      <w:szCs w:val="32"/>
    </w:rPr>
  </w:style>
  <w:style w:type="paragraph" w:customStyle="1" w:styleId="873">
    <w:name w:val="列表段落1"/>
    <w:basedOn w:val="1"/>
    <w:qFormat/>
    <w:uiPriority w:val="99"/>
    <w:pPr>
      <w:adjustRightInd/>
      <w:ind w:right="238" w:firstLine="420"/>
    </w:pPr>
    <w:rPr>
      <w:rFonts w:ascii="Calibri" w:hAnsi="Calibri"/>
      <w:sz w:val="24"/>
    </w:rPr>
  </w:style>
  <w:style w:type="paragraph" w:customStyle="1" w:styleId="874">
    <w:name w:val="Char Char110"/>
    <w:basedOn w:val="1"/>
    <w:qFormat/>
    <w:uiPriority w:val="99"/>
    <w:pPr>
      <w:spacing w:line="360" w:lineRule="auto"/>
    </w:pPr>
    <w:rPr>
      <w:rFonts w:ascii="Tahoma" w:hAnsi="Tahoma"/>
      <w:sz w:val="24"/>
      <w:szCs w:val="20"/>
    </w:rPr>
  </w:style>
  <w:style w:type="paragraph" w:customStyle="1" w:styleId="875">
    <w:name w:val="xl80"/>
    <w:basedOn w:val="1"/>
    <w:qFormat/>
    <w:uiPriority w:val="99"/>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76">
    <w:name w:val="Char Char11 Char Char Char Char Char Char Char Char Char Char Char Char Char Char Char1"/>
    <w:basedOn w:val="1"/>
    <w:qFormat/>
    <w:uiPriority w:val="99"/>
    <w:pPr>
      <w:adjustRightInd/>
      <w:spacing w:line="360" w:lineRule="auto"/>
    </w:pPr>
    <w:rPr>
      <w:rFonts w:ascii="Arial" w:hAnsi="Arial" w:eastAsia="黑体" w:cs="Arial"/>
      <w:kern w:val="0"/>
      <w:szCs w:val="21"/>
    </w:rPr>
  </w:style>
  <w:style w:type="paragraph" w:customStyle="1" w:styleId="877">
    <w:name w:val="表正文"/>
    <w:qFormat/>
    <w:uiPriority w:val="99"/>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78">
    <w:name w:val="浅色底纹 - 强调文字颜色 51"/>
    <w:qFormat/>
    <w:uiPriority w:val="99"/>
    <w:rPr>
      <w:rFonts w:ascii="Times New Roman" w:hAnsi="Times New Roman" w:eastAsia="宋体" w:cs="Times New Roman"/>
      <w:kern w:val="2"/>
      <w:sz w:val="21"/>
      <w:szCs w:val="24"/>
      <w:lang w:val="en-US" w:eastAsia="zh-CN" w:bidi="ar-SA"/>
    </w:rPr>
  </w:style>
  <w:style w:type="paragraph" w:customStyle="1" w:styleId="879">
    <w:name w:val="Char Char Char Char Char Char Char Char Char Char Char Char1 Char2"/>
    <w:basedOn w:val="1"/>
    <w:qFormat/>
    <w:uiPriority w:val="99"/>
    <w:rPr>
      <w:rFonts w:ascii="Tahoma" w:hAnsi="Tahoma" w:cs="仿宋_GB2312"/>
      <w:sz w:val="24"/>
      <w:szCs w:val="20"/>
    </w:rPr>
  </w:style>
  <w:style w:type="paragraph" w:customStyle="1" w:styleId="880">
    <w:name w:val="样式9"/>
    <w:basedOn w:val="1"/>
    <w:qFormat/>
    <w:uiPriority w:val="99"/>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81">
    <w:name w:val="Char Char281"/>
    <w:basedOn w:val="1"/>
    <w:qFormat/>
    <w:uiPriority w:val="99"/>
    <w:pPr>
      <w:adjustRightInd/>
      <w:snapToGrid w:val="0"/>
      <w:spacing w:line="360" w:lineRule="auto"/>
    </w:pPr>
    <w:rPr>
      <w:rFonts w:ascii="Arial" w:hAnsi="Arial" w:eastAsia="黑体"/>
      <w:kern w:val="0"/>
      <w:sz w:val="20"/>
      <w:szCs w:val="21"/>
    </w:rPr>
  </w:style>
  <w:style w:type="paragraph" w:customStyle="1" w:styleId="882">
    <w:name w:val="样式 列表编号 + 段后: 0.5 行"/>
    <w:basedOn w:val="14"/>
    <w:qFormat/>
    <w:uiPriority w:val="99"/>
    <w:pPr>
      <w:tabs>
        <w:tab w:val="clear" w:pos="390"/>
        <w:tab w:val="clear" w:pos="454"/>
      </w:tabs>
      <w:ind w:left="840" w:hanging="420"/>
      <w:contextualSpacing/>
    </w:pPr>
    <w:rPr>
      <w:rFonts w:cs="宋体"/>
    </w:rPr>
  </w:style>
  <w:style w:type="paragraph" w:customStyle="1" w:styleId="883">
    <w:name w:val="Char Char Char Char Char Char Char Char Char"/>
    <w:basedOn w:val="1"/>
    <w:qFormat/>
    <w:uiPriority w:val="99"/>
    <w:pPr>
      <w:adjustRightInd/>
      <w:ind w:firstLine="200" w:firstLineChars="200"/>
    </w:pPr>
    <w:rPr>
      <w:rFonts w:ascii="Tahoma" w:hAnsi="Tahoma"/>
      <w:sz w:val="24"/>
      <w:szCs w:val="20"/>
    </w:rPr>
  </w:style>
  <w:style w:type="paragraph" w:customStyle="1" w:styleId="884">
    <w:name w:val="_Style 12"/>
    <w:basedOn w:val="18"/>
    <w:qFormat/>
    <w:uiPriority w:val="99"/>
    <w:pPr>
      <w:snapToGrid w:val="0"/>
      <w:spacing w:line="360" w:lineRule="auto"/>
    </w:pPr>
  </w:style>
  <w:style w:type="paragraph" w:customStyle="1" w:styleId="885">
    <w:name w:val="样式 首行缩进:  0 字符"/>
    <w:basedOn w:val="1"/>
    <w:qFormat/>
    <w:uiPriority w:val="99"/>
    <w:pPr>
      <w:adjustRightInd/>
      <w:spacing w:line="360" w:lineRule="auto"/>
      <w:ind w:firstLine="200" w:firstLineChars="200"/>
    </w:pPr>
    <w:rPr>
      <w:rFonts w:ascii="Arial" w:hAnsi="Arial" w:cs="宋体"/>
      <w:sz w:val="24"/>
      <w:szCs w:val="20"/>
    </w:rPr>
  </w:style>
  <w:style w:type="paragraph" w:customStyle="1" w:styleId="886">
    <w:name w:val="Char1 Char Char Char6"/>
    <w:basedOn w:val="1"/>
    <w:qFormat/>
    <w:uiPriority w:val="99"/>
    <w:pPr>
      <w:widowControl/>
      <w:snapToGrid w:val="0"/>
      <w:spacing w:before="120" w:after="160" w:line="360" w:lineRule="auto"/>
      <w:ind w:right="-360"/>
      <w:jc w:val="left"/>
    </w:pPr>
    <w:rPr>
      <w:rFonts w:ascii="Arial" w:hAnsi="Arial"/>
      <w:kern w:val="0"/>
      <w:sz w:val="24"/>
      <w:lang w:eastAsia="en-US"/>
    </w:rPr>
  </w:style>
  <w:style w:type="paragraph" w:customStyle="1" w:styleId="887">
    <w:name w:val="_Style 94"/>
    <w:basedOn w:val="1"/>
    <w:next w:val="287"/>
    <w:qFormat/>
    <w:uiPriority w:val="99"/>
    <w:pPr>
      <w:adjustRightInd/>
      <w:spacing w:line="360" w:lineRule="auto"/>
      <w:ind w:firstLine="200" w:firstLineChars="200"/>
    </w:pPr>
    <w:rPr>
      <w:rFonts w:ascii="Calibri" w:hAnsi="Calibri"/>
      <w:sz w:val="28"/>
      <w:szCs w:val="20"/>
    </w:rPr>
  </w:style>
  <w:style w:type="paragraph" w:customStyle="1" w:styleId="888">
    <w:name w:val="方案正文"/>
    <w:basedOn w:val="1"/>
    <w:qFormat/>
    <w:uiPriority w:val="99"/>
    <w:pPr>
      <w:snapToGrid w:val="0"/>
      <w:spacing w:line="324" w:lineRule="auto"/>
      <w:ind w:firstLine="482" w:firstLineChars="200"/>
    </w:pPr>
    <w:rPr>
      <w:rFonts w:ascii="仿宋_GB2312" w:eastAsia="仿宋_GB2312"/>
      <w:b/>
      <w:color w:val="000000"/>
      <w:sz w:val="24"/>
      <w:szCs w:val="20"/>
    </w:rPr>
  </w:style>
  <w:style w:type="paragraph" w:customStyle="1" w:styleId="889">
    <w:name w:val="正文 A"/>
    <w:qFormat/>
    <w:uiPriority w:val="99"/>
    <w:pPr>
      <w:widowControl w:val="0"/>
      <w:jc w:val="both"/>
    </w:pPr>
    <w:rPr>
      <w:rFonts w:ascii="Times New Roman" w:hAnsi="Times New Roman" w:eastAsia="宋体" w:cs="Arial Unicode MS"/>
      <w:color w:val="000000"/>
      <w:kern w:val="2"/>
      <w:sz w:val="21"/>
      <w:szCs w:val="21"/>
      <w:u w:color="000000"/>
      <w:lang w:val="en-US" w:eastAsia="zh-CN" w:bidi="ar-SA"/>
    </w:rPr>
  </w:style>
  <w:style w:type="paragraph" w:customStyle="1" w:styleId="890">
    <w:name w:val="正文 A 主体"/>
    <w:basedOn w:val="1"/>
    <w:qFormat/>
    <w:uiPriority w:val="99"/>
    <w:pPr>
      <w:widowControl/>
      <w:adjustRightInd/>
      <w:spacing w:line="360" w:lineRule="auto"/>
      <w:ind w:firstLine="200" w:firstLineChars="200"/>
      <w:jc w:val="left"/>
    </w:pPr>
    <w:rPr>
      <w:rFonts w:ascii="仿宋" w:hAnsi="Calibri" w:eastAsia="仿宋"/>
      <w:kern w:val="0"/>
      <w:sz w:val="24"/>
    </w:rPr>
  </w:style>
  <w:style w:type="paragraph" w:customStyle="1" w:styleId="891">
    <w:name w:val="3级标题"/>
    <w:basedOn w:val="683"/>
    <w:qFormat/>
    <w:uiPriority w:val="99"/>
    <w:pPr>
      <w:outlineLvl w:val="2"/>
    </w:pPr>
  </w:style>
  <w:style w:type="paragraph" w:customStyle="1" w:styleId="892">
    <w:name w:val="xl78"/>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93">
    <w:name w:val="Char1 Char Char Char3"/>
    <w:basedOn w:val="1"/>
    <w:qFormat/>
    <w:uiPriority w:val="99"/>
    <w:pPr>
      <w:adjustRightInd/>
      <w:ind w:firstLine="200" w:firstLineChars="200"/>
    </w:pPr>
    <w:rPr>
      <w:rFonts w:ascii="Tahoma" w:hAnsi="Tahoma"/>
      <w:sz w:val="24"/>
      <w:szCs w:val="20"/>
    </w:rPr>
  </w:style>
  <w:style w:type="paragraph" w:customStyle="1" w:styleId="894">
    <w:name w:val="GP正文(首行缩进)"/>
    <w:basedOn w:val="1"/>
    <w:qFormat/>
    <w:uiPriority w:val="99"/>
    <w:pPr>
      <w:adjustRightInd/>
      <w:spacing w:line="360" w:lineRule="auto"/>
      <w:ind w:firstLine="200" w:firstLineChars="200"/>
    </w:pPr>
    <w:rPr>
      <w:rFonts w:eastAsia="仿宋_GB2312"/>
      <w:sz w:val="28"/>
      <w:szCs w:val="21"/>
    </w:rPr>
  </w:style>
  <w:style w:type="paragraph" w:customStyle="1" w:styleId="895">
    <w:name w:val="MM Empty"/>
    <w:basedOn w:val="1"/>
    <w:qFormat/>
    <w:uiPriority w:val="99"/>
    <w:pPr>
      <w:adjustRightInd/>
    </w:pPr>
  </w:style>
  <w:style w:type="paragraph" w:customStyle="1" w:styleId="896">
    <w:name w:val="Char24"/>
    <w:basedOn w:val="1"/>
    <w:qFormat/>
    <w:uiPriority w:val="99"/>
    <w:rPr>
      <w:rFonts w:ascii="仿宋_GB2312" w:eastAsia="仿宋_GB2312"/>
      <w:b/>
      <w:sz w:val="32"/>
      <w:szCs w:val="32"/>
    </w:rPr>
  </w:style>
  <w:style w:type="paragraph" w:customStyle="1" w:styleId="897">
    <w:name w:val="正文箭头"/>
    <w:basedOn w:val="550"/>
    <w:qFormat/>
    <w:uiPriority w:val="99"/>
  </w:style>
  <w:style w:type="paragraph" w:customStyle="1" w:styleId="898">
    <w:name w:val="U_编号2"/>
    <w:basedOn w:val="1"/>
    <w:qFormat/>
    <w:uiPriority w:val="99"/>
    <w:pPr>
      <w:tabs>
        <w:tab w:val="left" w:pos="785"/>
      </w:tabs>
      <w:adjustRightInd/>
      <w:spacing w:beforeLines="10" w:afterLines="10" w:line="300" w:lineRule="auto"/>
    </w:pPr>
    <w:rPr>
      <w:sz w:val="24"/>
    </w:rPr>
  </w:style>
  <w:style w:type="paragraph" w:customStyle="1" w:styleId="899">
    <w:name w:val="xl72"/>
    <w:basedOn w:val="1"/>
    <w:qFormat/>
    <w:uiPriority w:val="99"/>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900">
    <w:name w:val="trs_editor"/>
    <w:basedOn w:val="1"/>
    <w:qFormat/>
    <w:uiPriority w:val="99"/>
    <w:pPr>
      <w:widowControl/>
      <w:adjustRightInd/>
      <w:spacing w:before="100" w:beforeAutospacing="1" w:after="100" w:afterAutospacing="1"/>
      <w:jc w:val="left"/>
    </w:pPr>
    <w:rPr>
      <w:rFonts w:ascii="宋体" w:hAnsi="宋体" w:cs="宋体"/>
      <w:kern w:val="0"/>
      <w:sz w:val="24"/>
    </w:rPr>
  </w:style>
  <w:style w:type="paragraph" w:customStyle="1" w:styleId="901">
    <w:name w:val="标书标题3"/>
    <w:basedOn w:val="4"/>
    <w:qFormat/>
    <w:uiPriority w:val="99"/>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902">
    <w:name w:val="TOC 标题11"/>
    <w:basedOn w:val="2"/>
    <w:next w:val="1"/>
    <w:qFormat/>
    <w:uiPriority w:val="99"/>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903">
    <w:name w:val="_Style 1"/>
    <w:basedOn w:val="1"/>
    <w:qFormat/>
    <w:uiPriority w:val="99"/>
    <w:pPr>
      <w:adjustRightInd/>
      <w:ind w:firstLine="420" w:firstLineChars="200"/>
    </w:pPr>
    <w:rPr>
      <w:rFonts w:eastAsia="仿宋_GB2312"/>
      <w:sz w:val="28"/>
    </w:rPr>
  </w:style>
  <w:style w:type="paragraph" w:customStyle="1" w:styleId="904">
    <w:name w:val="表格 内容"/>
    <w:basedOn w:val="740"/>
    <w:qFormat/>
    <w:uiPriority w:val="99"/>
    <w:rPr>
      <w:b w:val="0"/>
      <w:sz w:val="20"/>
    </w:rPr>
  </w:style>
  <w:style w:type="paragraph" w:customStyle="1" w:styleId="905">
    <w:name w:val="正文首行缩进1"/>
    <w:basedOn w:val="23"/>
    <w:qFormat/>
    <w:uiPriority w:val="99"/>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06">
    <w:name w:val="标准正文"/>
    <w:basedOn w:val="1"/>
    <w:qFormat/>
    <w:uiPriority w:val="99"/>
    <w:pPr>
      <w:tabs>
        <w:tab w:val="left" w:pos="780"/>
      </w:tabs>
      <w:adjustRightInd/>
      <w:spacing w:line="360" w:lineRule="auto"/>
      <w:ind w:left="200" w:leftChars="200" w:firstLine="200" w:firstLineChars="200"/>
    </w:pPr>
    <w:rPr>
      <w:sz w:val="24"/>
    </w:rPr>
  </w:style>
  <w:style w:type="paragraph" w:customStyle="1" w:styleId="907">
    <w:name w:val="数字标题5"/>
    <w:basedOn w:val="6"/>
    <w:next w:val="1"/>
    <w:qFormat/>
    <w:uiPriority w:val="99"/>
    <w:pPr>
      <w:tabs>
        <w:tab w:val="left" w:pos="1080"/>
      </w:tabs>
      <w:ind w:left="1080" w:hanging="1080"/>
    </w:pPr>
  </w:style>
  <w:style w:type="paragraph" w:customStyle="1" w:styleId="908">
    <w:name w:val="数字标题1"/>
    <w:basedOn w:val="2"/>
    <w:next w:val="1"/>
    <w:qFormat/>
    <w:uiPriority w:val="99"/>
    <w:pPr>
      <w:tabs>
        <w:tab w:val="left" w:pos="480"/>
      </w:tabs>
      <w:ind w:left="480" w:hanging="480"/>
    </w:pPr>
  </w:style>
  <w:style w:type="paragraph" w:customStyle="1" w:styleId="909">
    <w:name w:val="Char1 Char Char Char Char Char Char Char Char Char Char Char1 Char Char Char Char Char Char Char Char Char Char Char Char Char Char1 Char Char Char Char2"/>
    <w:basedOn w:val="1"/>
    <w:qFormat/>
    <w:uiPriority w:val="99"/>
    <w:pPr>
      <w:spacing w:line="360" w:lineRule="auto"/>
    </w:pPr>
    <w:rPr>
      <w:kern w:val="0"/>
      <w:sz w:val="24"/>
      <w:szCs w:val="20"/>
    </w:rPr>
  </w:style>
  <w:style w:type="paragraph" w:customStyle="1" w:styleId="910">
    <w:name w:val="aspnumfaautoadjustrightr"/>
    <w:qFormat/>
    <w:uiPriority w:val="99"/>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11">
    <w:name w:val="Body"/>
    <w:basedOn w:val="1"/>
    <w:qFormat/>
    <w:uiPriority w:val="99"/>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12">
    <w:name w:val="RFI Heading 3rd Level"/>
    <w:basedOn w:val="1"/>
    <w:qFormat/>
    <w:uiPriority w:val="99"/>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13">
    <w:name w:val="标准正文格式"/>
    <w:basedOn w:val="1"/>
    <w:qFormat/>
    <w:uiPriority w:val="99"/>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14">
    <w:name w:val="Bullet"/>
    <w:basedOn w:val="1"/>
    <w:qFormat/>
    <w:uiPriority w:val="99"/>
    <w:pPr>
      <w:widowControl/>
      <w:tabs>
        <w:tab w:val="left" w:pos="288"/>
      </w:tabs>
      <w:adjustRightInd/>
      <w:ind w:left="288" w:hanging="360" w:firstLineChars="200"/>
      <w:jc w:val="left"/>
    </w:pPr>
    <w:rPr>
      <w:rFonts w:ascii="Arial" w:hAnsi="Arial"/>
      <w:kern w:val="0"/>
      <w:sz w:val="20"/>
      <w:szCs w:val="20"/>
    </w:rPr>
  </w:style>
  <w:style w:type="paragraph" w:customStyle="1" w:styleId="915">
    <w:name w:val="0"/>
    <w:basedOn w:val="1"/>
    <w:qFormat/>
    <w:uiPriority w:val="99"/>
    <w:pPr>
      <w:widowControl/>
    </w:pPr>
    <w:rPr>
      <w:kern w:val="0"/>
      <w:sz w:val="24"/>
      <w:szCs w:val="20"/>
    </w:rPr>
  </w:style>
  <w:style w:type="paragraph" w:customStyle="1" w:styleId="916">
    <w:name w:val="Char Char113"/>
    <w:basedOn w:val="1"/>
    <w:qFormat/>
    <w:uiPriority w:val="99"/>
    <w:pPr>
      <w:widowControl/>
      <w:spacing w:after="160" w:line="240" w:lineRule="exact"/>
      <w:jc w:val="left"/>
    </w:pPr>
    <w:rPr>
      <w:rFonts w:eastAsia="仿宋_GB2312"/>
      <w:sz w:val="28"/>
    </w:rPr>
  </w:style>
  <w:style w:type="paragraph" w:customStyle="1" w:styleId="917">
    <w:name w:val="样式5"/>
    <w:basedOn w:val="1"/>
    <w:qFormat/>
    <w:uiPriority w:val="99"/>
    <w:pPr>
      <w:spacing w:line="440" w:lineRule="exact"/>
      <w:ind w:left="2" w:firstLine="480" w:firstLineChars="200"/>
    </w:pPr>
    <w:rPr>
      <w:rFonts w:ascii="仿宋_GB2312" w:hAnsi="仿宋" w:eastAsia="仿宋_GB2312"/>
      <w:sz w:val="24"/>
    </w:rPr>
  </w:style>
  <w:style w:type="paragraph" w:customStyle="1" w:styleId="918">
    <w:name w:val="_Style 8"/>
    <w:basedOn w:val="1"/>
    <w:qFormat/>
    <w:uiPriority w:val="99"/>
    <w:pPr>
      <w:adjustRightInd/>
      <w:ind w:firstLine="420" w:firstLineChars="200"/>
    </w:pPr>
    <w:rPr>
      <w:rFonts w:eastAsia="仿宋_GB2312"/>
      <w:sz w:val="28"/>
    </w:rPr>
  </w:style>
  <w:style w:type="paragraph" w:customStyle="1" w:styleId="919">
    <w:name w:val="xl9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20">
    <w:name w:val="正文样式 首行缩进:  0.74 厘米"/>
    <w:basedOn w:val="1"/>
    <w:qFormat/>
    <w:uiPriority w:val="99"/>
    <w:pPr>
      <w:adjustRightInd/>
      <w:spacing w:beforeLines="50" w:line="360" w:lineRule="auto"/>
      <w:ind w:firstLine="420"/>
    </w:pPr>
    <w:rPr>
      <w:rFonts w:cs="宋体"/>
      <w:sz w:val="24"/>
      <w:szCs w:val="20"/>
    </w:rPr>
  </w:style>
  <w:style w:type="paragraph" w:customStyle="1" w:styleId="921">
    <w:name w:val="xl24"/>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22">
    <w:name w:val="列出段落31"/>
    <w:basedOn w:val="1"/>
    <w:qFormat/>
    <w:uiPriority w:val="99"/>
    <w:pPr>
      <w:adjustRightInd/>
      <w:spacing w:line="360" w:lineRule="auto"/>
      <w:ind w:firstLine="420" w:firstLineChars="200"/>
    </w:pPr>
    <w:rPr>
      <w:rFonts w:ascii="Calibri" w:hAnsi="Calibri"/>
      <w:sz w:val="24"/>
      <w:szCs w:val="22"/>
    </w:rPr>
  </w:style>
  <w:style w:type="paragraph" w:customStyle="1" w:styleId="923">
    <w:name w:val="Char Char1 Char Char Char Char Char Char Char Char Char Char Char Char Char Char Char"/>
    <w:basedOn w:val="1"/>
    <w:qFormat/>
    <w:uiPriority w:val="99"/>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24">
    <w:name w:val="Char Char112"/>
    <w:basedOn w:val="1"/>
    <w:qFormat/>
    <w:uiPriority w:val="99"/>
    <w:pPr>
      <w:widowControl/>
      <w:spacing w:after="160" w:line="240" w:lineRule="exact"/>
      <w:jc w:val="left"/>
    </w:pPr>
    <w:rPr>
      <w:rFonts w:eastAsia="仿宋_GB2312"/>
      <w:sz w:val="28"/>
    </w:rPr>
  </w:style>
  <w:style w:type="paragraph" w:customStyle="1" w:styleId="925">
    <w:name w:val="正文 图"/>
    <w:basedOn w:val="456"/>
    <w:qFormat/>
    <w:uiPriority w:val="99"/>
    <w:pPr>
      <w:adjustRightInd/>
      <w:spacing w:before="0"/>
      <w:ind w:firstLine="0"/>
      <w:jc w:val="center"/>
    </w:pPr>
    <w:rPr>
      <w:rFonts w:ascii="微软雅黑" w:hAnsi="微软雅黑"/>
    </w:rPr>
  </w:style>
  <w:style w:type="paragraph" w:customStyle="1" w:styleId="926">
    <w:name w:val="xl92"/>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27">
    <w:name w:val="±í??????"/>
    <w:basedOn w:val="1"/>
    <w:qFormat/>
    <w:uiPriority w:val="99"/>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28">
    <w:name w:val="Thf"/>
    <w:basedOn w:val="574"/>
    <w:qFormat/>
    <w:uiPriority w:val="99"/>
    <w:pPr>
      <w:ind w:left="0"/>
    </w:pPr>
  </w:style>
  <w:style w:type="paragraph" w:customStyle="1" w:styleId="929">
    <w:name w:val="xl79"/>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30">
    <w:name w:val="subhead 2"/>
    <w:qFormat/>
    <w:uiPriority w:val="99"/>
    <w:pPr>
      <w:spacing w:after="60" w:line="240" w:lineRule="exact"/>
    </w:pPr>
    <w:rPr>
      <w:rFonts w:ascii="Arial" w:hAnsi="Arial" w:eastAsia="宋体" w:cs="Times New Roman"/>
      <w:b/>
      <w:sz w:val="22"/>
      <w:lang w:val="en-US" w:eastAsia="en-US" w:bidi="ar-SA"/>
    </w:rPr>
  </w:style>
  <w:style w:type="paragraph" w:customStyle="1" w:styleId="931">
    <w:name w:val="注释"/>
    <w:basedOn w:val="1"/>
    <w:qFormat/>
    <w:uiPriority w:val="99"/>
    <w:pPr>
      <w:adjustRightInd/>
      <w:spacing w:line="360" w:lineRule="auto"/>
      <w:ind w:firstLine="480"/>
    </w:pPr>
    <w:rPr>
      <w:sz w:val="24"/>
    </w:rPr>
  </w:style>
  <w:style w:type="table" w:customStyle="1" w:styleId="932">
    <w:name w:val="网格型2"/>
    <w:qFormat/>
    <w:uiPriority w:val="9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33">
    <w:name w:val="网格型1"/>
    <w:qFormat/>
    <w:uiPriority w:val="9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34">
    <w:name w:val="网格型6"/>
    <w:qFormat/>
    <w:uiPriority w:val="9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35">
    <w:name w:val="网格型3"/>
    <w:qFormat/>
    <w:uiPriority w:val="9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36">
    <w:name w:val="网格型4"/>
    <w:qFormat/>
    <w:uiPriority w:val="9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37">
    <w:name w:val="网格型5"/>
    <w:qFormat/>
    <w:uiPriority w:val="9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38">
    <w:name w:val="列出段落111"/>
    <w:basedOn w:val="1"/>
    <w:qFormat/>
    <w:uiPriority w:val="99"/>
    <w:pPr>
      <w:ind w:firstLine="420" w:firstLineChars="200"/>
    </w:pPr>
  </w:style>
  <w:style w:type="character" w:customStyle="1" w:styleId="939">
    <w:name w:val="交叉引用"/>
    <w:qFormat/>
    <w:uiPriority w:val="99"/>
    <w:rPr>
      <w:rFonts w:ascii="Arial" w:hAnsi="Arial" w:eastAsia="黑体"/>
      <w:snapToGrid w:val="0"/>
      <w:color w:val="0000FF"/>
      <w:kern w:val="0"/>
      <w:sz w:val="21"/>
      <w:u w:val="single"/>
      <w:lang w:val="en-US" w:eastAsia="zh-CN"/>
    </w:rPr>
  </w:style>
  <w:style w:type="character" w:customStyle="1" w:styleId="940">
    <w:name w:val="正文缩进 字符1"/>
    <w:qFormat/>
    <w:uiPriority w:val="99"/>
    <w:rPr>
      <w:rFonts w:ascii="宋体" w:eastAsia="宋体"/>
      <w:snapToGrid w:val="0"/>
      <w:color w:val="000000"/>
      <w:kern w:val="28"/>
      <w:sz w:val="28"/>
      <w:lang w:val="en-US" w:eastAsia="zh-CN"/>
    </w:rPr>
  </w:style>
  <w:style w:type="character" w:customStyle="1" w:styleId="941">
    <w:name w:val="页脚 字符1"/>
    <w:qFormat/>
    <w:locked/>
    <w:uiPriority w:val="99"/>
    <w:rPr>
      <w:kern w:val="2"/>
      <w:sz w:val="18"/>
    </w:rPr>
  </w:style>
  <w:style w:type="character" w:customStyle="1" w:styleId="942">
    <w:name w:val="页眉 字符1"/>
    <w:qFormat/>
    <w:uiPriority w:val="99"/>
    <w:rPr>
      <w:kern w:val="2"/>
      <w:sz w:val="18"/>
    </w:rPr>
  </w:style>
  <w:style w:type="character" w:customStyle="1" w:styleId="943">
    <w:name w:val="无间隔 Char"/>
    <w:link w:val="496"/>
    <w:qFormat/>
    <w:locked/>
    <w:uiPriority w:val="99"/>
    <w:rPr>
      <w:kern w:val="2"/>
      <w:sz w:val="22"/>
    </w:rPr>
  </w:style>
  <w:style w:type="character" w:customStyle="1" w:styleId="944">
    <w:name w:val="标准文本 Char Char"/>
    <w:link w:val="945"/>
    <w:qFormat/>
    <w:locked/>
    <w:uiPriority w:val="99"/>
    <w:rPr>
      <w:kern w:val="2"/>
      <w:sz w:val="24"/>
    </w:rPr>
  </w:style>
  <w:style w:type="paragraph" w:customStyle="1" w:styleId="945">
    <w:name w:val="标准文本"/>
    <w:basedOn w:val="1"/>
    <w:link w:val="944"/>
    <w:qFormat/>
    <w:uiPriority w:val="99"/>
    <w:pPr>
      <w:adjustRightInd/>
      <w:spacing w:line="360" w:lineRule="auto"/>
      <w:ind w:firstLine="480" w:firstLineChars="200"/>
    </w:pPr>
    <w:rPr>
      <w:sz w:val="24"/>
      <w:szCs w:val="20"/>
    </w:rPr>
  </w:style>
  <w:style w:type="character" w:customStyle="1" w:styleId="946">
    <w:name w:val="Char Char213"/>
    <w:qFormat/>
    <w:uiPriority w:val="99"/>
    <w:rPr>
      <w:rFonts w:eastAsia="Times New Roman"/>
      <w:b/>
      <w:kern w:val="44"/>
      <w:sz w:val="44"/>
      <w:lang w:val="en-US" w:eastAsia="zh-CN"/>
    </w:rPr>
  </w:style>
  <w:style w:type="character" w:customStyle="1" w:styleId="947">
    <w:name w:val="apple-style-span"/>
    <w:qFormat/>
    <w:uiPriority w:val="99"/>
    <w:rPr>
      <w:rFonts w:ascii="Arial" w:hAnsi="Arial" w:eastAsia="黑体"/>
      <w:snapToGrid w:val="0"/>
      <w:kern w:val="0"/>
      <w:sz w:val="21"/>
    </w:rPr>
  </w:style>
  <w:style w:type="character" w:customStyle="1" w:styleId="948">
    <w:name w:val="15"/>
    <w:qFormat/>
    <w:uiPriority w:val="99"/>
    <w:rPr>
      <w:rFonts w:ascii="Calibri" w:hAnsi="Calibri"/>
      <w:color w:val="0000FF"/>
      <w:u w:val="single"/>
    </w:rPr>
  </w:style>
  <w:style w:type="character" w:customStyle="1" w:styleId="949">
    <w:name w:val="16"/>
    <w:qFormat/>
    <w:uiPriority w:val="99"/>
    <w:rPr>
      <w:rFonts w:ascii="宋体" w:hAnsi="宋体" w:eastAsia="宋体"/>
      <w:color w:val="000000"/>
      <w:sz w:val="20"/>
    </w:rPr>
  </w:style>
  <w:style w:type="character" w:customStyle="1" w:styleId="950">
    <w:name w:val="edui-unclickable"/>
    <w:qFormat/>
    <w:uiPriority w:val="99"/>
    <w:rPr>
      <w:color w:val="808080"/>
    </w:rPr>
  </w:style>
  <w:style w:type="character" w:customStyle="1" w:styleId="951">
    <w:name w:val="tpc_content1"/>
    <w:qFormat/>
    <w:uiPriority w:val="99"/>
    <w:rPr>
      <w:sz w:val="20"/>
    </w:rPr>
  </w:style>
  <w:style w:type="character" w:customStyle="1" w:styleId="952">
    <w:name w:val="正文文本缩进 字符"/>
    <w:qFormat/>
    <w:uiPriority w:val="99"/>
    <w:rPr>
      <w:rFonts w:ascii="Century Gothic" w:hAnsi="Century Gothic"/>
      <w:kern w:val="2"/>
      <w:sz w:val="24"/>
      <w:lang w:val="en-US" w:eastAsia="zh-CN"/>
    </w:rPr>
  </w:style>
  <w:style w:type="character" w:customStyle="1" w:styleId="953">
    <w:name w:val="正文文本 2 字符"/>
    <w:qFormat/>
    <w:uiPriority w:val="99"/>
    <w:rPr>
      <w:rFonts w:ascii="Arial" w:hAnsi="Arial" w:eastAsia="宋体"/>
      <w:kern w:val="2"/>
      <w:sz w:val="24"/>
      <w:lang w:val="en-US" w:eastAsia="zh-CN"/>
    </w:rPr>
  </w:style>
  <w:style w:type="character" w:customStyle="1" w:styleId="954">
    <w:name w:val="edui-clickable2"/>
    <w:qFormat/>
    <w:uiPriority w:val="99"/>
    <w:rPr>
      <w:color w:val="0000FF"/>
      <w:u w:val="single"/>
    </w:rPr>
  </w:style>
  <w:style w:type="character" w:customStyle="1" w:styleId="955">
    <w:name w:val="style1"/>
    <w:qFormat/>
    <w:uiPriority w:val="99"/>
    <w:rPr>
      <w:rFonts w:ascii="Arial" w:hAnsi="Arial" w:eastAsia="黑体"/>
      <w:snapToGrid w:val="0"/>
      <w:kern w:val="0"/>
      <w:sz w:val="21"/>
    </w:rPr>
  </w:style>
  <w:style w:type="character" w:customStyle="1" w:styleId="956">
    <w:name w:val="zbggtop11 style5"/>
    <w:qFormat/>
    <w:uiPriority w:val="99"/>
    <w:rPr>
      <w:rFonts w:ascii="Arial" w:hAnsi="Arial" w:eastAsia="黑体"/>
      <w:snapToGrid w:val="0"/>
      <w:kern w:val="0"/>
      <w:sz w:val="21"/>
    </w:rPr>
  </w:style>
  <w:style w:type="character" w:customStyle="1" w:styleId="957">
    <w:name w:val="纯文本 Char Char Char Char Char Char Char Char Char Char Char Char Char Char Char"/>
    <w:qFormat/>
    <w:uiPriority w:val="99"/>
    <w:rPr>
      <w:rFonts w:ascii="宋体" w:hAnsi="Courier New" w:eastAsia="宋体"/>
      <w:snapToGrid w:val="0"/>
      <w:sz w:val="21"/>
      <w:lang w:val="en-US" w:eastAsia="zh-CN"/>
    </w:rPr>
  </w:style>
  <w:style w:type="character" w:customStyle="1" w:styleId="958">
    <w:name w:val="bulletintext1"/>
    <w:qFormat/>
    <w:uiPriority w:val="99"/>
    <w:rPr>
      <w:color w:val="000000"/>
      <w:sz w:val="18"/>
    </w:rPr>
  </w:style>
  <w:style w:type="paragraph" w:customStyle="1" w:styleId="959">
    <w:name w:val="_Style 947"/>
    <w:basedOn w:val="1"/>
    <w:next w:val="287"/>
    <w:qFormat/>
    <w:uiPriority w:val="99"/>
    <w:pPr>
      <w:adjustRightInd/>
      <w:ind w:firstLine="420" w:firstLineChars="200"/>
    </w:pPr>
  </w:style>
  <w:style w:type="paragraph" w:customStyle="1" w:styleId="960">
    <w:name w:val="正文5"/>
    <w:qFormat/>
    <w:uiPriority w:val="99"/>
    <w:pPr>
      <w:jc w:val="both"/>
    </w:pPr>
    <w:rPr>
      <w:rFonts w:ascii="Times New Roman" w:hAnsi="Times New Roman" w:eastAsia="宋体" w:cs="宋体"/>
      <w:kern w:val="2"/>
      <w:sz w:val="21"/>
      <w:szCs w:val="21"/>
      <w:lang w:val="en-US" w:eastAsia="zh-CN" w:bidi="ar-SA"/>
    </w:rPr>
  </w:style>
  <w:style w:type="paragraph" w:customStyle="1" w:styleId="961">
    <w:name w:val="纯文本2"/>
    <w:basedOn w:val="1"/>
    <w:qFormat/>
    <w:uiPriority w:val="99"/>
    <w:pPr>
      <w:adjustRightInd/>
      <w:snapToGrid w:val="0"/>
      <w:jc w:val="left"/>
    </w:pPr>
    <w:rPr>
      <w:rFonts w:ascii="Century Gothic" w:hAnsi="楷体_GB2312" w:eastAsia="Times New Roman"/>
      <w:szCs w:val="20"/>
    </w:rPr>
  </w:style>
  <w:style w:type="paragraph" w:customStyle="1" w:styleId="962">
    <w:name w:val="*Body 1"/>
    <w:qFormat/>
    <w:uiPriority w:val="99"/>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63">
    <w:name w:val="font1"/>
    <w:basedOn w:val="1"/>
    <w:qFormat/>
    <w:uiPriority w:val="99"/>
    <w:pPr>
      <w:widowControl/>
      <w:adjustRightInd/>
      <w:spacing w:before="100" w:beforeAutospacing="1" w:after="100" w:afterAutospacing="1"/>
      <w:jc w:val="left"/>
    </w:pPr>
    <w:rPr>
      <w:rFonts w:ascii="Century Gothic" w:hAnsi="Century Gothic"/>
      <w:kern w:val="0"/>
      <w:sz w:val="24"/>
      <w:szCs w:val="20"/>
    </w:rPr>
  </w:style>
  <w:style w:type="paragraph" w:customStyle="1" w:styleId="964">
    <w:name w:val="节"/>
    <w:basedOn w:val="3"/>
    <w:qFormat/>
    <w:uiPriority w:val="99"/>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65">
    <w:name w:val="Blockquote"/>
    <w:basedOn w:val="1"/>
    <w:qFormat/>
    <w:uiPriority w:val="99"/>
    <w:pPr>
      <w:autoSpaceDE w:val="0"/>
      <w:autoSpaceDN w:val="0"/>
      <w:spacing w:before="100" w:after="100"/>
      <w:ind w:left="360" w:right="360"/>
      <w:jc w:val="left"/>
    </w:pPr>
    <w:rPr>
      <w:kern w:val="0"/>
      <w:sz w:val="24"/>
      <w:szCs w:val="20"/>
    </w:rPr>
  </w:style>
  <w:style w:type="paragraph" w:customStyle="1" w:styleId="966">
    <w:name w:val="p1"/>
    <w:basedOn w:val="1"/>
    <w:qFormat/>
    <w:uiPriority w:val="99"/>
    <w:pPr>
      <w:widowControl/>
      <w:adjustRightInd/>
      <w:jc w:val="left"/>
    </w:pPr>
    <w:rPr>
      <w:rFonts w:ascii=".PingFang SC" w:eastAsia=".PingFang SC"/>
      <w:color w:val="454545"/>
      <w:kern w:val="0"/>
      <w:sz w:val="18"/>
      <w:szCs w:val="18"/>
    </w:rPr>
  </w:style>
  <w:style w:type="paragraph" w:customStyle="1" w:styleId="967">
    <w:name w:val="Table Paragraph"/>
    <w:basedOn w:val="1"/>
    <w:qFormat/>
    <w:uiPriority w:val="99"/>
    <w:pPr>
      <w:adjustRightInd/>
      <w:jc w:val="left"/>
    </w:pPr>
    <w:rPr>
      <w:rFonts w:ascii="Calibri" w:hAnsi="Calibri"/>
      <w:kern w:val="0"/>
      <w:sz w:val="22"/>
      <w:szCs w:val="22"/>
      <w:lang w:eastAsia="en-US"/>
    </w:rPr>
  </w:style>
  <w:style w:type="paragraph" w:customStyle="1" w:styleId="968">
    <w:name w:val="Preformatted"/>
    <w:basedOn w:val="1"/>
    <w:qFormat/>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69">
    <w:name w:val="xl22"/>
    <w:basedOn w:val="1"/>
    <w:qFormat/>
    <w:uiPriority w:val="99"/>
    <w:pPr>
      <w:widowControl/>
      <w:pBdr>
        <w:left w:val="single" w:color="auto" w:sz="4" w:space="0"/>
        <w:bottom w:val="single" w:color="auto" w:sz="4" w:space="0"/>
        <w:right w:val="single" w:color="auto" w:sz="4" w:space="0"/>
      </w:pBdr>
      <w:adjustRightInd/>
      <w:spacing w:before="100" w:beforeAutospacing="1" w:after="100" w:afterAutospacing="1"/>
      <w:jc w:val="center"/>
    </w:pPr>
    <w:rPr>
      <w:rFonts w:ascii="Arial Unicode MS" w:hAnsi="Arial Unicode MS"/>
      <w:kern w:val="0"/>
      <w:sz w:val="24"/>
      <w:szCs w:val="20"/>
    </w:rPr>
  </w:style>
  <w:style w:type="paragraph" w:customStyle="1" w:styleId="970">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71">
    <w:name w:val="ksfind_class_select1"/>
    <w:basedOn w:val="71"/>
    <w:qFormat/>
    <w:uiPriority w:val="99"/>
    <w:rPr>
      <w:rFonts w:cs="Times New Roman"/>
      <w:color w:val="000000"/>
      <w:shd w:val="clear" w:color="auto" w:fill="EFD200"/>
    </w:rPr>
  </w:style>
  <w:style w:type="character" w:customStyle="1" w:styleId="972">
    <w:name w:val="font71"/>
    <w:qFormat/>
    <w:uiPriority w:val="99"/>
    <w:rPr>
      <w:rFonts w:ascii="宋体" w:hAnsi="宋体" w:eastAsia="宋体"/>
      <w:color w:val="000000"/>
      <w:sz w:val="22"/>
      <w:u w:val="none"/>
    </w:rPr>
  </w:style>
  <w:style w:type="character" w:customStyle="1" w:styleId="973">
    <w:name w:val="font91"/>
    <w:basedOn w:val="71"/>
    <w:qFormat/>
    <w:uiPriority w:val="99"/>
    <w:rPr>
      <w:rFonts w:ascii="仿宋" w:hAnsi="仿宋" w:eastAsia="仿宋"/>
      <w:color w:val="000000"/>
      <w:sz w:val="22"/>
      <w:u w:val="none"/>
    </w:rPr>
  </w:style>
  <w:style w:type="character" w:customStyle="1" w:styleId="974">
    <w:name w:val="Unresolved Mention"/>
    <w:basedOn w:val="71"/>
    <w:semiHidden/>
    <w:qFormat/>
    <w:uiPriority w:val="99"/>
    <w:rPr>
      <w:rFonts w:cs="Times New Roman"/>
      <w:color w:val="605E5C"/>
      <w:shd w:val="clear" w:color="auto" w:fill="E1DFDD"/>
    </w:rPr>
  </w:style>
  <w:style w:type="character" w:customStyle="1" w:styleId="975">
    <w:name w:val="页码11"/>
    <w:basedOn w:val="976"/>
    <w:qFormat/>
    <w:uiPriority w:val="99"/>
    <w:rPr>
      <w:rFonts w:cs="Times New Roman"/>
      <w:lang w:val="zh-TW" w:eastAsia="zh-TW"/>
    </w:rPr>
  </w:style>
  <w:style w:type="character" w:customStyle="1" w:styleId="976">
    <w:name w:val="无 A"/>
    <w:qFormat/>
    <w:uiPriority w:val="99"/>
    <w:rPr>
      <w:lang w:val="en-US"/>
    </w:rPr>
  </w:style>
  <w:style w:type="character" w:customStyle="1" w:styleId="977">
    <w:name w:val="无"/>
    <w:qFormat/>
    <w:uiPriority w:val="99"/>
  </w:style>
  <w:style w:type="paragraph" w:customStyle="1" w:styleId="978">
    <w:name w:val="正文首行缩进 21"/>
    <w:basedOn w:val="979"/>
    <w:qFormat/>
    <w:uiPriority w:val="0"/>
    <w:pPr>
      <w:ind w:firstLine="420"/>
    </w:pPr>
    <w:rPr>
      <w:rFonts w:cs="宋体"/>
    </w:rPr>
  </w:style>
  <w:style w:type="paragraph" w:customStyle="1" w:styleId="979">
    <w:name w:val="正文文本缩进1"/>
    <w:basedOn w:val="1"/>
    <w:next w:val="1"/>
    <w:qFormat/>
    <w:uiPriority w:val="0"/>
    <w:pPr>
      <w:spacing w:after="120"/>
      <w:ind w:left="420" w:leftChars="200"/>
    </w:pPr>
  </w:style>
  <w:style w:type="paragraph" w:customStyle="1" w:styleId="980">
    <w:name w:val="正文首行缩进 22"/>
    <w:basedOn w:val="981"/>
    <w:qFormat/>
    <w:uiPriority w:val="0"/>
    <w:pPr>
      <w:ind w:firstLine="420"/>
    </w:pPr>
    <w:rPr>
      <w:rFonts w:cs="宋体"/>
    </w:rPr>
  </w:style>
  <w:style w:type="paragraph" w:customStyle="1" w:styleId="981">
    <w:name w:val="正文文本缩进2"/>
    <w:basedOn w:val="1"/>
    <w:next w:val="1"/>
    <w:qFormat/>
    <w:uiPriority w:val="0"/>
    <w:pPr>
      <w:ind w:left="420" w:leftChars="200"/>
    </w:pPr>
    <w:rPr>
      <w:color w:val="000000"/>
      <w:szCs w:val="21"/>
    </w:rPr>
  </w:style>
  <w:style w:type="paragraph" w:customStyle="1" w:styleId="982">
    <w:name w:val="!我的正文 Ctr+Q"/>
    <w:basedOn w:val="1"/>
    <w:qFormat/>
    <w:uiPriority w:val="0"/>
    <w:pPr>
      <w:snapToGrid w:val="0"/>
      <w:spacing w:line="360" w:lineRule="auto"/>
      <w:ind w:firstLine="480" w:firstLineChars="200"/>
    </w:pPr>
    <w:rPr>
      <w:rFonts w:ascii="Arial" w:hAnsi="Arial"/>
      <w:sz w:val="24"/>
    </w:rPr>
  </w:style>
  <w:style w:type="paragraph" w:customStyle="1" w:styleId="983">
    <w:name w:val="普通(网站)11"/>
    <w:basedOn w:val="1"/>
    <w:qFormat/>
    <w:uiPriority w:val="0"/>
    <w:pPr>
      <w:widowControl/>
      <w:adjustRightInd/>
      <w:spacing w:beforeAutospacing="1" w:afterAutospacing="1"/>
      <w:jc w:val="left"/>
    </w:pPr>
    <w:rPr>
      <w:rFonts w:ascii="宋体" w:hAnsi="宋体"/>
      <w:sz w:val="24"/>
    </w:rPr>
  </w:style>
  <w:style w:type="paragraph" w:customStyle="1" w:styleId="984">
    <w:name w:val="报告正文"/>
    <w:basedOn w:val="1"/>
    <w:qFormat/>
    <w:uiPriority w:val="99"/>
    <w:pPr>
      <w:spacing w:line="360" w:lineRule="auto"/>
      <w:ind w:firstLine="200" w:firstLineChars="200"/>
    </w:pPr>
    <w:rPr>
      <w:spacing w:val="14"/>
      <w:kern w:val="0"/>
      <w:sz w:val="20"/>
      <w:szCs w:val="20"/>
    </w:rPr>
  </w:style>
  <w:style w:type="paragraph" w:customStyle="1" w:styleId="985">
    <w:name w:val="Char3 Char Char Char2"/>
    <w:basedOn w:val="1"/>
    <w:qFormat/>
    <w:uiPriority w:val="0"/>
    <w:rPr>
      <w:rFonts w:ascii="Tahoma" w:hAnsi="Tahoma"/>
      <w:sz w:val="24"/>
      <w:szCs w:val="20"/>
    </w:rPr>
  </w:style>
  <w:style w:type="paragraph" w:customStyle="1" w:styleId="986">
    <w:name w:val="正文文本首行缩进11"/>
    <w:basedOn w:val="23"/>
    <w:qFormat/>
    <w:uiPriority w:val="0"/>
    <w:pPr>
      <w:ind w:firstLine="420" w:firstLineChars="100"/>
    </w:pPr>
  </w:style>
  <w:style w:type="paragraph" w:customStyle="1" w:styleId="987">
    <w:name w:val="索引 51"/>
    <w:basedOn w:val="1"/>
    <w:next w:val="1"/>
    <w:qFormat/>
    <w:uiPriority w:val="0"/>
    <w:pPr>
      <w:ind w:left="800" w:leftChars="800"/>
    </w:pPr>
  </w:style>
  <w:style w:type="character" w:customStyle="1" w:styleId="988">
    <w:name w:val="NormalCharacter"/>
    <w:qFormat/>
    <w:uiPriority w:val="0"/>
    <w:rPr>
      <w:rFonts w:ascii="Calibri" w:hAnsi="Calibri" w:eastAsia="宋体" w:cs="Times New Roman"/>
      <w:kern w:val="2"/>
      <w:sz w:val="21"/>
      <w:szCs w:val="22"/>
      <w:lang w:val="en-US" w:eastAsia="zh-CN" w:bidi="ar-SA"/>
    </w:rPr>
  </w:style>
  <w:style w:type="character" w:customStyle="1" w:styleId="989">
    <w:name w:val="bookmark-item"/>
    <w:basedOn w:val="71"/>
    <w:qFormat/>
    <w:uiPriority w:val="0"/>
  </w:style>
  <w:style w:type="paragraph" w:customStyle="1" w:styleId="990">
    <w:name w:val="reader-word-layer reader-word-s1-16"/>
    <w:basedOn w:val="1"/>
    <w:qFormat/>
    <w:uiPriority w:val="0"/>
    <w:pPr>
      <w:widowControl/>
      <w:spacing w:before="100" w:beforeAutospacing="1" w:after="100" w:afterAutospacing="1"/>
      <w:jc w:val="left"/>
    </w:pPr>
    <w:rPr>
      <w:rFonts w:ascii="宋体" w:hAnsi="宋体" w:cs="宋体"/>
      <w:sz w:val="24"/>
    </w:rPr>
  </w:style>
  <w:style w:type="paragraph" w:customStyle="1" w:styleId="991">
    <w:name w:val="正文文字2"/>
    <w:basedOn w:val="23"/>
    <w:qFormat/>
    <w:uiPriority w:val="0"/>
    <w:pPr>
      <w:autoSpaceDE/>
      <w:autoSpaceDN/>
      <w:spacing w:after="60" w:line="360" w:lineRule="atLeast"/>
      <w:ind w:left="72" w:right="72"/>
      <w:jc w:val="center"/>
      <w:textAlignment w:val="baseline"/>
    </w:pPr>
    <w:rPr>
      <w:rFonts w:ascii="Arial" w:eastAsia="黑体" w:hAnsiTheme="minorHAnsi" w:cstheme="minorBidi"/>
      <w:szCs w:val="22"/>
    </w:rPr>
  </w:style>
  <w:style w:type="paragraph" w:customStyle="1" w:styleId="992">
    <w:name w:val="_Style 1181"/>
    <w:basedOn w:val="23"/>
    <w:qFormat/>
    <w:uiPriority w:val="0"/>
    <w:pPr>
      <w:spacing w:after="120" w:line="440" w:lineRule="exact"/>
      <w:ind w:firstLine="420" w:firstLineChars="100"/>
    </w:pPr>
    <w:rPr>
      <w:rFonts w:ascii="Times New Roman" w:hAnsi="Times New Roman" w:cs="Times New Roman"/>
      <w:color w:val="000000"/>
      <w:kern w:val="0"/>
      <w:sz w:val="21"/>
      <w:lang w:val="en-US"/>
    </w:rPr>
  </w:style>
  <w:style w:type="table" w:customStyle="1" w:styleId="99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3082"/>
    <customShpInfo spid="_x0000_s1026"/>
    <customShpInfo spid="_x0000_s3081"/>
    <customShpInfo spid="_x0000_s3080"/>
    <customShpInfo spid="_x0000_s3079"/>
    <customShpInfo spid="_x0000_s3077"/>
    <customShpInfo spid="_x0000_s3078"/>
    <customShpInfo spid="_x0000_s3075"/>
    <customShpInfo spid="_x0000_s3076"/>
    <customShpInfo spid="_x0000_s3074"/>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7E7319-54A8-4E38-B6E8-2F0FDF7D72AB}">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86</Pages>
  <Words>19536</Words>
  <Characters>22047</Characters>
  <Lines>492</Lines>
  <Paragraphs>138</Paragraphs>
  <TotalTime>2</TotalTime>
  <ScaleCrop>false</ScaleCrop>
  <LinksUpToDate>false</LinksUpToDate>
  <CharactersWithSpaces>22534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2026-05-29T08:54:00Z</dcterms:created>
  <dc:creator>玥</dc:creator>
  <cp:lastModifiedBy>A（方月山）雨蝶</cp:lastModifiedBy>
  <cp:lastPrinted>2025-08-25T03:09:00Z</cp:lastPrinted>
  <dcterms:modified xsi:type="dcterms:W3CDTF">2026-05-29T09:59:03Z</dcterms:modified>
  <dc:title>杭州市市民卡扩大发卡工程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0239EAFFF9AC4473BF510E1BE0DA0F0D_13</vt:lpwstr>
  </property>
  <property fmtid="{D5CDD505-2E9C-101B-9397-08002B2CF9AE}" pid="5" name="KSOTemplateDocerSaveRecord">
    <vt:lpwstr>eyJoZGlkIjoiY2JmY2M2NWJhNWY3ODRmMmQzOGYzNmQwNGZiMGEzZGIiLCJ1c2VySWQiOiI2MDQ4MzI1MTgifQ==</vt:lpwstr>
  </property>
</Properties>
</file>